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D5A7A5" w14:textId="77777777" w:rsidR="009C0E6B" w:rsidRDefault="009C0E6B">
      <w:pPr>
        <w:pStyle w:val="BodyText"/>
        <w:spacing w:before="1"/>
        <w:rPr>
          <w:sz w:val="28"/>
        </w:rPr>
      </w:pPr>
    </w:p>
    <w:p w14:paraId="6F8D2082" w14:textId="77777777" w:rsidR="009C0E6B" w:rsidRDefault="00000000">
      <w:pPr>
        <w:pStyle w:val="Title"/>
      </w:pPr>
      <w:r>
        <w:t>CHEMICAL MODIFICATION OF PLA FOR THE REALIZATION OF 3D PRINTED NANOCOMPOSITE SCAFFOLD</w:t>
      </w:r>
      <w:r>
        <w:rPr>
          <w:strike/>
        </w:rPr>
        <w:t>S</w:t>
      </w:r>
      <w:r>
        <w:t xml:space="preserve"> WITH ENHANCED DEGRADATION RATE FOR BONE REGENERATION</w:t>
      </w:r>
    </w:p>
    <w:p w14:paraId="14250494" w14:textId="77777777" w:rsidR="009C0E6B" w:rsidRPr="00CC1199" w:rsidRDefault="00000000">
      <w:pPr>
        <w:spacing w:before="158" w:line="278" w:lineRule="exact"/>
        <w:ind w:left="141" w:right="142"/>
        <w:jc w:val="center"/>
        <w:rPr>
          <w:sz w:val="24"/>
          <w:lang w:val="it-IT"/>
        </w:rPr>
      </w:pPr>
      <w:r w:rsidRPr="00CC1199">
        <w:rPr>
          <w:sz w:val="24"/>
          <w:u w:val="single"/>
          <w:lang w:val="it-IT"/>
        </w:rPr>
        <w:t>G. Dal Poggetto</w:t>
      </w:r>
      <w:r w:rsidRPr="00CC1199">
        <w:rPr>
          <w:position w:val="8"/>
          <w:sz w:val="16"/>
          <w:lang w:val="it-IT"/>
        </w:rPr>
        <w:t>1</w:t>
      </w:r>
      <w:r w:rsidRPr="00CC1199">
        <w:rPr>
          <w:sz w:val="24"/>
          <w:lang w:val="it-IT"/>
        </w:rPr>
        <w:t>, A. Soriente</w:t>
      </w:r>
      <w:r w:rsidRPr="00CC1199">
        <w:rPr>
          <w:position w:val="8"/>
          <w:sz w:val="16"/>
          <w:lang w:val="it-IT"/>
        </w:rPr>
        <w:t>2</w:t>
      </w:r>
      <w:r w:rsidRPr="00CC1199">
        <w:rPr>
          <w:sz w:val="24"/>
          <w:lang w:val="it-IT"/>
        </w:rPr>
        <w:t>, A. Ronca</w:t>
      </w:r>
      <w:r w:rsidRPr="00CC1199">
        <w:rPr>
          <w:position w:val="8"/>
          <w:sz w:val="16"/>
          <w:lang w:val="it-IT"/>
        </w:rPr>
        <w:t>2</w:t>
      </w:r>
      <w:r w:rsidRPr="00CC1199">
        <w:rPr>
          <w:sz w:val="24"/>
          <w:lang w:val="it-IT"/>
        </w:rPr>
        <w:t>, U. D’Amora</w:t>
      </w:r>
      <w:r w:rsidRPr="00CC1199">
        <w:rPr>
          <w:position w:val="8"/>
          <w:sz w:val="16"/>
          <w:lang w:val="it-IT"/>
        </w:rPr>
        <w:t>2</w:t>
      </w:r>
      <w:r w:rsidRPr="00CC1199">
        <w:rPr>
          <w:sz w:val="24"/>
          <w:lang w:val="it-IT"/>
        </w:rPr>
        <w:t>, M.G. Raucci</w:t>
      </w:r>
      <w:r w:rsidRPr="00CC1199">
        <w:rPr>
          <w:position w:val="8"/>
          <w:sz w:val="16"/>
          <w:lang w:val="it-IT"/>
        </w:rPr>
        <w:t>2</w:t>
      </w:r>
      <w:r w:rsidRPr="00CC1199">
        <w:rPr>
          <w:sz w:val="24"/>
          <w:lang w:val="it-IT"/>
        </w:rPr>
        <w:t>, G. Gomez</w:t>
      </w:r>
    </w:p>
    <w:p w14:paraId="6B2D643A" w14:textId="77777777" w:rsidR="009C0E6B" w:rsidRDefault="00000000">
      <w:pPr>
        <w:spacing w:line="278" w:lineRule="exact"/>
        <w:ind w:left="142" w:right="142"/>
        <w:jc w:val="center"/>
        <w:rPr>
          <w:sz w:val="16"/>
        </w:rPr>
      </w:pPr>
      <w:proofErr w:type="spellStart"/>
      <w:r>
        <w:rPr>
          <w:sz w:val="24"/>
        </w:rPr>
        <w:t>d’Ayala</w:t>
      </w:r>
      <w:proofErr w:type="spellEnd"/>
      <w:r>
        <w:rPr>
          <w:position w:val="8"/>
          <w:sz w:val="16"/>
        </w:rPr>
        <w:t>1</w:t>
      </w:r>
      <w:r>
        <w:rPr>
          <w:sz w:val="24"/>
        </w:rPr>
        <w:t>, P. Laurienzo</w:t>
      </w:r>
      <w:r>
        <w:rPr>
          <w:position w:val="8"/>
          <w:sz w:val="16"/>
        </w:rPr>
        <w:t>1</w:t>
      </w:r>
    </w:p>
    <w:p w14:paraId="476AE354" w14:textId="77777777" w:rsidR="009C0E6B" w:rsidRDefault="00000000">
      <w:pPr>
        <w:pStyle w:val="BodyText"/>
        <w:spacing w:before="158"/>
        <w:ind w:left="863" w:right="142"/>
        <w:jc w:val="center"/>
      </w:pPr>
      <w:r>
        <w:rPr>
          <w:position w:val="6"/>
          <w:sz w:val="13"/>
        </w:rPr>
        <w:t xml:space="preserve">1 </w:t>
      </w:r>
      <w:r>
        <w:t xml:space="preserve">Institute of Polymers, Composites and Biomaterials (IPCB), National Research Council, Via Campi </w:t>
      </w:r>
      <w:proofErr w:type="spellStart"/>
      <w:r>
        <w:t>Flegrei</w:t>
      </w:r>
      <w:proofErr w:type="spellEnd"/>
      <w:r>
        <w:t xml:space="preserve"> 35, 80078, Pozzuoli (Naples), Italy</w:t>
      </w:r>
    </w:p>
    <w:p w14:paraId="6A9FFAD5" w14:textId="77777777" w:rsidR="009C0E6B" w:rsidRDefault="00000000">
      <w:pPr>
        <w:pStyle w:val="BodyText"/>
        <w:spacing w:before="1"/>
        <w:ind w:left="490" w:right="136"/>
        <w:jc w:val="center"/>
      </w:pPr>
      <w:hyperlink r:id="rId7">
        <w:r>
          <w:rPr>
            <w:u w:val="single"/>
          </w:rPr>
          <w:t>email: giovanni.dalpoggetto@ipcb.cnr.it</w:t>
        </w:r>
      </w:hyperlink>
    </w:p>
    <w:p w14:paraId="1666BE1C" w14:textId="77777777" w:rsidR="009C0E6B" w:rsidRDefault="00000000">
      <w:pPr>
        <w:pStyle w:val="BodyText"/>
        <w:spacing w:line="229" w:lineRule="exact"/>
        <w:ind w:left="131" w:right="142"/>
        <w:jc w:val="center"/>
      </w:pPr>
      <w:r>
        <w:rPr>
          <w:position w:val="6"/>
          <w:sz w:val="13"/>
        </w:rPr>
        <w:t xml:space="preserve">2 </w:t>
      </w:r>
      <w:r>
        <w:t>Institute of Polymers, Composites and Biomaterials (IPCB), National Research Council, Viale J.F. Kennedy</w:t>
      </w:r>
    </w:p>
    <w:p w14:paraId="7E97EDE4" w14:textId="77777777" w:rsidR="009C0E6B" w:rsidRDefault="00000000">
      <w:pPr>
        <w:pStyle w:val="BodyText"/>
        <w:spacing w:line="229" w:lineRule="exact"/>
        <w:ind w:left="133" w:right="142"/>
        <w:jc w:val="center"/>
      </w:pPr>
      <w:r>
        <w:t xml:space="preserve">54, </w:t>
      </w:r>
      <w:proofErr w:type="spellStart"/>
      <w:r>
        <w:t>Mostra</w:t>
      </w:r>
      <w:proofErr w:type="spellEnd"/>
      <w:r>
        <w:t xml:space="preserve"> </w:t>
      </w:r>
      <w:proofErr w:type="spellStart"/>
      <w:r>
        <w:t>d’Oltremare</w:t>
      </w:r>
      <w:proofErr w:type="spellEnd"/>
      <w:r>
        <w:t xml:space="preserve"> Pad 20, 80125 Naples, Italy</w:t>
      </w:r>
    </w:p>
    <w:p w14:paraId="258E4D19" w14:textId="77777777" w:rsidR="009C0E6B" w:rsidRDefault="009C0E6B">
      <w:pPr>
        <w:pStyle w:val="BodyText"/>
      </w:pPr>
    </w:p>
    <w:p w14:paraId="5F3088EE" w14:textId="77777777" w:rsidR="009C0E6B" w:rsidRDefault="009C0E6B">
      <w:pPr>
        <w:pStyle w:val="BodyText"/>
        <w:spacing w:before="1"/>
        <w:rPr>
          <w:sz w:val="17"/>
        </w:rPr>
      </w:pPr>
    </w:p>
    <w:p w14:paraId="6401EBEC" w14:textId="77777777" w:rsidR="009C0E6B" w:rsidRDefault="009C0E6B">
      <w:pPr>
        <w:rPr>
          <w:sz w:val="17"/>
        </w:rPr>
        <w:sectPr w:rsidR="009C0E6B" w:rsidSect="00CC1199">
          <w:type w:val="continuous"/>
          <w:pgSz w:w="11910" w:h="16840"/>
          <w:pgMar w:top="1320" w:right="1020" w:bottom="1420" w:left="1020" w:header="516" w:footer="1237" w:gutter="0"/>
          <w:pgNumType w:start="182"/>
          <w:cols w:space="720"/>
        </w:sectPr>
      </w:pPr>
    </w:p>
    <w:p w14:paraId="38C4B84B" w14:textId="77777777" w:rsidR="009C0E6B" w:rsidRDefault="00000000">
      <w:pPr>
        <w:pStyle w:val="Heading1"/>
        <w:spacing w:before="92"/>
      </w:pPr>
      <w:r>
        <w:t>Introduction</w:t>
      </w:r>
    </w:p>
    <w:p w14:paraId="6DDEDCE0" w14:textId="77777777" w:rsidR="009C0E6B" w:rsidRDefault="00000000">
      <w:pPr>
        <w:pStyle w:val="BodyText"/>
        <w:spacing w:before="1"/>
        <w:ind w:left="112" w:right="39"/>
        <w:jc w:val="both"/>
      </w:pPr>
      <w:r>
        <w:t xml:space="preserve">Currently, bone scaffold materials include </w:t>
      </w:r>
      <w:proofErr w:type="spellStart"/>
      <w:r>
        <w:t>bioceramics</w:t>
      </w:r>
      <w:proofErr w:type="spellEnd"/>
      <w:r>
        <w:t xml:space="preserve">, </w:t>
      </w:r>
      <w:proofErr w:type="spellStart"/>
      <w:r>
        <w:t>biometals</w:t>
      </w:r>
      <w:proofErr w:type="spellEnd"/>
      <w:r>
        <w:t>, and biopolymers. Both natural [1</w:t>
      </w:r>
      <w:proofErr w:type="gramStart"/>
      <w:r>
        <w:t>] ,</w:t>
      </w:r>
      <w:proofErr w:type="gramEnd"/>
      <w:r>
        <w:t xml:space="preserve"> such as collagen, chitosan, fibrin, and synthetic polymers [2] (PLA, PGA, PHBV, PVA), are widely studied due to their ease of processing. Among synthetic polymers, PLA is particularly promising for bone tissue engineering. Indeed, it</w:t>
      </w:r>
      <w:r>
        <w:rPr>
          <w:spacing w:val="-38"/>
        </w:rPr>
        <w:t xml:space="preserve"> </w:t>
      </w:r>
      <w:r>
        <w:t>is FDA-approved due to its biocompatibility, biodegradability, and processability, and it exhibits good</w:t>
      </w:r>
      <w:r>
        <w:rPr>
          <w:spacing w:val="-14"/>
        </w:rPr>
        <w:t xml:space="preserve"> </w:t>
      </w:r>
      <w:r>
        <w:t>mechanical</w:t>
      </w:r>
      <w:r>
        <w:rPr>
          <w:spacing w:val="-16"/>
        </w:rPr>
        <w:t xml:space="preserve"> </w:t>
      </w:r>
      <w:r>
        <w:t>strength.</w:t>
      </w:r>
      <w:r>
        <w:rPr>
          <w:spacing w:val="-13"/>
        </w:rPr>
        <w:t xml:space="preserve"> </w:t>
      </w:r>
      <w:r>
        <w:t>However,</w:t>
      </w:r>
      <w:r>
        <w:rPr>
          <w:spacing w:val="-13"/>
        </w:rPr>
        <w:t xml:space="preserve"> </w:t>
      </w:r>
      <w:r>
        <w:t>PLA</w:t>
      </w:r>
      <w:r>
        <w:rPr>
          <w:spacing w:val="-15"/>
        </w:rPr>
        <w:t xml:space="preserve"> </w:t>
      </w:r>
      <w:r>
        <w:t>with</w:t>
      </w:r>
      <w:r>
        <w:rPr>
          <w:spacing w:val="-16"/>
        </w:rPr>
        <w:t xml:space="preserve"> </w:t>
      </w:r>
      <w:r>
        <w:t>high molecular weight degrades slowly, hindering bone tissue growth. There are several pathways to improve degradability. Among them, functionalization involving chemical insertion of unsaturated</w:t>
      </w:r>
      <w:r>
        <w:rPr>
          <w:spacing w:val="-11"/>
        </w:rPr>
        <w:t xml:space="preserve"> </w:t>
      </w:r>
      <w:r>
        <w:t>molecules</w:t>
      </w:r>
      <w:r>
        <w:rPr>
          <w:spacing w:val="-10"/>
        </w:rPr>
        <w:t xml:space="preserve"> </w:t>
      </w:r>
      <w:r>
        <w:t>along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polymer</w:t>
      </w:r>
      <w:r>
        <w:rPr>
          <w:spacing w:val="-11"/>
        </w:rPr>
        <w:t xml:space="preserve"> </w:t>
      </w:r>
      <w:r>
        <w:t>chain</w:t>
      </w:r>
      <w:r>
        <w:rPr>
          <w:spacing w:val="-10"/>
        </w:rPr>
        <w:t xml:space="preserve"> </w:t>
      </w:r>
      <w:r>
        <w:t>via radical grafting is the least explored. Functionalization can decrease crystallinity and improve hydrophilicity, thus enhancing degradation. In this context, nanocomposites of PLA and PLA functionalized with itaconic anhydride (</w:t>
      </w:r>
      <w:proofErr w:type="spellStart"/>
      <w:r>
        <w:t>PLAf</w:t>
      </w:r>
      <w:proofErr w:type="spellEnd"/>
      <w:r>
        <w:t xml:space="preserve">) containing 5 and 10 </w:t>
      </w:r>
      <w:proofErr w:type="spellStart"/>
      <w:r>
        <w:t>wt</w:t>
      </w:r>
      <w:proofErr w:type="spellEnd"/>
      <w:r>
        <w:t xml:space="preserve">% hydroxyapatite (HA) nanoparticles as fillers were prepared via solution mixing. Obtained materials were characterized using </w:t>
      </w:r>
      <w:r>
        <w:rPr>
          <w:position w:val="6"/>
          <w:sz w:val="13"/>
        </w:rPr>
        <w:t>1</w:t>
      </w:r>
      <w:r>
        <w:t>H NMR. Scaffolds of PLA,</w:t>
      </w:r>
      <w:r>
        <w:rPr>
          <w:spacing w:val="-17"/>
        </w:rPr>
        <w:t xml:space="preserve"> </w:t>
      </w:r>
      <w:proofErr w:type="spellStart"/>
      <w:r>
        <w:t>PLAf</w:t>
      </w:r>
      <w:proofErr w:type="spellEnd"/>
      <w:r>
        <w:t>,</w:t>
      </w:r>
      <w:r>
        <w:rPr>
          <w:spacing w:val="-16"/>
        </w:rPr>
        <w:t xml:space="preserve"> </w:t>
      </w:r>
      <w:r>
        <w:t>and</w:t>
      </w:r>
      <w:r>
        <w:rPr>
          <w:spacing w:val="-16"/>
        </w:rPr>
        <w:t xml:space="preserve"> </w:t>
      </w:r>
      <w:r>
        <w:t>their</w:t>
      </w:r>
      <w:r>
        <w:rPr>
          <w:spacing w:val="-16"/>
        </w:rPr>
        <w:t xml:space="preserve"> </w:t>
      </w:r>
      <w:r>
        <w:t>nanocomposites</w:t>
      </w:r>
      <w:r>
        <w:rPr>
          <w:spacing w:val="-15"/>
        </w:rPr>
        <w:t xml:space="preserve"> </w:t>
      </w:r>
      <w:r>
        <w:t>with</w:t>
      </w:r>
      <w:r>
        <w:rPr>
          <w:spacing w:val="-19"/>
        </w:rPr>
        <w:t xml:space="preserve"> </w:t>
      </w:r>
      <w:r>
        <w:t>HA</w:t>
      </w:r>
      <w:r>
        <w:rPr>
          <w:spacing w:val="-17"/>
        </w:rPr>
        <w:t xml:space="preserve"> </w:t>
      </w:r>
      <w:r>
        <w:t>were then fabricated using 3D printing technology. The mechanical properties, structure, and hydrolytic degradation behavior of the scaffolds were evaluated. Additionally, a biological investigation was conducted to study cell proliferation and osteogenic differentiation, using human bone marrow mesenchymal stromal cells (</w:t>
      </w:r>
      <w:proofErr w:type="spellStart"/>
      <w:r>
        <w:t>hMSCs</w:t>
      </w:r>
      <w:proofErr w:type="spellEnd"/>
      <w:r>
        <w:t>) as the cellular model.</w:t>
      </w:r>
    </w:p>
    <w:p w14:paraId="19CC7018" w14:textId="77777777" w:rsidR="009C0E6B" w:rsidRDefault="009C0E6B">
      <w:pPr>
        <w:pStyle w:val="BodyText"/>
        <w:spacing w:before="1"/>
      </w:pPr>
    </w:p>
    <w:p w14:paraId="52F4FFCA" w14:textId="77777777" w:rsidR="009C0E6B" w:rsidRDefault="00000000">
      <w:pPr>
        <w:pStyle w:val="Heading1"/>
        <w:spacing w:line="229" w:lineRule="exact"/>
      </w:pPr>
      <w:r>
        <w:t>Results and Discussion</w:t>
      </w:r>
    </w:p>
    <w:p w14:paraId="1C05D5A1" w14:textId="77777777" w:rsidR="009C0E6B" w:rsidRDefault="00000000">
      <w:pPr>
        <w:spacing w:line="229" w:lineRule="exact"/>
        <w:ind w:left="112"/>
        <w:rPr>
          <w:i/>
          <w:sz w:val="20"/>
        </w:rPr>
      </w:pPr>
      <w:r>
        <w:rPr>
          <w:i/>
          <w:sz w:val="20"/>
        </w:rPr>
        <w:t xml:space="preserve">Characterization of </w:t>
      </w:r>
      <w:proofErr w:type="spellStart"/>
      <w:r>
        <w:rPr>
          <w:i/>
          <w:sz w:val="20"/>
        </w:rPr>
        <w:t>PLAf</w:t>
      </w:r>
      <w:proofErr w:type="spellEnd"/>
    </w:p>
    <w:p w14:paraId="2D824250" w14:textId="5DBAAD50" w:rsidR="009C0E6B" w:rsidRDefault="00000000" w:rsidP="00CC1199">
      <w:pPr>
        <w:pStyle w:val="BodyText"/>
        <w:ind w:left="112"/>
      </w:pPr>
      <w:proofErr w:type="spellStart"/>
      <w:r>
        <w:t>PLAf</w:t>
      </w:r>
      <w:proofErr w:type="spellEnd"/>
      <w:r>
        <w:t xml:space="preserve"> obtained by radical grafting was analyzed through different </w:t>
      </w:r>
      <w:proofErr w:type="spellStart"/>
      <w:r>
        <w:t>tecniques</w:t>
      </w:r>
      <w:proofErr w:type="spellEnd"/>
      <w:r>
        <w:t xml:space="preserve"> [3]. In the </w:t>
      </w:r>
      <w:r>
        <w:rPr>
          <w:position w:val="6"/>
          <w:sz w:val="13"/>
        </w:rPr>
        <w:t>1</w:t>
      </w:r>
      <w:r>
        <w:t>H NMR</w:t>
      </w:r>
      <w:r w:rsidR="00CC1199">
        <w:t xml:space="preserve"> </w:t>
      </w:r>
      <w:r>
        <w:t xml:space="preserve">spectrum of </w:t>
      </w:r>
      <w:proofErr w:type="spellStart"/>
      <w:r>
        <w:t>PLAf</w:t>
      </w:r>
      <w:proofErr w:type="spellEnd"/>
      <w:r>
        <w:t xml:space="preserve">, a small signal at 2.5 ppm corresponding to grafted itaconic anhydride (IAH), </w:t>
      </w:r>
      <w:r>
        <w:rPr>
          <w:position w:val="1"/>
        </w:rPr>
        <w:t>along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with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12"/>
          <w:position w:val="1"/>
        </w:rPr>
        <w:t xml:space="preserve"> </w:t>
      </w:r>
      <w:r>
        <w:rPr>
          <w:position w:val="1"/>
        </w:rPr>
        <w:t>absence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>the</w:t>
      </w:r>
      <w:r>
        <w:rPr>
          <w:spacing w:val="-10"/>
          <w:position w:val="1"/>
        </w:rPr>
        <w:t xml:space="preserve"> </w:t>
      </w:r>
      <w:r>
        <w:rPr>
          <w:position w:val="1"/>
        </w:rPr>
        <w:t>-C=C</w:t>
      </w:r>
      <w:r>
        <w:rPr>
          <w:position w:val="1"/>
          <w:u w:val="single"/>
        </w:rPr>
        <w:t>H</w:t>
      </w:r>
      <w:r>
        <w:rPr>
          <w:sz w:val="13"/>
          <w:u w:val="single"/>
        </w:rPr>
        <w:t>2</w:t>
      </w:r>
      <w:r>
        <w:rPr>
          <w:spacing w:val="8"/>
          <w:sz w:val="13"/>
        </w:rPr>
        <w:t xml:space="preserve"> </w:t>
      </w:r>
      <w:r>
        <w:rPr>
          <w:position w:val="1"/>
        </w:rPr>
        <w:t>signal</w:t>
      </w:r>
      <w:r>
        <w:rPr>
          <w:spacing w:val="-11"/>
          <w:position w:val="1"/>
        </w:rPr>
        <w:t xml:space="preserve"> </w:t>
      </w:r>
      <w:r>
        <w:rPr>
          <w:position w:val="1"/>
        </w:rPr>
        <w:t>of</w:t>
      </w:r>
      <w:r>
        <w:rPr>
          <w:spacing w:val="-13"/>
          <w:position w:val="1"/>
        </w:rPr>
        <w:t xml:space="preserve"> </w:t>
      </w:r>
      <w:r>
        <w:rPr>
          <w:position w:val="1"/>
        </w:rPr>
        <w:t xml:space="preserve">free </w:t>
      </w:r>
      <w:r>
        <w:t>anhydride in the 4.5–5.5 ppm range, confirms the chemical</w:t>
      </w:r>
      <w:r>
        <w:rPr>
          <w:spacing w:val="-12"/>
        </w:rPr>
        <w:t xml:space="preserve"> </w:t>
      </w:r>
      <w:r>
        <w:t>grafting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IAH</w:t>
      </w:r>
      <w:r>
        <w:rPr>
          <w:spacing w:val="-12"/>
        </w:rPr>
        <w:t xml:space="preserve"> </w:t>
      </w:r>
      <w:r>
        <w:t>onto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PLLA</w:t>
      </w:r>
      <w:r>
        <w:rPr>
          <w:spacing w:val="-14"/>
        </w:rPr>
        <w:t xml:space="preserve"> </w:t>
      </w:r>
      <w:r>
        <w:t>chains.</w:t>
      </w:r>
      <w:r>
        <w:rPr>
          <w:spacing w:val="-13"/>
        </w:rPr>
        <w:t xml:space="preserve"> </w:t>
      </w:r>
      <w:r>
        <w:t>The weight percentage of grafted IAH was determined by UV-</w:t>
      </w:r>
      <w:proofErr w:type="gramStart"/>
      <w:r>
        <w:t>Vis</w:t>
      </w:r>
      <w:proofErr w:type="gramEnd"/>
      <w:r>
        <w:t xml:space="preserve"> spectroscopy using a previously reported method [4], resulting in a grafting degree of 0.5 </w:t>
      </w:r>
      <w:proofErr w:type="spellStart"/>
      <w:r>
        <w:t>wt</w:t>
      </w:r>
      <w:proofErr w:type="spellEnd"/>
      <w:r>
        <w:t>%. GPC analysis revealed a decrease in both Mw and Mn, indicating that some chain degradation occurs during the radical functionalization</w:t>
      </w:r>
      <w:r>
        <w:rPr>
          <w:spacing w:val="-2"/>
        </w:rPr>
        <w:t xml:space="preserve"> </w:t>
      </w:r>
      <w:r>
        <w:t>reaction.</w:t>
      </w:r>
    </w:p>
    <w:p w14:paraId="7936B33A" w14:textId="77777777" w:rsidR="009C0E6B" w:rsidRDefault="00000000">
      <w:pPr>
        <w:spacing w:before="1" w:line="229" w:lineRule="exact"/>
        <w:ind w:left="112"/>
        <w:jc w:val="both"/>
        <w:rPr>
          <w:i/>
          <w:sz w:val="20"/>
        </w:rPr>
      </w:pPr>
      <w:r>
        <w:rPr>
          <w:i/>
          <w:sz w:val="20"/>
        </w:rPr>
        <w:t>Characterization of nanocomposites</w:t>
      </w:r>
    </w:p>
    <w:p w14:paraId="4286B2CE" w14:textId="77777777" w:rsidR="009C0E6B" w:rsidRDefault="00000000">
      <w:pPr>
        <w:pStyle w:val="BodyText"/>
        <w:ind w:left="112" w:right="111"/>
        <w:jc w:val="both"/>
      </w:pPr>
      <w:r>
        <w:t xml:space="preserve">SEM analysis was conducted on the surface of films obtained by solution casting to observe differences in the adhesion and dispersion of HA within the polymer matrix. In the PLA-based nanocomposite, aggregates of nanoparticles pulled out from the matrix are visible. In contrast, such aggregates are absent in </w:t>
      </w:r>
      <w:proofErr w:type="spellStart"/>
      <w:r>
        <w:t>PLAf</w:t>
      </w:r>
      <w:proofErr w:type="spellEnd"/>
      <w:r>
        <w:t>-HA,</w:t>
      </w:r>
      <w:r>
        <w:rPr>
          <w:spacing w:val="-39"/>
        </w:rPr>
        <w:t xml:space="preserve"> </w:t>
      </w:r>
      <w:r>
        <w:t xml:space="preserve">indicating improved adhesion and dispersion of HA in the </w:t>
      </w:r>
      <w:proofErr w:type="spellStart"/>
      <w:r>
        <w:t>PLAf</w:t>
      </w:r>
      <w:proofErr w:type="spellEnd"/>
      <w:r>
        <w:t xml:space="preserve"> matrix. Regarding PLA and </w:t>
      </w:r>
      <w:proofErr w:type="spellStart"/>
      <w:r>
        <w:t>PLAf</w:t>
      </w:r>
      <w:proofErr w:type="spellEnd"/>
      <w:r>
        <w:t xml:space="preserve"> 3D printed scaffolds,</w:t>
      </w:r>
      <w:r>
        <w:rPr>
          <w:spacing w:val="-11"/>
        </w:rPr>
        <w:t xml:space="preserve"> </w:t>
      </w:r>
      <w:r>
        <w:t>SEM</w:t>
      </w:r>
      <w:r>
        <w:rPr>
          <w:spacing w:val="-10"/>
        </w:rPr>
        <w:t xml:space="preserve"> </w:t>
      </w:r>
      <w:r>
        <w:t>images</w:t>
      </w:r>
      <w:r>
        <w:rPr>
          <w:spacing w:val="-10"/>
        </w:rPr>
        <w:t xml:space="preserve"> </w:t>
      </w:r>
      <w:r>
        <w:t>showed</w:t>
      </w:r>
      <w:r>
        <w:rPr>
          <w:spacing w:val="-10"/>
        </w:rPr>
        <w:t xml:space="preserve"> </w:t>
      </w:r>
      <w:r>
        <w:t>that</w:t>
      </w:r>
      <w:r>
        <w:rPr>
          <w:spacing w:val="-9"/>
        </w:rPr>
        <w:t xml:space="preserve"> </w:t>
      </w:r>
      <w:proofErr w:type="spellStart"/>
      <w:r>
        <w:t>PLAf</w:t>
      </w:r>
      <w:proofErr w:type="spellEnd"/>
      <w:r>
        <w:rPr>
          <w:spacing w:val="-12"/>
        </w:rPr>
        <w:t xml:space="preserve"> </w:t>
      </w:r>
      <w:r>
        <w:t xml:space="preserve">scaffolds exhibited a more interconnected pore network and well-defined architecture. This morphology is expected to influence their mechanical properties. In fact, it was observed that PLA functionalization slightly improved the mechanical properties of the scaffolds, resulting in </w:t>
      </w:r>
      <w:proofErr w:type="gramStart"/>
      <w:r>
        <w:t>a stiff</w:t>
      </w:r>
      <w:proofErr w:type="gramEnd"/>
      <w:r>
        <w:t xml:space="preserve"> behavior. </w:t>
      </w:r>
      <w:proofErr w:type="spellStart"/>
      <w:r>
        <w:t>PLAf</w:t>
      </w:r>
      <w:proofErr w:type="spellEnd"/>
      <w:r>
        <w:t xml:space="preserve"> scaffolds exhibited higher values of modulus (E</w:t>
      </w:r>
      <w:proofErr w:type="gramStart"/>
      <w:r>
        <w:t>)</w:t>
      </w:r>
      <w:proofErr w:type="gramEnd"/>
      <w:r>
        <w:t xml:space="preserve"> </w:t>
      </w:r>
      <w:r>
        <w:rPr>
          <w:position w:val="1"/>
        </w:rPr>
        <w:t>and maximum stress (σ</w:t>
      </w:r>
      <w:r>
        <w:rPr>
          <w:sz w:val="13"/>
        </w:rPr>
        <w:t xml:space="preserve">max) </w:t>
      </w:r>
      <w:r>
        <w:rPr>
          <w:position w:val="1"/>
        </w:rPr>
        <w:t xml:space="preserve">compared to pristine </w:t>
      </w:r>
      <w:r>
        <w:t>PLA</w:t>
      </w:r>
      <w:r>
        <w:rPr>
          <w:spacing w:val="-15"/>
        </w:rPr>
        <w:t xml:space="preserve"> </w:t>
      </w:r>
      <w:r>
        <w:t>scaffolds.</w:t>
      </w:r>
      <w:r>
        <w:rPr>
          <w:spacing w:val="-13"/>
        </w:rPr>
        <w:t xml:space="preserve"> </w:t>
      </w:r>
      <w:r>
        <w:t>Additionally,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incorporation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 xml:space="preserve">HA nanoparticles acted as a reinforcement for both PLA and </w:t>
      </w:r>
      <w:proofErr w:type="spellStart"/>
      <w:r>
        <w:t>PLAf</w:t>
      </w:r>
      <w:proofErr w:type="spellEnd"/>
      <w:r>
        <w:t xml:space="preserve"> matrices. Consequently, the nanocomposite scaffolds based on PLA and </w:t>
      </w:r>
      <w:proofErr w:type="spellStart"/>
      <w:r>
        <w:t>PLAf</w:t>
      </w:r>
      <w:proofErr w:type="spellEnd"/>
      <w:r>
        <w:t xml:space="preserve"> showed higher E values than their respective neat polymer</w:t>
      </w:r>
      <w:r>
        <w:rPr>
          <w:spacing w:val="-2"/>
        </w:rPr>
        <w:t xml:space="preserve"> </w:t>
      </w:r>
      <w:r>
        <w:t>counterparts.</w:t>
      </w:r>
    </w:p>
    <w:p w14:paraId="448650B1" w14:textId="77777777" w:rsidR="009C0E6B" w:rsidRDefault="00000000">
      <w:pPr>
        <w:pStyle w:val="BodyText"/>
        <w:ind w:left="112" w:right="115"/>
        <w:jc w:val="both"/>
      </w:pPr>
      <w:r>
        <w:t>Due</w:t>
      </w:r>
      <w:r>
        <w:rPr>
          <w:spacing w:val="-9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different</w:t>
      </w:r>
      <w:r>
        <w:rPr>
          <w:spacing w:val="-9"/>
        </w:rPr>
        <w:t xml:space="preserve"> </w:t>
      </w:r>
      <w:r>
        <w:t>hydrophilicity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PLA,</w:t>
      </w:r>
      <w:r>
        <w:rPr>
          <w:spacing w:val="-8"/>
        </w:rPr>
        <w:t xml:space="preserve"> </w:t>
      </w:r>
      <w:proofErr w:type="spellStart"/>
      <w:r>
        <w:t>PLAf</w:t>
      </w:r>
      <w:proofErr w:type="spellEnd"/>
      <w:r>
        <w:rPr>
          <w:spacing w:val="-7"/>
        </w:rPr>
        <w:t xml:space="preserve"> </w:t>
      </w:r>
      <w:r>
        <w:t>and their nanocomposites, different</w:t>
      </w:r>
      <w:r>
        <w:rPr>
          <w:spacing w:val="32"/>
        </w:rPr>
        <w:t xml:space="preserve"> </w:t>
      </w:r>
      <w:r>
        <w:t>degradation</w:t>
      </w:r>
    </w:p>
    <w:p w14:paraId="784179F2" w14:textId="59A0980D" w:rsidR="009C0E6B" w:rsidRDefault="00000000">
      <w:pPr>
        <w:pStyle w:val="BodyText"/>
        <w:spacing w:before="82"/>
        <w:ind w:left="112" w:right="5290"/>
        <w:jc w:val="both"/>
      </w:pPr>
      <w:r>
        <w:t>behaviors were expected, based on their ability to hydrate</w:t>
      </w:r>
      <w:r>
        <w:rPr>
          <w:spacing w:val="-14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swell.</w:t>
      </w:r>
      <w:r>
        <w:rPr>
          <w:spacing w:val="-13"/>
        </w:rPr>
        <w:t xml:space="preserve"> </w:t>
      </w:r>
      <w:r>
        <w:t>Degradation</w:t>
      </w:r>
      <w:r>
        <w:rPr>
          <w:spacing w:val="-14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assessed</w:t>
      </w:r>
      <w:r>
        <w:rPr>
          <w:spacing w:val="-14"/>
        </w:rPr>
        <w:t xml:space="preserve"> </w:t>
      </w:r>
      <w:r>
        <w:t>over a</w:t>
      </w:r>
      <w:r>
        <w:rPr>
          <w:spacing w:val="-17"/>
        </w:rPr>
        <w:t xml:space="preserve"> </w:t>
      </w:r>
      <w:r>
        <w:t>6-month</w:t>
      </w:r>
      <w:r>
        <w:rPr>
          <w:spacing w:val="-15"/>
        </w:rPr>
        <w:t xml:space="preserve"> </w:t>
      </w:r>
      <w:r>
        <w:t>period</w:t>
      </w:r>
      <w:r>
        <w:rPr>
          <w:spacing w:val="-14"/>
        </w:rPr>
        <w:t xml:space="preserve"> </w:t>
      </w:r>
      <w:r>
        <w:t>by</w:t>
      </w:r>
      <w:r>
        <w:rPr>
          <w:spacing w:val="-14"/>
        </w:rPr>
        <w:t xml:space="preserve"> </w:t>
      </w:r>
      <w:r>
        <w:t>immersing</w:t>
      </w:r>
      <w:r>
        <w:rPr>
          <w:spacing w:val="-15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samples</w:t>
      </w:r>
      <w:r>
        <w:rPr>
          <w:spacing w:val="-14"/>
        </w:rPr>
        <w:t xml:space="preserve"> </w:t>
      </w:r>
      <w:r>
        <w:t>in</w:t>
      </w:r>
      <w:r>
        <w:rPr>
          <w:spacing w:val="-15"/>
        </w:rPr>
        <w:t xml:space="preserve"> </w:t>
      </w:r>
      <w:r>
        <w:t>PBS (pH 7.4) at 37°C. It was observed that all samples maintained their physical integrity throughout the entire degradation period. (Tab.1&amp;</w:t>
      </w:r>
      <w:r>
        <w:rPr>
          <w:spacing w:val="-8"/>
        </w:rPr>
        <w:t xml:space="preserve"> </w:t>
      </w:r>
      <w:r>
        <w:t>Tab.2)</w:t>
      </w:r>
    </w:p>
    <w:p w14:paraId="02F02065" w14:textId="00F6108E" w:rsidR="009C0E6B" w:rsidRDefault="00CC1199">
      <w:pPr>
        <w:pStyle w:val="BodyText"/>
        <w:spacing w:before="1"/>
      </w:pPr>
      <w:r>
        <w:lastRenderedPageBreak/>
        <w:pict w14:anchorId="5BB87BA3">
          <v:group id="_x0000_s2051" style="position:absolute;margin-left:342.05pt;margin-top:-24.1pt;width:178.1pt;height:293.35pt;z-index:15728640;mso-position-horizontal-relative:page" coordorigin="6678,83" coordsize="3562,5867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4" type="#_x0000_t75" style="position:absolute;left:6839;top:83;width:3401;height:5867">
              <v:imagedata r:id="rId8" o:title=""/>
            </v:shape>
            <v:shape id="_x0000_s2053" type="#_x0000_t75" style="position:absolute;left:6733;top:130;width:384;height:361">
              <v:imagedata r:id="rId9" o:title=""/>
            </v:shape>
            <v:shape id="_x0000_s2052" type="#_x0000_t75" style="position:absolute;left:6678;top:3190;width:384;height:361">
              <v:imagedata r:id="rId10" o:title=""/>
            </v:shape>
            <w10:wrap anchorx="page"/>
          </v:group>
        </w:pict>
      </w:r>
    </w:p>
    <w:p w14:paraId="51177052" w14:textId="77777777" w:rsidR="009C0E6B" w:rsidRDefault="00000000">
      <w:pPr>
        <w:ind w:left="112" w:right="5290"/>
        <w:jc w:val="both"/>
        <w:rPr>
          <w:i/>
          <w:sz w:val="20"/>
        </w:rPr>
      </w:pPr>
      <w:r>
        <w:rPr>
          <w:i/>
          <w:sz w:val="20"/>
        </w:rPr>
        <w:t>Table 1: Swelling and weight loss of scaffolds as a function of degradation time.</w:t>
      </w:r>
    </w:p>
    <w:tbl>
      <w:tblPr>
        <w:tblW w:w="0" w:type="auto"/>
        <w:tblInd w:w="1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2"/>
        <w:gridCol w:w="708"/>
        <w:gridCol w:w="711"/>
        <w:gridCol w:w="850"/>
        <w:gridCol w:w="850"/>
      </w:tblGrid>
      <w:tr w:rsidR="009C0E6B" w14:paraId="2AAFB036" w14:textId="77777777">
        <w:trPr>
          <w:trHeight w:val="412"/>
        </w:trPr>
        <w:tc>
          <w:tcPr>
            <w:tcW w:w="1272" w:type="dxa"/>
            <w:vMerge w:val="restart"/>
          </w:tcPr>
          <w:p w14:paraId="0B3CEB63" w14:textId="77777777" w:rsidR="009C0E6B" w:rsidRDefault="009C0E6B">
            <w:pPr>
              <w:pStyle w:val="TableParagraph"/>
              <w:spacing w:before="9" w:line="240" w:lineRule="auto"/>
              <w:ind w:left="0"/>
              <w:jc w:val="left"/>
              <w:rPr>
                <w:i/>
                <w:sz w:val="17"/>
              </w:rPr>
            </w:pPr>
          </w:p>
          <w:p w14:paraId="3B1EE72B" w14:textId="77777777" w:rsidR="009C0E6B" w:rsidRDefault="00000000">
            <w:pPr>
              <w:pStyle w:val="TableParagraph"/>
              <w:spacing w:before="1" w:line="240" w:lineRule="auto"/>
              <w:ind w:left="31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Sample</w:t>
            </w:r>
          </w:p>
        </w:tc>
        <w:tc>
          <w:tcPr>
            <w:tcW w:w="708" w:type="dxa"/>
            <w:vMerge w:val="restart"/>
          </w:tcPr>
          <w:p w14:paraId="2B972AEC" w14:textId="77777777" w:rsidR="009C0E6B" w:rsidRDefault="00000000">
            <w:pPr>
              <w:pStyle w:val="TableParagraph"/>
              <w:ind w:left="117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Sw.%</w:t>
            </w:r>
          </w:p>
          <w:p w14:paraId="61567274" w14:textId="77777777" w:rsidR="009C0E6B" w:rsidRDefault="009C0E6B">
            <w:pPr>
              <w:pStyle w:val="TableParagraph"/>
              <w:spacing w:before="10" w:line="240" w:lineRule="auto"/>
              <w:ind w:left="0"/>
              <w:jc w:val="left"/>
              <w:rPr>
                <w:i/>
                <w:sz w:val="18"/>
              </w:rPr>
            </w:pPr>
          </w:p>
          <w:p w14:paraId="4C71BA5C" w14:textId="77777777" w:rsidR="009C0E6B" w:rsidRDefault="00000000">
            <w:pPr>
              <w:pStyle w:val="TableParagraph"/>
              <w:spacing w:before="1" w:line="240" w:lineRule="auto"/>
              <w:ind w:left="108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1 </w:t>
            </w:r>
            <w:proofErr w:type="spellStart"/>
            <w:r>
              <w:rPr>
                <w:b/>
                <w:sz w:val="18"/>
              </w:rPr>
              <w:t>mth</w:t>
            </w:r>
            <w:proofErr w:type="spellEnd"/>
          </w:p>
        </w:tc>
        <w:tc>
          <w:tcPr>
            <w:tcW w:w="2411" w:type="dxa"/>
            <w:gridSpan w:val="3"/>
          </w:tcPr>
          <w:p w14:paraId="42073CAE" w14:textId="77777777" w:rsidR="009C0E6B" w:rsidRDefault="00000000">
            <w:pPr>
              <w:pStyle w:val="TableParagraph"/>
              <w:ind w:left="696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Wt. loss (%)</w:t>
            </w:r>
          </w:p>
        </w:tc>
      </w:tr>
      <w:tr w:rsidR="009C0E6B" w14:paraId="6187184A" w14:textId="77777777">
        <w:trPr>
          <w:trHeight w:val="278"/>
        </w:trPr>
        <w:tc>
          <w:tcPr>
            <w:tcW w:w="1272" w:type="dxa"/>
            <w:vMerge/>
            <w:tcBorders>
              <w:top w:val="nil"/>
            </w:tcBorders>
          </w:tcPr>
          <w:p w14:paraId="3107C8A8" w14:textId="77777777" w:rsidR="009C0E6B" w:rsidRDefault="009C0E6B">
            <w:pPr>
              <w:rPr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</w:tcBorders>
          </w:tcPr>
          <w:p w14:paraId="12A9A1FC" w14:textId="77777777" w:rsidR="009C0E6B" w:rsidRDefault="009C0E6B">
            <w:pPr>
              <w:rPr>
                <w:sz w:val="2"/>
                <w:szCs w:val="2"/>
              </w:rPr>
            </w:pPr>
          </w:p>
        </w:tc>
        <w:tc>
          <w:tcPr>
            <w:tcW w:w="711" w:type="dxa"/>
          </w:tcPr>
          <w:p w14:paraId="10B808EE" w14:textId="77777777" w:rsidR="009C0E6B" w:rsidRDefault="00000000">
            <w:pPr>
              <w:pStyle w:val="TableParagraph"/>
              <w:spacing w:before="1" w:line="240" w:lineRule="auto"/>
              <w:ind w:left="121" w:right="108"/>
              <w:rPr>
                <w:b/>
                <w:sz w:val="18"/>
              </w:rPr>
            </w:pPr>
            <w:r>
              <w:rPr>
                <w:b/>
                <w:sz w:val="18"/>
              </w:rPr>
              <w:t>1mth</w:t>
            </w:r>
          </w:p>
        </w:tc>
        <w:tc>
          <w:tcPr>
            <w:tcW w:w="850" w:type="dxa"/>
          </w:tcPr>
          <w:p w14:paraId="7F3B57C4" w14:textId="77777777" w:rsidR="009C0E6B" w:rsidRDefault="00000000">
            <w:pPr>
              <w:pStyle w:val="TableParagraph"/>
              <w:spacing w:before="1" w:line="240" w:lineRule="auto"/>
              <w:ind w:left="136" w:right="128"/>
              <w:rPr>
                <w:b/>
                <w:sz w:val="18"/>
              </w:rPr>
            </w:pPr>
            <w:r>
              <w:rPr>
                <w:b/>
                <w:sz w:val="18"/>
              </w:rPr>
              <w:t>3mths</w:t>
            </w:r>
          </w:p>
        </w:tc>
        <w:tc>
          <w:tcPr>
            <w:tcW w:w="850" w:type="dxa"/>
          </w:tcPr>
          <w:p w14:paraId="22A2FB15" w14:textId="77777777" w:rsidR="009C0E6B" w:rsidRDefault="00000000">
            <w:pPr>
              <w:pStyle w:val="TableParagraph"/>
              <w:spacing w:before="1" w:line="240" w:lineRule="auto"/>
              <w:ind w:right="126"/>
              <w:rPr>
                <w:b/>
                <w:sz w:val="18"/>
              </w:rPr>
            </w:pPr>
            <w:r>
              <w:rPr>
                <w:b/>
                <w:sz w:val="18"/>
              </w:rPr>
              <w:t>6mths</w:t>
            </w:r>
          </w:p>
        </w:tc>
      </w:tr>
      <w:tr w:rsidR="009C0E6B" w14:paraId="7C24C41D" w14:textId="77777777">
        <w:trPr>
          <w:trHeight w:val="277"/>
        </w:trPr>
        <w:tc>
          <w:tcPr>
            <w:tcW w:w="1272" w:type="dxa"/>
          </w:tcPr>
          <w:p w14:paraId="16BBA98D" w14:textId="77777777" w:rsidR="009C0E6B" w:rsidRDefault="00000000">
            <w:pPr>
              <w:pStyle w:val="TableParagraph"/>
              <w:spacing w:before="1" w:line="240" w:lineRule="auto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PLA</w:t>
            </w:r>
          </w:p>
        </w:tc>
        <w:tc>
          <w:tcPr>
            <w:tcW w:w="708" w:type="dxa"/>
          </w:tcPr>
          <w:p w14:paraId="38643175" w14:textId="77777777" w:rsidR="009C0E6B" w:rsidRDefault="00000000">
            <w:pPr>
              <w:pStyle w:val="TableParagraph"/>
              <w:spacing w:before="1" w:line="240" w:lineRule="auto"/>
              <w:ind w:left="208" w:right="199"/>
              <w:rPr>
                <w:sz w:val="18"/>
              </w:rPr>
            </w:pPr>
            <w:r>
              <w:rPr>
                <w:sz w:val="18"/>
              </w:rPr>
              <w:t>3.0</w:t>
            </w:r>
          </w:p>
        </w:tc>
        <w:tc>
          <w:tcPr>
            <w:tcW w:w="711" w:type="dxa"/>
          </w:tcPr>
          <w:p w14:paraId="76CA27EC" w14:textId="77777777" w:rsidR="009C0E6B" w:rsidRDefault="00000000">
            <w:pPr>
              <w:pStyle w:val="TableParagraph"/>
              <w:spacing w:before="1" w:line="240" w:lineRule="auto"/>
              <w:ind w:left="119" w:right="108"/>
              <w:rPr>
                <w:sz w:val="18"/>
              </w:rPr>
            </w:pPr>
            <w:r>
              <w:rPr>
                <w:sz w:val="18"/>
              </w:rPr>
              <w:t>0.21</w:t>
            </w:r>
          </w:p>
        </w:tc>
        <w:tc>
          <w:tcPr>
            <w:tcW w:w="850" w:type="dxa"/>
          </w:tcPr>
          <w:p w14:paraId="446A8172" w14:textId="77777777" w:rsidR="009C0E6B" w:rsidRDefault="00000000">
            <w:pPr>
              <w:pStyle w:val="TableParagraph"/>
              <w:spacing w:before="1" w:line="240" w:lineRule="auto"/>
              <w:ind w:right="127"/>
              <w:rPr>
                <w:sz w:val="18"/>
              </w:rPr>
            </w:pPr>
            <w:r>
              <w:rPr>
                <w:sz w:val="18"/>
              </w:rPr>
              <w:t>0.4</w:t>
            </w:r>
          </w:p>
        </w:tc>
        <w:tc>
          <w:tcPr>
            <w:tcW w:w="850" w:type="dxa"/>
          </w:tcPr>
          <w:p w14:paraId="44F4BDDE" w14:textId="77777777" w:rsidR="009C0E6B" w:rsidRDefault="00000000">
            <w:pPr>
              <w:pStyle w:val="TableParagraph"/>
              <w:spacing w:before="1" w:line="240" w:lineRule="auto"/>
              <w:ind w:right="128"/>
              <w:rPr>
                <w:sz w:val="18"/>
              </w:rPr>
            </w:pPr>
            <w:r>
              <w:rPr>
                <w:sz w:val="18"/>
              </w:rPr>
              <w:t>0.6</w:t>
            </w:r>
          </w:p>
        </w:tc>
      </w:tr>
      <w:tr w:rsidR="009C0E6B" w14:paraId="516C2405" w14:textId="77777777">
        <w:trPr>
          <w:trHeight w:val="268"/>
        </w:trPr>
        <w:tc>
          <w:tcPr>
            <w:tcW w:w="1272" w:type="dxa"/>
          </w:tcPr>
          <w:p w14:paraId="29847DE7" w14:textId="77777777" w:rsidR="009C0E6B" w:rsidRDefault="00000000">
            <w:pPr>
              <w:pStyle w:val="TableParagraph"/>
              <w:spacing w:before="1" w:line="240" w:lineRule="auto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PLA-HA5</w:t>
            </w:r>
          </w:p>
        </w:tc>
        <w:tc>
          <w:tcPr>
            <w:tcW w:w="708" w:type="dxa"/>
          </w:tcPr>
          <w:p w14:paraId="5ADEDA03" w14:textId="77777777" w:rsidR="009C0E6B" w:rsidRDefault="00000000">
            <w:pPr>
              <w:pStyle w:val="TableParagraph"/>
              <w:spacing w:before="1" w:line="240" w:lineRule="auto"/>
              <w:ind w:left="208" w:right="199"/>
              <w:rPr>
                <w:sz w:val="18"/>
              </w:rPr>
            </w:pPr>
            <w:r>
              <w:rPr>
                <w:sz w:val="18"/>
              </w:rPr>
              <w:t>3.3</w:t>
            </w:r>
          </w:p>
        </w:tc>
        <w:tc>
          <w:tcPr>
            <w:tcW w:w="711" w:type="dxa"/>
          </w:tcPr>
          <w:p w14:paraId="325E8FCA" w14:textId="77777777" w:rsidR="009C0E6B" w:rsidRDefault="00000000">
            <w:pPr>
              <w:pStyle w:val="TableParagraph"/>
              <w:spacing w:before="1" w:line="240" w:lineRule="auto"/>
              <w:ind w:left="119" w:right="108"/>
              <w:rPr>
                <w:sz w:val="18"/>
              </w:rPr>
            </w:pPr>
            <w:r>
              <w:rPr>
                <w:sz w:val="18"/>
              </w:rPr>
              <w:t>0.10</w:t>
            </w:r>
          </w:p>
        </w:tc>
        <w:tc>
          <w:tcPr>
            <w:tcW w:w="850" w:type="dxa"/>
          </w:tcPr>
          <w:p w14:paraId="70BF0508" w14:textId="77777777" w:rsidR="009C0E6B" w:rsidRDefault="00000000">
            <w:pPr>
              <w:pStyle w:val="TableParagraph"/>
              <w:spacing w:before="1" w:line="240" w:lineRule="auto"/>
              <w:ind w:right="127"/>
              <w:rPr>
                <w:sz w:val="18"/>
              </w:rPr>
            </w:pPr>
            <w:r>
              <w:rPr>
                <w:sz w:val="18"/>
              </w:rPr>
              <w:t>0.4</w:t>
            </w:r>
          </w:p>
        </w:tc>
        <w:tc>
          <w:tcPr>
            <w:tcW w:w="850" w:type="dxa"/>
          </w:tcPr>
          <w:p w14:paraId="6B30FD23" w14:textId="77777777" w:rsidR="009C0E6B" w:rsidRDefault="00000000">
            <w:pPr>
              <w:pStyle w:val="TableParagraph"/>
              <w:spacing w:before="1" w:line="240" w:lineRule="auto"/>
              <w:ind w:right="128"/>
              <w:rPr>
                <w:sz w:val="18"/>
              </w:rPr>
            </w:pPr>
            <w:r>
              <w:rPr>
                <w:sz w:val="18"/>
              </w:rPr>
              <w:t>1.0</w:t>
            </w:r>
          </w:p>
        </w:tc>
      </w:tr>
      <w:tr w:rsidR="009C0E6B" w14:paraId="49181912" w14:textId="77777777">
        <w:trPr>
          <w:trHeight w:val="277"/>
        </w:trPr>
        <w:tc>
          <w:tcPr>
            <w:tcW w:w="1272" w:type="dxa"/>
          </w:tcPr>
          <w:p w14:paraId="3CAEBAD8" w14:textId="77777777" w:rsidR="009C0E6B" w:rsidRDefault="00000000">
            <w:pPr>
              <w:pStyle w:val="TableParagraph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PLA-HA10</w:t>
            </w:r>
          </w:p>
        </w:tc>
        <w:tc>
          <w:tcPr>
            <w:tcW w:w="708" w:type="dxa"/>
          </w:tcPr>
          <w:p w14:paraId="1642C0F2" w14:textId="77777777" w:rsidR="009C0E6B" w:rsidRDefault="00000000">
            <w:pPr>
              <w:pStyle w:val="TableParagraph"/>
              <w:ind w:left="208" w:right="199"/>
              <w:rPr>
                <w:sz w:val="18"/>
              </w:rPr>
            </w:pPr>
            <w:r>
              <w:rPr>
                <w:sz w:val="18"/>
              </w:rPr>
              <w:t>4.8</w:t>
            </w:r>
          </w:p>
        </w:tc>
        <w:tc>
          <w:tcPr>
            <w:tcW w:w="711" w:type="dxa"/>
          </w:tcPr>
          <w:p w14:paraId="19F0BA8A" w14:textId="77777777" w:rsidR="009C0E6B" w:rsidRDefault="00000000">
            <w:pPr>
              <w:pStyle w:val="TableParagraph"/>
              <w:ind w:left="119" w:right="108"/>
              <w:rPr>
                <w:sz w:val="18"/>
              </w:rPr>
            </w:pPr>
            <w:r>
              <w:rPr>
                <w:sz w:val="18"/>
              </w:rPr>
              <w:t>0.45</w:t>
            </w:r>
          </w:p>
        </w:tc>
        <w:tc>
          <w:tcPr>
            <w:tcW w:w="850" w:type="dxa"/>
          </w:tcPr>
          <w:p w14:paraId="43310392" w14:textId="77777777" w:rsidR="009C0E6B" w:rsidRDefault="00000000">
            <w:pPr>
              <w:pStyle w:val="TableParagraph"/>
              <w:ind w:right="127"/>
              <w:rPr>
                <w:sz w:val="18"/>
              </w:rPr>
            </w:pPr>
            <w:r>
              <w:rPr>
                <w:sz w:val="18"/>
              </w:rPr>
              <w:t>0.8</w:t>
            </w:r>
          </w:p>
        </w:tc>
        <w:tc>
          <w:tcPr>
            <w:tcW w:w="850" w:type="dxa"/>
          </w:tcPr>
          <w:p w14:paraId="4A62BDCC" w14:textId="77777777" w:rsidR="009C0E6B" w:rsidRDefault="00000000">
            <w:pPr>
              <w:pStyle w:val="TableParagraph"/>
              <w:ind w:right="128"/>
              <w:rPr>
                <w:sz w:val="18"/>
              </w:rPr>
            </w:pPr>
            <w:r>
              <w:rPr>
                <w:sz w:val="18"/>
              </w:rPr>
              <w:t>1.4</w:t>
            </w:r>
          </w:p>
        </w:tc>
      </w:tr>
      <w:tr w:rsidR="009C0E6B" w14:paraId="57EC8C36" w14:textId="77777777">
        <w:trPr>
          <w:trHeight w:val="266"/>
        </w:trPr>
        <w:tc>
          <w:tcPr>
            <w:tcW w:w="1272" w:type="dxa"/>
          </w:tcPr>
          <w:p w14:paraId="3C8698D6" w14:textId="77777777" w:rsidR="009C0E6B" w:rsidRDefault="00000000">
            <w:pPr>
              <w:pStyle w:val="TableParagraph"/>
              <w:ind w:left="110"/>
              <w:jc w:val="left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PLAf</w:t>
            </w:r>
            <w:proofErr w:type="spellEnd"/>
          </w:p>
        </w:tc>
        <w:tc>
          <w:tcPr>
            <w:tcW w:w="708" w:type="dxa"/>
          </w:tcPr>
          <w:p w14:paraId="12A226A8" w14:textId="77777777" w:rsidR="009C0E6B" w:rsidRDefault="00000000">
            <w:pPr>
              <w:pStyle w:val="TableParagraph"/>
              <w:ind w:left="208" w:right="199"/>
              <w:rPr>
                <w:sz w:val="18"/>
              </w:rPr>
            </w:pPr>
            <w:r>
              <w:rPr>
                <w:sz w:val="18"/>
              </w:rPr>
              <w:t>7.4</w:t>
            </w:r>
          </w:p>
        </w:tc>
        <w:tc>
          <w:tcPr>
            <w:tcW w:w="711" w:type="dxa"/>
          </w:tcPr>
          <w:p w14:paraId="71B1B77F" w14:textId="77777777" w:rsidR="009C0E6B" w:rsidRDefault="00000000">
            <w:pPr>
              <w:pStyle w:val="TableParagraph"/>
              <w:ind w:left="119" w:right="108"/>
              <w:rPr>
                <w:sz w:val="18"/>
              </w:rPr>
            </w:pPr>
            <w:r>
              <w:rPr>
                <w:sz w:val="18"/>
              </w:rPr>
              <w:t>1.60</w:t>
            </w:r>
          </w:p>
        </w:tc>
        <w:tc>
          <w:tcPr>
            <w:tcW w:w="850" w:type="dxa"/>
          </w:tcPr>
          <w:p w14:paraId="49D97361" w14:textId="77777777" w:rsidR="009C0E6B" w:rsidRDefault="00000000">
            <w:pPr>
              <w:pStyle w:val="TableParagraph"/>
              <w:ind w:right="127"/>
              <w:rPr>
                <w:sz w:val="18"/>
              </w:rPr>
            </w:pPr>
            <w:r>
              <w:rPr>
                <w:sz w:val="18"/>
              </w:rPr>
              <w:t>2.4</w:t>
            </w:r>
          </w:p>
        </w:tc>
        <w:tc>
          <w:tcPr>
            <w:tcW w:w="850" w:type="dxa"/>
          </w:tcPr>
          <w:p w14:paraId="362C2DF9" w14:textId="77777777" w:rsidR="009C0E6B" w:rsidRDefault="00000000">
            <w:pPr>
              <w:pStyle w:val="TableParagraph"/>
              <w:ind w:right="128"/>
              <w:rPr>
                <w:sz w:val="18"/>
              </w:rPr>
            </w:pPr>
            <w:r>
              <w:rPr>
                <w:sz w:val="18"/>
              </w:rPr>
              <w:t>3.5</w:t>
            </w:r>
          </w:p>
        </w:tc>
      </w:tr>
      <w:tr w:rsidR="009C0E6B" w14:paraId="69BAED0C" w14:textId="77777777">
        <w:trPr>
          <w:trHeight w:val="277"/>
        </w:trPr>
        <w:tc>
          <w:tcPr>
            <w:tcW w:w="1272" w:type="dxa"/>
          </w:tcPr>
          <w:p w14:paraId="28CBDCE5" w14:textId="77777777" w:rsidR="009C0E6B" w:rsidRDefault="00000000">
            <w:pPr>
              <w:pStyle w:val="TableParagraph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PLAf-HA5</w:t>
            </w:r>
          </w:p>
        </w:tc>
        <w:tc>
          <w:tcPr>
            <w:tcW w:w="708" w:type="dxa"/>
          </w:tcPr>
          <w:p w14:paraId="2FE5F889" w14:textId="77777777" w:rsidR="009C0E6B" w:rsidRDefault="00000000">
            <w:pPr>
              <w:pStyle w:val="TableParagraph"/>
              <w:ind w:left="208" w:right="199"/>
              <w:rPr>
                <w:sz w:val="18"/>
              </w:rPr>
            </w:pPr>
            <w:r>
              <w:rPr>
                <w:sz w:val="18"/>
              </w:rPr>
              <w:t>7.3</w:t>
            </w:r>
          </w:p>
        </w:tc>
        <w:tc>
          <w:tcPr>
            <w:tcW w:w="711" w:type="dxa"/>
          </w:tcPr>
          <w:p w14:paraId="247C7437" w14:textId="77777777" w:rsidR="009C0E6B" w:rsidRDefault="00000000">
            <w:pPr>
              <w:pStyle w:val="TableParagraph"/>
              <w:ind w:left="119" w:right="108"/>
              <w:rPr>
                <w:sz w:val="18"/>
              </w:rPr>
            </w:pPr>
            <w:r>
              <w:rPr>
                <w:sz w:val="18"/>
              </w:rPr>
              <w:t>0.43</w:t>
            </w:r>
          </w:p>
        </w:tc>
        <w:tc>
          <w:tcPr>
            <w:tcW w:w="850" w:type="dxa"/>
          </w:tcPr>
          <w:p w14:paraId="558330A7" w14:textId="77777777" w:rsidR="009C0E6B" w:rsidRDefault="00000000">
            <w:pPr>
              <w:pStyle w:val="TableParagraph"/>
              <w:ind w:right="127"/>
              <w:rPr>
                <w:sz w:val="18"/>
              </w:rPr>
            </w:pPr>
            <w:r>
              <w:rPr>
                <w:sz w:val="18"/>
              </w:rPr>
              <w:t>1.1</w:t>
            </w:r>
          </w:p>
        </w:tc>
        <w:tc>
          <w:tcPr>
            <w:tcW w:w="850" w:type="dxa"/>
          </w:tcPr>
          <w:p w14:paraId="24EE6C3C" w14:textId="77777777" w:rsidR="009C0E6B" w:rsidRDefault="00000000">
            <w:pPr>
              <w:pStyle w:val="TableParagraph"/>
              <w:ind w:right="128"/>
              <w:rPr>
                <w:sz w:val="18"/>
              </w:rPr>
            </w:pPr>
            <w:r>
              <w:rPr>
                <w:sz w:val="18"/>
              </w:rPr>
              <w:t>2.7</w:t>
            </w:r>
          </w:p>
        </w:tc>
      </w:tr>
      <w:tr w:rsidR="009C0E6B" w14:paraId="6A433D82" w14:textId="77777777">
        <w:trPr>
          <w:trHeight w:val="268"/>
        </w:trPr>
        <w:tc>
          <w:tcPr>
            <w:tcW w:w="1272" w:type="dxa"/>
          </w:tcPr>
          <w:p w14:paraId="4324C87D" w14:textId="77777777" w:rsidR="009C0E6B" w:rsidRDefault="00000000">
            <w:pPr>
              <w:pStyle w:val="TableParagraph"/>
              <w:ind w:left="110"/>
              <w:jc w:val="left"/>
              <w:rPr>
                <w:b/>
                <w:sz w:val="18"/>
              </w:rPr>
            </w:pPr>
            <w:r>
              <w:rPr>
                <w:b/>
                <w:sz w:val="18"/>
              </w:rPr>
              <w:t>PLAf-HA10</w:t>
            </w:r>
          </w:p>
        </w:tc>
        <w:tc>
          <w:tcPr>
            <w:tcW w:w="708" w:type="dxa"/>
          </w:tcPr>
          <w:p w14:paraId="752C4929" w14:textId="77777777" w:rsidR="009C0E6B" w:rsidRDefault="00000000">
            <w:pPr>
              <w:pStyle w:val="TableParagraph"/>
              <w:ind w:left="208" w:right="199"/>
              <w:rPr>
                <w:sz w:val="18"/>
              </w:rPr>
            </w:pPr>
            <w:r>
              <w:rPr>
                <w:sz w:val="18"/>
              </w:rPr>
              <w:t>5.3</w:t>
            </w:r>
          </w:p>
        </w:tc>
        <w:tc>
          <w:tcPr>
            <w:tcW w:w="711" w:type="dxa"/>
          </w:tcPr>
          <w:p w14:paraId="3EFF9D5C" w14:textId="77777777" w:rsidR="009C0E6B" w:rsidRDefault="00000000">
            <w:pPr>
              <w:pStyle w:val="TableParagraph"/>
              <w:ind w:left="119" w:right="108"/>
              <w:rPr>
                <w:sz w:val="18"/>
              </w:rPr>
            </w:pPr>
            <w:r>
              <w:rPr>
                <w:sz w:val="18"/>
              </w:rPr>
              <w:t>0.95</w:t>
            </w:r>
          </w:p>
        </w:tc>
        <w:tc>
          <w:tcPr>
            <w:tcW w:w="850" w:type="dxa"/>
          </w:tcPr>
          <w:p w14:paraId="6F44A8D0" w14:textId="77777777" w:rsidR="009C0E6B" w:rsidRDefault="00000000">
            <w:pPr>
              <w:pStyle w:val="TableParagraph"/>
              <w:ind w:right="127"/>
              <w:rPr>
                <w:sz w:val="18"/>
              </w:rPr>
            </w:pPr>
            <w:r>
              <w:rPr>
                <w:sz w:val="18"/>
              </w:rPr>
              <w:t>1.7</w:t>
            </w:r>
          </w:p>
        </w:tc>
        <w:tc>
          <w:tcPr>
            <w:tcW w:w="850" w:type="dxa"/>
          </w:tcPr>
          <w:p w14:paraId="380D1DF6" w14:textId="77777777" w:rsidR="009C0E6B" w:rsidRDefault="00000000">
            <w:pPr>
              <w:pStyle w:val="TableParagraph"/>
              <w:ind w:right="128"/>
              <w:rPr>
                <w:sz w:val="18"/>
              </w:rPr>
            </w:pPr>
            <w:r>
              <w:rPr>
                <w:sz w:val="18"/>
              </w:rPr>
              <w:t>2.9</w:t>
            </w:r>
          </w:p>
        </w:tc>
      </w:tr>
    </w:tbl>
    <w:p w14:paraId="309B8795" w14:textId="77777777" w:rsidR="009C0E6B" w:rsidRDefault="009C0E6B">
      <w:pPr>
        <w:pStyle w:val="BodyText"/>
        <w:rPr>
          <w:i/>
        </w:rPr>
      </w:pPr>
    </w:p>
    <w:p w14:paraId="59AD336C" w14:textId="77777777" w:rsidR="009C0E6B" w:rsidRDefault="00000000">
      <w:pPr>
        <w:ind w:left="112" w:right="5293"/>
        <w:jc w:val="both"/>
        <w:rPr>
          <w:i/>
          <w:sz w:val="20"/>
        </w:rPr>
      </w:pPr>
      <w:r>
        <w:pict w14:anchorId="4F6BFE6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56.65pt;margin-top:22.8pt;width:221.35pt;height:111.3pt;z-index:15729152;mso-position-horizontal-relative:page" filled="f" stroked="f">
            <v:textbox inset="0,0,0,0">
              <w:txbxContent>
                <w:tbl>
                  <w:tblPr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143"/>
                    <w:gridCol w:w="1419"/>
                    <w:gridCol w:w="1844"/>
                  </w:tblGrid>
                  <w:tr w:rsidR="009C0E6B" w14:paraId="15E10E71" w14:textId="77777777">
                    <w:trPr>
                      <w:trHeight w:val="460"/>
                    </w:trPr>
                    <w:tc>
                      <w:tcPr>
                        <w:tcW w:w="1143" w:type="dxa"/>
                        <w:vMerge w:val="restart"/>
                        <w:tcBorders>
                          <w:right w:val="single" w:sz="4" w:space="0" w:color="000000"/>
                        </w:tcBorders>
                      </w:tcPr>
                      <w:p w14:paraId="45234199" w14:textId="77777777" w:rsidR="009C0E6B" w:rsidRDefault="00000000">
                        <w:pPr>
                          <w:pStyle w:val="TableParagraph"/>
                          <w:spacing w:before="1" w:line="240" w:lineRule="auto"/>
                          <w:ind w:left="218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Sample</w:t>
                        </w:r>
                      </w:p>
                    </w:tc>
                    <w:tc>
                      <w:tcPr>
                        <w:tcW w:w="3263" w:type="dxa"/>
                        <w:gridSpan w:val="2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7498682A" w14:textId="77777777" w:rsidR="009C0E6B" w:rsidRDefault="00000000">
                        <w:pPr>
                          <w:pStyle w:val="TableParagraph"/>
                          <w:spacing w:before="1" w:line="240" w:lineRule="auto"/>
                          <w:ind w:left="1055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Mw (Da)/PDI</w:t>
                        </w:r>
                      </w:p>
                    </w:tc>
                  </w:tr>
                  <w:tr w:rsidR="009C0E6B" w14:paraId="09970E0E" w14:textId="77777777">
                    <w:trPr>
                      <w:trHeight w:val="227"/>
                    </w:trPr>
                    <w:tc>
                      <w:tcPr>
                        <w:tcW w:w="1143" w:type="dxa"/>
                        <w:vMerge/>
                        <w:tcBorders>
                          <w:top w:val="nil"/>
                          <w:right w:val="single" w:sz="4" w:space="0" w:color="000000"/>
                        </w:tcBorders>
                      </w:tcPr>
                      <w:p w14:paraId="75F3D033" w14:textId="77777777" w:rsidR="009C0E6B" w:rsidRDefault="009C0E6B">
                        <w:pPr>
                          <w:rPr>
                            <w:sz w:val="2"/>
                            <w:szCs w:val="2"/>
                          </w:rPr>
                        </w:pP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</w:tcBorders>
                      </w:tcPr>
                      <w:p w14:paraId="25873BDA" w14:textId="77777777" w:rsidR="009C0E6B" w:rsidRDefault="00000000">
                        <w:pPr>
                          <w:pStyle w:val="TableParagraph"/>
                          <w:spacing w:line="207" w:lineRule="exact"/>
                          <w:ind w:left="622" w:right="604"/>
                          <w:rPr>
                            <w:b/>
                            <w:sz w:val="13"/>
                          </w:rPr>
                        </w:pPr>
                        <w:r>
                          <w:rPr>
                            <w:b/>
                            <w:position w:val="2"/>
                            <w:sz w:val="20"/>
                          </w:rPr>
                          <w:t>t</w:t>
                        </w:r>
                        <w:r>
                          <w:rPr>
                            <w:b/>
                            <w:sz w:val="13"/>
                          </w:rPr>
                          <w:t>0</w:t>
                        </w: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14:paraId="500FCF78" w14:textId="77777777" w:rsidR="009C0E6B" w:rsidRDefault="00000000">
                        <w:pPr>
                          <w:pStyle w:val="TableParagraph"/>
                          <w:spacing w:line="207" w:lineRule="exact"/>
                          <w:ind w:left="578" w:right="568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 xml:space="preserve">6 </w:t>
                        </w:r>
                        <w:proofErr w:type="spellStart"/>
                        <w:r>
                          <w:rPr>
                            <w:b/>
                            <w:sz w:val="20"/>
                          </w:rPr>
                          <w:t>mths</w:t>
                        </w:r>
                        <w:proofErr w:type="spellEnd"/>
                      </w:p>
                    </w:tc>
                  </w:tr>
                  <w:tr w:rsidR="009C0E6B" w14:paraId="578609FF" w14:textId="77777777">
                    <w:trPr>
                      <w:trHeight w:val="229"/>
                    </w:trPr>
                    <w:tc>
                      <w:tcPr>
                        <w:tcW w:w="1143" w:type="dxa"/>
                      </w:tcPr>
                      <w:p w14:paraId="0302F24D" w14:textId="77777777" w:rsidR="009C0E6B" w:rsidRDefault="00000000">
                        <w:pPr>
                          <w:pStyle w:val="TableParagraph"/>
                          <w:spacing w:line="210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PLA</w:t>
                        </w:r>
                      </w:p>
                    </w:tc>
                    <w:tc>
                      <w:tcPr>
                        <w:tcW w:w="1419" w:type="dxa"/>
                        <w:tcBorders>
                          <w:top w:val="single" w:sz="4" w:space="0" w:color="000000"/>
                        </w:tcBorders>
                      </w:tcPr>
                      <w:p w14:paraId="231624D4" w14:textId="77777777" w:rsidR="009C0E6B" w:rsidRDefault="00000000">
                        <w:pPr>
                          <w:pStyle w:val="TableParagraph"/>
                          <w:spacing w:line="210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26135/2.04</w:t>
                        </w:r>
                      </w:p>
                    </w:tc>
                    <w:tc>
                      <w:tcPr>
                        <w:tcW w:w="1844" w:type="dxa"/>
                        <w:tcBorders>
                          <w:top w:val="single" w:sz="4" w:space="0" w:color="000000"/>
                        </w:tcBorders>
                      </w:tcPr>
                      <w:p w14:paraId="238F9CFB" w14:textId="77777777" w:rsidR="009C0E6B" w:rsidRDefault="00000000">
                        <w:pPr>
                          <w:pStyle w:val="TableParagraph"/>
                          <w:spacing w:line="210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16988/2.34</w:t>
                        </w:r>
                      </w:p>
                    </w:tc>
                  </w:tr>
                  <w:tr w:rsidR="009C0E6B" w14:paraId="5AD55380" w14:textId="77777777">
                    <w:trPr>
                      <w:trHeight w:val="253"/>
                    </w:trPr>
                    <w:tc>
                      <w:tcPr>
                        <w:tcW w:w="1143" w:type="dxa"/>
                      </w:tcPr>
                      <w:p w14:paraId="4C3A5A0C" w14:textId="77777777" w:rsidR="009C0E6B" w:rsidRDefault="00000000">
                        <w:pPr>
                          <w:pStyle w:val="TableParagraph"/>
                          <w:spacing w:line="229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PLA-HA5</w:t>
                        </w:r>
                      </w:p>
                    </w:tc>
                    <w:tc>
                      <w:tcPr>
                        <w:tcW w:w="1419" w:type="dxa"/>
                      </w:tcPr>
                      <w:p w14:paraId="759D531A" w14:textId="77777777" w:rsidR="009C0E6B" w:rsidRDefault="00000000">
                        <w:pPr>
                          <w:pStyle w:val="TableParagraph"/>
                          <w:spacing w:line="229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25635/2.08</w:t>
                        </w:r>
                      </w:p>
                    </w:tc>
                    <w:tc>
                      <w:tcPr>
                        <w:tcW w:w="1844" w:type="dxa"/>
                      </w:tcPr>
                      <w:p w14:paraId="2F89F6FF" w14:textId="77777777" w:rsidR="009C0E6B" w:rsidRDefault="00000000">
                        <w:pPr>
                          <w:pStyle w:val="TableParagraph"/>
                          <w:spacing w:line="229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21790/2.80</w:t>
                        </w:r>
                      </w:p>
                    </w:tc>
                  </w:tr>
                  <w:tr w:rsidR="009C0E6B" w14:paraId="5217B976" w14:textId="77777777">
                    <w:trPr>
                      <w:trHeight w:val="229"/>
                    </w:trPr>
                    <w:tc>
                      <w:tcPr>
                        <w:tcW w:w="1143" w:type="dxa"/>
                      </w:tcPr>
                      <w:p w14:paraId="44F13E8D" w14:textId="77777777" w:rsidR="009C0E6B" w:rsidRDefault="00000000">
                        <w:pPr>
                          <w:pStyle w:val="TableParagraph"/>
                          <w:spacing w:line="210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PLA-HA10</w:t>
                        </w:r>
                      </w:p>
                    </w:tc>
                    <w:tc>
                      <w:tcPr>
                        <w:tcW w:w="1419" w:type="dxa"/>
                      </w:tcPr>
                      <w:p w14:paraId="75F97405" w14:textId="77777777" w:rsidR="009C0E6B" w:rsidRDefault="00000000">
                        <w:pPr>
                          <w:pStyle w:val="TableParagraph"/>
                          <w:spacing w:line="210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23123/2.21</w:t>
                        </w:r>
                      </w:p>
                    </w:tc>
                    <w:tc>
                      <w:tcPr>
                        <w:tcW w:w="1844" w:type="dxa"/>
                      </w:tcPr>
                      <w:p w14:paraId="7DE4EAFC" w14:textId="77777777" w:rsidR="009C0E6B" w:rsidRDefault="00000000">
                        <w:pPr>
                          <w:pStyle w:val="TableParagraph"/>
                          <w:spacing w:line="210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20117/2.73</w:t>
                        </w:r>
                      </w:p>
                    </w:tc>
                  </w:tr>
                  <w:tr w:rsidR="009C0E6B" w14:paraId="129517F4" w14:textId="77777777">
                    <w:trPr>
                      <w:trHeight w:val="229"/>
                    </w:trPr>
                    <w:tc>
                      <w:tcPr>
                        <w:tcW w:w="1143" w:type="dxa"/>
                      </w:tcPr>
                      <w:p w14:paraId="7332BDB4" w14:textId="77777777" w:rsidR="009C0E6B" w:rsidRDefault="00000000">
                        <w:pPr>
                          <w:pStyle w:val="TableParagraph"/>
                          <w:spacing w:line="210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proofErr w:type="spellStart"/>
                        <w:r>
                          <w:rPr>
                            <w:b/>
                            <w:sz w:val="20"/>
                          </w:rPr>
                          <w:t>PLAf</w:t>
                        </w:r>
                        <w:proofErr w:type="spellEnd"/>
                      </w:p>
                    </w:tc>
                    <w:tc>
                      <w:tcPr>
                        <w:tcW w:w="1419" w:type="dxa"/>
                      </w:tcPr>
                      <w:p w14:paraId="7CA49A6C" w14:textId="77777777" w:rsidR="009C0E6B" w:rsidRDefault="00000000">
                        <w:pPr>
                          <w:pStyle w:val="TableParagraph"/>
                          <w:spacing w:line="210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28079/1.76</w:t>
                        </w:r>
                      </w:p>
                    </w:tc>
                    <w:tc>
                      <w:tcPr>
                        <w:tcW w:w="1844" w:type="dxa"/>
                      </w:tcPr>
                      <w:p w14:paraId="51C52123" w14:textId="77777777" w:rsidR="009C0E6B" w:rsidRDefault="00000000">
                        <w:pPr>
                          <w:pStyle w:val="TableParagraph"/>
                          <w:spacing w:line="210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13816/2.33</w:t>
                        </w:r>
                      </w:p>
                    </w:tc>
                  </w:tr>
                  <w:tr w:rsidR="009C0E6B" w14:paraId="6494D54E" w14:textId="77777777">
                    <w:trPr>
                      <w:trHeight w:val="229"/>
                    </w:trPr>
                    <w:tc>
                      <w:tcPr>
                        <w:tcW w:w="1143" w:type="dxa"/>
                      </w:tcPr>
                      <w:p w14:paraId="7CC4B61E" w14:textId="77777777" w:rsidR="009C0E6B" w:rsidRDefault="00000000">
                        <w:pPr>
                          <w:pStyle w:val="TableParagraph"/>
                          <w:spacing w:line="210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PLAf-HA5</w:t>
                        </w:r>
                      </w:p>
                    </w:tc>
                    <w:tc>
                      <w:tcPr>
                        <w:tcW w:w="1419" w:type="dxa"/>
                      </w:tcPr>
                      <w:p w14:paraId="218B8BDF" w14:textId="77777777" w:rsidR="009C0E6B" w:rsidRDefault="00000000">
                        <w:pPr>
                          <w:pStyle w:val="TableParagraph"/>
                          <w:spacing w:line="210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21252/2.55</w:t>
                        </w:r>
                      </w:p>
                    </w:tc>
                    <w:tc>
                      <w:tcPr>
                        <w:tcW w:w="1844" w:type="dxa"/>
                      </w:tcPr>
                      <w:p w14:paraId="01819DF1" w14:textId="77777777" w:rsidR="009C0E6B" w:rsidRDefault="00000000">
                        <w:pPr>
                          <w:pStyle w:val="TableParagraph"/>
                          <w:spacing w:line="210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13605/2.50</w:t>
                        </w:r>
                      </w:p>
                    </w:tc>
                  </w:tr>
                  <w:tr w:rsidR="009C0E6B" w14:paraId="54736870" w14:textId="77777777">
                    <w:trPr>
                      <w:trHeight w:val="230"/>
                    </w:trPr>
                    <w:tc>
                      <w:tcPr>
                        <w:tcW w:w="1143" w:type="dxa"/>
                      </w:tcPr>
                      <w:p w14:paraId="3CC7F85D" w14:textId="77777777" w:rsidR="009C0E6B" w:rsidRDefault="00000000">
                        <w:pPr>
                          <w:pStyle w:val="TableParagraph"/>
                          <w:spacing w:line="210" w:lineRule="exact"/>
                          <w:ind w:left="9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PLAf-HA10</w:t>
                        </w:r>
                      </w:p>
                    </w:tc>
                    <w:tc>
                      <w:tcPr>
                        <w:tcW w:w="1419" w:type="dxa"/>
                      </w:tcPr>
                      <w:p w14:paraId="5E8FE3B8" w14:textId="77777777" w:rsidR="009C0E6B" w:rsidRDefault="00000000">
                        <w:pPr>
                          <w:pStyle w:val="TableParagraph"/>
                          <w:spacing w:line="210" w:lineRule="exact"/>
                          <w:ind w:left="189" w:right="174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25734/2.34</w:t>
                        </w:r>
                      </w:p>
                    </w:tc>
                    <w:tc>
                      <w:tcPr>
                        <w:tcW w:w="1844" w:type="dxa"/>
                      </w:tcPr>
                      <w:p w14:paraId="5120052D" w14:textId="77777777" w:rsidR="009C0E6B" w:rsidRDefault="00000000">
                        <w:pPr>
                          <w:pStyle w:val="TableParagraph"/>
                          <w:spacing w:line="210" w:lineRule="exact"/>
                          <w:ind w:left="398" w:right="3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14025/2.61</w:t>
                        </w:r>
                      </w:p>
                    </w:tc>
                  </w:tr>
                </w:tbl>
                <w:p w14:paraId="6A7A6966" w14:textId="77777777" w:rsidR="009C0E6B" w:rsidRDefault="009C0E6B">
                  <w:pPr>
                    <w:pStyle w:val="BodyText"/>
                  </w:pPr>
                </w:p>
              </w:txbxContent>
            </v:textbox>
            <w10:wrap anchorx="page"/>
          </v:shape>
        </w:pict>
      </w:r>
      <w:r>
        <w:rPr>
          <w:i/>
          <w:sz w:val="20"/>
        </w:rPr>
        <w:t xml:space="preserve">Table 2: Molecular weight decrease of PLA and </w:t>
      </w:r>
      <w:proofErr w:type="spellStart"/>
      <w:r>
        <w:rPr>
          <w:i/>
          <w:sz w:val="20"/>
        </w:rPr>
        <w:t>PLAf</w:t>
      </w:r>
      <w:proofErr w:type="spellEnd"/>
      <w:r>
        <w:rPr>
          <w:i/>
          <w:sz w:val="20"/>
        </w:rPr>
        <w:t xml:space="preserve"> as a function of degradation time.</w:t>
      </w:r>
    </w:p>
    <w:p w14:paraId="649A9D55" w14:textId="77777777" w:rsidR="009C0E6B" w:rsidRDefault="009C0E6B">
      <w:pPr>
        <w:pStyle w:val="BodyText"/>
        <w:rPr>
          <w:i/>
        </w:rPr>
      </w:pPr>
    </w:p>
    <w:p w14:paraId="792D57DC" w14:textId="77777777" w:rsidR="009C0E6B" w:rsidRDefault="009C0E6B">
      <w:pPr>
        <w:pStyle w:val="BodyText"/>
        <w:rPr>
          <w:i/>
          <w:sz w:val="22"/>
        </w:rPr>
      </w:pPr>
    </w:p>
    <w:p w14:paraId="5B907B85" w14:textId="77777777" w:rsidR="009C0E6B" w:rsidRDefault="009C0E6B">
      <w:pPr>
        <w:pStyle w:val="BodyText"/>
        <w:rPr>
          <w:i/>
          <w:sz w:val="22"/>
        </w:rPr>
      </w:pPr>
    </w:p>
    <w:p w14:paraId="50DF8D09" w14:textId="77777777" w:rsidR="009C0E6B" w:rsidRDefault="009C0E6B">
      <w:pPr>
        <w:pStyle w:val="BodyText"/>
        <w:rPr>
          <w:i/>
          <w:sz w:val="22"/>
        </w:rPr>
      </w:pPr>
    </w:p>
    <w:p w14:paraId="2B326571" w14:textId="77777777" w:rsidR="009C0E6B" w:rsidRDefault="009C0E6B">
      <w:pPr>
        <w:pStyle w:val="BodyText"/>
        <w:rPr>
          <w:i/>
          <w:sz w:val="22"/>
        </w:rPr>
      </w:pPr>
    </w:p>
    <w:p w14:paraId="476A6B5B" w14:textId="77777777" w:rsidR="009C0E6B" w:rsidRDefault="009C0E6B">
      <w:pPr>
        <w:pStyle w:val="BodyText"/>
        <w:rPr>
          <w:i/>
          <w:sz w:val="22"/>
        </w:rPr>
      </w:pPr>
    </w:p>
    <w:p w14:paraId="58A54A97" w14:textId="77777777" w:rsidR="009C0E6B" w:rsidRDefault="009C0E6B">
      <w:pPr>
        <w:pStyle w:val="BodyText"/>
        <w:rPr>
          <w:i/>
          <w:sz w:val="22"/>
        </w:rPr>
      </w:pPr>
    </w:p>
    <w:p w14:paraId="582B561A" w14:textId="77777777" w:rsidR="009C0E6B" w:rsidRDefault="009C0E6B">
      <w:pPr>
        <w:pStyle w:val="BodyText"/>
        <w:rPr>
          <w:i/>
          <w:sz w:val="22"/>
        </w:rPr>
      </w:pPr>
    </w:p>
    <w:p w14:paraId="1192F5B8" w14:textId="77777777" w:rsidR="009C0E6B" w:rsidRDefault="009C0E6B">
      <w:pPr>
        <w:pStyle w:val="BodyText"/>
        <w:spacing w:before="2"/>
        <w:rPr>
          <w:i/>
          <w:sz w:val="19"/>
        </w:rPr>
      </w:pPr>
    </w:p>
    <w:p w14:paraId="7AE5C54A" w14:textId="77777777" w:rsidR="00CC1199" w:rsidRDefault="00CC1199" w:rsidP="00CC1199">
      <w:pPr>
        <w:ind w:left="6120" w:right="26"/>
        <w:rPr>
          <w:i/>
          <w:sz w:val="20"/>
        </w:rPr>
      </w:pPr>
      <w:r>
        <w:rPr>
          <w:i/>
          <w:sz w:val="20"/>
        </w:rPr>
        <w:t>Figure 1: a) scaffold before degradation; b) scaffold after 6 months degradation</w:t>
      </w:r>
    </w:p>
    <w:p w14:paraId="748FF5A3" w14:textId="77777777" w:rsidR="00CC1199" w:rsidRDefault="00CC1199">
      <w:pPr>
        <w:pStyle w:val="BodyText"/>
        <w:ind w:left="112" w:right="39"/>
        <w:jc w:val="both"/>
      </w:pPr>
    </w:p>
    <w:p w14:paraId="4DE95841" w14:textId="4C1FA1D3" w:rsidR="009C0E6B" w:rsidRDefault="00000000">
      <w:pPr>
        <w:pStyle w:val="BodyText"/>
        <w:ind w:left="112" w:right="39"/>
        <w:jc w:val="both"/>
      </w:pPr>
      <w:proofErr w:type="spellStart"/>
      <w:r>
        <w:t>PLAf</w:t>
      </w:r>
      <w:proofErr w:type="spellEnd"/>
      <w:r>
        <w:t>, PLAf-HA5, and PLAf-HA10 scaffolds exhibited more significant weight loss (approximately 3%) and notable molecular weight reduction (50%, 36%, and 45%, respectively), indicating accelerated hydrolysis.</w:t>
      </w:r>
    </w:p>
    <w:p w14:paraId="0BEB893D" w14:textId="77777777" w:rsidR="009C0E6B" w:rsidRDefault="00000000">
      <w:pPr>
        <w:pStyle w:val="BodyText"/>
        <w:ind w:left="112" w:right="38"/>
        <w:jc w:val="both"/>
      </w:pPr>
      <w:r>
        <w:t xml:space="preserve">SEM images of scaffolds before and after degradation showed that degraded PLA-based scaffolds present a smooth surface with numerous cracks, characteristic of a bulk degradation mechanism. In contrast, </w:t>
      </w:r>
      <w:proofErr w:type="spellStart"/>
      <w:r>
        <w:t>PLAf</w:t>
      </w:r>
      <w:proofErr w:type="spellEnd"/>
      <w:r>
        <w:t>-based scaffolds exhibit few cracks but display a noticeable surface roughness, suggesting a double degradation mechanism</w:t>
      </w:r>
      <w:r>
        <w:rPr>
          <w:spacing w:val="-18"/>
        </w:rPr>
        <w:t xml:space="preserve"> </w:t>
      </w:r>
      <w:r>
        <w:t>including</w:t>
      </w:r>
      <w:r>
        <w:rPr>
          <w:spacing w:val="-21"/>
        </w:rPr>
        <w:t xml:space="preserve"> </w:t>
      </w:r>
      <w:r>
        <w:t>both</w:t>
      </w:r>
      <w:r>
        <w:rPr>
          <w:spacing w:val="-18"/>
        </w:rPr>
        <w:t xml:space="preserve"> </w:t>
      </w:r>
      <w:r>
        <w:t>surface</w:t>
      </w:r>
      <w:r>
        <w:rPr>
          <w:spacing w:val="-21"/>
        </w:rPr>
        <w:t xml:space="preserve"> </w:t>
      </w:r>
      <w:r>
        <w:t>erosion</w:t>
      </w:r>
      <w:r>
        <w:rPr>
          <w:spacing w:val="-18"/>
        </w:rPr>
        <w:t xml:space="preserve"> </w:t>
      </w:r>
      <w:r>
        <w:t>and</w:t>
      </w:r>
      <w:r>
        <w:rPr>
          <w:spacing w:val="-19"/>
        </w:rPr>
        <w:t xml:space="preserve"> </w:t>
      </w:r>
      <w:r>
        <w:t>bulk degradation. (Fig.1 a,</w:t>
      </w:r>
      <w:r>
        <w:rPr>
          <w:spacing w:val="-1"/>
        </w:rPr>
        <w:t xml:space="preserve"> </w:t>
      </w:r>
      <w:r>
        <w:t>b)</w:t>
      </w:r>
    </w:p>
    <w:p w14:paraId="65FC918B" w14:textId="77777777" w:rsidR="009C0E6B" w:rsidRDefault="00000000">
      <w:pPr>
        <w:pStyle w:val="BodyText"/>
        <w:ind w:left="112" w:right="38"/>
        <w:jc w:val="both"/>
      </w:pPr>
      <w:r>
        <w:t xml:space="preserve">Finally, the effect of 3D scaffolds on cell proliferation and differentiation was evaluated. Results </w:t>
      </w:r>
      <w:proofErr w:type="spellStart"/>
      <w:proofErr w:type="gramStart"/>
      <w:r>
        <w:t>highlited</w:t>
      </w:r>
      <w:proofErr w:type="spellEnd"/>
      <w:proofErr w:type="gramEnd"/>
      <w:r>
        <w:t xml:space="preserve"> that all scaffolds were able to promote cell proliferation until 7 days. Moreover, alkaline phosphatase (ALP) values increased as a function of HA amount for both PLA and </w:t>
      </w:r>
      <w:proofErr w:type="spellStart"/>
      <w:r>
        <w:t>PLAf</w:t>
      </w:r>
      <w:proofErr w:type="spellEnd"/>
      <w:r>
        <w:t xml:space="preserve"> scaffolds, whereas functionalization has not </w:t>
      </w:r>
      <w:proofErr w:type="gramStart"/>
      <w:r>
        <w:t>effect</w:t>
      </w:r>
      <w:proofErr w:type="gramEnd"/>
      <w:r>
        <w:t xml:space="preserve"> on ALP levels. Increased ALP levels indicate osteoblastic differentiation of </w:t>
      </w:r>
      <w:proofErr w:type="spellStart"/>
      <w:r>
        <w:t>hMSCs</w:t>
      </w:r>
      <w:proofErr w:type="spellEnd"/>
      <w:r>
        <w:t xml:space="preserve"> in basal medium.</w:t>
      </w:r>
    </w:p>
    <w:p w14:paraId="25687E07" w14:textId="51CF7430" w:rsidR="009C0E6B" w:rsidRDefault="009C0E6B">
      <w:pPr>
        <w:pStyle w:val="BodyText"/>
        <w:spacing w:before="11"/>
        <w:rPr>
          <w:sz w:val="19"/>
        </w:rPr>
      </w:pPr>
    </w:p>
    <w:p w14:paraId="04B644C7" w14:textId="77777777" w:rsidR="009C0E6B" w:rsidRDefault="009C0E6B">
      <w:pPr>
        <w:pStyle w:val="BodyText"/>
        <w:spacing w:before="10"/>
        <w:rPr>
          <w:i/>
          <w:sz w:val="19"/>
        </w:rPr>
      </w:pPr>
    </w:p>
    <w:p w14:paraId="5F794229" w14:textId="77777777" w:rsidR="009C0E6B" w:rsidRDefault="00000000">
      <w:pPr>
        <w:pStyle w:val="Heading1"/>
      </w:pPr>
      <w:r>
        <w:t>Conclusions</w:t>
      </w:r>
    </w:p>
    <w:p w14:paraId="49EBFDC1" w14:textId="77777777" w:rsidR="009C0E6B" w:rsidRDefault="00000000">
      <w:pPr>
        <w:pStyle w:val="BodyText"/>
        <w:spacing w:before="1"/>
        <w:ind w:left="112" w:right="111"/>
        <w:jc w:val="both"/>
      </w:pPr>
      <w:r>
        <w:t>In this study, nanocomposites of PLA and PLA functionalized with itaconic anhydride (</w:t>
      </w:r>
      <w:proofErr w:type="spellStart"/>
      <w:r>
        <w:t>PLAf</w:t>
      </w:r>
      <w:proofErr w:type="spellEnd"/>
      <w:r>
        <w:t xml:space="preserve">) containing 5 and 10 </w:t>
      </w:r>
      <w:proofErr w:type="spellStart"/>
      <w:r>
        <w:t>wt</w:t>
      </w:r>
      <w:proofErr w:type="spellEnd"/>
      <w:r>
        <w:t>% of hydroxyapatite (HA) nanoparticles</w:t>
      </w:r>
      <w:r>
        <w:rPr>
          <w:spacing w:val="-13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prepared</w:t>
      </w:r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characterized,</w:t>
      </w:r>
      <w:r>
        <w:rPr>
          <w:spacing w:val="-14"/>
        </w:rPr>
        <w:t xml:space="preserve"> </w:t>
      </w:r>
      <w:r>
        <w:t xml:space="preserve">as well as their 3D printed counterparts. Results highlighted that functionalization and presence of HA at different percentages affect </w:t>
      </w:r>
      <w:proofErr w:type="spellStart"/>
      <w:r>
        <w:t>chemico</w:t>
      </w:r>
      <w:proofErr w:type="spellEnd"/>
      <w:r>
        <w:t xml:space="preserve">- physical and mechanical properties, structure, and hydrolytic degradation behavior. </w:t>
      </w:r>
      <w:proofErr w:type="gramStart"/>
      <w:r>
        <w:t>In particular, functionalization</w:t>
      </w:r>
      <w:proofErr w:type="gramEnd"/>
      <w:r>
        <w:t xml:space="preserve"> was found to speed up the hydrolytic degradation of scaffolds. Moreover, a biological investigation aimed to study cell proliferation and osteogenic differentiation, </w:t>
      </w:r>
      <w:proofErr w:type="spellStart"/>
      <w:proofErr w:type="gramStart"/>
      <w:r>
        <w:t>highlited</w:t>
      </w:r>
      <w:proofErr w:type="spellEnd"/>
      <w:proofErr w:type="gramEnd"/>
      <w:r>
        <w:t xml:space="preserve"> that all scaffolds promoted cell proliferation until 7 days and differentiation of </w:t>
      </w:r>
      <w:proofErr w:type="spellStart"/>
      <w:r>
        <w:t>hMSCs</w:t>
      </w:r>
      <w:proofErr w:type="spellEnd"/>
      <w:r>
        <w:t xml:space="preserve"> in osteoblasts</w:t>
      </w:r>
      <w:r>
        <w:rPr>
          <w:spacing w:val="-1"/>
        </w:rPr>
        <w:t xml:space="preserve"> </w:t>
      </w:r>
      <w:r>
        <w:t>phenotype.</w:t>
      </w:r>
    </w:p>
    <w:p w14:paraId="7D72AD4D" w14:textId="77777777" w:rsidR="009C0E6B" w:rsidRDefault="009C0E6B">
      <w:pPr>
        <w:pStyle w:val="BodyText"/>
      </w:pPr>
    </w:p>
    <w:p w14:paraId="336F5B29" w14:textId="77777777" w:rsidR="009C0E6B" w:rsidRDefault="00000000">
      <w:pPr>
        <w:pStyle w:val="Heading1"/>
      </w:pPr>
      <w:r>
        <w:t>Acknowledgements</w:t>
      </w:r>
    </w:p>
    <w:p w14:paraId="5208F4DB" w14:textId="77777777" w:rsidR="009C0E6B" w:rsidRDefault="00000000">
      <w:pPr>
        <w:pStyle w:val="BodyText"/>
        <w:spacing w:before="1"/>
        <w:ind w:left="112" w:right="113"/>
        <w:jc w:val="both"/>
      </w:pPr>
      <w:r>
        <w:t xml:space="preserve">Project: "MICS – Made in Italy </w:t>
      </w:r>
      <w:proofErr w:type="spellStart"/>
      <w:r>
        <w:t>Circolare</w:t>
      </w:r>
      <w:proofErr w:type="spellEnd"/>
      <w:r>
        <w:t xml:space="preserve"> </w:t>
      </w:r>
      <w:proofErr w:type="spellStart"/>
      <w:r>
        <w:t>Sostenibile</w:t>
      </w:r>
      <w:proofErr w:type="spellEnd"/>
      <w:r>
        <w:t>" id code PE00000004, PNRR MISSION 4 COMPONENTS 2 - (CUP B53C22004100001)</w:t>
      </w:r>
    </w:p>
    <w:p w14:paraId="3CA661E8" w14:textId="77777777" w:rsidR="009C0E6B" w:rsidRDefault="009C0E6B">
      <w:pPr>
        <w:pStyle w:val="BodyText"/>
      </w:pPr>
    </w:p>
    <w:p w14:paraId="5606CDC8" w14:textId="77777777" w:rsidR="009C0E6B" w:rsidRDefault="00000000">
      <w:pPr>
        <w:pStyle w:val="Heading1"/>
      </w:pPr>
      <w:r>
        <w:t>References</w:t>
      </w:r>
    </w:p>
    <w:p w14:paraId="5E115CF4" w14:textId="77777777" w:rsidR="009C0E6B" w:rsidRDefault="00000000">
      <w:pPr>
        <w:pStyle w:val="ListParagraph"/>
        <w:numPr>
          <w:ilvl w:val="0"/>
          <w:numId w:val="1"/>
        </w:numPr>
        <w:tabs>
          <w:tab w:val="left" w:pos="425"/>
        </w:tabs>
        <w:ind w:right="111" w:firstLine="0"/>
        <w:jc w:val="both"/>
        <w:rPr>
          <w:sz w:val="20"/>
        </w:rPr>
      </w:pPr>
      <w:r>
        <w:rPr>
          <w:sz w:val="20"/>
        </w:rPr>
        <w:t xml:space="preserve">L. Guo, Z. Liang, L. Yang, W. Du, T. Yu, H. Tang, C. Li, H. Qiu, </w:t>
      </w:r>
      <w:r>
        <w:rPr>
          <w:i/>
          <w:sz w:val="20"/>
        </w:rPr>
        <w:t>Journal of Controlled Release</w:t>
      </w:r>
      <w:r>
        <w:rPr>
          <w:sz w:val="20"/>
        </w:rPr>
        <w:t>, 338, 571-582</w:t>
      </w:r>
      <w:r>
        <w:rPr>
          <w:spacing w:val="-1"/>
          <w:sz w:val="20"/>
        </w:rPr>
        <w:t xml:space="preserve"> </w:t>
      </w:r>
      <w:r>
        <w:rPr>
          <w:sz w:val="20"/>
        </w:rPr>
        <w:t>(2021).</w:t>
      </w:r>
    </w:p>
    <w:p w14:paraId="22FCF71E" w14:textId="6154DE36" w:rsidR="009C0E6B" w:rsidRPr="00CC1199" w:rsidRDefault="00000000" w:rsidP="00CC1199">
      <w:pPr>
        <w:pStyle w:val="ListParagraph"/>
        <w:numPr>
          <w:ilvl w:val="0"/>
          <w:numId w:val="1"/>
        </w:numPr>
        <w:tabs>
          <w:tab w:val="left" w:pos="466"/>
        </w:tabs>
        <w:ind w:right="112" w:firstLine="0"/>
        <w:jc w:val="both"/>
        <w:rPr>
          <w:sz w:val="20"/>
        </w:rPr>
        <w:sectPr w:rsidR="009C0E6B" w:rsidRPr="00CC1199" w:rsidSect="00CC1199">
          <w:type w:val="continuous"/>
          <w:pgSz w:w="11910" w:h="16840"/>
          <w:pgMar w:top="1320" w:right="1020" w:bottom="1420" w:left="1020" w:header="720" w:footer="720" w:gutter="0"/>
          <w:cols w:space="720"/>
        </w:sectPr>
      </w:pPr>
      <w:r w:rsidRPr="00CC1199">
        <w:rPr>
          <w:sz w:val="20"/>
        </w:rPr>
        <w:t xml:space="preserve">A. </w:t>
      </w:r>
      <w:proofErr w:type="spellStart"/>
      <w:r w:rsidRPr="00CC1199">
        <w:rPr>
          <w:sz w:val="20"/>
        </w:rPr>
        <w:t>Bharadwaz</w:t>
      </w:r>
      <w:proofErr w:type="spellEnd"/>
      <w:r w:rsidRPr="00CC1199">
        <w:rPr>
          <w:sz w:val="20"/>
        </w:rPr>
        <w:t xml:space="preserve">, A. C. Jayasuriya, </w:t>
      </w:r>
      <w:r w:rsidRPr="00CC1199">
        <w:rPr>
          <w:i/>
          <w:sz w:val="20"/>
        </w:rPr>
        <w:t>Materials Science and Engineering: C</w:t>
      </w:r>
      <w:r w:rsidRPr="00CC1199">
        <w:rPr>
          <w:sz w:val="20"/>
        </w:rPr>
        <w:t>, 110, 110698</w:t>
      </w:r>
      <w:r w:rsidRPr="00CC1199">
        <w:rPr>
          <w:spacing w:val="-26"/>
          <w:sz w:val="20"/>
        </w:rPr>
        <w:t xml:space="preserve"> </w:t>
      </w:r>
      <w:r w:rsidRPr="00CC1199">
        <w:rPr>
          <w:sz w:val="20"/>
        </w:rPr>
        <w:t>(2020).</w:t>
      </w:r>
    </w:p>
    <w:p w14:paraId="5DA0EC53" w14:textId="77777777" w:rsidR="009C0E6B" w:rsidRPr="00CC1199" w:rsidRDefault="00000000" w:rsidP="00CC1199">
      <w:pPr>
        <w:pStyle w:val="ListParagraph"/>
        <w:numPr>
          <w:ilvl w:val="0"/>
          <w:numId w:val="1"/>
        </w:numPr>
        <w:tabs>
          <w:tab w:val="left" w:pos="404"/>
        </w:tabs>
        <w:spacing w:before="82"/>
        <w:ind w:right="240" w:firstLine="0"/>
        <w:jc w:val="both"/>
        <w:rPr>
          <w:sz w:val="20"/>
          <w:lang w:val="it-IT"/>
        </w:rPr>
      </w:pPr>
      <w:r w:rsidRPr="00CC1199">
        <w:rPr>
          <w:sz w:val="20"/>
          <w:lang w:val="it-IT"/>
        </w:rPr>
        <w:lastRenderedPageBreak/>
        <w:t xml:space="preserve">A. Longo, G. Dal Poggetto, M. Malinconico, P. </w:t>
      </w:r>
      <w:proofErr w:type="spellStart"/>
      <w:r w:rsidRPr="00CC1199">
        <w:rPr>
          <w:sz w:val="20"/>
          <w:lang w:val="it-IT"/>
        </w:rPr>
        <w:t>Laurienzo</w:t>
      </w:r>
      <w:proofErr w:type="spellEnd"/>
      <w:r w:rsidRPr="00CC1199">
        <w:rPr>
          <w:sz w:val="20"/>
          <w:lang w:val="it-IT"/>
        </w:rPr>
        <w:t xml:space="preserve">, E. Di Maio, M. L. Di Lorenzo, </w:t>
      </w:r>
      <w:proofErr w:type="spellStart"/>
      <w:r w:rsidRPr="00CC1199">
        <w:rPr>
          <w:i/>
          <w:sz w:val="20"/>
          <w:lang w:val="it-IT"/>
        </w:rPr>
        <w:t>Polymer</w:t>
      </w:r>
      <w:proofErr w:type="spellEnd"/>
      <w:r w:rsidRPr="00CC1199">
        <w:rPr>
          <w:sz w:val="20"/>
          <w:lang w:val="it-IT"/>
        </w:rPr>
        <w:t>, 227, 123852</w:t>
      </w:r>
      <w:r w:rsidRPr="00CC1199">
        <w:rPr>
          <w:spacing w:val="1"/>
          <w:sz w:val="20"/>
          <w:lang w:val="it-IT"/>
        </w:rPr>
        <w:t xml:space="preserve"> </w:t>
      </w:r>
      <w:r w:rsidRPr="00CC1199">
        <w:rPr>
          <w:sz w:val="20"/>
          <w:lang w:val="it-IT"/>
        </w:rPr>
        <w:t>(2021)</w:t>
      </w:r>
    </w:p>
    <w:p w14:paraId="01970F5D" w14:textId="77777777" w:rsidR="009C0E6B" w:rsidRDefault="00000000" w:rsidP="00CC1199">
      <w:pPr>
        <w:pStyle w:val="ListParagraph"/>
        <w:numPr>
          <w:ilvl w:val="0"/>
          <w:numId w:val="1"/>
        </w:numPr>
        <w:tabs>
          <w:tab w:val="left" w:pos="380"/>
        </w:tabs>
        <w:spacing w:before="2"/>
        <w:ind w:left="379" w:right="240" w:hanging="268"/>
        <w:jc w:val="both"/>
        <w:rPr>
          <w:sz w:val="20"/>
        </w:rPr>
      </w:pPr>
      <w:r>
        <w:rPr>
          <w:sz w:val="20"/>
        </w:rPr>
        <w:t>W.</w:t>
      </w:r>
      <w:r>
        <w:rPr>
          <w:spacing w:val="-12"/>
          <w:sz w:val="20"/>
        </w:rPr>
        <w:t xml:space="preserve"> </w:t>
      </w:r>
      <w:r>
        <w:rPr>
          <w:sz w:val="20"/>
        </w:rPr>
        <w:t>Liu,</w:t>
      </w:r>
      <w:r>
        <w:rPr>
          <w:spacing w:val="-13"/>
          <w:sz w:val="20"/>
        </w:rPr>
        <w:t xml:space="preserve"> </w:t>
      </w:r>
      <w:r>
        <w:rPr>
          <w:sz w:val="20"/>
        </w:rPr>
        <w:t>T.</w:t>
      </w:r>
      <w:r>
        <w:rPr>
          <w:spacing w:val="-11"/>
          <w:sz w:val="20"/>
        </w:rPr>
        <w:t xml:space="preserve"> </w:t>
      </w:r>
      <w:r>
        <w:rPr>
          <w:sz w:val="20"/>
        </w:rPr>
        <w:t>Liu,</w:t>
      </w:r>
      <w:r>
        <w:rPr>
          <w:spacing w:val="-13"/>
          <w:sz w:val="20"/>
        </w:rPr>
        <w:t xml:space="preserve"> </w:t>
      </w:r>
      <w:r>
        <w:rPr>
          <w:sz w:val="20"/>
        </w:rPr>
        <w:t>T.</w:t>
      </w:r>
      <w:r>
        <w:rPr>
          <w:spacing w:val="-11"/>
          <w:sz w:val="20"/>
        </w:rPr>
        <w:t xml:space="preserve"> </w:t>
      </w:r>
      <w:r>
        <w:rPr>
          <w:sz w:val="20"/>
        </w:rPr>
        <w:t>Liu,</w:t>
      </w:r>
      <w:r>
        <w:rPr>
          <w:spacing w:val="-12"/>
          <w:sz w:val="20"/>
        </w:rPr>
        <w:t xml:space="preserve"> </w:t>
      </w:r>
      <w:r>
        <w:rPr>
          <w:sz w:val="20"/>
        </w:rPr>
        <w:t>T.</w:t>
      </w:r>
      <w:r>
        <w:rPr>
          <w:spacing w:val="-11"/>
          <w:sz w:val="20"/>
        </w:rPr>
        <w:t xml:space="preserve"> </w:t>
      </w:r>
      <w:r>
        <w:rPr>
          <w:sz w:val="20"/>
        </w:rPr>
        <w:t>Liu,</w:t>
      </w:r>
      <w:r>
        <w:rPr>
          <w:spacing w:val="-13"/>
          <w:sz w:val="20"/>
        </w:rPr>
        <w:t xml:space="preserve"> </w:t>
      </w:r>
      <w:r>
        <w:rPr>
          <w:sz w:val="20"/>
        </w:rPr>
        <w:t>J.</w:t>
      </w:r>
      <w:r>
        <w:rPr>
          <w:spacing w:val="-11"/>
          <w:sz w:val="20"/>
        </w:rPr>
        <w:t xml:space="preserve"> </w:t>
      </w:r>
      <w:r>
        <w:rPr>
          <w:sz w:val="20"/>
        </w:rPr>
        <w:t>Xin,</w:t>
      </w:r>
      <w:r>
        <w:rPr>
          <w:spacing w:val="-11"/>
          <w:sz w:val="20"/>
        </w:rPr>
        <w:t xml:space="preserve"> </w:t>
      </w:r>
      <w:r>
        <w:rPr>
          <w:sz w:val="20"/>
        </w:rPr>
        <w:t>W.</w:t>
      </w:r>
      <w:r>
        <w:rPr>
          <w:spacing w:val="-14"/>
          <w:sz w:val="20"/>
        </w:rPr>
        <w:t xml:space="preserve"> </w:t>
      </w:r>
      <w:r>
        <w:rPr>
          <w:sz w:val="20"/>
        </w:rPr>
        <w:t>C.</w:t>
      </w:r>
      <w:r>
        <w:rPr>
          <w:spacing w:val="-11"/>
          <w:sz w:val="20"/>
        </w:rPr>
        <w:t xml:space="preserve"> </w:t>
      </w:r>
      <w:r>
        <w:rPr>
          <w:sz w:val="20"/>
        </w:rPr>
        <w:t>Hiscox,</w:t>
      </w:r>
    </w:p>
    <w:p w14:paraId="1B3502C8" w14:textId="77777777" w:rsidR="009C0E6B" w:rsidRDefault="00000000" w:rsidP="00CC1199">
      <w:pPr>
        <w:spacing w:before="1"/>
        <w:ind w:left="112" w:right="240"/>
        <w:jc w:val="both"/>
        <w:rPr>
          <w:sz w:val="20"/>
        </w:rPr>
      </w:pPr>
      <w:r>
        <w:rPr>
          <w:sz w:val="20"/>
        </w:rPr>
        <w:t xml:space="preserve">H. Liu, L. Liu, J. Zhang, </w:t>
      </w:r>
      <w:r>
        <w:rPr>
          <w:i/>
          <w:sz w:val="20"/>
        </w:rPr>
        <w:t>Industrial &amp; Engineering Chemistry Research</w:t>
      </w:r>
      <w:r>
        <w:rPr>
          <w:sz w:val="20"/>
        </w:rPr>
        <w:t>, 56, 3920–3927 (2017)</w:t>
      </w:r>
    </w:p>
    <w:sectPr w:rsidR="009C0E6B" w:rsidSect="00CC1199">
      <w:pgSz w:w="11910" w:h="16840"/>
      <w:pgMar w:top="1320" w:right="1020" w:bottom="1420" w:left="1020" w:header="516" w:footer="12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FD3329" w14:textId="77777777" w:rsidR="001E0D11" w:rsidRDefault="001E0D11">
      <w:r>
        <w:separator/>
      </w:r>
    </w:p>
  </w:endnote>
  <w:endnote w:type="continuationSeparator" w:id="0">
    <w:p w14:paraId="455D86D6" w14:textId="77777777" w:rsidR="001E0D11" w:rsidRDefault="001E0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6F4041" w14:textId="77777777" w:rsidR="001E0D11" w:rsidRDefault="001E0D11">
      <w:r>
        <w:separator/>
      </w:r>
    </w:p>
  </w:footnote>
  <w:footnote w:type="continuationSeparator" w:id="0">
    <w:p w14:paraId="108E4871" w14:textId="77777777" w:rsidR="001E0D11" w:rsidRDefault="001E0D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DAF2D8B"/>
    <w:multiLevelType w:val="hybridMultilevel"/>
    <w:tmpl w:val="EB6E8D4E"/>
    <w:lvl w:ilvl="0" w:tplc="76701874">
      <w:start w:val="1"/>
      <w:numFmt w:val="decimal"/>
      <w:lvlText w:val="[%1]"/>
      <w:lvlJc w:val="left"/>
      <w:pPr>
        <w:ind w:left="112" w:hanging="312"/>
        <w:jc w:val="left"/>
      </w:pPr>
      <w:rPr>
        <w:rFonts w:ascii="Arial" w:eastAsia="Arial" w:hAnsi="Arial" w:cs="Arial" w:hint="default"/>
        <w:w w:val="99"/>
        <w:sz w:val="20"/>
        <w:szCs w:val="20"/>
      </w:rPr>
    </w:lvl>
    <w:lvl w:ilvl="1" w:tplc="A39C3BF4">
      <w:numFmt w:val="bullet"/>
      <w:lvlText w:val="•"/>
      <w:lvlJc w:val="left"/>
      <w:pPr>
        <w:ind w:left="577" w:hanging="312"/>
      </w:pPr>
      <w:rPr>
        <w:rFonts w:hint="default"/>
      </w:rPr>
    </w:lvl>
    <w:lvl w:ilvl="2" w:tplc="4BDA8260">
      <w:numFmt w:val="bullet"/>
      <w:lvlText w:val="•"/>
      <w:lvlJc w:val="left"/>
      <w:pPr>
        <w:ind w:left="1034" w:hanging="312"/>
      </w:pPr>
      <w:rPr>
        <w:rFonts w:hint="default"/>
      </w:rPr>
    </w:lvl>
    <w:lvl w:ilvl="3" w:tplc="13669784">
      <w:numFmt w:val="bullet"/>
      <w:lvlText w:val="•"/>
      <w:lvlJc w:val="left"/>
      <w:pPr>
        <w:ind w:left="1491" w:hanging="312"/>
      </w:pPr>
      <w:rPr>
        <w:rFonts w:hint="default"/>
      </w:rPr>
    </w:lvl>
    <w:lvl w:ilvl="4" w:tplc="0E60F7D8">
      <w:numFmt w:val="bullet"/>
      <w:lvlText w:val="•"/>
      <w:lvlJc w:val="left"/>
      <w:pPr>
        <w:ind w:left="1948" w:hanging="312"/>
      </w:pPr>
      <w:rPr>
        <w:rFonts w:hint="default"/>
      </w:rPr>
    </w:lvl>
    <w:lvl w:ilvl="5" w:tplc="C6E61DB2">
      <w:numFmt w:val="bullet"/>
      <w:lvlText w:val="•"/>
      <w:lvlJc w:val="left"/>
      <w:pPr>
        <w:ind w:left="2405" w:hanging="312"/>
      </w:pPr>
      <w:rPr>
        <w:rFonts w:hint="default"/>
      </w:rPr>
    </w:lvl>
    <w:lvl w:ilvl="6" w:tplc="BF06E2D6">
      <w:numFmt w:val="bullet"/>
      <w:lvlText w:val="•"/>
      <w:lvlJc w:val="left"/>
      <w:pPr>
        <w:ind w:left="2862" w:hanging="312"/>
      </w:pPr>
      <w:rPr>
        <w:rFonts w:hint="default"/>
      </w:rPr>
    </w:lvl>
    <w:lvl w:ilvl="7" w:tplc="ED2A16AC">
      <w:numFmt w:val="bullet"/>
      <w:lvlText w:val="•"/>
      <w:lvlJc w:val="left"/>
      <w:pPr>
        <w:ind w:left="3319" w:hanging="312"/>
      </w:pPr>
      <w:rPr>
        <w:rFonts w:hint="default"/>
      </w:rPr>
    </w:lvl>
    <w:lvl w:ilvl="8" w:tplc="0F1CE402">
      <w:numFmt w:val="bullet"/>
      <w:lvlText w:val="•"/>
      <w:lvlJc w:val="left"/>
      <w:pPr>
        <w:ind w:left="3776" w:hanging="312"/>
      </w:pPr>
      <w:rPr>
        <w:rFonts w:hint="default"/>
      </w:rPr>
    </w:lvl>
  </w:abstractNum>
  <w:num w:numId="1" w16cid:durableId="428476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0E6B"/>
    <w:rsid w:val="00140EEF"/>
    <w:rsid w:val="001E0D11"/>
    <w:rsid w:val="009C0E6B"/>
    <w:rsid w:val="00CC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2"/>
    </o:shapelayout>
  </w:shapeDefaults>
  <w:decimalSymbol w:val="."/>
  <w:listSeparator w:val=","/>
  <w14:docId w14:val="342C82C7"/>
  <w15:docId w15:val="{FA1F4A52-F759-4974-B20A-DDDAAFC23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ind w:left="112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"/>
      <w:ind w:left="135" w:right="142"/>
      <w:jc w:val="center"/>
    </w:pPr>
    <w:rPr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112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06" w:lineRule="exact"/>
      <w:ind w:left="138"/>
      <w:jc w:val="center"/>
    </w:pPr>
  </w:style>
  <w:style w:type="paragraph" w:styleId="Header">
    <w:name w:val="header"/>
    <w:basedOn w:val="Normal"/>
    <w:link w:val="HeaderChar"/>
    <w:uiPriority w:val="99"/>
    <w:unhideWhenUsed/>
    <w:rsid w:val="00CC1199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1199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CC1199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C1199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giovanni.dalpoggetto@ipcb.cnr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1081</Words>
  <Characters>6216</Characters>
  <Application>Microsoft Office Word</Application>
  <DocSecurity>0</DocSecurity>
  <Lines>101</Lines>
  <Paragraphs>32</Paragraphs>
  <ScaleCrop>false</ScaleCrop>
  <Company/>
  <LinksUpToDate>false</LinksUpToDate>
  <CharactersWithSpaces>7265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PIERFRANCESCO CERRUTI</cp:lastModifiedBy>
  <cp:revision>2</cp:revision>
  <dcterms:created xsi:type="dcterms:W3CDTF">2024-12-18T13:55:00Z</dcterms:created>
  <dcterms:modified xsi:type="dcterms:W3CDTF">2024-12-18T13:58:00Z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2024-11-21T00:00:00Z</vt:filetime>
  </property>
  <property fmtid="{D5CDD505-2E9C-101B-9397-08002B2CF9AE}" pid="3" name="LastSaved">
    <vt:filetime>2024-12-18T00:00:00Z</vt:filetime>
  </property>
</Properties>
</file>