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580752" w14:textId="77777777" w:rsidR="00A33747" w:rsidRDefault="00A33747" w:rsidP="00A33747">
      <w:pPr>
        <w:rPr>
          <w:b/>
          <w:noProof/>
          <w:sz w:val="28"/>
          <w:szCs w:val="28"/>
          <w:lang w:val="en-US"/>
        </w:rPr>
      </w:pPr>
      <w:bookmarkStart w:id="0" w:name="_GoBack"/>
      <w:bookmarkEnd w:id="0"/>
      <w:r w:rsidRPr="00160E11">
        <w:rPr>
          <w:b/>
          <w:noProof/>
          <w:sz w:val="28"/>
          <w:szCs w:val="28"/>
          <w:lang w:val="en-US"/>
        </w:rPr>
        <w:t>Supplementary material</w:t>
      </w:r>
      <w:r>
        <w:rPr>
          <w:b/>
          <w:noProof/>
          <w:sz w:val="28"/>
          <w:szCs w:val="28"/>
          <w:lang w:val="en-US"/>
        </w:rPr>
        <w:t xml:space="preserve"> </w:t>
      </w:r>
    </w:p>
    <w:p w14:paraId="201DCF60" w14:textId="77777777" w:rsidR="00A33747" w:rsidRPr="00944F46" w:rsidRDefault="00A33747" w:rsidP="00A33747">
      <w:pPr>
        <w:rPr>
          <w:noProof/>
          <w:lang w:val="en-US"/>
        </w:rPr>
      </w:pPr>
      <w:r w:rsidRPr="00944F46">
        <w:rPr>
          <w:lang w:val="en-US"/>
        </w:rPr>
        <w:t>A. Kivimäki</w:t>
      </w:r>
      <w:r w:rsidRPr="00944F46">
        <w:rPr>
          <w:vertAlign w:val="superscript"/>
          <w:lang w:val="en-US"/>
        </w:rPr>
        <w:t>1</w:t>
      </w:r>
      <w:r w:rsidRPr="00944F46">
        <w:rPr>
          <w:lang w:val="en-US"/>
        </w:rPr>
        <w:t xml:space="preserve"> </w:t>
      </w:r>
      <w:r w:rsidRPr="00944F46">
        <w:rPr>
          <w:noProof/>
          <w:lang w:val="en-US"/>
        </w:rPr>
        <w:t>and R. Richter</w:t>
      </w:r>
      <w:r w:rsidRPr="00944F46">
        <w:rPr>
          <w:noProof/>
          <w:vertAlign w:val="superscript"/>
          <w:lang w:val="en-US"/>
        </w:rPr>
        <w:t>2</w:t>
      </w:r>
    </w:p>
    <w:p w14:paraId="32A94FA5" w14:textId="77777777" w:rsidR="00A33747" w:rsidRDefault="00A33747" w:rsidP="00A33747">
      <w:pPr>
        <w:spacing w:after="0" w:line="240" w:lineRule="auto"/>
        <w:rPr>
          <w:lang w:val="it-IT" w:eastAsia="zh-CN"/>
        </w:rPr>
      </w:pPr>
      <w:r w:rsidRPr="00140318">
        <w:rPr>
          <w:vertAlign w:val="superscript"/>
          <w:lang w:val="it-IT"/>
        </w:rPr>
        <w:t>1</w:t>
      </w:r>
      <w:r w:rsidRPr="00140318">
        <w:rPr>
          <w:i/>
          <w:lang w:val="it-IT" w:eastAsia="zh-CN"/>
        </w:rPr>
        <w:t>C</w:t>
      </w:r>
      <w:r>
        <w:rPr>
          <w:i/>
          <w:lang w:val="it-IT" w:eastAsia="zh-CN"/>
        </w:rPr>
        <w:t xml:space="preserve">NR </w:t>
      </w:r>
      <w:r w:rsidRPr="003C2518">
        <w:rPr>
          <w:rFonts w:cstheme="minorHAnsi"/>
          <w:i/>
          <w:iCs/>
          <w:lang w:val="it-IT"/>
        </w:rPr>
        <w:t>–</w:t>
      </w:r>
      <w:r w:rsidRPr="0020699F">
        <w:rPr>
          <w:i/>
          <w:sz w:val="18"/>
          <w:szCs w:val="18"/>
          <w:lang w:val="it-IT" w:eastAsia="zh-CN"/>
        </w:rPr>
        <w:t xml:space="preserve"> </w:t>
      </w:r>
      <w:r w:rsidRPr="006A0ECD">
        <w:rPr>
          <w:i/>
          <w:lang w:val="it-IT" w:eastAsia="zh-CN"/>
        </w:rPr>
        <w:t xml:space="preserve">Istituto </w:t>
      </w:r>
      <w:r>
        <w:rPr>
          <w:i/>
          <w:lang w:val="it-IT" w:eastAsia="zh-CN"/>
        </w:rPr>
        <w:t>o</w:t>
      </w:r>
      <w:r w:rsidRPr="006A0ECD">
        <w:rPr>
          <w:i/>
          <w:lang w:val="it-IT" w:eastAsia="zh-CN"/>
        </w:rPr>
        <w:t xml:space="preserve">fficina dei </w:t>
      </w:r>
      <w:r>
        <w:rPr>
          <w:i/>
          <w:lang w:val="it-IT" w:eastAsia="zh-CN"/>
        </w:rPr>
        <w:t>m</w:t>
      </w:r>
      <w:r w:rsidRPr="006A0ECD">
        <w:rPr>
          <w:i/>
          <w:lang w:val="it-IT" w:eastAsia="zh-CN"/>
        </w:rPr>
        <w:t>ateriali</w:t>
      </w:r>
      <w:r>
        <w:rPr>
          <w:i/>
          <w:lang w:val="it-IT" w:eastAsia="zh-CN"/>
        </w:rPr>
        <w:t xml:space="preserve"> (IOM)</w:t>
      </w:r>
      <w:r w:rsidRPr="006A0ECD">
        <w:rPr>
          <w:i/>
          <w:lang w:val="it-IT" w:eastAsia="zh-CN"/>
        </w:rPr>
        <w:t>,</w:t>
      </w:r>
      <w:r w:rsidRPr="00140318">
        <w:rPr>
          <w:i/>
          <w:lang w:val="it-IT" w:eastAsia="zh-CN"/>
        </w:rPr>
        <w:t xml:space="preserve"> Laboratorio TASC, 34149 Trieste, Italy</w:t>
      </w:r>
      <w:r w:rsidRPr="00140318">
        <w:rPr>
          <w:lang w:val="it-IT" w:eastAsia="zh-CN"/>
        </w:rPr>
        <w:t xml:space="preserve"> </w:t>
      </w:r>
    </w:p>
    <w:p w14:paraId="24614881" w14:textId="77777777" w:rsidR="00A33747" w:rsidRPr="00617265" w:rsidRDefault="00A33747" w:rsidP="00A33747">
      <w:pPr>
        <w:spacing w:after="0" w:line="240" w:lineRule="auto"/>
        <w:rPr>
          <w:lang w:val="en-US"/>
        </w:rPr>
      </w:pPr>
      <w:r>
        <w:rPr>
          <w:vertAlign w:val="superscript"/>
          <w:lang w:val="en-US"/>
        </w:rPr>
        <w:t>2</w:t>
      </w:r>
      <w:r w:rsidRPr="00617265">
        <w:rPr>
          <w:i/>
          <w:lang w:val="en-US"/>
        </w:rPr>
        <w:t xml:space="preserve">Elettra – </w:t>
      </w:r>
      <w:proofErr w:type="spellStart"/>
      <w:r w:rsidRPr="00617265">
        <w:rPr>
          <w:i/>
          <w:lang w:val="en-US"/>
        </w:rPr>
        <w:t>Sincrotrone</w:t>
      </w:r>
      <w:proofErr w:type="spellEnd"/>
      <w:r w:rsidRPr="00617265">
        <w:rPr>
          <w:i/>
          <w:lang w:val="en-US"/>
        </w:rPr>
        <w:t xml:space="preserve"> Trieste, Area Science Park </w:t>
      </w:r>
      <w:proofErr w:type="spellStart"/>
      <w:r w:rsidRPr="00617265">
        <w:rPr>
          <w:i/>
          <w:lang w:val="en-US"/>
        </w:rPr>
        <w:t>Basovizza</w:t>
      </w:r>
      <w:proofErr w:type="spellEnd"/>
      <w:r w:rsidRPr="00617265">
        <w:rPr>
          <w:i/>
          <w:lang w:val="en-US"/>
        </w:rPr>
        <w:t>, 34149 Trieste, Italy</w:t>
      </w:r>
      <w:r w:rsidRPr="00617265">
        <w:rPr>
          <w:lang w:val="en-US"/>
        </w:rPr>
        <w:t xml:space="preserve"> </w:t>
      </w:r>
    </w:p>
    <w:p w14:paraId="4327555B" w14:textId="77777777" w:rsidR="00A33747" w:rsidRPr="00A96BC5" w:rsidRDefault="00A33747" w:rsidP="00A33747">
      <w:pPr>
        <w:rPr>
          <w:lang w:val="it-IT"/>
        </w:rPr>
      </w:pPr>
    </w:p>
    <w:p w14:paraId="57024B64" w14:textId="77777777" w:rsidR="00A33747" w:rsidRPr="00DD2969" w:rsidRDefault="00A33747" w:rsidP="00A33747">
      <w:pPr>
        <w:spacing w:after="0"/>
        <w:rPr>
          <w:b/>
          <w:noProof/>
          <w:color w:val="FF0000"/>
          <w:sz w:val="28"/>
          <w:szCs w:val="28"/>
          <w:lang w:val="en-US"/>
        </w:rPr>
      </w:pPr>
      <w:r>
        <w:rPr>
          <w:b/>
          <w:noProof/>
          <w:color w:val="FF0000"/>
          <w:sz w:val="28"/>
          <w:szCs w:val="28"/>
          <w:lang w:eastAsia="en-GB"/>
        </w:rPr>
        <w:drawing>
          <wp:inline distT="0" distB="0" distL="0" distR="0" wp14:anchorId="36772523" wp14:editId="13D86F08">
            <wp:extent cx="5511241" cy="5064876"/>
            <wp:effectExtent l="19050" t="0" r="0" b="0"/>
            <wp:docPr id="1" name="Picture 0" descr="Fig7_three PEP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_three PEPICO.jpg"/>
                    <pic:cNvPicPr/>
                  </pic:nvPicPr>
                  <pic:blipFill>
                    <a:blip r:embed="rId7" cstate="print"/>
                    <a:stretch>
                      <a:fillRect/>
                    </a:stretch>
                  </pic:blipFill>
                  <pic:spPr>
                    <a:xfrm>
                      <a:off x="0" y="0"/>
                      <a:ext cx="5510924" cy="5064584"/>
                    </a:xfrm>
                    <a:prstGeom prst="rect">
                      <a:avLst/>
                    </a:prstGeom>
                  </pic:spPr>
                </pic:pic>
              </a:graphicData>
            </a:graphic>
          </wp:inline>
        </w:drawing>
      </w:r>
    </w:p>
    <w:p w14:paraId="0E13122C" w14:textId="77777777" w:rsidR="00A33747" w:rsidRPr="00160E11" w:rsidRDefault="00A33747" w:rsidP="00A33747">
      <w:pPr>
        <w:spacing w:after="0"/>
        <w:jc w:val="both"/>
        <w:rPr>
          <w:b/>
          <w:noProof/>
          <w:lang w:val="en-US"/>
        </w:rPr>
      </w:pPr>
      <w:r w:rsidRPr="00160E11">
        <w:rPr>
          <w:lang w:val="en-US"/>
        </w:rPr>
        <w:t>Figure S1. The photoelectron-</w:t>
      </w:r>
      <w:proofErr w:type="spellStart"/>
      <w:r w:rsidRPr="00160E11">
        <w:rPr>
          <w:lang w:val="en-US"/>
        </w:rPr>
        <w:t>photoion</w:t>
      </w:r>
      <w:proofErr w:type="spellEnd"/>
      <w:r w:rsidRPr="00160E11">
        <w:rPr>
          <w:lang w:val="en-US"/>
        </w:rPr>
        <w:t xml:space="preserve"> coincidence (PEPICO) spectra of SF</w:t>
      </w:r>
      <w:r w:rsidRPr="00160E11">
        <w:rPr>
          <w:vertAlign w:val="subscript"/>
          <w:lang w:val="en-US"/>
        </w:rPr>
        <w:t>6</w:t>
      </w:r>
      <w:r w:rsidRPr="00160E11">
        <w:rPr>
          <w:lang w:val="en-US"/>
        </w:rPr>
        <w:t xml:space="preserve"> measured at the photon energies of 168.0 </w:t>
      </w:r>
      <w:proofErr w:type="spellStart"/>
      <w:r w:rsidRPr="00160E11">
        <w:rPr>
          <w:lang w:val="en-US"/>
        </w:rPr>
        <w:t>eV</w:t>
      </w:r>
      <w:proofErr w:type="spellEnd"/>
      <w:r w:rsidRPr="00160E11">
        <w:rPr>
          <w:lang w:val="en-US"/>
        </w:rPr>
        <w:t xml:space="preserve"> (corresponding to valence ionization), 184.6 </w:t>
      </w:r>
      <w:proofErr w:type="spellStart"/>
      <w:r w:rsidRPr="00160E11">
        <w:rPr>
          <w:lang w:val="en-US"/>
        </w:rPr>
        <w:t>eV</w:t>
      </w:r>
      <w:proofErr w:type="spellEnd"/>
      <w:r w:rsidRPr="00160E11">
        <w:rPr>
          <w:lang w:val="en-US"/>
        </w:rPr>
        <w:t xml:space="preserve"> (S 2p</w:t>
      </w:r>
      <w:r w:rsidRPr="00160E11">
        <w:rPr>
          <w:vertAlign w:val="subscript"/>
          <w:lang w:val="en-US"/>
        </w:rPr>
        <w:t>1/2</w:t>
      </w:r>
      <w:r>
        <w:rPr>
          <w:vertAlign w:val="subscript"/>
          <w:lang w:val="en-US"/>
        </w:rPr>
        <w:t xml:space="preserve"> </w:t>
      </w:r>
      <w:r w:rsidRPr="00160E11">
        <w:rPr>
          <w:rFonts w:cstheme="minorHAnsi"/>
          <w:lang w:val="en-US"/>
        </w:rPr>
        <w:t>→</w:t>
      </w:r>
      <w:r>
        <w:rPr>
          <w:rFonts w:cstheme="minorHAnsi"/>
          <w:lang w:val="en-US"/>
        </w:rPr>
        <w:t xml:space="preserve"> </w:t>
      </w:r>
      <w:r w:rsidRPr="00160E11">
        <w:rPr>
          <w:lang w:val="en-US"/>
        </w:rPr>
        <w:t>2t</w:t>
      </w:r>
      <w:r w:rsidRPr="00160E11">
        <w:rPr>
          <w:vertAlign w:val="subscript"/>
          <w:lang w:val="en-US"/>
        </w:rPr>
        <w:t>2g</w:t>
      </w:r>
      <w:r w:rsidRPr="00160E11">
        <w:rPr>
          <w:lang w:val="en-US"/>
        </w:rPr>
        <w:t xml:space="preserve"> shape resonance) and 196.5 </w:t>
      </w:r>
      <w:proofErr w:type="spellStart"/>
      <w:r w:rsidRPr="00160E11">
        <w:rPr>
          <w:lang w:val="en-US"/>
        </w:rPr>
        <w:t>eV</w:t>
      </w:r>
      <w:proofErr w:type="spellEnd"/>
      <w:r w:rsidRPr="00160E11">
        <w:rPr>
          <w:lang w:val="en-US"/>
        </w:rPr>
        <w:t xml:space="preserve"> (S 2p</w:t>
      </w:r>
      <w:r>
        <w:rPr>
          <w:lang w:val="en-US"/>
        </w:rPr>
        <w:t xml:space="preserve"> </w:t>
      </w:r>
      <w:r w:rsidRPr="00160E11">
        <w:rPr>
          <w:rFonts w:cstheme="minorHAnsi"/>
          <w:lang w:val="en-US"/>
        </w:rPr>
        <w:t>→</w:t>
      </w:r>
      <w:r>
        <w:rPr>
          <w:rFonts w:cstheme="minorHAnsi"/>
          <w:lang w:val="en-US"/>
        </w:rPr>
        <w:t xml:space="preserve"> </w:t>
      </w:r>
      <w:r w:rsidRPr="00160E11">
        <w:rPr>
          <w:lang w:val="en-US"/>
        </w:rPr>
        <w:t>4e</w:t>
      </w:r>
      <w:r w:rsidRPr="00160E11">
        <w:rPr>
          <w:vertAlign w:val="subscript"/>
          <w:lang w:val="en-US"/>
        </w:rPr>
        <w:t>g</w:t>
      </w:r>
      <w:r w:rsidRPr="00160E11">
        <w:rPr>
          <w:lang w:val="en-US"/>
        </w:rPr>
        <w:t xml:space="preserve"> shape resonance). The spectra were measured at the low-energy branch of the Gas Phase Photoemission </w:t>
      </w:r>
      <w:proofErr w:type="spellStart"/>
      <w:r w:rsidRPr="00160E11">
        <w:rPr>
          <w:lang w:val="en-US"/>
        </w:rPr>
        <w:t>beamline</w:t>
      </w:r>
      <w:proofErr w:type="spellEnd"/>
      <w:r w:rsidRPr="00160E11">
        <w:rPr>
          <w:lang w:val="en-US"/>
        </w:rPr>
        <w:t xml:space="preserve"> (</w:t>
      </w:r>
      <w:proofErr w:type="spellStart"/>
      <w:r w:rsidRPr="00160E11">
        <w:rPr>
          <w:lang w:val="en-US"/>
        </w:rPr>
        <w:t>Elettra</w:t>
      </w:r>
      <w:proofErr w:type="spellEnd"/>
      <w:r w:rsidRPr="00160E11">
        <w:rPr>
          <w:lang w:val="en-US"/>
        </w:rPr>
        <w:t xml:space="preserve">, Trieste, Italy) </w:t>
      </w:r>
      <w:r>
        <w:rPr>
          <w:lang w:val="en-US"/>
        </w:rPr>
        <w:t xml:space="preserve">[1] </w:t>
      </w:r>
      <w:r w:rsidRPr="00160E11">
        <w:rPr>
          <w:lang w:val="en-US"/>
        </w:rPr>
        <w:t>using a time-of-flight spectrometer with a 105 mm long drift tube. According to simulations performed with the SIMION software package, F</w:t>
      </w:r>
      <w:r w:rsidRPr="00160E11">
        <w:rPr>
          <w:vertAlign w:val="superscript"/>
          <w:lang w:val="en-US"/>
        </w:rPr>
        <w:t>+</w:t>
      </w:r>
      <w:r w:rsidRPr="00160E11">
        <w:rPr>
          <w:lang w:val="en-US"/>
        </w:rPr>
        <w:t xml:space="preserve"> ions with kinetic energies up to 25 </w:t>
      </w:r>
      <w:proofErr w:type="spellStart"/>
      <w:r w:rsidRPr="00160E11">
        <w:rPr>
          <w:lang w:val="en-US"/>
        </w:rPr>
        <w:t>eV</w:t>
      </w:r>
      <w:proofErr w:type="spellEnd"/>
      <w:r w:rsidRPr="00160E11">
        <w:rPr>
          <w:lang w:val="en-US"/>
        </w:rPr>
        <w:t xml:space="preserve"> were collected. The spectra have been scaled in intensity at the position of the SF</w:t>
      </w:r>
      <w:r w:rsidRPr="00160E11">
        <w:rPr>
          <w:vertAlign w:val="subscript"/>
          <w:lang w:val="en-US"/>
        </w:rPr>
        <w:t>5</w:t>
      </w:r>
      <w:r w:rsidRPr="00160E11">
        <w:rPr>
          <w:vertAlign w:val="superscript"/>
          <w:lang w:val="en-US"/>
        </w:rPr>
        <w:t>+</w:t>
      </w:r>
      <w:r w:rsidRPr="00160E11">
        <w:rPr>
          <w:lang w:val="en-US"/>
        </w:rPr>
        <w:t xml:space="preserve"> ion, which originates only (or predominantly) from valence ionization processes [</w:t>
      </w:r>
      <w:r>
        <w:rPr>
          <w:lang w:val="en-US"/>
        </w:rPr>
        <w:t>2</w:t>
      </w:r>
      <w:r w:rsidRPr="00160E11">
        <w:rPr>
          <w:lang w:val="en-US"/>
        </w:rPr>
        <w:t xml:space="preserve">] (see also Fig. S2).  </w:t>
      </w:r>
    </w:p>
    <w:p w14:paraId="0CACE978" w14:textId="77777777" w:rsidR="00A33747" w:rsidRDefault="00A33747" w:rsidP="00A33747">
      <w:pPr>
        <w:spacing w:after="0"/>
        <w:rPr>
          <w:lang w:val="en-US"/>
        </w:rPr>
      </w:pPr>
      <w:r>
        <w:rPr>
          <w:noProof/>
          <w:lang w:eastAsia="en-GB"/>
        </w:rPr>
        <w:lastRenderedPageBreak/>
        <w:drawing>
          <wp:inline distT="0" distB="0" distL="0" distR="0" wp14:anchorId="71284C09" wp14:editId="31F9F613">
            <wp:extent cx="5762625" cy="5495925"/>
            <wp:effectExtent l="19050" t="0" r="9525" b="0"/>
            <wp:docPr id="2" name="Picture 1" descr="Fig6_PEPICO results at 4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_PEPICO results at 4eg.jpg"/>
                    <pic:cNvPicPr/>
                  </pic:nvPicPr>
                  <pic:blipFill>
                    <a:blip r:embed="rId8" cstate="print"/>
                    <a:stretch>
                      <a:fillRect/>
                    </a:stretch>
                  </pic:blipFill>
                  <pic:spPr>
                    <a:xfrm>
                      <a:off x="0" y="0"/>
                      <a:ext cx="5762625" cy="5495925"/>
                    </a:xfrm>
                    <a:prstGeom prst="rect">
                      <a:avLst/>
                    </a:prstGeom>
                  </pic:spPr>
                </pic:pic>
              </a:graphicData>
            </a:graphic>
          </wp:inline>
        </w:drawing>
      </w:r>
    </w:p>
    <w:p w14:paraId="60855F02" w14:textId="77777777" w:rsidR="00A33747" w:rsidRDefault="00A33747" w:rsidP="00A33747">
      <w:pPr>
        <w:spacing w:after="0"/>
        <w:rPr>
          <w:lang w:val="en-US"/>
        </w:rPr>
      </w:pPr>
    </w:p>
    <w:p w14:paraId="779AB554" w14:textId="77777777" w:rsidR="00A33747" w:rsidRPr="00160E11" w:rsidRDefault="00A33747" w:rsidP="00A33747">
      <w:pPr>
        <w:spacing w:after="0"/>
        <w:jc w:val="both"/>
        <w:rPr>
          <w:lang w:val="en-US"/>
        </w:rPr>
      </w:pPr>
      <w:r w:rsidRPr="00160E11">
        <w:rPr>
          <w:lang w:val="en-US"/>
        </w:rPr>
        <w:t>Figure S2. The intensities of different positive ions around the energy range of the S 2p</w:t>
      </w:r>
      <w:r w:rsidRPr="00160E11">
        <w:rPr>
          <w:rFonts w:cstheme="minorHAnsi"/>
          <w:lang w:val="en-US"/>
        </w:rPr>
        <w:t>→</w:t>
      </w:r>
      <w:r w:rsidRPr="00160E11">
        <w:rPr>
          <w:lang w:val="en-US"/>
        </w:rPr>
        <w:t>4e</w:t>
      </w:r>
      <w:r w:rsidRPr="00160E11">
        <w:rPr>
          <w:vertAlign w:val="subscript"/>
          <w:lang w:val="en-US"/>
        </w:rPr>
        <w:t>g</w:t>
      </w:r>
      <w:r w:rsidRPr="00160E11">
        <w:rPr>
          <w:lang w:val="en-US"/>
        </w:rPr>
        <w:t xml:space="preserve"> shape resonance of the SF</w:t>
      </w:r>
      <w:r w:rsidRPr="00160E11">
        <w:rPr>
          <w:vertAlign w:val="subscript"/>
          <w:lang w:val="en-US"/>
        </w:rPr>
        <w:t>6</w:t>
      </w:r>
      <w:r w:rsidRPr="00160E11">
        <w:rPr>
          <w:lang w:val="en-US"/>
        </w:rPr>
        <w:t xml:space="preserve"> molecule, determined by integrating relevant time windows in the PEPICO spectra (like those in Fig. S1). The spectra were measured for 3 min at each energy point. The intensities have been normalized to the photon flux, but no correction was attempted for possible detection efficiency dependence on the mass and charge of the ions. </w:t>
      </w:r>
    </w:p>
    <w:p w14:paraId="052B3D0C" w14:textId="77777777" w:rsidR="00A33747" w:rsidRPr="00A96BC5" w:rsidRDefault="00A33747" w:rsidP="00A33747">
      <w:pPr>
        <w:spacing w:after="0"/>
        <w:jc w:val="both"/>
        <w:rPr>
          <w:lang w:val="en-US"/>
        </w:rPr>
      </w:pPr>
    </w:p>
    <w:p w14:paraId="66D1ADA1" w14:textId="77777777" w:rsidR="00A33747" w:rsidRDefault="00A33747" w:rsidP="00A33747">
      <w:pPr>
        <w:spacing w:after="0"/>
        <w:rPr>
          <w:lang w:val="en-US"/>
        </w:rPr>
      </w:pPr>
    </w:p>
    <w:p w14:paraId="14FEE324" w14:textId="77777777" w:rsidR="00A33747" w:rsidRPr="00A96BC5" w:rsidRDefault="00A33747" w:rsidP="00A33747">
      <w:pPr>
        <w:spacing w:after="0"/>
        <w:rPr>
          <w:b/>
          <w:lang w:val="en-US"/>
        </w:rPr>
      </w:pPr>
      <w:r w:rsidRPr="00A96BC5">
        <w:rPr>
          <w:b/>
          <w:lang w:val="en-US"/>
        </w:rPr>
        <w:t>References</w:t>
      </w:r>
    </w:p>
    <w:p w14:paraId="115C93E7" w14:textId="77777777" w:rsidR="00A33747" w:rsidRPr="00A96BC5" w:rsidRDefault="00A33747" w:rsidP="00A33747">
      <w:pPr>
        <w:spacing w:after="0"/>
        <w:rPr>
          <w:lang w:val="en-US"/>
        </w:rPr>
      </w:pPr>
      <w:r>
        <w:rPr>
          <w:lang w:val="en-US"/>
        </w:rPr>
        <w:t xml:space="preserve">[1] </w:t>
      </w:r>
      <w:r w:rsidRPr="00A96BC5">
        <w:rPr>
          <w:lang w:val="en-US"/>
        </w:rPr>
        <w:t>K.C. Prince et al, J. Synchrotron Radiation 5 (1998) 565.</w:t>
      </w:r>
    </w:p>
    <w:p w14:paraId="27A2C4C2" w14:textId="77777777" w:rsidR="00A33747" w:rsidRPr="00A96BC5" w:rsidRDefault="00A33747" w:rsidP="00A33747">
      <w:pPr>
        <w:spacing w:after="0"/>
        <w:jc w:val="both"/>
        <w:rPr>
          <w:lang w:val="en-US"/>
        </w:rPr>
      </w:pPr>
      <w:r w:rsidRPr="00A96BC5">
        <w:rPr>
          <w:lang w:val="en-US"/>
        </w:rPr>
        <w:t>[</w:t>
      </w:r>
      <w:r>
        <w:rPr>
          <w:lang w:val="en-US"/>
        </w:rPr>
        <w:t>2</w:t>
      </w:r>
      <w:r w:rsidRPr="00A96BC5">
        <w:rPr>
          <w:lang w:val="en-US"/>
        </w:rPr>
        <w:t xml:space="preserve">] </w:t>
      </w:r>
      <w:r w:rsidRPr="007B7B54">
        <w:rPr>
          <w:lang w:val="en-US"/>
        </w:rPr>
        <w:t xml:space="preserve">A.P. Hitchcock, C.E. </w:t>
      </w:r>
      <w:proofErr w:type="spellStart"/>
      <w:r w:rsidRPr="007B7B54">
        <w:rPr>
          <w:lang w:val="en-US"/>
        </w:rPr>
        <w:t>Brion</w:t>
      </w:r>
      <w:proofErr w:type="spellEnd"/>
      <w:r w:rsidRPr="007B7B54">
        <w:rPr>
          <w:lang w:val="en-US"/>
        </w:rPr>
        <w:t xml:space="preserve">, M.J. Van der </w:t>
      </w:r>
      <w:proofErr w:type="spellStart"/>
      <w:r w:rsidRPr="007B7B54">
        <w:rPr>
          <w:lang w:val="en-US"/>
        </w:rPr>
        <w:t>Wiel</w:t>
      </w:r>
      <w:proofErr w:type="spellEnd"/>
      <w:r w:rsidRPr="007B7B54">
        <w:rPr>
          <w:lang w:val="en-US"/>
        </w:rPr>
        <w:t xml:space="preserve">, J. Phys. </w:t>
      </w:r>
      <w:r w:rsidRPr="00B83FA0">
        <w:rPr>
          <w:lang w:val="en-US"/>
        </w:rPr>
        <w:t>B: At. Mol. Phys. 11 (1978) 3245.</w:t>
      </w:r>
    </w:p>
    <w:p w14:paraId="2A631707" w14:textId="77777777" w:rsidR="001D2A60" w:rsidRDefault="001D2A60"/>
    <w:sectPr w:rsidR="001D2A60" w:rsidSect="001D2A6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A00A6" w14:textId="77777777" w:rsidR="00F25A81" w:rsidRDefault="0014686C">
      <w:pPr>
        <w:spacing w:after="0" w:line="240" w:lineRule="auto"/>
      </w:pPr>
      <w:r>
        <w:separator/>
      </w:r>
    </w:p>
  </w:endnote>
  <w:endnote w:type="continuationSeparator" w:id="0">
    <w:p w14:paraId="0746AEBF" w14:textId="77777777" w:rsidR="00F25A81" w:rsidRDefault="0014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0969"/>
      <w:docPartObj>
        <w:docPartGallery w:val="Page Numbers (Bottom of Page)"/>
        <w:docPartUnique/>
      </w:docPartObj>
    </w:sdtPr>
    <w:sdtEndPr/>
    <w:sdtContent>
      <w:p w14:paraId="5165A290" w14:textId="77777777" w:rsidR="00F231AD" w:rsidRDefault="00A33747">
        <w:pPr>
          <w:pStyle w:val="Footer"/>
          <w:jc w:val="right"/>
        </w:pPr>
        <w:r>
          <w:fldChar w:fldCharType="begin"/>
        </w:r>
        <w:r>
          <w:instrText xml:space="preserve"> PAGE   \* MERGEFORMAT </w:instrText>
        </w:r>
        <w:r>
          <w:fldChar w:fldCharType="separate"/>
        </w:r>
        <w:r w:rsidR="00505C4B">
          <w:rPr>
            <w:noProof/>
          </w:rPr>
          <w:t>1</w:t>
        </w:r>
        <w:r>
          <w:fldChar w:fldCharType="end"/>
        </w:r>
      </w:p>
    </w:sdtContent>
  </w:sdt>
  <w:p w14:paraId="431A405C" w14:textId="77777777" w:rsidR="00F231AD" w:rsidRDefault="00505C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1F3AB" w14:textId="77777777" w:rsidR="00F25A81" w:rsidRDefault="0014686C">
      <w:pPr>
        <w:spacing w:after="0" w:line="240" w:lineRule="auto"/>
      </w:pPr>
      <w:r>
        <w:separator/>
      </w:r>
    </w:p>
  </w:footnote>
  <w:footnote w:type="continuationSeparator" w:id="0">
    <w:p w14:paraId="1F397A7B" w14:textId="77777777" w:rsidR="00F25A81" w:rsidRDefault="001468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33747"/>
    <w:rsid w:val="0014686C"/>
    <w:rsid w:val="001D2A60"/>
    <w:rsid w:val="00505C4B"/>
    <w:rsid w:val="00610B6B"/>
    <w:rsid w:val="00A33747"/>
    <w:rsid w:val="00EA1E5C"/>
    <w:rsid w:val="00F25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D9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74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3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747"/>
    <w:rPr>
      <w:lang w:val="en-GB"/>
    </w:rPr>
  </w:style>
  <w:style w:type="paragraph" w:styleId="BalloonText">
    <w:name w:val="Balloon Text"/>
    <w:basedOn w:val="Normal"/>
    <w:link w:val="BalloonTextChar"/>
    <w:uiPriority w:val="99"/>
    <w:semiHidden/>
    <w:unhideWhenUsed/>
    <w:rsid w:val="00A33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747"/>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Antti</dc:creator>
  <cp:lastModifiedBy>Burman, Shayantini (ELS-CON)</cp:lastModifiedBy>
  <cp:revision>2</cp:revision>
  <dcterms:created xsi:type="dcterms:W3CDTF">2016-04-27T16:06:00Z</dcterms:created>
  <dcterms:modified xsi:type="dcterms:W3CDTF">2016-04-27T16:06:00Z</dcterms:modified>
</cp:coreProperties>
</file>