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E32F0" w:rsidRPr="0032552D" w:rsidRDefault="008438EE" w:rsidP="0032552D">
      <w:pPr>
        <w:jc w:val="center"/>
        <w:rPr>
          <w:b/>
          <w:sz w:val="28"/>
          <w:szCs w:val="24"/>
          <w:lang w:val="en-US"/>
        </w:rPr>
      </w:pPr>
      <w:r w:rsidRPr="0032552D">
        <w:rPr>
          <w:b/>
          <w:sz w:val="28"/>
          <w:szCs w:val="24"/>
          <w:lang w:val="en-US"/>
        </w:rPr>
        <w:t>Gas diffusion as a probe for intrinsic microporosity.</w:t>
      </w:r>
    </w:p>
    <w:p w:rsidR="00BE32F0" w:rsidRPr="0032552D" w:rsidRDefault="00BE32F0" w:rsidP="0032552D">
      <w:pPr>
        <w:pStyle w:val="Heading1"/>
        <w:shd w:val="clear" w:color="auto" w:fill="FFFFFF"/>
        <w:spacing w:before="0" w:beforeAutospacing="0" w:after="300" w:afterAutospacing="0"/>
        <w:jc w:val="both"/>
        <w:textAlignment w:val="baseline"/>
        <w:rPr>
          <w:rFonts w:asciiTheme="minorHAnsi" w:eastAsiaTheme="minorHAnsi" w:hAnsiTheme="minorHAnsi" w:cstheme="minorBidi"/>
          <w:b w:val="0"/>
          <w:bCs w:val="0"/>
          <w:kern w:val="0"/>
          <w:sz w:val="24"/>
          <w:szCs w:val="24"/>
          <w:lang w:eastAsia="en-US"/>
        </w:rPr>
      </w:pPr>
      <w:r w:rsidRPr="0032552D">
        <w:rPr>
          <w:rFonts w:asciiTheme="minorHAnsi" w:eastAsiaTheme="minorHAnsi" w:hAnsiTheme="minorHAnsi" w:cstheme="minorBidi"/>
          <w:b w:val="0"/>
          <w:bCs w:val="0"/>
          <w:kern w:val="0"/>
          <w:sz w:val="24"/>
          <w:szCs w:val="24"/>
          <w:lang w:eastAsia="en-US"/>
        </w:rPr>
        <w:t>Alessio Fuoco</w:t>
      </w:r>
      <w:r w:rsidR="00F536B4" w:rsidRPr="0032552D">
        <w:rPr>
          <w:rFonts w:asciiTheme="minorHAnsi" w:eastAsiaTheme="minorHAnsi" w:hAnsiTheme="minorHAnsi" w:cstheme="minorBidi"/>
          <w:b w:val="0"/>
          <w:bCs w:val="0"/>
          <w:kern w:val="0"/>
          <w:sz w:val="24"/>
          <w:szCs w:val="24"/>
          <w:vertAlign w:val="superscript"/>
          <w:lang w:eastAsia="en-US"/>
        </w:rPr>
        <w:t>1</w:t>
      </w:r>
      <w:r w:rsidRPr="0032552D">
        <w:rPr>
          <w:rFonts w:asciiTheme="minorHAnsi" w:eastAsiaTheme="minorHAnsi" w:hAnsiTheme="minorHAnsi" w:cstheme="minorBidi"/>
          <w:b w:val="0"/>
          <w:bCs w:val="0"/>
          <w:kern w:val="0"/>
          <w:sz w:val="24"/>
          <w:szCs w:val="24"/>
          <w:lang w:eastAsia="en-US"/>
        </w:rPr>
        <w:t xml:space="preserve">, </w:t>
      </w:r>
      <w:r w:rsidR="0054747A" w:rsidRPr="0032552D">
        <w:rPr>
          <w:rFonts w:asciiTheme="minorHAnsi" w:eastAsiaTheme="minorHAnsi" w:hAnsiTheme="minorHAnsi" w:cstheme="minorBidi"/>
          <w:b w:val="0"/>
          <w:bCs w:val="0"/>
          <w:kern w:val="0"/>
          <w:sz w:val="24"/>
          <w:szCs w:val="24"/>
          <w:lang w:eastAsia="en-US"/>
        </w:rPr>
        <w:t>E</w:t>
      </w:r>
      <w:r w:rsidR="0032552D" w:rsidRPr="0032552D">
        <w:rPr>
          <w:rFonts w:asciiTheme="minorHAnsi" w:eastAsiaTheme="minorHAnsi" w:hAnsiTheme="minorHAnsi" w:cstheme="minorBidi"/>
          <w:b w:val="0"/>
          <w:bCs w:val="0"/>
          <w:kern w:val="0"/>
          <w:sz w:val="24"/>
          <w:szCs w:val="24"/>
          <w:lang w:eastAsia="en-US"/>
        </w:rPr>
        <w:t>lena</w:t>
      </w:r>
      <w:r w:rsidR="0054747A" w:rsidRPr="0032552D">
        <w:rPr>
          <w:rFonts w:asciiTheme="minorHAnsi" w:eastAsiaTheme="minorHAnsi" w:hAnsiTheme="minorHAnsi" w:cstheme="minorBidi"/>
          <w:b w:val="0"/>
          <w:bCs w:val="0"/>
          <w:kern w:val="0"/>
          <w:sz w:val="24"/>
          <w:szCs w:val="24"/>
          <w:lang w:eastAsia="en-US"/>
        </w:rPr>
        <w:t xml:space="preserve"> Tocci</w:t>
      </w:r>
      <w:r w:rsidR="0054747A" w:rsidRPr="0032552D">
        <w:rPr>
          <w:rFonts w:asciiTheme="minorHAnsi" w:eastAsiaTheme="minorHAnsi" w:hAnsiTheme="minorHAnsi" w:cstheme="minorBidi"/>
          <w:b w:val="0"/>
          <w:bCs w:val="0"/>
          <w:kern w:val="0"/>
          <w:sz w:val="24"/>
          <w:szCs w:val="24"/>
          <w:vertAlign w:val="superscript"/>
          <w:lang w:eastAsia="en-US"/>
        </w:rPr>
        <w:t>1</w:t>
      </w:r>
      <w:r w:rsidR="0054747A" w:rsidRPr="0032552D">
        <w:rPr>
          <w:rFonts w:asciiTheme="minorHAnsi" w:eastAsiaTheme="minorHAnsi" w:hAnsiTheme="minorHAnsi" w:cstheme="minorBidi"/>
          <w:b w:val="0"/>
          <w:bCs w:val="0"/>
          <w:kern w:val="0"/>
          <w:sz w:val="24"/>
          <w:szCs w:val="24"/>
          <w:lang w:eastAsia="en-US"/>
        </w:rPr>
        <w:t xml:space="preserve">, </w:t>
      </w:r>
      <w:r w:rsidR="0032552D" w:rsidRPr="0032552D">
        <w:rPr>
          <w:rFonts w:asciiTheme="minorHAnsi" w:eastAsiaTheme="minorHAnsi" w:hAnsiTheme="minorHAnsi" w:cstheme="minorBidi"/>
          <w:b w:val="0"/>
          <w:bCs w:val="0"/>
          <w:kern w:val="0"/>
          <w:sz w:val="24"/>
          <w:szCs w:val="24"/>
          <w:lang w:eastAsia="en-US"/>
        </w:rPr>
        <w:t>Peter M. Budd</w:t>
      </w:r>
      <w:r w:rsidR="0032552D" w:rsidRPr="0032552D">
        <w:rPr>
          <w:rFonts w:asciiTheme="minorHAnsi" w:eastAsiaTheme="minorHAnsi" w:hAnsiTheme="minorHAnsi" w:cstheme="minorBidi"/>
          <w:b w:val="0"/>
          <w:bCs w:val="0"/>
          <w:kern w:val="0"/>
          <w:sz w:val="24"/>
          <w:szCs w:val="24"/>
          <w:vertAlign w:val="superscript"/>
          <w:lang w:eastAsia="en-US"/>
        </w:rPr>
        <w:t>2</w:t>
      </w:r>
      <w:r w:rsidR="0032552D" w:rsidRPr="0032552D">
        <w:rPr>
          <w:rFonts w:asciiTheme="minorHAnsi" w:eastAsiaTheme="minorHAnsi" w:hAnsiTheme="minorHAnsi" w:cstheme="minorBidi"/>
          <w:b w:val="0"/>
          <w:bCs w:val="0"/>
          <w:kern w:val="0"/>
          <w:sz w:val="24"/>
          <w:szCs w:val="24"/>
          <w:lang w:eastAsia="en-US"/>
        </w:rPr>
        <w:t>,</w:t>
      </w:r>
      <w:r w:rsidR="003570DE">
        <w:rPr>
          <w:rFonts w:asciiTheme="minorHAnsi" w:eastAsiaTheme="minorHAnsi" w:hAnsiTheme="minorHAnsi" w:cstheme="minorBidi"/>
          <w:b w:val="0"/>
          <w:bCs w:val="0"/>
          <w:kern w:val="0"/>
          <w:sz w:val="24"/>
          <w:szCs w:val="24"/>
          <w:lang w:eastAsia="en-US"/>
        </w:rPr>
        <w:t xml:space="preserve"> Mariolino Carta</w:t>
      </w:r>
      <w:r w:rsidR="003570DE" w:rsidRPr="003570DE">
        <w:rPr>
          <w:rFonts w:asciiTheme="minorHAnsi" w:eastAsiaTheme="minorHAnsi" w:hAnsiTheme="minorHAnsi" w:cstheme="minorBidi"/>
          <w:b w:val="0"/>
          <w:bCs w:val="0"/>
          <w:kern w:val="0"/>
          <w:sz w:val="24"/>
          <w:szCs w:val="24"/>
          <w:vertAlign w:val="superscript"/>
          <w:lang w:eastAsia="en-US"/>
        </w:rPr>
        <w:t>3</w:t>
      </w:r>
      <w:r w:rsidR="003570DE">
        <w:rPr>
          <w:rFonts w:asciiTheme="minorHAnsi" w:eastAsiaTheme="minorHAnsi" w:hAnsiTheme="minorHAnsi" w:cstheme="minorBidi"/>
          <w:b w:val="0"/>
          <w:bCs w:val="0"/>
          <w:kern w:val="0"/>
          <w:sz w:val="24"/>
          <w:szCs w:val="24"/>
          <w:lang w:eastAsia="en-US"/>
        </w:rPr>
        <w:t>,</w:t>
      </w:r>
      <w:r w:rsidR="0032552D" w:rsidRPr="0032552D">
        <w:rPr>
          <w:rFonts w:asciiTheme="minorHAnsi" w:eastAsiaTheme="minorHAnsi" w:hAnsiTheme="minorHAnsi" w:cstheme="minorBidi"/>
          <w:b w:val="0"/>
          <w:bCs w:val="0"/>
          <w:kern w:val="0"/>
          <w:sz w:val="24"/>
          <w:szCs w:val="24"/>
          <w:lang w:eastAsia="en-US"/>
        </w:rPr>
        <w:t xml:space="preserve"> Neil B. McKeown</w:t>
      </w:r>
      <w:r w:rsidR="0032552D" w:rsidRPr="0032552D">
        <w:rPr>
          <w:rFonts w:asciiTheme="minorHAnsi" w:eastAsiaTheme="minorHAnsi" w:hAnsiTheme="minorHAnsi" w:cstheme="minorBidi"/>
          <w:b w:val="0"/>
          <w:bCs w:val="0"/>
          <w:kern w:val="0"/>
          <w:sz w:val="24"/>
          <w:szCs w:val="24"/>
          <w:vertAlign w:val="superscript"/>
          <w:lang w:eastAsia="en-US"/>
        </w:rPr>
        <w:t>3</w:t>
      </w:r>
      <w:r w:rsidR="0054747A" w:rsidRPr="0032552D">
        <w:rPr>
          <w:rFonts w:asciiTheme="minorHAnsi" w:eastAsiaTheme="minorHAnsi" w:hAnsiTheme="minorHAnsi" w:cstheme="minorBidi"/>
          <w:b w:val="0"/>
          <w:bCs w:val="0"/>
          <w:kern w:val="0"/>
          <w:sz w:val="24"/>
          <w:szCs w:val="24"/>
          <w:lang w:eastAsia="en-US"/>
        </w:rPr>
        <w:t xml:space="preserve">, </w:t>
      </w:r>
      <w:r w:rsidR="003570DE">
        <w:rPr>
          <w:rFonts w:asciiTheme="minorHAnsi" w:eastAsiaTheme="minorHAnsi" w:hAnsiTheme="minorHAnsi" w:cstheme="minorBidi"/>
          <w:b w:val="0"/>
          <w:bCs w:val="0"/>
          <w:kern w:val="0"/>
          <w:sz w:val="24"/>
          <w:szCs w:val="24"/>
          <w:lang w:eastAsia="en-US"/>
        </w:rPr>
        <w:t>Marek Lanc</w:t>
      </w:r>
      <w:bookmarkStart w:id="0" w:name="_GoBack"/>
      <w:r w:rsidR="003570DE" w:rsidRPr="003570DE">
        <w:rPr>
          <w:rFonts w:asciiTheme="minorHAnsi" w:eastAsiaTheme="minorHAnsi" w:hAnsiTheme="minorHAnsi" w:cstheme="minorBidi"/>
          <w:b w:val="0"/>
          <w:bCs w:val="0"/>
          <w:kern w:val="0"/>
          <w:sz w:val="24"/>
          <w:szCs w:val="24"/>
          <w:vertAlign w:val="superscript"/>
          <w:lang w:eastAsia="en-US"/>
        </w:rPr>
        <w:t>4</w:t>
      </w:r>
      <w:bookmarkEnd w:id="0"/>
      <w:r w:rsidR="003570DE">
        <w:rPr>
          <w:rFonts w:asciiTheme="minorHAnsi" w:eastAsiaTheme="minorHAnsi" w:hAnsiTheme="minorHAnsi" w:cstheme="minorBidi"/>
          <w:b w:val="0"/>
          <w:bCs w:val="0"/>
          <w:kern w:val="0"/>
          <w:sz w:val="24"/>
          <w:szCs w:val="24"/>
          <w:lang w:eastAsia="en-US"/>
        </w:rPr>
        <w:t xml:space="preserve">, </w:t>
      </w:r>
      <w:r w:rsidR="0054747A" w:rsidRPr="0032552D">
        <w:rPr>
          <w:rFonts w:asciiTheme="minorHAnsi" w:eastAsiaTheme="minorHAnsi" w:hAnsiTheme="minorHAnsi" w:cstheme="minorBidi"/>
          <w:b w:val="0"/>
          <w:bCs w:val="0"/>
          <w:kern w:val="0"/>
          <w:sz w:val="24"/>
          <w:szCs w:val="24"/>
          <w:lang w:eastAsia="en-US"/>
        </w:rPr>
        <w:t>K</w:t>
      </w:r>
      <w:r w:rsidR="0032552D" w:rsidRPr="0032552D">
        <w:rPr>
          <w:rFonts w:asciiTheme="minorHAnsi" w:eastAsiaTheme="minorHAnsi" w:hAnsiTheme="minorHAnsi" w:cstheme="minorBidi"/>
          <w:b w:val="0"/>
          <w:bCs w:val="0"/>
          <w:kern w:val="0"/>
          <w:sz w:val="24"/>
          <w:szCs w:val="24"/>
          <w:lang w:eastAsia="en-US"/>
        </w:rPr>
        <w:t>arel</w:t>
      </w:r>
      <w:r w:rsidR="0054747A" w:rsidRPr="0032552D">
        <w:rPr>
          <w:rFonts w:asciiTheme="minorHAnsi" w:eastAsiaTheme="minorHAnsi" w:hAnsiTheme="minorHAnsi" w:cstheme="minorBidi"/>
          <w:b w:val="0"/>
          <w:bCs w:val="0"/>
          <w:kern w:val="0"/>
          <w:sz w:val="24"/>
          <w:szCs w:val="24"/>
          <w:lang w:eastAsia="en-US"/>
        </w:rPr>
        <w:t xml:space="preserve"> Friess</w:t>
      </w:r>
      <w:r w:rsidR="0032552D" w:rsidRPr="0032552D">
        <w:rPr>
          <w:rFonts w:asciiTheme="minorHAnsi" w:eastAsiaTheme="minorHAnsi" w:hAnsiTheme="minorHAnsi" w:cstheme="minorBidi"/>
          <w:b w:val="0"/>
          <w:bCs w:val="0"/>
          <w:kern w:val="0"/>
          <w:sz w:val="24"/>
          <w:szCs w:val="24"/>
          <w:vertAlign w:val="superscript"/>
          <w:lang w:eastAsia="en-US"/>
        </w:rPr>
        <w:t>4</w:t>
      </w:r>
      <w:r w:rsidRPr="0032552D">
        <w:rPr>
          <w:rFonts w:asciiTheme="minorHAnsi" w:eastAsiaTheme="minorHAnsi" w:hAnsiTheme="minorHAnsi" w:cstheme="minorBidi"/>
          <w:b w:val="0"/>
          <w:bCs w:val="0"/>
          <w:kern w:val="0"/>
          <w:sz w:val="24"/>
          <w:szCs w:val="24"/>
          <w:lang w:eastAsia="en-US"/>
        </w:rPr>
        <w:t xml:space="preserve">, </w:t>
      </w:r>
      <w:r w:rsidR="00F536B4" w:rsidRPr="0032552D">
        <w:rPr>
          <w:rFonts w:asciiTheme="minorHAnsi" w:eastAsiaTheme="minorHAnsi" w:hAnsiTheme="minorHAnsi" w:cstheme="minorBidi"/>
          <w:b w:val="0"/>
          <w:bCs w:val="0"/>
          <w:kern w:val="0"/>
          <w:sz w:val="24"/>
          <w:szCs w:val="24"/>
          <w:lang w:eastAsia="en-US"/>
        </w:rPr>
        <w:t>John Jansen</w:t>
      </w:r>
      <w:r w:rsidR="00F536B4" w:rsidRPr="0032552D">
        <w:rPr>
          <w:rFonts w:asciiTheme="minorHAnsi" w:eastAsiaTheme="minorHAnsi" w:hAnsiTheme="minorHAnsi" w:cstheme="minorBidi"/>
          <w:b w:val="0"/>
          <w:bCs w:val="0"/>
          <w:kern w:val="0"/>
          <w:sz w:val="24"/>
          <w:szCs w:val="24"/>
          <w:vertAlign w:val="superscript"/>
          <w:lang w:eastAsia="en-US"/>
        </w:rPr>
        <w:t>1</w:t>
      </w:r>
    </w:p>
    <w:p w:rsidR="00F536B4" w:rsidRPr="0032552D" w:rsidRDefault="00F536B4" w:rsidP="0032552D">
      <w:pPr>
        <w:jc w:val="both"/>
        <w:rPr>
          <w:szCs w:val="24"/>
        </w:rPr>
      </w:pPr>
      <w:r w:rsidRPr="0032552D">
        <w:rPr>
          <w:szCs w:val="24"/>
          <w:vertAlign w:val="superscript"/>
        </w:rPr>
        <w:t>1</w:t>
      </w:r>
      <w:r w:rsidRPr="0032552D">
        <w:rPr>
          <w:szCs w:val="24"/>
        </w:rPr>
        <w:t xml:space="preserve"> Institute on Membrane Technology, Consiglio Nazionale delle </w:t>
      </w:r>
      <w:r w:rsidR="008438EE" w:rsidRPr="0032552D">
        <w:rPr>
          <w:szCs w:val="24"/>
        </w:rPr>
        <w:t>Ricerche, ITM-CNR</w:t>
      </w:r>
      <w:r w:rsidRPr="0032552D">
        <w:rPr>
          <w:szCs w:val="24"/>
        </w:rPr>
        <w:t>, Via P. Bucci 17/C, 8703</w:t>
      </w:r>
      <w:r w:rsidR="008438EE" w:rsidRPr="0032552D">
        <w:rPr>
          <w:szCs w:val="24"/>
        </w:rPr>
        <w:t>6</w:t>
      </w:r>
      <w:r w:rsidRPr="0032552D">
        <w:rPr>
          <w:szCs w:val="24"/>
        </w:rPr>
        <w:t xml:space="preserve"> Rende (CS), Italy.</w:t>
      </w:r>
    </w:p>
    <w:p w:rsidR="00F536B4" w:rsidRPr="0032552D" w:rsidRDefault="0032552D" w:rsidP="0032552D">
      <w:pPr>
        <w:jc w:val="both"/>
        <w:rPr>
          <w:szCs w:val="24"/>
          <w:lang w:val="en-US"/>
        </w:rPr>
      </w:pPr>
      <w:r w:rsidRPr="0032552D">
        <w:rPr>
          <w:szCs w:val="24"/>
          <w:vertAlign w:val="superscript"/>
          <w:lang w:val="en-US"/>
        </w:rPr>
        <w:t>2</w:t>
      </w:r>
      <w:r w:rsidRPr="0032552D">
        <w:rPr>
          <w:szCs w:val="24"/>
          <w:lang w:val="en-US"/>
        </w:rPr>
        <w:t xml:space="preserve"> School of Chemistry, University of Manchester, Manchester M13 9PL, UK</w:t>
      </w:r>
    </w:p>
    <w:p w:rsidR="0032552D" w:rsidRPr="0032552D" w:rsidRDefault="0032552D" w:rsidP="0032552D">
      <w:pPr>
        <w:jc w:val="both"/>
        <w:rPr>
          <w:szCs w:val="24"/>
          <w:lang w:val="en-US"/>
        </w:rPr>
      </w:pPr>
      <w:r w:rsidRPr="0032552D">
        <w:rPr>
          <w:szCs w:val="24"/>
          <w:vertAlign w:val="superscript"/>
          <w:lang w:val="en-US"/>
        </w:rPr>
        <w:t xml:space="preserve">3 </w:t>
      </w:r>
      <w:r w:rsidRPr="0032552D">
        <w:rPr>
          <w:rFonts w:cs="Times New Roman"/>
          <w:szCs w:val="24"/>
          <w:lang w:val="en-GB"/>
        </w:rPr>
        <w:t>School of Chemistry, University of Edinburgh, David Brewster Road, EH9 3FJ, UK</w:t>
      </w:r>
    </w:p>
    <w:p w:rsidR="0032552D" w:rsidRPr="00267E05" w:rsidRDefault="0032552D" w:rsidP="0032552D">
      <w:pPr>
        <w:jc w:val="both"/>
        <w:rPr>
          <w:szCs w:val="24"/>
          <w:lang w:val="en-US"/>
        </w:rPr>
      </w:pPr>
      <w:r w:rsidRPr="00267E05">
        <w:rPr>
          <w:szCs w:val="24"/>
          <w:vertAlign w:val="superscript"/>
          <w:lang w:val="en-US"/>
        </w:rPr>
        <w:t xml:space="preserve">4 </w:t>
      </w:r>
      <w:r w:rsidRPr="00267E05">
        <w:rPr>
          <w:szCs w:val="24"/>
          <w:lang w:val="en-US"/>
        </w:rPr>
        <w:t>University of Chemistry and Technology, Prague, Department of Physical Chemistry, Technická 5, 166 28 Prague 6, Czech Republic</w:t>
      </w:r>
    </w:p>
    <w:p w:rsidR="0032552D" w:rsidRPr="00267E05" w:rsidRDefault="0032552D" w:rsidP="0032552D">
      <w:pPr>
        <w:jc w:val="both"/>
        <w:rPr>
          <w:sz w:val="24"/>
          <w:szCs w:val="24"/>
          <w:lang w:val="en-US"/>
        </w:rPr>
      </w:pPr>
    </w:p>
    <w:p w:rsidR="00182EE9" w:rsidRPr="0032552D" w:rsidRDefault="00182EE9" w:rsidP="0032552D">
      <w:pPr>
        <w:jc w:val="both"/>
        <w:rPr>
          <w:sz w:val="24"/>
          <w:szCs w:val="24"/>
          <w:lang w:val="en-GB"/>
        </w:rPr>
      </w:pPr>
      <w:r w:rsidRPr="0032552D">
        <w:rPr>
          <w:sz w:val="24"/>
          <w:szCs w:val="24"/>
          <w:lang w:val="en-GB"/>
        </w:rPr>
        <w:t xml:space="preserve">Polymers of intrinsic microporosity (PIMs) form a novel class of polymers with promising performance in the field of gas and vapour separation membranes. </w:t>
      </w:r>
      <w:r w:rsidR="00892540" w:rsidRPr="0032552D">
        <w:rPr>
          <w:sz w:val="24"/>
          <w:szCs w:val="24"/>
          <w:lang w:val="en-GB"/>
        </w:rPr>
        <w:t>They owe a series of remarkable properties to their rigid and highly contorted polymer backbone, which prevents efficient packing</w:t>
      </w:r>
      <w:r w:rsidR="00615B07" w:rsidRPr="0032552D">
        <w:rPr>
          <w:sz w:val="24"/>
          <w:szCs w:val="24"/>
          <w:lang w:val="en-GB"/>
        </w:rPr>
        <w:t xml:space="preserve"> [</w:t>
      </w:r>
      <w:r w:rsidR="0032552D">
        <w:rPr>
          <w:sz w:val="24"/>
          <w:szCs w:val="24"/>
          <w:lang w:val="en-GB"/>
        </w:rPr>
        <w:t>1</w:t>
      </w:r>
      <w:r w:rsidR="00615B07" w:rsidRPr="0032552D">
        <w:rPr>
          <w:sz w:val="24"/>
          <w:szCs w:val="24"/>
          <w:lang w:val="en-GB"/>
        </w:rPr>
        <w:t>] and causes a high free volume and unusually high gas permeabilities.</w:t>
      </w:r>
    </w:p>
    <w:p w:rsidR="00F54449" w:rsidRPr="0032552D" w:rsidRDefault="00615B07" w:rsidP="0032552D">
      <w:pPr>
        <w:jc w:val="both"/>
        <w:rPr>
          <w:sz w:val="24"/>
          <w:szCs w:val="24"/>
          <w:lang w:val="en-US"/>
        </w:rPr>
      </w:pPr>
      <w:r w:rsidRPr="0032552D">
        <w:rPr>
          <w:sz w:val="24"/>
          <w:szCs w:val="24"/>
          <w:lang w:val="en-US"/>
        </w:rPr>
        <w:t xml:space="preserve">In the present paper, we will study the transport properties of PIMs in comparison with other polymers commonly used for gas separation membranes via detailed analysis of the diffusion </w:t>
      </w:r>
      <w:r w:rsidR="00E92BBD" w:rsidRPr="0032552D">
        <w:rPr>
          <w:sz w:val="24"/>
          <w:szCs w:val="24"/>
          <w:lang w:val="en-US"/>
        </w:rPr>
        <w:t>behavior</w:t>
      </w:r>
      <w:r w:rsidRPr="0032552D">
        <w:rPr>
          <w:sz w:val="24"/>
          <w:szCs w:val="24"/>
          <w:lang w:val="en-US"/>
        </w:rPr>
        <w:t xml:space="preserve">. </w:t>
      </w:r>
      <w:r w:rsidR="00E92BBD" w:rsidRPr="0032552D">
        <w:rPr>
          <w:sz w:val="24"/>
          <w:szCs w:val="24"/>
          <w:lang w:val="en-US"/>
        </w:rPr>
        <w:t>Fig. 1 shows the diffusion coefficient of PIM-</w:t>
      </w:r>
      <w:r w:rsidR="00F54449" w:rsidRPr="0032552D">
        <w:rPr>
          <w:sz w:val="24"/>
          <w:szCs w:val="24"/>
          <w:lang w:val="en-US"/>
        </w:rPr>
        <w:t>BTrip</w:t>
      </w:r>
      <w:r w:rsidR="00E92BBD" w:rsidRPr="0032552D">
        <w:rPr>
          <w:sz w:val="24"/>
          <w:szCs w:val="24"/>
          <w:lang w:val="en-US"/>
        </w:rPr>
        <w:t xml:space="preserve">-TB </w:t>
      </w:r>
      <w:r w:rsidR="00F54449" w:rsidRPr="0032552D">
        <w:rPr>
          <w:sz w:val="24"/>
          <w:szCs w:val="24"/>
          <w:lang w:val="en-US"/>
        </w:rPr>
        <w:t>[</w:t>
      </w:r>
      <w:r w:rsidR="0032552D">
        <w:rPr>
          <w:sz w:val="24"/>
          <w:szCs w:val="24"/>
          <w:lang w:val="en-US"/>
        </w:rPr>
        <w:t>2</w:t>
      </w:r>
      <w:r w:rsidR="00F54449" w:rsidRPr="0032552D">
        <w:rPr>
          <w:sz w:val="24"/>
          <w:szCs w:val="24"/>
          <w:lang w:val="en-US"/>
        </w:rPr>
        <w:t xml:space="preserve">] </w:t>
      </w:r>
      <w:r w:rsidR="00E92BBD" w:rsidRPr="0032552D">
        <w:rPr>
          <w:sz w:val="24"/>
          <w:szCs w:val="24"/>
          <w:lang w:val="en-US"/>
        </w:rPr>
        <w:t xml:space="preserve">in comparison with the rubbery poly(ether-amide) PEBAX® 2533 </w:t>
      </w:r>
      <w:r w:rsidR="00F54449" w:rsidRPr="0032552D">
        <w:rPr>
          <w:sz w:val="24"/>
          <w:szCs w:val="24"/>
          <w:lang w:val="en-US"/>
        </w:rPr>
        <w:t>[</w:t>
      </w:r>
      <w:r w:rsidR="0032552D">
        <w:rPr>
          <w:sz w:val="24"/>
          <w:szCs w:val="24"/>
          <w:lang w:val="en-US"/>
        </w:rPr>
        <w:t>3</w:t>
      </w:r>
      <w:r w:rsidR="00F54449" w:rsidRPr="0032552D">
        <w:rPr>
          <w:sz w:val="24"/>
          <w:szCs w:val="24"/>
          <w:lang w:val="en-US"/>
        </w:rPr>
        <w:t xml:space="preserve">] </w:t>
      </w:r>
      <w:r w:rsidR="00E92BBD" w:rsidRPr="0032552D">
        <w:rPr>
          <w:sz w:val="24"/>
          <w:szCs w:val="24"/>
          <w:lang w:val="en-US"/>
        </w:rPr>
        <w:t>and another high free volume polymer Teflon AF2400</w:t>
      </w:r>
      <w:r w:rsidR="00F54449" w:rsidRPr="0032552D">
        <w:rPr>
          <w:sz w:val="24"/>
          <w:szCs w:val="24"/>
          <w:lang w:val="en-US"/>
        </w:rPr>
        <w:t xml:space="preserve"> [</w:t>
      </w:r>
      <w:r w:rsidR="0032552D">
        <w:rPr>
          <w:sz w:val="24"/>
          <w:szCs w:val="24"/>
          <w:lang w:val="en-US"/>
        </w:rPr>
        <w:t>4</w:t>
      </w:r>
      <w:r w:rsidR="00F54449" w:rsidRPr="0032552D">
        <w:rPr>
          <w:sz w:val="24"/>
          <w:szCs w:val="24"/>
          <w:lang w:val="en-US"/>
        </w:rPr>
        <w:t>]</w:t>
      </w:r>
      <w:r w:rsidR="00E92BBD" w:rsidRPr="0032552D">
        <w:rPr>
          <w:sz w:val="24"/>
          <w:szCs w:val="24"/>
          <w:lang w:val="en-US"/>
        </w:rPr>
        <w:t xml:space="preserve">. The figure </w:t>
      </w:r>
      <w:r w:rsidR="00F54449" w:rsidRPr="0032552D">
        <w:rPr>
          <w:sz w:val="24"/>
          <w:szCs w:val="24"/>
          <w:lang w:val="en-US"/>
        </w:rPr>
        <w:t xml:space="preserve">confirms the high molecular sieve-like [5] size-selectivity for the larger gas molecules due to the extremely stiff polymer structure. </w:t>
      </w:r>
      <w:r w:rsidR="00E113EB">
        <w:rPr>
          <w:sz w:val="24"/>
          <w:szCs w:val="24"/>
          <w:lang w:val="en-US"/>
        </w:rPr>
        <w:t>I</w:t>
      </w:r>
      <w:r w:rsidR="00F54449" w:rsidRPr="0032552D">
        <w:rPr>
          <w:sz w:val="24"/>
          <w:szCs w:val="24"/>
          <w:lang w:val="en-US"/>
        </w:rPr>
        <w:t xml:space="preserve">t also evidences the presence of </w:t>
      </w:r>
      <w:r w:rsidR="00E92BBD" w:rsidRPr="0032552D">
        <w:rPr>
          <w:sz w:val="24"/>
          <w:szCs w:val="24"/>
          <w:lang w:val="en-US"/>
        </w:rPr>
        <w:t xml:space="preserve">two distinct trends in the size-dependence of the diffusion coefficient for small </w:t>
      </w:r>
      <w:r w:rsidR="00F54449" w:rsidRPr="0032552D">
        <w:rPr>
          <w:sz w:val="24"/>
          <w:szCs w:val="24"/>
          <w:lang w:val="en-US"/>
        </w:rPr>
        <w:t>(He and H</w:t>
      </w:r>
      <w:r w:rsidR="00F54449" w:rsidRPr="0032552D">
        <w:rPr>
          <w:sz w:val="24"/>
          <w:szCs w:val="24"/>
          <w:vertAlign w:val="subscript"/>
          <w:lang w:val="en-US"/>
        </w:rPr>
        <w:t>2</w:t>
      </w:r>
      <w:r w:rsidR="00F54449" w:rsidRPr="0032552D">
        <w:rPr>
          <w:sz w:val="24"/>
          <w:szCs w:val="24"/>
          <w:lang w:val="en-US"/>
        </w:rPr>
        <w:t xml:space="preserve">) </w:t>
      </w:r>
      <w:r w:rsidR="00E92BBD" w:rsidRPr="0032552D">
        <w:rPr>
          <w:sz w:val="24"/>
          <w:szCs w:val="24"/>
          <w:lang w:val="en-US"/>
        </w:rPr>
        <w:t xml:space="preserve">and large molecules </w:t>
      </w:r>
      <w:r w:rsidR="00F54449" w:rsidRPr="0032552D">
        <w:rPr>
          <w:sz w:val="24"/>
          <w:szCs w:val="24"/>
          <w:lang w:val="en-US"/>
        </w:rPr>
        <w:t>(N</w:t>
      </w:r>
      <w:r w:rsidR="00F54449" w:rsidRPr="0032552D">
        <w:rPr>
          <w:sz w:val="24"/>
          <w:szCs w:val="24"/>
          <w:vertAlign w:val="subscript"/>
          <w:lang w:val="en-US"/>
        </w:rPr>
        <w:t>2</w:t>
      </w:r>
      <w:r w:rsidR="00F54449" w:rsidRPr="0032552D">
        <w:rPr>
          <w:sz w:val="24"/>
          <w:szCs w:val="24"/>
          <w:lang w:val="en-US"/>
        </w:rPr>
        <w:t>, O</w:t>
      </w:r>
      <w:r w:rsidR="00F54449" w:rsidRPr="0032552D">
        <w:rPr>
          <w:sz w:val="24"/>
          <w:szCs w:val="24"/>
          <w:vertAlign w:val="subscript"/>
          <w:lang w:val="en-US"/>
        </w:rPr>
        <w:t>2</w:t>
      </w:r>
      <w:r w:rsidR="00F54449" w:rsidRPr="0032552D">
        <w:rPr>
          <w:sz w:val="24"/>
          <w:szCs w:val="24"/>
          <w:lang w:val="en-US"/>
        </w:rPr>
        <w:t>, CO</w:t>
      </w:r>
      <w:r w:rsidR="00F54449" w:rsidRPr="0032552D">
        <w:rPr>
          <w:sz w:val="24"/>
          <w:szCs w:val="24"/>
          <w:vertAlign w:val="subscript"/>
          <w:lang w:val="en-US"/>
        </w:rPr>
        <w:t>2</w:t>
      </w:r>
      <w:r w:rsidR="00F54449" w:rsidRPr="0032552D">
        <w:rPr>
          <w:sz w:val="24"/>
          <w:szCs w:val="24"/>
          <w:lang w:val="en-US"/>
        </w:rPr>
        <w:t>, CH</w:t>
      </w:r>
      <w:r w:rsidR="00F54449" w:rsidRPr="0032552D">
        <w:rPr>
          <w:sz w:val="24"/>
          <w:szCs w:val="24"/>
          <w:vertAlign w:val="subscript"/>
          <w:lang w:val="en-US"/>
        </w:rPr>
        <w:t>4</w:t>
      </w:r>
      <w:r w:rsidR="00F54449" w:rsidRPr="0032552D">
        <w:rPr>
          <w:sz w:val="24"/>
          <w:szCs w:val="24"/>
          <w:lang w:val="en-US"/>
        </w:rPr>
        <w:t>), which seems to be a typical characteristic of PIMs.</w:t>
      </w:r>
    </w:p>
    <w:p w:rsidR="003E53D1" w:rsidRPr="0032552D" w:rsidRDefault="00F54449" w:rsidP="0032552D">
      <w:pPr>
        <w:jc w:val="both"/>
        <w:rPr>
          <w:sz w:val="24"/>
          <w:szCs w:val="24"/>
          <w:lang w:val="en-US"/>
        </w:rPr>
      </w:pPr>
      <w:r w:rsidRPr="0032552D">
        <w:rPr>
          <w:sz w:val="24"/>
          <w:szCs w:val="24"/>
          <w:lang w:val="en-US"/>
        </w:rPr>
        <w:t xml:space="preserve">In </w:t>
      </w:r>
      <w:r w:rsidR="00AA38E7">
        <w:rPr>
          <w:sz w:val="24"/>
          <w:szCs w:val="24"/>
          <w:lang w:val="en-US"/>
        </w:rPr>
        <w:t>this</w:t>
      </w:r>
      <w:r w:rsidRPr="0032552D">
        <w:rPr>
          <w:sz w:val="24"/>
          <w:szCs w:val="24"/>
          <w:lang w:val="en-US"/>
        </w:rPr>
        <w:t xml:space="preserve"> work, we will discuss how this behavior is related to the polymer structure via experimental analysis of the diffusion coefficient and via molecular modelling of the polymer structure and its free volume distribution.</w:t>
      </w:r>
    </w:p>
    <w:tbl>
      <w:tblPr>
        <w:tblStyle w:val="TableGridLight"/>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56"/>
      </w:tblGrid>
      <w:tr w:rsidR="00F54449" w:rsidRPr="0032552D" w:rsidTr="00E113EB">
        <w:trPr>
          <w:trHeight w:val="4079"/>
          <w:jc w:val="center"/>
        </w:trPr>
        <w:tc>
          <w:tcPr>
            <w:tcW w:w="6201" w:type="dxa"/>
          </w:tcPr>
          <w:p w:rsidR="00F54449" w:rsidRPr="0032552D" w:rsidRDefault="003E53D1" w:rsidP="00E113EB">
            <w:pPr>
              <w:jc w:val="center"/>
              <w:rPr>
                <w:sz w:val="24"/>
                <w:szCs w:val="24"/>
                <w:lang w:val="en-US"/>
              </w:rPr>
            </w:pPr>
            <w:r>
              <w:rPr>
                <w:noProof/>
                <w:sz w:val="24"/>
                <w:szCs w:val="24"/>
                <w:lang w:eastAsia="it-IT"/>
              </w:rPr>
              <w:drawing>
                <wp:inline distT="0" distB="0" distL="0" distR="0" wp14:anchorId="386E5DB2" wp14:editId="7D0D5A97">
                  <wp:extent cx="3961013" cy="2571750"/>
                  <wp:effectExtent l="0" t="0" r="190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967217" cy="2575778"/>
                          </a:xfrm>
                          <a:prstGeom prst="rect">
                            <a:avLst/>
                          </a:prstGeom>
                          <a:noFill/>
                        </pic:spPr>
                      </pic:pic>
                    </a:graphicData>
                  </a:graphic>
                </wp:inline>
              </w:drawing>
            </w:r>
          </w:p>
        </w:tc>
      </w:tr>
      <w:tr w:rsidR="00F54449" w:rsidRPr="00267E05" w:rsidTr="00E113EB">
        <w:trPr>
          <w:trHeight w:val="452"/>
          <w:jc w:val="center"/>
        </w:trPr>
        <w:tc>
          <w:tcPr>
            <w:tcW w:w="6201" w:type="dxa"/>
          </w:tcPr>
          <w:p w:rsidR="00F54449" w:rsidRPr="0032552D" w:rsidRDefault="00F54449" w:rsidP="0032552D">
            <w:pPr>
              <w:jc w:val="both"/>
              <w:rPr>
                <w:sz w:val="24"/>
                <w:szCs w:val="24"/>
                <w:lang w:val="en-US"/>
              </w:rPr>
            </w:pPr>
            <w:r w:rsidRPr="0032552D">
              <w:rPr>
                <w:sz w:val="24"/>
                <w:szCs w:val="24"/>
                <w:lang w:val="en-US"/>
              </w:rPr>
              <w:t>Figure 1. Diffusion coefficient in different polymers as a function of the effective molecular diameter of the gas [6]</w:t>
            </w:r>
            <w:r w:rsidR="00E113EB">
              <w:rPr>
                <w:sz w:val="24"/>
                <w:szCs w:val="24"/>
                <w:lang w:val="en-US"/>
              </w:rPr>
              <w:t>.</w:t>
            </w:r>
          </w:p>
        </w:tc>
      </w:tr>
    </w:tbl>
    <w:p w:rsidR="003E53D1" w:rsidRPr="003E53D1" w:rsidRDefault="003E53D1" w:rsidP="003E53D1">
      <w:pPr>
        <w:spacing w:before="100" w:beforeAutospacing="1" w:after="100" w:afterAutospacing="1" w:line="240" w:lineRule="auto"/>
        <w:jc w:val="both"/>
        <w:rPr>
          <w:rFonts w:ascii="Times New Roman" w:eastAsia="Times New Roman" w:hAnsi="Times New Roman" w:cs="Times New Roman"/>
          <w:sz w:val="24"/>
          <w:szCs w:val="24"/>
          <w:lang w:val="en-US" w:eastAsia="it-IT"/>
        </w:rPr>
      </w:pPr>
      <w:r w:rsidRPr="003E53D1">
        <w:rPr>
          <w:rFonts w:ascii="Times New Roman" w:eastAsia="Times New Roman" w:hAnsi="Times New Roman" w:cs="Times New Roman"/>
          <w:i/>
          <w:iCs/>
          <w:sz w:val="24"/>
          <w:szCs w:val="24"/>
          <w:lang w:val="en-GB" w:eastAsia="it-IT"/>
        </w:rPr>
        <w:lastRenderedPageBreak/>
        <w:t>Acknowledgements</w:t>
      </w:r>
      <w:r w:rsidRPr="003E53D1">
        <w:rPr>
          <w:rFonts w:ascii="Times New Roman" w:eastAsia="Times New Roman" w:hAnsi="Times New Roman" w:cs="Times New Roman"/>
          <w:sz w:val="24"/>
          <w:szCs w:val="24"/>
          <w:lang w:val="en-GB" w:eastAsia="it-IT"/>
        </w:rPr>
        <w:t>: This research</w:t>
      </w:r>
      <w:r w:rsidRPr="003E53D1">
        <w:rPr>
          <w:rFonts w:ascii="Times New Roman" w:eastAsia="Times New Roman" w:hAnsi="Times New Roman" w:cs="Times New Roman"/>
          <w:sz w:val="24"/>
          <w:szCs w:val="24"/>
          <w:lang w:val="en-US" w:eastAsia="it-IT"/>
        </w:rPr>
        <w:t xml:space="preserve"> received funding from the EU’s Seventh Framework Program, GA 608490, project M</w:t>
      </w:r>
      <w:r w:rsidRPr="003E53D1">
        <w:rPr>
          <w:rFonts w:ascii="Times New Roman" w:eastAsia="Times New Roman" w:hAnsi="Times New Roman" w:cs="Times New Roman"/>
          <w:sz w:val="24"/>
          <w:szCs w:val="24"/>
          <w:vertAlign w:val="superscript"/>
          <w:lang w:val="en-US" w:eastAsia="it-IT"/>
        </w:rPr>
        <w:t>4</w:t>
      </w:r>
      <w:r w:rsidRPr="003E53D1">
        <w:rPr>
          <w:rFonts w:ascii="Times New Roman" w:eastAsia="Times New Roman" w:hAnsi="Times New Roman" w:cs="Times New Roman"/>
          <w:sz w:val="24"/>
          <w:szCs w:val="24"/>
          <w:lang w:val="en-US" w:eastAsia="it-IT"/>
        </w:rPr>
        <w:t>CO</w:t>
      </w:r>
      <w:r w:rsidRPr="003E53D1">
        <w:rPr>
          <w:rFonts w:ascii="Times New Roman" w:eastAsia="Times New Roman" w:hAnsi="Times New Roman" w:cs="Times New Roman"/>
          <w:sz w:val="24"/>
          <w:szCs w:val="24"/>
          <w:vertAlign w:val="subscript"/>
          <w:lang w:val="en-US" w:eastAsia="it-IT"/>
        </w:rPr>
        <w:t>2</w:t>
      </w:r>
      <w:r w:rsidRPr="003E53D1">
        <w:rPr>
          <w:rFonts w:ascii="Times New Roman" w:eastAsia="Times New Roman" w:hAnsi="Times New Roman" w:cs="Times New Roman"/>
          <w:sz w:val="24"/>
          <w:szCs w:val="24"/>
          <w:lang w:val="en-US" w:eastAsia="it-IT"/>
        </w:rPr>
        <w:t>.</w:t>
      </w:r>
    </w:p>
    <w:p w:rsidR="00F54449" w:rsidRPr="0032552D" w:rsidRDefault="00F54449" w:rsidP="0032552D">
      <w:pPr>
        <w:jc w:val="both"/>
        <w:rPr>
          <w:sz w:val="24"/>
          <w:szCs w:val="24"/>
          <w:lang w:val="en-US"/>
        </w:rPr>
      </w:pPr>
    </w:p>
    <w:p w:rsidR="00F54449" w:rsidRPr="0032552D" w:rsidRDefault="0032552D" w:rsidP="00E97141">
      <w:pPr>
        <w:pStyle w:val="NormalWeb"/>
        <w:spacing w:before="0" w:beforeAutospacing="0" w:after="0" w:afterAutospacing="0"/>
        <w:ind w:left="480" w:hanging="480"/>
        <w:jc w:val="both"/>
        <w:rPr>
          <w:rFonts w:asciiTheme="minorHAnsi" w:hAnsiTheme="minorHAnsi"/>
          <w:lang w:val="en-US"/>
        </w:rPr>
      </w:pPr>
      <w:r>
        <w:rPr>
          <w:rFonts w:asciiTheme="minorHAnsi" w:hAnsiTheme="minorHAnsi"/>
          <w:lang w:val="en-US"/>
        </w:rPr>
        <w:t>[1]</w:t>
      </w:r>
      <w:r w:rsidR="00D87DBC">
        <w:rPr>
          <w:rFonts w:asciiTheme="minorHAnsi" w:hAnsiTheme="minorHAnsi"/>
          <w:lang w:val="en-US"/>
        </w:rPr>
        <w:t xml:space="preserve"> </w:t>
      </w:r>
      <w:r w:rsidR="0029437E">
        <w:rPr>
          <w:rFonts w:asciiTheme="minorHAnsi" w:hAnsiTheme="minorHAnsi"/>
          <w:lang w:val="en-US"/>
        </w:rPr>
        <w:t xml:space="preserve">NB </w:t>
      </w:r>
      <w:r w:rsidR="00F54449" w:rsidRPr="0032552D">
        <w:rPr>
          <w:rFonts w:asciiTheme="minorHAnsi" w:hAnsiTheme="minorHAnsi"/>
          <w:lang w:val="en-US"/>
        </w:rPr>
        <w:t>McKeown,</w:t>
      </w:r>
      <w:r w:rsidR="0029437E">
        <w:rPr>
          <w:rFonts w:asciiTheme="minorHAnsi" w:hAnsiTheme="minorHAnsi"/>
          <w:lang w:val="en-US"/>
        </w:rPr>
        <w:t xml:space="preserve"> PM</w:t>
      </w:r>
      <w:r w:rsidR="00F54449" w:rsidRPr="0032552D">
        <w:rPr>
          <w:rFonts w:asciiTheme="minorHAnsi" w:hAnsiTheme="minorHAnsi"/>
          <w:lang w:val="en-US"/>
        </w:rPr>
        <w:t xml:space="preserve"> Budd</w:t>
      </w:r>
      <w:r w:rsidR="0029437E">
        <w:rPr>
          <w:rFonts w:asciiTheme="minorHAnsi" w:hAnsiTheme="minorHAnsi"/>
          <w:lang w:val="en-US"/>
        </w:rPr>
        <w:t xml:space="preserve">; </w:t>
      </w:r>
      <w:r w:rsidR="00F54449" w:rsidRPr="0032552D">
        <w:rPr>
          <w:rFonts w:asciiTheme="minorHAnsi" w:hAnsiTheme="minorHAnsi"/>
          <w:lang w:val="en-US"/>
        </w:rPr>
        <w:t>Macromolecules</w:t>
      </w:r>
      <w:r w:rsidR="0029437E">
        <w:rPr>
          <w:rFonts w:asciiTheme="minorHAnsi" w:hAnsiTheme="minorHAnsi"/>
          <w:lang w:val="en-US"/>
        </w:rPr>
        <w:t>,</w:t>
      </w:r>
      <w:r w:rsidR="0029437E" w:rsidRPr="0029437E">
        <w:rPr>
          <w:rFonts w:asciiTheme="minorHAnsi" w:hAnsiTheme="minorHAnsi"/>
          <w:b/>
          <w:lang w:val="en-US"/>
        </w:rPr>
        <w:t xml:space="preserve"> 2010</w:t>
      </w:r>
      <w:r w:rsidR="0029437E" w:rsidRPr="0029437E">
        <w:rPr>
          <w:rFonts w:asciiTheme="minorHAnsi" w:hAnsiTheme="minorHAnsi"/>
          <w:lang w:val="en-US"/>
        </w:rPr>
        <w:t>,</w:t>
      </w:r>
      <w:r w:rsidR="00F54449" w:rsidRPr="0032552D">
        <w:rPr>
          <w:rFonts w:asciiTheme="minorHAnsi" w:hAnsiTheme="minorHAnsi"/>
          <w:lang w:val="en-US"/>
        </w:rPr>
        <w:t xml:space="preserve"> </w:t>
      </w:r>
      <w:r w:rsidR="00F54449" w:rsidRPr="0029437E">
        <w:rPr>
          <w:rFonts w:asciiTheme="minorHAnsi" w:hAnsiTheme="minorHAnsi"/>
          <w:i/>
          <w:lang w:val="en-US"/>
        </w:rPr>
        <w:t>43</w:t>
      </w:r>
      <w:r w:rsidR="0029437E">
        <w:rPr>
          <w:rFonts w:asciiTheme="minorHAnsi" w:hAnsiTheme="minorHAnsi"/>
          <w:lang w:val="en-US"/>
        </w:rPr>
        <w:t xml:space="preserve">, </w:t>
      </w:r>
      <w:r w:rsidR="00F54449" w:rsidRPr="0032552D">
        <w:rPr>
          <w:rFonts w:asciiTheme="minorHAnsi" w:hAnsiTheme="minorHAnsi"/>
          <w:lang w:val="en-US"/>
        </w:rPr>
        <w:t xml:space="preserve">5163–5176. </w:t>
      </w:r>
    </w:p>
    <w:p w:rsidR="00F54449" w:rsidRPr="0032552D" w:rsidRDefault="0032552D" w:rsidP="00E97141">
      <w:pPr>
        <w:pStyle w:val="NormalWeb"/>
        <w:spacing w:before="0" w:beforeAutospacing="0" w:after="0" w:afterAutospacing="0"/>
        <w:ind w:left="480" w:hanging="480"/>
        <w:jc w:val="both"/>
        <w:rPr>
          <w:rFonts w:asciiTheme="minorHAnsi" w:hAnsiTheme="minorHAnsi"/>
          <w:lang w:val="en-US"/>
        </w:rPr>
      </w:pPr>
      <w:r>
        <w:rPr>
          <w:rFonts w:asciiTheme="minorHAnsi" w:hAnsiTheme="minorHAnsi"/>
          <w:lang w:val="en-US"/>
        </w:rPr>
        <w:t>[2]</w:t>
      </w:r>
      <w:r w:rsidR="00D87DBC">
        <w:rPr>
          <w:rFonts w:asciiTheme="minorHAnsi" w:hAnsiTheme="minorHAnsi"/>
          <w:lang w:val="en-US"/>
        </w:rPr>
        <w:t xml:space="preserve"> </w:t>
      </w:r>
      <w:r w:rsidR="0029437E">
        <w:rPr>
          <w:rFonts w:asciiTheme="minorHAnsi" w:hAnsiTheme="minorHAnsi"/>
          <w:lang w:val="en-US"/>
        </w:rPr>
        <w:t xml:space="preserve">I Rose </w:t>
      </w:r>
      <w:r w:rsidR="00F54449" w:rsidRPr="0029437E">
        <w:rPr>
          <w:rFonts w:asciiTheme="minorHAnsi" w:hAnsiTheme="minorHAnsi"/>
          <w:i/>
          <w:lang w:val="en-US"/>
        </w:rPr>
        <w:t>et al</w:t>
      </w:r>
      <w:r w:rsidR="0029437E">
        <w:rPr>
          <w:rFonts w:asciiTheme="minorHAnsi" w:hAnsiTheme="minorHAnsi"/>
          <w:i/>
          <w:lang w:val="en-US"/>
        </w:rPr>
        <w:t>.</w:t>
      </w:r>
      <w:r w:rsidR="0029437E" w:rsidRPr="0029437E">
        <w:rPr>
          <w:rFonts w:asciiTheme="minorHAnsi" w:hAnsiTheme="minorHAnsi"/>
          <w:lang w:val="en-US"/>
        </w:rPr>
        <w:t>;</w:t>
      </w:r>
      <w:r w:rsidR="00F54449" w:rsidRPr="0032552D">
        <w:rPr>
          <w:rFonts w:asciiTheme="minorHAnsi" w:hAnsiTheme="minorHAnsi"/>
          <w:lang w:val="en-US"/>
        </w:rPr>
        <w:t xml:space="preserve"> </w:t>
      </w:r>
      <w:r w:rsidR="0029437E" w:rsidRPr="0032552D">
        <w:rPr>
          <w:rFonts w:asciiTheme="minorHAnsi" w:hAnsiTheme="minorHAnsi"/>
          <w:lang w:val="en-US"/>
        </w:rPr>
        <w:t>ACS Macro Lett</w:t>
      </w:r>
      <w:r w:rsidR="0029437E">
        <w:rPr>
          <w:rFonts w:asciiTheme="minorHAnsi" w:hAnsiTheme="minorHAnsi"/>
          <w:lang w:val="en-US"/>
        </w:rPr>
        <w:t>,</w:t>
      </w:r>
      <w:r w:rsidR="0029437E" w:rsidRPr="0032552D">
        <w:rPr>
          <w:rFonts w:asciiTheme="minorHAnsi" w:hAnsiTheme="minorHAnsi"/>
          <w:lang w:val="en-US"/>
        </w:rPr>
        <w:t xml:space="preserve"> </w:t>
      </w:r>
      <w:r w:rsidR="0029437E" w:rsidRPr="0029437E">
        <w:rPr>
          <w:rFonts w:asciiTheme="minorHAnsi" w:hAnsiTheme="minorHAnsi"/>
          <w:b/>
          <w:lang w:val="en-US"/>
        </w:rPr>
        <w:t>2015</w:t>
      </w:r>
      <w:r w:rsidR="0029437E">
        <w:rPr>
          <w:rFonts w:asciiTheme="minorHAnsi" w:hAnsiTheme="minorHAnsi"/>
          <w:lang w:val="en-US"/>
        </w:rPr>
        <w:t>,</w:t>
      </w:r>
      <w:r w:rsidR="00F54449" w:rsidRPr="0032552D">
        <w:rPr>
          <w:rFonts w:asciiTheme="minorHAnsi" w:hAnsiTheme="minorHAnsi"/>
          <w:lang w:val="en-US"/>
        </w:rPr>
        <w:t xml:space="preserve"> </w:t>
      </w:r>
      <w:r w:rsidR="00F54449" w:rsidRPr="0029437E">
        <w:rPr>
          <w:rFonts w:asciiTheme="minorHAnsi" w:hAnsiTheme="minorHAnsi"/>
          <w:i/>
          <w:lang w:val="en-US"/>
        </w:rPr>
        <w:t>4</w:t>
      </w:r>
      <w:r w:rsidR="0029437E">
        <w:rPr>
          <w:rFonts w:asciiTheme="minorHAnsi" w:hAnsiTheme="minorHAnsi"/>
          <w:lang w:val="en-US"/>
        </w:rPr>
        <w:t xml:space="preserve">, </w:t>
      </w:r>
      <w:r w:rsidR="00D87DBC">
        <w:rPr>
          <w:rFonts w:asciiTheme="minorHAnsi" w:hAnsiTheme="minorHAnsi"/>
          <w:lang w:val="en-US"/>
        </w:rPr>
        <w:t>912–915.</w:t>
      </w:r>
    </w:p>
    <w:p w:rsidR="00F54449" w:rsidRPr="0032552D" w:rsidRDefault="0032552D" w:rsidP="00E97141">
      <w:pPr>
        <w:pStyle w:val="NormalWeb"/>
        <w:spacing w:before="0" w:beforeAutospacing="0" w:after="0" w:afterAutospacing="0"/>
        <w:ind w:left="480" w:hanging="480"/>
        <w:jc w:val="both"/>
        <w:rPr>
          <w:rFonts w:asciiTheme="minorHAnsi" w:hAnsiTheme="minorHAnsi"/>
          <w:lang w:val="en-US"/>
        </w:rPr>
      </w:pPr>
      <w:r w:rsidRPr="0029437E">
        <w:rPr>
          <w:rFonts w:asciiTheme="minorHAnsi" w:hAnsiTheme="minorHAnsi"/>
          <w:lang w:val="en-US"/>
        </w:rPr>
        <w:t>[3]</w:t>
      </w:r>
      <w:r w:rsidR="00D87DBC">
        <w:rPr>
          <w:rFonts w:asciiTheme="minorHAnsi" w:hAnsiTheme="minorHAnsi"/>
          <w:lang w:val="en-US"/>
        </w:rPr>
        <w:t xml:space="preserve"> </w:t>
      </w:r>
      <w:r w:rsidR="00E97141">
        <w:rPr>
          <w:rFonts w:asciiTheme="minorHAnsi" w:hAnsiTheme="minorHAnsi"/>
          <w:lang w:val="en-US"/>
        </w:rPr>
        <w:t>P</w:t>
      </w:r>
      <w:r w:rsidR="0029437E">
        <w:rPr>
          <w:rFonts w:asciiTheme="minorHAnsi" w:hAnsiTheme="minorHAnsi"/>
          <w:lang w:val="en-US"/>
        </w:rPr>
        <w:t xml:space="preserve"> Bernardo </w:t>
      </w:r>
      <w:r w:rsidR="00F54449" w:rsidRPr="0029437E">
        <w:rPr>
          <w:rFonts w:asciiTheme="minorHAnsi" w:hAnsiTheme="minorHAnsi"/>
          <w:i/>
          <w:lang w:val="en-US"/>
        </w:rPr>
        <w:t>et al</w:t>
      </w:r>
      <w:r w:rsidR="0029437E">
        <w:rPr>
          <w:rFonts w:asciiTheme="minorHAnsi" w:hAnsiTheme="minorHAnsi"/>
          <w:i/>
          <w:lang w:val="en-US"/>
        </w:rPr>
        <w:t>.</w:t>
      </w:r>
      <w:r w:rsidR="0029437E">
        <w:rPr>
          <w:rFonts w:asciiTheme="minorHAnsi" w:hAnsiTheme="minorHAnsi"/>
          <w:lang w:val="en-US"/>
        </w:rPr>
        <w:t>;</w:t>
      </w:r>
      <w:r w:rsidR="00F54449" w:rsidRPr="0029437E">
        <w:rPr>
          <w:rFonts w:asciiTheme="minorHAnsi" w:hAnsiTheme="minorHAnsi"/>
          <w:lang w:val="en-US"/>
        </w:rPr>
        <w:t xml:space="preserve"> </w:t>
      </w:r>
      <w:r w:rsidR="00F54449" w:rsidRPr="0032552D">
        <w:rPr>
          <w:rFonts w:asciiTheme="minorHAnsi" w:hAnsiTheme="minorHAnsi"/>
          <w:lang w:val="en-US"/>
        </w:rPr>
        <w:t>Sep Purif Technol</w:t>
      </w:r>
      <w:r w:rsidR="0029437E">
        <w:rPr>
          <w:rFonts w:asciiTheme="minorHAnsi" w:hAnsiTheme="minorHAnsi"/>
          <w:lang w:val="en-US"/>
        </w:rPr>
        <w:t xml:space="preserve"> </w:t>
      </w:r>
      <w:r w:rsidR="0029437E" w:rsidRPr="0029437E">
        <w:rPr>
          <w:rFonts w:asciiTheme="minorHAnsi" w:hAnsiTheme="minorHAnsi"/>
          <w:b/>
          <w:lang w:val="en-US"/>
        </w:rPr>
        <w:t>2012</w:t>
      </w:r>
      <w:r w:rsidR="0029437E" w:rsidRPr="0029437E">
        <w:rPr>
          <w:rFonts w:asciiTheme="minorHAnsi" w:hAnsiTheme="minorHAnsi"/>
          <w:lang w:val="en-US"/>
        </w:rPr>
        <w:t>,</w:t>
      </w:r>
      <w:r w:rsidR="00F54449" w:rsidRPr="0032552D">
        <w:rPr>
          <w:rFonts w:asciiTheme="minorHAnsi" w:hAnsiTheme="minorHAnsi"/>
          <w:lang w:val="en-US"/>
        </w:rPr>
        <w:t xml:space="preserve"> </w:t>
      </w:r>
      <w:r w:rsidR="00F54449" w:rsidRPr="0029437E">
        <w:rPr>
          <w:rFonts w:asciiTheme="minorHAnsi" w:hAnsiTheme="minorHAnsi"/>
          <w:i/>
          <w:lang w:val="en-US"/>
        </w:rPr>
        <w:t>97</w:t>
      </w:r>
      <w:r w:rsidR="0029437E">
        <w:rPr>
          <w:rFonts w:asciiTheme="minorHAnsi" w:hAnsiTheme="minorHAnsi"/>
          <w:lang w:val="en-US"/>
        </w:rPr>
        <w:t>,</w:t>
      </w:r>
      <w:r w:rsidR="00D87DBC">
        <w:rPr>
          <w:rFonts w:asciiTheme="minorHAnsi" w:hAnsiTheme="minorHAnsi"/>
          <w:lang w:val="en-US"/>
        </w:rPr>
        <w:t xml:space="preserve"> 73–82.</w:t>
      </w:r>
    </w:p>
    <w:p w:rsidR="00F54449" w:rsidRPr="0032552D" w:rsidRDefault="0032552D" w:rsidP="00E97141">
      <w:pPr>
        <w:pStyle w:val="NormalWeb"/>
        <w:spacing w:before="0" w:beforeAutospacing="0" w:after="0" w:afterAutospacing="0"/>
        <w:ind w:left="480" w:hanging="480"/>
        <w:jc w:val="both"/>
        <w:rPr>
          <w:rFonts w:asciiTheme="minorHAnsi" w:hAnsiTheme="minorHAnsi"/>
          <w:lang w:val="en-US"/>
        </w:rPr>
      </w:pPr>
      <w:r>
        <w:rPr>
          <w:rFonts w:asciiTheme="minorHAnsi" w:hAnsiTheme="minorHAnsi"/>
          <w:lang w:val="en-US"/>
        </w:rPr>
        <w:t>[4]</w:t>
      </w:r>
      <w:r w:rsidR="00D87DBC">
        <w:rPr>
          <w:rFonts w:asciiTheme="minorHAnsi" w:hAnsiTheme="minorHAnsi"/>
          <w:lang w:val="en-US"/>
        </w:rPr>
        <w:t xml:space="preserve"> </w:t>
      </w:r>
      <w:r w:rsidR="0029437E">
        <w:rPr>
          <w:rFonts w:asciiTheme="minorHAnsi" w:hAnsiTheme="minorHAnsi"/>
          <w:lang w:val="en-US"/>
        </w:rPr>
        <w:t xml:space="preserve">JC </w:t>
      </w:r>
      <w:r w:rsidR="00F54449" w:rsidRPr="0032552D">
        <w:rPr>
          <w:rFonts w:asciiTheme="minorHAnsi" w:hAnsiTheme="minorHAnsi"/>
          <w:lang w:val="en-US"/>
        </w:rPr>
        <w:t>Jansen,</w:t>
      </w:r>
      <w:r w:rsidR="00E97141">
        <w:rPr>
          <w:rFonts w:asciiTheme="minorHAnsi" w:hAnsiTheme="minorHAnsi"/>
          <w:lang w:val="en-US"/>
        </w:rPr>
        <w:t xml:space="preserve"> K</w:t>
      </w:r>
      <w:r w:rsidR="0029437E">
        <w:rPr>
          <w:rFonts w:asciiTheme="minorHAnsi" w:hAnsiTheme="minorHAnsi"/>
          <w:lang w:val="en-US"/>
        </w:rPr>
        <w:t xml:space="preserve"> Friess</w:t>
      </w:r>
      <w:r w:rsidR="00F54449" w:rsidRPr="0032552D">
        <w:rPr>
          <w:rFonts w:asciiTheme="minorHAnsi" w:hAnsiTheme="minorHAnsi"/>
          <w:lang w:val="en-US"/>
        </w:rPr>
        <w:t>,</w:t>
      </w:r>
      <w:r w:rsidR="0029437E">
        <w:rPr>
          <w:rFonts w:asciiTheme="minorHAnsi" w:hAnsiTheme="minorHAnsi"/>
          <w:lang w:val="en-US"/>
        </w:rPr>
        <w:t xml:space="preserve"> E</w:t>
      </w:r>
      <w:r w:rsidR="00F54449" w:rsidRPr="0032552D">
        <w:rPr>
          <w:rFonts w:asciiTheme="minorHAnsi" w:hAnsiTheme="minorHAnsi"/>
          <w:lang w:val="en-US"/>
        </w:rPr>
        <w:t xml:space="preserve"> Drioli</w:t>
      </w:r>
      <w:r w:rsidR="0029437E">
        <w:rPr>
          <w:rFonts w:asciiTheme="minorHAnsi" w:hAnsiTheme="minorHAnsi"/>
          <w:lang w:val="en-US"/>
        </w:rPr>
        <w:t xml:space="preserve">; J Memb Sci, </w:t>
      </w:r>
      <w:r w:rsidR="0029437E" w:rsidRPr="0029437E">
        <w:rPr>
          <w:rFonts w:asciiTheme="minorHAnsi" w:hAnsiTheme="minorHAnsi"/>
          <w:b/>
          <w:lang w:val="en-US"/>
        </w:rPr>
        <w:t>2011</w:t>
      </w:r>
      <w:r w:rsidR="0029437E" w:rsidRPr="0029437E">
        <w:rPr>
          <w:rFonts w:asciiTheme="minorHAnsi" w:hAnsiTheme="minorHAnsi"/>
          <w:lang w:val="en-US"/>
        </w:rPr>
        <w:t>,</w:t>
      </w:r>
      <w:r w:rsidR="0029437E">
        <w:rPr>
          <w:rFonts w:asciiTheme="minorHAnsi" w:hAnsiTheme="minorHAnsi"/>
          <w:b/>
          <w:lang w:val="en-US"/>
        </w:rPr>
        <w:t xml:space="preserve"> </w:t>
      </w:r>
      <w:r w:rsidR="00F54449" w:rsidRPr="0029437E">
        <w:rPr>
          <w:rFonts w:asciiTheme="minorHAnsi" w:hAnsiTheme="minorHAnsi"/>
          <w:i/>
          <w:lang w:val="en-US"/>
        </w:rPr>
        <w:t>367</w:t>
      </w:r>
      <w:r w:rsidR="0029437E">
        <w:rPr>
          <w:rFonts w:asciiTheme="minorHAnsi" w:hAnsiTheme="minorHAnsi"/>
          <w:lang w:val="en-US"/>
        </w:rPr>
        <w:t>,</w:t>
      </w:r>
      <w:r w:rsidR="00D87DBC">
        <w:rPr>
          <w:rFonts w:asciiTheme="minorHAnsi" w:hAnsiTheme="minorHAnsi"/>
          <w:lang w:val="en-US"/>
        </w:rPr>
        <w:t xml:space="preserve"> 141–151.</w:t>
      </w:r>
    </w:p>
    <w:p w:rsidR="00054B40" w:rsidRPr="00E97141" w:rsidRDefault="00215980" w:rsidP="00E97141">
      <w:pPr>
        <w:spacing w:after="0" w:line="240" w:lineRule="auto"/>
        <w:jc w:val="both"/>
        <w:rPr>
          <w:sz w:val="24"/>
          <w:szCs w:val="24"/>
        </w:rPr>
      </w:pPr>
      <w:r w:rsidRPr="00E97141">
        <w:rPr>
          <w:sz w:val="24"/>
          <w:szCs w:val="24"/>
        </w:rPr>
        <w:t>[</w:t>
      </w:r>
      <w:r w:rsidR="00F54449" w:rsidRPr="00E97141">
        <w:rPr>
          <w:sz w:val="24"/>
          <w:szCs w:val="24"/>
        </w:rPr>
        <w:t>5</w:t>
      </w:r>
      <w:r w:rsidRPr="00E97141">
        <w:rPr>
          <w:sz w:val="24"/>
          <w:szCs w:val="24"/>
        </w:rPr>
        <w:t xml:space="preserve">] </w:t>
      </w:r>
      <w:r w:rsidR="00E97141" w:rsidRPr="00E97141">
        <w:rPr>
          <w:sz w:val="24"/>
          <w:szCs w:val="24"/>
        </w:rPr>
        <w:t>M</w:t>
      </w:r>
      <w:r w:rsidR="00054B40" w:rsidRPr="00E97141">
        <w:rPr>
          <w:sz w:val="24"/>
          <w:szCs w:val="24"/>
        </w:rPr>
        <w:t xml:space="preserve"> Carta </w:t>
      </w:r>
      <w:r w:rsidR="00054B40" w:rsidRPr="00E97141">
        <w:rPr>
          <w:i/>
          <w:sz w:val="24"/>
          <w:szCs w:val="24"/>
        </w:rPr>
        <w:t>et al.</w:t>
      </w:r>
      <w:r w:rsidR="00054B40" w:rsidRPr="00E97141">
        <w:rPr>
          <w:sz w:val="24"/>
          <w:szCs w:val="24"/>
        </w:rPr>
        <w:t>; Science</w:t>
      </w:r>
      <w:r w:rsidR="00F54449" w:rsidRPr="00E97141">
        <w:rPr>
          <w:sz w:val="24"/>
          <w:szCs w:val="24"/>
        </w:rPr>
        <w:t xml:space="preserve">, </w:t>
      </w:r>
      <w:r w:rsidR="00F54449" w:rsidRPr="00E97141">
        <w:rPr>
          <w:b/>
          <w:sz w:val="24"/>
          <w:szCs w:val="24"/>
        </w:rPr>
        <w:t>2013</w:t>
      </w:r>
      <w:r w:rsidR="00F54449" w:rsidRPr="00E97141">
        <w:rPr>
          <w:sz w:val="24"/>
          <w:szCs w:val="24"/>
        </w:rPr>
        <w:t>,</w:t>
      </w:r>
      <w:r w:rsidR="00054B40" w:rsidRPr="00E97141">
        <w:rPr>
          <w:sz w:val="24"/>
          <w:szCs w:val="24"/>
        </w:rPr>
        <w:t xml:space="preserve"> </w:t>
      </w:r>
      <w:r w:rsidR="00054B40" w:rsidRPr="00E97141">
        <w:rPr>
          <w:i/>
          <w:sz w:val="24"/>
          <w:szCs w:val="24"/>
        </w:rPr>
        <w:t>339</w:t>
      </w:r>
      <w:r w:rsidR="00F54449" w:rsidRPr="00E97141">
        <w:rPr>
          <w:sz w:val="24"/>
          <w:szCs w:val="24"/>
        </w:rPr>
        <w:t>, 303-307.</w:t>
      </w:r>
    </w:p>
    <w:p w:rsidR="00F54449" w:rsidRPr="0032552D" w:rsidRDefault="0032552D" w:rsidP="00E97141">
      <w:pPr>
        <w:pStyle w:val="NormalWeb"/>
        <w:spacing w:before="0" w:beforeAutospacing="0" w:after="0" w:afterAutospacing="0"/>
        <w:ind w:left="480" w:hanging="480"/>
        <w:jc w:val="both"/>
        <w:rPr>
          <w:rFonts w:asciiTheme="minorHAnsi" w:hAnsiTheme="minorHAnsi"/>
          <w:lang w:val="en-US"/>
        </w:rPr>
      </w:pPr>
      <w:r>
        <w:rPr>
          <w:rFonts w:asciiTheme="minorHAnsi" w:hAnsiTheme="minorHAnsi"/>
          <w:lang w:val="en-US"/>
        </w:rPr>
        <w:t>[6]</w:t>
      </w:r>
      <w:r w:rsidR="00D87DBC">
        <w:rPr>
          <w:rFonts w:asciiTheme="minorHAnsi" w:hAnsiTheme="minorHAnsi"/>
          <w:lang w:val="en-US"/>
        </w:rPr>
        <w:t xml:space="preserve"> </w:t>
      </w:r>
      <w:r w:rsidR="0029437E">
        <w:rPr>
          <w:rFonts w:asciiTheme="minorHAnsi" w:hAnsiTheme="minorHAnsi"/>
          <w:lang w:val="en-US"/>
        </w:rPr>
        <w:t>V Teplyakov</w:t>
      </w:r>
      <w:r w:rsidR="00F54449" w:rsidRPr="0032552D">
        <w:rPr>
          <w:rFonts w:asciiTheme="minorHAnsi" w:hAnsiTheme="minorHAnsi"/>
          <w:lang w:val="en-US"/>
        </w:rPr>
        <w:t>,</w:t>
      </w:r>
      <w:r w:rsidR="0029437E">
        <w:rPr>
          <w:rFonts w:asciiTheme="minorHAnsi" w:hAnsiTheme="minorHAnsi"/>
          <w:lang w:val="en-US"/>
        </w:rPr>
        <w:t xml:space="preserve"> P</w:t>
      </w:r>
      <w:r w:rsidR="00F54449" w:rsidRPr="0032552D">
        <w:rPr>
          <w:rFonts w:asciiTheme="minorHAnsi" w:hAnsiTheme="minorHAnsi"/>
          <w:lang w:val="en-US"/>
        </w:rPr>
        <w:t xml:space="preserve"> Meares</w:t>
      </w:r>
      <w:r w:rsidR="003E53D1">
        <w:rPr>
          <w:rFonts w:asciiTheme="minorHAnsi" w:hAnsiTheme="minorHAnsi"/>
          <w:lang w:val="en-US"/>
        </w:rPr>
        <w:t>;</w:t>
      </w:r>
      <w:r w:rsidR="00F54449" w:rsidRPr="0032552D">
        <w:rPr>
          <w:rFonts w:asciiTheme="minorHAnsi" w:hAnsiTheme="minorHAnsi"/>
          <w:lang w:val="en-US"/>
        </w:rPr>
        <w:t xml:space="preserve"> Gas Sep Purif</w:t>
      </w:r>
      <w:r w:rsidR="0029437E">
        <w:rPr>
          <w:rFonts w:asciiTheme="minorHAnsi" w:hAnsiTheme="minorHAnsi"/>
          <w:lang w:val="en-US"/>
        </w:rPr>
        <w:t>,</w:t>
      </w:r>
      <w:r w:rsidR="00F54449" w:rsidRPr="0032552D">
        <w:rPr>
          <w:rFonts w:asciiTheme="minorHAnsi" w:hAnsiTheme="minorHAnsi"/>
          <w:lang w:val="en-US"/>
        </w:rPr>
        <w:t xml:space="preserve"> </w:t>
      </w:r>
      <w:r w:rsidR="0029437E" w:rsidRPr="0029437E">
        <w:rPr>
          <w:rFonts w:asciiTheme="minorHAnsi" w:hAnsiTheme="minorHAnsi"/>
          <w:b/>
          <w:lang w:val="en-US"/>
        </w:rPr>
        <w:t>1990</w:t>
      </w:r>
      <w:r w:rsidR="0029437E">
        <w:rPr>
          <w:rFonts w:asciiTheme="minorHAnsi" w:hAnsiTheme="minorHAnsi"/>
          <w:lang w:val="en-US"/>
        </w:rPr>
        <w:t xml:space="preserve">, </w:t>
      </w:r>
      <w:r w:rsidR="00F54449" w:rsidRPr="0029437E">
        <w:rPr>
          <w:rFonts w:asciiTheme="minorHAnsi" w:hAnsiTheme="minorHAnsi"/>
          <w:i/>
          <w:lang w:val="en-US"/>
        </w:rPr>
        <w:t>4</w:t>
      </w:r>
      <w:r w:rsidR="0029437E">
        <w:rPr>
          <w:rFonts w:asciiTheme="minorHAnsi" w:hAnsiTheme="minorHAnsi"/>
          <w:lang w:val="en-US"/>
        </w:rPr>
        <w:t>,</w:t>
      </w:r>
      <w:r w:rsidR="00D87DBC">
        <w:rPr>
          <w:rFonts w:asciiTheme="minorHAnsi" w:hAnsiTheme="minorHAnsi"/>
          <w:lang w:val="en-US"/>
        </w:rPr>
        <w:t xml:space="preserve"> </w:t>
      </w:r>
      <w:r w:rsidR="00F54449" w:rsidRPr="0032552D">
        <w:rPr>
          <w:rFonts w:asciiTheme="minorHAnsi" w:hAnsiTheme="minorHAnsi"/>
          <w:lang w:val="en-US"/>
        </w:rPr>
        <w:t>66–74.</w:t>
      </w:r>
    </w:p>
    <w:p w:rsidR="0029437E" w:rsidRPr="0032552D" w:rsidRDefault="0029437E">
      <w:pPr>
        <w:pStyle w:val="NormalWeb"/>
        <w:ind w:left="480" w:hanging="480"/>
        <w:jc w:val="both"/>
        <w:rPr>
          <w:rFonts w:asciiTheme="minorHAnsi" w:hAnsiTheme="minorHAnsi"/>
          <w:lang w:val="en-US"/>
        </w:rPr>
      </w:pPr>
    </w:p>
    <w:sectPr w:rsidR="0029437E" w:rsidRPr="0032552D">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F44C5" w:rsidRDefault="003F44C5" w:rsidP="0032552D">
      <w:pPr>
        <w:spacing w:after="0" w:line="240" w:lineRule="auto"/>
      </w:pPr>
      <w:r>
        <w:separator/>
      </w:r>
    </w:p>
  </w:endnote>
  <w:endnote w:type="continuationSeparator" w:id="0">
    <w:p w:rsidR="003F44C5" w:rsidRDefault="003F44C5" w:rsidP="003255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F44C5" w:rsidRDefault="003F44C5" w:rsidP="0032552D">
      <w:pPr>
        <w:spacing w:after="0" w:line="240" w:lineRule="auto"/>
      </w:pPr>
      <w:r>
        <w:separator/>
      </w:r>
    </w:p>
  </w:footnote>
  <w:footnote w:type="continuationSeparator" w:id="0">
    <w:p w:rsidR="003F44C5" w:rsidRDefault="003F44C5" w:rsidP="0032552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4B40"/>
    <w:rsid w:val="00054B40"/>
    <w:rsid w:val="00182EE9"/>
    <w:rsid w:val="00183650"/>
    <w:rsid w:val="00215980"/>
    <w:rsid w:val="002323D4"/>
    <w:rsid w:val="00267E05"/>
    <w:rsid w:val="0029437E"/>
    <w:rsid w:val="0032552D"/>
    <w:rsid w:val="003570DE"/>
    <w:rsid w:val="003E53D1"/>
    <w:rsid w:val="003F44C5"/>
    <w:rsid w:val="0041214D"/>
    <w:rsid w:val="0044214E"/>
    <w:rsid w:val="0054747A"/>
    <w:rsid w:val="00615B07"/>
    <w:rsid w:val="00664689"/>
    <w:rsid w:val="00673A93"/>
    <w:rsid w:val="00702047"/>
    <w:rsid w:val="007609CD"/>
    <w:rsid w:val="00774B1B"/>
    <w:rsid w:val="00796439"/>
    <w:rsid w:val="008438EE"/>
    <w:rsid w:val="00892540"/>
    <w:rsid w:val="00911CFF"/>
    <w:rsid w:val="0093096D"/>
    <w:rsid w:val="00AA38E7"/>
    <w:rsid w:val="00B65DBC"/>
    <w:rsid w:val="00B715D8"/>
    <w:rsid w:val="00B81CF8"/>
    <w:rsid w:val="00BE32F0"/>
    <w:rsid w:val="00C17033"/>
    <w:rsid w:val="00C72AEB"/>
    <w:rsid w:val="00D03005"/>
    <w:rsid w:val="00D87DBC"/>
    <w:rsid w:val="00DC30C6"/>
    <w:rsid w:val="00E113EB"/>
    <w:rsid w:val="00E1150C"/>
    <w:rsid w:val="00E92BBD"/>
    <w:rsid w:val="00E97141"/>
    <w:rsid w:val="00F536B4"/>
    <w:rsid w:val="00F5444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7208526-E366-406B-8085-E0820892A2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32552D"/>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it-I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F54449"/>
    <w:pPr>
      <w:spacing w:before="100" w:beforeAutospacing="1" w:after="100" w:afterAutospacing="1" w:line="240" w:lineRule="auto"/>
    </w:pPr>
    <w:rPr>
      <w:rFonts w:ascii="Times New Roman" w:eastAsia="Times New Roman" w:hAnsi="Times New Roman" w:cs="Times New Roman"/>
      <w:sz w:val="24"/>
      <w:szCs w:val="24"/>
      <w:lang w:eastAsia="it-IT"/>
    </w:rPr>
  </w:style>
  <w:style w:type="table" w:styleId="TableGrid">
    <w:name w:val="Table Grid"/>
    <w:basedOn w:val="TableNormal"/>
    <w:uiPriority w:val="39"/>
    <w:rsid w:val="00F5444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2552D"/>
    <w:pPr>
      <w:tabs>
        <w:tab w:val="center" w:pos="4819"/>
        <w:tab w:val="right" w:pos="9638"/>
      </w:tabs>
      <w:spacing w:after="0" w:line="240" w:lineRule="auto"/>
    </w:pPr>
  </w:style>
  <w:style w:type="character" w:customStyle="1" w:styleId="HeaderChar">
    <w:name w:val="Header Char"/>
    <w:basedOn w:val="DefaultParagraphFont"/>
    <w:link w:val="Header"/>
    <w:uiPriority w:val="99"/>
    <w:rsid w:val="0032552D"/>
  </w:style>
  <w:style w:type="paragraph" w:styleId="Footer">
    <w:name w:val="footer"/>
    <w:basedOn w:val="Normal"/>
    <w:link w:val="FooterChar"/>
    <w:uiPriority w:val="99"/>
    <w:unhideWhenUsed/>
    <w:rsid w:val="0032552D"/>
    <w:pPr>
      <w:tabs>
        <w:tab w:val="center" w:pos="4819"/>
        <w:tab w:val="right" w:pos="9638"/>
      </w:tabs>
      <w:spacing w:after="0" w:line="240" w:lineRule="auto"/>
    </w:pPr>
  </w:style>
  <w:style w:type="character" w:customStyle="1" w:styleId="FooterChar">
    <w:name w:val="Footer Char"/>
    <w:basedOn w:val="DefaultParagraphFont"/>
    <w:link w:val="Footer"/>
    <w:uiPriority w:val="99"/>
    <w:rsid w:val="0032552D"/>
  </w:style>
  <w:style w:type="character" w:customStyle="1" w:styleId="Heading1Char">
    <w:name w:val="Heading 1 Char"/>
    <w:basedOn w:val="DefaultParagraphFont"/>
    <w:link w:val="Heading1"/>
    <w:uiPriority w:val="9"/>
    <w:rsid w:val="0032552D"/>
    <w:rPr>
      <w:rFonts w:ascii="Times New Roman" w:eastAsia="Times New Roman" w:hAnsi="Times New Roman" w:cs="Times New Roman"/>
      <w:b/>
      <w:bCs/>
      <w:kern w:val="36"/>
      <w:sz w:val="48"/>
      <w:szCs w:val="48"/>
      <w:lang w:eastAsia="it-IT"/>
    </w:rPr>
  </w:style>
  <w:style w:type="table" w:styleId="PlainTable1">
    <w:name w:val="Plain Table 1"/>
    <w:basedOn w:val="TableNormal"/>
    <w:uiPriority w:val="41"/>
    <w:rsid w:val="003E53D1"/>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GridLight">
    <w:name w:val="Grid Table Light"/>
    <w:basedOn w:val="TableNormal"/>
    <w:uiPriority w:val="40"/>
    <w:rsid w:val="003E53D1"/>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2720857">
      <w:bodyDiv w:val="1"/>
      <w:marLeft w:val="0"/>
      <w:marRight w:val="0"/>
      <w:marTop w:val="0"/>
      <w:marBottom w:val="0"/>
      <w:divBdr>
        <w:top w:val="none" w:sz="0" w:space="0" w:color="auto"/>
        <w:left w:val="none" w:sz="0" w:space="0" w:color="auto"/>
        <w:bottom w:val="none" w:sz="0" w:space="0" w:color="auto"/>
        <w:right w:val="none" w:sz="0" w:space="0" w:color="auto"/>
      </w:divBdr>
    </w:div>
    <w:div w:id="427578629">
      <w:bodyDiv w:val="1"/>
      <w:marLeft w:val="0"/>
      <w:marRight w:val="0"/>
      <w:marTop w:val="0"/>
      <w:marBottom w:val="0"/>
      <w:divBdr>
        <w:top w:val="none" w:sz="0" w:space="0" w:color="auto"/>
        <w:left w:val="none" w:sz="0" w:space="0" w:color="auto"/>
        <w:bottom w:val="none" w:sz="0" w:space="0" w:color="auto"/>
        <w:right w:val="none" w:sz="0" w:space="0" w:color="auto"/>
      </w:divBdr>
    </w:div>
    <w:div w:id="699167322">
      <w:bodyDiv w:val="1"/>
      <w:marLeft w:val="0"/>
      <w:marRight w:val="0"/>
      <w:marTop w:val="0"/>
      <w:marBottom w:val="0"/>
      <w:divBdr>
        <w:top w:val="none" w:sz="0" w:space="0" w:color="auto"/>
        <w:left w:val="none" w:sz="0" w:space="0" w:color="auto"/>
        <w:bottom w:val="none" w:sz="0" w:space="0" w:color="auto"/>
        <w:right w:val="none" w:sz="0" w:space="0" w:color="auto"/>
      </w:divBdr>
    </w:div>
    <w:div w:id="1606037639">
      <w:bodyDiv w:val="1"/>
      <w:marLeft w:val="0"/>
      <w:marRight w:val="0"/>
      <w:marTop w:val="0"/>
      <w:marBottom w:val="0"/>
      <w:divBdr>
        <w:top w:val="none" w:sz="0" w:space="0" w:color="auto"/>
        <w:left w:val="none" w:sz="0" w:space="0" w:color="auto"/>
        <w:bottom w:val="none" w:sz="0" w:space="0" w:color="auto"/>
        <w:right w:val="none" w:sz="0" w:space="0" w:color="auto"/>
      </w:divBdr>
    </w:div>
    <w:div w:id="1647314365">
      <w:bodyDiv w:val="1"/>
      <w:marLeft w:val="0"/>
      <w:marRight w:val="0"/>
      <w:marTop w:val="0"/>
      <w:marBottom w:val="0"/>
      <w:divBdr>
        <w:top w:val="none" w:sz="0" w:space="0" w:color="auto"/>
        <w:left w:val="none" w:sz="0" w:space="0" w:color="auto"/>
        <w:bottom w:val="none" w:sz="0" w:space="0" w:color="auto"/>
        <w:right w:val="none" w:sz="0" w:space="0" w:color="auto"/>
      </w:divBdr>
    </w:div>
    <w:div w:id="1967346352">
      <w:bodyDiv w:val="1"/>
      <w:marLeft w:val="0"/>
      <w:marRight w:val="0"/>
      <w:marTop w:val="0"/>
      <w:marBottom w:val="0"/>
      <w:divBdr>
        <w:top w:val="none" w:sz="0" w:space="0" w:color="auto"/>
        <w:left w:val="none" w:sz="0" w:space="0" w:color="auto"/>
        <w:bottom w:val="none" w:sz="0" w:space="0" w:color="auto"/>
        <w:right w:val="none" w:sz="0" w:space="0" w:color="auto"/>
      </w:divBdr>
    </w:div>
    <w:div w:id="20111722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372</Words>
  <Characters>2127</Characters>
  <Application>Microsoft Office Word</Application>
  <DocSecurity>0</DocSecurity>
  <Lines>17</Lines>
  <Paragraphs>4</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2495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A.Fuoco</dc:creator>
  <cp:keywords/>
  <dc:description/>
  <cp:lastModifiedBy>A.Fuoco</cp:lastModifiedBy>
  <cp:revision>3</cp:revision>
  <dcterms:created xsi:type="dcterms:W3CDTF">2016-04-17T18:17:00Z</dcterms:created>
  <dcterms:modified xsi:type="dcterms:W3CDTF">2016-04-17T18:19:00Z</dcterms:modified>
</cp:coreProperties>
</file>