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6423" w:rsidRPr="00ED549F" w:rsidRDefault="00DC3C26" w:rsidP="00EA6423">
      <w:pPr>
        <w:pStyle w:val="MDPI11articletype"/>
      </w:pPr>
      <w:r>
        <w:t>Editorial</w:t>
      </w:r>
    </w:p>
    <w:p w:rsidR="00EA6423" w:rsidRPr="00543B67" w:rsidRDefault="00DC3C26" w:rsidP="009867EF">
      <w:pPr>
        <w:pStyle w:val="MDPI12title"/>
        <w:tabs>
          <w:tab w:val="left" w:pos="2687"/>
        </w:tabs>
      </w:pPr>
      <w:r w:rsidRPr="00DC3C26">
        <w:rPr>
          <w:bCs/>
          <w:lang w:val="en-GB"/>
        </w:rPr>
        <w:t>Innovations in detection of deliberate or accidental contamination with biological agents in environment and foods</w:t>
      </w:r>
    </w:p>
    <w:p w:rsidR="00EE0A79" w:rsidRPr="002D52E0" w:rsidRDefault="00DC3C26" w:rsidP="00EE0A79">
      <w:pPr>
        <w:pStyle w:val="MDPI13authornames"/>
      </w:pPr>
      <w:proofErr w:type="spellStart"/>
      <w:r>
        <w:t>Palmiro</w:t>
      </w:r>
      <w:proofErr w:type="spellEnd"/>
      <w:r>
        <w:t xml:space="preserve"> </w:t>
      </w:r>
      <w:proofErr w:type="spellStart"/>
      <w:r>
        <w:t>Poltronieri</w:t>
      </w:r>
      <w:proofErr w:type="spellEnd"/>
      <w:r>
        <w:t xml:space="preserve"> </w:t>
      </w:r>
    </w:p>
    <w:p w:rsidR="00EE0A79" w:rsidRPr="00DC3C26" w:rsidRDefault="00DC3C26" w:rsidP="00DC3C26">
      <w:pPr>
        <w:pStyle w:val="MDPI16affiliation"/>
        <w:ind w:left="0" w:firstLine="0"/>
      </w:pPr>
      <w:r>
        <w:t xml:space="preserve">National Research Council of Italy, </w:t>
      </w:r>
      <w:proofErr w:type="spellStart"/>
      <w:r>
        <w:t>AgroFood</w:t>
      </w:r>
      <w:proofErr w:type="spellEnd"/>
      <w:r>
        <w:t xml:space="preserve"> Department, Institute of Sciences of Food Productions, Lecce 73100, Italy; </w:t>
      </w:r>
      <w:r w:rsidRPr="00DC3C26">
        <w:t>palmiro.poltronieri@ispa.cnr.it</w:t>
      </w:r>
      <w:r>
        <w:rPr>
          <w:lang w:val="fr-CH"/>
        </w:rPr>
        <w:t>; Tel.: +39-0832-422-609</w:t>
      </w:r>
    </w:p>
    <w:p w:rsidR="00DC3C26" w:rsidRDefault="00DC3C26" w:rsidP="00DC3C26">
      <w:pPr>
        <w:pStyle w:val="MDPI14history"/>
        <w:spacing w:before="0"/>
      </w:pPr>
    </w:p>
    <w:p w:rsidR="00EA6423" w:rsidRPr="00543B67" w:rsidRDefault="00DC3C26" w:rsidP="00DC3C26">
      <w:pPr>
        <w:pStyle w:val="MDPI14history"/>
        <w:spacing w:before="0"/>
      </w:pPr>
      <w:r>
        <w:t>Received: 29 November 2016</w:t>
      </w:r>
      <w:r w:rsidRPr="002D52E0">
        <w:t>; Accepted: date; Published: date</w:t>
      </w:r>
    </w:p>
    <w:p w:rsidR="00EA6423" w:rsidRPr="000D0305" w:rsidRDefault="00EA6423" w:rsidP="00EA6423">
      <w:pPr>
        <w:pStyle w:val="MDPI19line"/>
      </w:pPr>
    </w:p>
    <w:p w:rsidR="00DC3C26" w:rsidRPr="00DC3C26" w:rsidRDefault="00DC3C26" w:rsidP="00DC3C26">
      <w:pPr>
        <w:pStyle w:val="Heading1"/>
        <w:shd w:val="clear" w:color="auto" w:fill="FFFFFF"/>
        <w:spacing w:before="0"/>
        <w:rPr>
          <w:rFonts w:ascii="Palatino Linotype" w:hAnsi="Palatino Linotype"/>
          <w:b w:val="0"/>
          <w:sz w:val="18"/>
          <w:szCs w:val="18"/>
          <w:u w:val="none"/>
          <w:lang w:val="en-GB"/>
        </w:rPr>
      </w:pPr>
      <w:r w:rsidRPr="00DC3C26">
        <w:rPr>
          <w:rFonts w:ascii="Palatino Linotype" w:hAnsi="Palatino Linotype"/>
          <w:b w:val="0"/>
          <w:sz w:val="18"/>
          <w:szCs w:val="18"/>
          <w:u w:val="none"/>
          <w:lang w:val="en-GB"/>
        </w:rPr>
        <w:t xml:space="preserve">In 2016, two special issues have been launched and attended in this journal, "Challenges in New Technologies for Security" </w:t>
      </w:r>
      <w:r w:rsidRPr="00DC3C26">
        <w:rPr>
          <w:rFonts w:ascii="Palatino Linotype" w:eastAsia="宋体" w:hAnsi="Palatino Linotype"/>
          <w:b w:val="0"/>
          <w:sz w:val="18"/>
          <w:szCs w:val="18"/>
          <w:u w:val="none"/>
          <w:lang w:val="en-GB" w:eastAsia="zh-CN"/>
        </w:rPr>
        <w:t xml:space="preserve">(http://www.mdpi.com/journal/challenges/special_issues/tech_security) </w:t>
      </w:r>
      <w:r w:rsidRPr="00DC3C26">
        <w:rPr>
          <w:rFonts w:ascii="Palatino Linotype" w:hAnsi="Palatino Linotype"/>
          <w:b w:val="0"/>
          <w:sz w:val="18"/>
          <w:szCs w:val="18"/>
          <w:u w:val="none"/>
          <w:lang w:val="en-GB"/>
        </w:rPr>
        <w:t>and “</w:t>
      </w:r>
      <w:r w:rsidRPr="00DC3C26">
        <w:rPr>
          <w:rFonts w:ascii="Palatino Linotype" w:hAnsi="Palatino Linotype"/>
          <w:b w:val="0"/>
          <w:sz w:val="18"/>
          <w:szCs w:val="18"/>
          <w:u w:val="none"/>
          <w:shd w:val="clear" w:color="auto" w:fill="F8F8F8"/>
          <w:lang w:val="en-GB"/>
        </w:rPr>
        <w:t>Food Microbiology: Technologies and processes, microbiology analysis methods, and antimicrobials” (http://www.mdpi.com/journal/challenges/special_issues/food-microbiology). In this editorial, I will review one of the topics of biological hazards detection, i.e. the r</w:t>
      </w:r>
      <w:r w:rsidRPr="00DC3C26">
        <w:rPr>
          <w:rFonts w:ascii="Palatino Linotype" w:hAnsi="Palatino Linotype"/>
          <w:b w:val="0"/>
          <w:sz w:val="18"/>
          <w:szCs w:val="18"/>
          <w:u w:val="none"/>
          <w:lang w:val="en-GB"/>
        </w:rPr>
        <w:t>apid analysis of biological agents (DNA and antigens of fungi, bacteria, and viruses) and their toxins.</w:t>
      </w:r>
    </w:p>
    <w:p w:rsidR="00DC3C26" w:rsidRPr="00DC3C26" w:rsidRDefault="00DC3C26" w:rsidP="00DC3C26">
      <w:pPr>
        <w:pStyle w:val="Heading1"/>
        <w:shd w:val="clear" w:color="auto" w:fill="FFFFFF"/>
        <w:spacing w:before="0"/>
        <w:rPr>
          <w:rFonts w:ascii="Palatino Linotype" w:hAnsi="Palatino Linotype"/>
          <w:b w:val="0"/>
          <w:sz w:val="18"/>
          <w:szCs w:val="18"/>
          <w:u w:val="none"/>
          <w:shd w:val="clear" w:color="auto" w:fill="F8F8F8"/>
          <w:lang w:val="en-GB"/>
        </w:rPr>
      </w:pPr>
      <w:r w:rsidRPr="00DC3C26">
        <w:rPr>
          <w:rFonts w:ascii="Palatino Linotype" w:hAnsi="Palatino Linotype"/>
          <w:b w:val="0"/>
          <w:sz w:val="18"/>
          <w:szCs w:val="18"/>
          <w:u w:val="none"/>
          <w:lang w:val="en-GB"/>
        </w:rPr>
        <w:t xml:space="preserve">Biological hazards have come to the mainstream recently, since the </w:t>
      </w:r>
      <w:proofErr w:type="gramStart"/>
      <w:r w:rsidRPr="00DC3C26">
        <w:rPr>
          <w:rFonts w:ascii="Palatino Linotype" w:hAnsi="Palatino Linotype"/>
          <w:b w:val="0"/>
          <w:sz w:val="18"/>
          <w:szCs w:val="18"/>
          <w:u w:val="none"/>
          <w:lang w:val="en-GB"/>
        </w:rPr>
        <w:t>terrorists</w:t>
      </w:r>
      <w:proofErr w:type="gramEnd"/>
      <w:r w:rsidRPr="00DC3C26">
        <w:rPr>
          <w:rFonts w:ascii="Palatino Linotype" w:hAnsi="Palatino Linotype"/>
          <w:b w:val="0"/>
          <w:sz w:val="18"/>
          <w:szCs w:val="18"/>
          <w:u w:val="none"/>
          <w:lang w:val="en-GB"/>
        </w:rPr>
        <w:t xml:space="preserve"> attacks in several EU countries, due to the potential of individual threats posed by pathogen agents. </w:t>
      </w:r>
    </w:p>
    <w:p w:rsidR="00DC3C26" w:rsidRPr="00DC3C26" w:rsidRDefault="00DC3C26" w:rsidP="00DC3C26">
      <w:pPr>
        <w:snapToGrid w:val="0"/>
        <w:rPr>
          <w:rFonts w:ascii="Palatino Linotype" w:hAnsi="Palatino Linotype"/>
          <w:sz w:val="18"/>
          <w:szCs w:val="18"/>
          <w:lang w:eastAsia="it-IT"/>
        </w:rPr>
      </w:pPr>
      <w:r w:rsidRPr="00DC3C26">
        <w:rPr>
          <w:rFonts w:ascii="Palatino Linotype" w:hAnsi="Palatino Linotype"/>
          <w:sz w:val="18"/>
          <w:szCs w:val="18"/>
          <w:lang w:eastAsia="it-IT"/>
        </w:rPr>
        <w:t xml:space="preserve">Agents for potential biological contamination of food supply chains include organisms responsible for diseases of humans, animals and plants, from all biological groups: viruses, bacteria, fungi, protozoa and small invertebrates. Additionally, toxins produced by some of these organisms can be used as contaminants. Biological agents can be used to contaminate food products, or in an attack on crops and farms, or can be dispersed in air and water. All biological entities involved in food production or processing, as well as many contaminants, can be recognized by analyzing nucleic acids or proteins present in the product, using biotechnology-based systems. Methods for identifying contaminants require that accepted components or ingredients can be distinguished from unwanted or noxious components. Recent research activities have focused on the development and testing of innovative and reliable analytical methods for identifying biological components present in foods, such as </w:t>
      </w:r>
      <w:r w:rsidRPr="00DC3C26">
        <w:rPr>
          <w:rFonts w:ascii="Palatino Linotype" w:hAnsi="Palatino Linotype"/>
          <w:i/>
          <w:sz w:val="18"/>
          <w:szCs w:val="18"/>
          <w:lang w:eastAsia="it-IT"/>
        </w:rPr>
        <w:t xml:space="preserve">L. </w:t>
      </w:r>
      <w:proofErr w:type="spellStart"/>
      <w:r w:rsidRPr="00DC3C26">
        <w:rPr>
          <w:rFonts w:ascii="Palatino Linotype" w:hAnsi="Palatino Linotype"/>
          <w:i/>
          <w:sz w:val="18"/>
          <w:szCs w:val="18"/>
          <w:lang w:eastAsia="it-IT"/>
        </w:rPr>
        <w:t>monocytogenes</w:t>
      </w:r>
      <w:proofErr w:type="spellEnd"/>
      <w:r w:rsidRPr="00DC3C26">
        <w:rPr>
          <w:rFonts w:ascii="Palatino Linotype" w:hAnsi="Palatino Linotype"/>
          <w:sz w:val="18"/>
          <w:szCs w:val="18"/>
          <w:lang w:eastAsia="it-IT"/>
        </w:rPr>
        <w:t xml:space="preserve"> [1], </w:t>
      </w:r>
      <w:r w:rsidRPr="00DC3C26">
        <w:rPr>
          <w:rFonts w:ascii="Palatino Linotype" w:hAnsi="Palatino Linotype"/>
          <w:i/>
          <w:sz w:val="18"/>
          <w:szCs w:val="18"/>
          <w:lang w:eastAsia="it-IT"/>
        </w:rPr>
        <w:t>Salmonella</w:t>
      </w:r>
      <w:r w:rsidRPr="00DC3C26">
        <w:rPr>
          <w:rFonts w:ascii="Palatino Linotype" w:hAnsi="Palatino Linotype"/>
          <w:sz w:val="18"/>
          <w:szCs w:val="18"/>
          <w:lang w:eastAsia="it-IT"/>
        </w:rPr>
        <w:t xml:space="preserve"> spp. [2], </w:t>
      </w:r>
      <w:r w:rsidRPr="00DC3C26">
        <w:rPr>
          <w:rFonts w:ascii="Palatino Linotype" w:hAnsi="Palatino Linotype"/>
          <w:i/>
          <w:sz w:val="18"/>
          <w:szCs w:val="18"/>
          <w:lang w:eastAsia="it-IT"/>
        </w:rPr>
        <w:t>Campylobacter</w:t>
      </w:r>
      <w:r w:rsidRPr="00DC3C26">
        <w:rPr>
          <w:rFonts w:ascii="Palatino Linotype" w:hAnsi="Palatino Linotype"/>
          <w:sz w:val="18"/>
          <w:szCs w:val="18"/>
          <w:lang w:eastAsia="it-IT"/>
        </w:rPr>
        <w:t xml:space="preserve"> spp., </w:t>
      </w:r>
      <w:proofErr w:type="spellStart"/>
      <w:r w:rsidRPr="00DC3C26">
        <w:rPr>
          <w:rFonts w:ascii="Palatino Linotype" w:hAnsi="Palatino Linotype"/>
          <w:sz w:val="18"/>
          <w:szCs w:val="18"/>
          <w:lang w:eastAsia="it-IT"/>
        </w:rPr>
        <w:t>enterohemorragic</w:t>
      </w:r>
      <w:proofErr w:type="spellEnd"/>
      <w:r w:rsidRPr="00DC3C26">
        <w:rPr>
          <w:rFonts w:ascii="Palatino Linotype" w:hAnsi="Palatino Linotype"/>
          <w:sz w:val="18"/>
          <w:szCs w:val="18"/>
          <w:lang w:eastAsia="it-IT"/>
        </w:rPr>
        <w:t xml:space="preserve"> </w:t>
      </w:r>
      <w:r w:rsidRPr="00DC3C26">
        <w:rPr>
          <w:rFonts w:ascii="Palatino Linotype" w:hAnsi="Palatino Linotype"/>
          <w:i/>
          <w:sz w:val="18"/>
          <w:szCs w:val="18"/>
          <w:lang w:eastAsia="it-IT"/>
        </w:rPr>
        <w:t>E. coli</w:t>
      </w:r>
      <w:r w:rsidRPr="00DC3C26">
        <w:rPr>
          <w:rFonts w:ascii="Palatino Linotype" w:hAnsi="Palatino Linotype"/>
          <w:sz w:val="18"/>
          <w:szCs w:val="18"/>
          <w:lang w:eastAsia="it-IT"/>
        </w:rPr>
        <w:t xml:space="preserve"> [3], </w:t>
      </w:r>
      <w:r w:rsidRPr="00DC3C26">
        <w:rPr>
          <w:rFonts w:ascii="Palatino Linotype" w:hAnsi="Palatino Linotype"/>
          <w:i/>
          <w:sz w:val="18"/>
          <w:szCs w:val="18"/>
          <w:lang w:eastAsia="it-IT"/>
        </w:rPr>
        <w:t xml:space="preserve">S. aureus </w:t>
      </w:r>
      <w:r w:rsidRPr="00DC3C26">
        <w:rPr>
          <w:rFonts w:ascii="Palatino Linotype" w:hAnsi="Palatino Linotype"/>
          <w:sz w:val="18"/>
          <w:szCs w:val="18"/>
          <w:lang w:eastAsia="it-IT"/>
        </w:rPr>
        <w:t xml:space="preserve">[4, 5], </w:t>
      </w:r>
      <w:r w:rsidRPr="00DC3C26">
        <w:rPr>
          <w:rFonts w:ascii="Palatino Linotype" w:hAnsi="Palatino Linotype"/>
          <w:i/>
          <w:sz w:val="18"/>
          <w:szCs w:val="18"/>
          <w:lang w:eastAsia="it-IT"/>
        </w:rPr>
        <w:t xml:space="preserve">Clostridium </w:t>
      </w:r>
      <w:r w:rsidRPr="00DC3C26">
        <w:rPr>
          <w:rFonts w:ascii="Palatino Linotype" w:hAnsi="Palatino Linotype"/>
          <w:sz w:val="18"/>
          <w:szCs w:val="18"/>
          <w:lang w:eastAsia="it-IT"/>
        </w:rPr>
        <w:t>spp</w:t>
      </w:r>
      <w:r w:rsidRPr="00DC3C26">
        <w:rPr>
          <w:rFonts w:ascii="Palatino Linotype" w:hAnsi="Palatino Linotype"/>
          <w:i/>
          <w:sz w:val="18"/>
          <w:szCs w:val="18"/>
          <w:lang w:eastAsia="it-IT"/>
        </w:rPr>
        <w:t xml:space="preserve">., Bacillus </w:t>
      </w:r>
      <w:proofErr w:type="spellStart"/>
      <w:r w:rsidRPr="00DC3C26">
        <w:rPr>
          <w:rFonts w:ascii="Palatino Linotype" w:hAnsi="Palatino Linotype"/>
          <w:i/>
          <w:sz w:val="18"/>
          <w:szCs w:val="18"/>
          <w:lang w:val="en-GB" w:eastAsia="it-IT"/>
        </w:rPr>
        <w:t>anthracis</w:t>
      </w:r>
      <w:proofErr w:type="spellEnd"/>
      <w:r w:rsidRPr="00DC3C26">
        <w:rPr>
          <w:rFonts w:ascii="Palatino Linotype" w:hAnsi="Palatino Linotype"/>
          <w:sz w:val="18"/>
          <w:szCs w:val="18"/>
          <w:lang w:eastAsia="it-IT"/>
        </w:rPr>
        <w:t>, just to mention the most relevant and frequent in occasional or deliberated contamination of foods and environment.</w:t>
      </w:r>
    </w:p>
    <w:p w:rsidR="00DC3C26" w:rsidRPr="00DC3C26" w:rsidRDefault="00DC3C26" w:rsidP="00DC3C26">
      <w:pPr>
        <w:rPr>
          <w:rFonts w:ascii="Palatino Linotype" w:hAnsi="Palatino Linotype"/>
          <w:sz w:val="18"/>
          <w:szCs w:val="18"/>
          <w:lang w:val="en-GB"/>
        </w:rPr>
      </w:pPr>
      <w:r w:rsidRPr="00DC3C26">
        <w:rPr>
          <w:rFonts w:ascii="Palatino Linotype" w:hAnsi="Palatino Linotype"/>
          <w:sz w:val="18"/>
          <w:szCs w:val="18"/>
          <w:lang w:val="en-GB"/>
        </w:rPr>
        <w:t>Innovations in direct analysis of DNA or proteins detected in the environment have been made that provide recognition of the pathogen according to data stored in sequence databases. These techniques make identification of the pathogen fast, at the same time they allow real time monitoring of critical environments taking samples at fixed time-points and acting as prevention against terrorist attacks. Genetic and molecular analyses are based on biochemical reactions, usually involving arrays of molecules for in series or in parallel analyses. These can be carried out in miniaturised conditions. Microfluidic applications for miniaturisation of classical analytical techniques, such as Lab-on-a-chip, were developed in fact for defence and countermeasures against terrorism.</w:t>
      </w:r>
    </w:p>
    <w:p w:rsidR="00DC3C26" w:rsidRPr="00DC3C26" w:rsidRDefault="00DC3C26" w:rsidP="00DC3C26">
      <w:pPr>
        <w:ind w:right="-82"/>
        <w:rPr>
          <w:rFonts w:ascii="Palatino Linotype" w:hAnsi="Palatino Linotype"/>
          <w:sz w:val="18"/>
          <w:szCs w:val="18"/>
          <w:lang w:val="en-GB"/>
        </w:rPr>
      </w:pPr>
      <w:r w:rsidRPr="00DC3C26">
        <w:rPr>
          <w:rFonts w:ascii="Palatino Linotype" w:hAnsi="Palatino Linotype"/>
          <w:sz w:val="18"/>
          <w:szCs w:val="18"/>
          <w:lang w:val="en-GB"/>
        </w:rPr>
        <w:t xml:space="preserve">Several constituents are integrated into a Lab-on-chip system, from sonication devices, to microfluidics, sensors for various compounds (DNA, proteins, chemicals), label-free (SPR, SERS, Raman spectroscopy) or label-based </w:t>
      </w:r>
      <w:r w:rsidRPr="00DC3C26">
        <w:rPr>
          <w:rFonts w:ascii="Palatino Linotype" w:hAnsi="Palatino Linotype"/>
          <w:sz w:val="18"/>
          <w:szCs w:val="18"/>
          <w:lang w:val="en-GB"/>
        </w:rPr>
        <w:lastRenderedPageBreak/>
        <w:t>(fluorescence) detectors of antigens, toxins, membrane components (</w:t>
      </w:r>
      <w:proofErr w:type="spellStart"/>
      <w:r w:rsidRPr="00DC3C26">
        <w:rPr>
          <w:rFonts w:ascii="Palatino Linotype" w:hAnsi="Palatino Linotype"/>
          <w:sz w:val="18"/>
          <w:szCs w:val="18"/>
          <w:lang w:val="en-GB"/>
        </w:rPr>
        <w:t>Dipicolinic</w:t>
      </w:r>
      <w:proofErr w:type="spellEnd"/>
      <w:r w:rsidRPr="00DC3C26">
        <w:rPr>
          <w:rFonts w:ascii="Palatino Linotype" w:hAnsi="Palatino Linotype"/>
          <w:sz w:val="18"/>
          <w:szCs w:val="18"/>
          <w:lang w:val="en-GB"/>
        </w:rPr>
        <w:t xml:space="preserve"> acid in spores) </w:t>
      </w:r>
      <w:r w:rsidRPr="00DC3C26">
        <w:rPr>
          <w:rFonts w:ascii="Palatino Linotype" w:hAnsi="Palatino Linotype"/>
          <w:sz w:val="18"/>
          <w:szCs w:val="18"/>
          <w:lang w:eastAsia="it-IT"/>
        </w:rPr>
        <w:t xml:space="preserve">[6] </w:t>
      </w:r>
      <w:r w:rsidRPr="00DC3C26">
        <w:rPr>
          <w:rFonts w:ascii="Palatino Linotype" w:hAnsi="Palatino Linotype"/>
          <w:sz w:val="18"/>
          <w:szCs w:val="18"/>
          <w:lang w:val="en-GB"/>
        </w:rPr>
        <w:t xml:space="preserve">and nucleic acids </w:t>
      </w:r>
      <w:r w:rsidRPr="00DC3C26">
        <w:rPr>
          <w:rFonts w:ascii="Palatino Linotype" w:hAnsi="Palatino Linotype"/>
          <w:sz w:val="18"/>
          <w:szCs w:val="18"/>
          <w:lang w:eastAsia="it-IT"/>
        </w:rPr>
        <w:t xml:space="preserve">[3], </w:t>
      </w:r>
      <w:r w:rsidRPr="00DC3C26">
        <w:rPr>
          <w:rFonts w:ascii="Palatino Linotype" w:hAnsi="Palatino Linotype"/>
          <w:sz w:val="18"/>
          <w:szCs w:val="18"/>
          <w:lang w:val="en-GB"/>
        </w:rPr>
        <w:t xml:space="preserve">direct amplification of DNA (using isothermal amplification or thermal cycling DNA amplification), and e-DNA platforms. </w:t>
      </w:r>
    </w:p>
    <w:p w:rsidR="00DC3C26" w:rsidRPr="00DC3C26" w:rsidRDefault="00DC3C26" w:rsidP="00DC3C26">
      <w:pPr>
        <w:snapToGrid w:val="0"/>
        <w:rPr>
          <w:rFonts w:ascii="Palatino Linotype" w:hAnsi="Palatino Linotype"/>
          <w:sz w:val="18"/>
          <w:szCs w:val="18"/>
          <w:lang w:val="en-GB"/>
        </w:rPr>
      </w:pPr>
      <w:r w:rsidRPr="00DC3C26">
        <w:rPr>
          <w:rFonts w:ascii="Palatino Linotype" w:hAnsi="Palatino Linotype"/>
          <w:sz w:val="18"/>
          <w:szCs w:val="18"/>
          <w:shd w:val="clear" w:color="auto" w:fill="FFFFFF"/>
          <w:lang w:val="en-GB"/>
        </w:rPr>
        <w:t xml:space="preserve">The possibility of deliberate introduction of biological agents in the environment or in food products, as in the case of blackmailed Anthrax toxin, has led to the development of portable detection systems able to identify this threat </w:t>
      </w:r>
      <w:r w:rsidRPr="00DC3C26">
        <w:rPr>
          <w:rFonts w:ascii="Palatino Linotype" w:hAnsi="Palatino Linotype"/>
          <w:sz w:val="18"/>
          <w:szCs w:val="18"/>
          <w:lang w:eastAsia="it-IT"/>
        </w:rPr>
        <w:t>[6-10].</w:t>
      </w:r>
    </w:p>
    <w:p w:rsidR="00DC3C26" w:rsidRPr="00DC3C26" w:rsidRDefault="00DC3C26" w:rsidP="00DC3C26">
      <w:pPr>
        <w:snapToGrid w:val="0"/>
        <w:rPr>
          <w:rFonts w:ascii="Palatino Linotype" w:hAnsi="Palatino Linotype"/>
          <w:sz w:val="18"/>
          <w:szCs w:val="18"/>
          <w:lang w:eastAsia="it-IT"/>
        </w:rPr>
      </w:pPr>
      <w:r w:rsidRPr="00DC3C26">
        <w:rPr>
          <w:rFonts w:ascii="Palatino Linotype" w:hAnsi="Palatino Linotype"/>
          <w:sz w:val="18"/>
          <w:szCs w:val="18"/>
          <w:lang w:eastAsia="it-IT"/>
        </w:rPr>
        <w:t xml:space="preserve">The identification of unwanted biological components in the air, water, or food products can be performed through the identification and classification of the genetic material belonging to animals, plants or micro-organisms (fingerprint), used in producing or processing the food products. The search for pathogen contaminants in food conventionally involves the isolation of micro-organisms from food, their growth or enrichment in selective media and their identification with biochemical and immunological assays. The process can be long and biased by false negatives. </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Early detection is the main requirement in counteracting deliberate release in environment and foods with biological agents harmful to human safety. In this, biotechnology-based systems can contribute. The time required for identification of pathogens or chemicals is a critical issue, because it determines the speed and effectiveness of product withdrawal and recall from availability to the public. In particular, it is the identification of the contaminating agents in the air, on the surfaces and foods.</w:t>
      </w:r>
    </w:p>
    <w:p w:rsidR="00DC3C26" w:rsidRPr="00DC3C26" w:rsidRDefault="00DC3C26" w:rsidP="00DC3C26">
      <w:pPr>
        <w:rPr>
          <w:rFonts w:ascii="Palatino Linotype" w:hAnsi="Palatino Linotype"/>
          <w:sz w:val="18"/>
          <w:szCs w:val="18"/>
          <w:shd w:val="clear" w:color="auto" w:fill="FFFFFF"/>
          <w:lang w:val="en-GB"/>
        </w:rPr>
      </w:pPr>
      <w:r w:rsidRPr="00DC3C26">
        <w:rPr>
          <w:rFonts w:ascii="Palatino Linotype" w:hAnsi="Palatino Linotype"/>
          <w:sz w:val="18"/>
          <w:szCs w:val="18"/>
          <w:shd w:val="clear" w:color="auto" w:fill="FFFFFF"/>
          <w:lang w:val="en-GB"/>
        </w:rPr>
        <w:t xml:space="preserve">Food industry is challenged either by deliberate introduction of hazards (as in the case of acids and chlorine introduced in bottled water), or due to accidental contamination of foods during the manufacture process. One case is the a USA company producing whole plant extracts used as flavouring agents in gravies, soups and similar types of products, that are going to be recalled back, since products may contain still alive </w:t>
      </w:r>
      <w:r w:rsidRPr="00DC3C26">
        <w:rPr>
          <w:rFonts w:ascii="Palatino Linotype" w:hAnsi="Palatino Linotype"/>
          <w:i/>
          <w:sz w:val="18"/>
          <w:szCs w:val="18"/>
          <w:shd w:val="clear" w:color="auto" w:fill="FFFFFF"/>
          <w:lang w:val="en-GB"/>
        </w:rPr>
        <w:t>Salmonella</w:t>
      </w:r>
      <w:r w:rsidRPr="00DC3C26">
        <w:rPr>
          <w:rFonts w:ascii="Palatino Linotype" w:hAnsi="Palatino Linotype"/>
          <w:sz w:val="18"/>
          <w:szCs w:val="18"/>
          <w:shd w:val="clear" w:color="auto" w:fill="FFFFFF"/>
          <w:lang w:val="en-GB"/>
        </w:rPr>
        <w:t xml:space="preserve"> spp. bacteria. </w:t>
      </w:r>
    </w:p>
    <w:p w:rsidR="00DC3C26" w:rsidRPr="00DC3C26" w:rsidRDefault="00DC3C26" w:rsidP="00DC3C26">
      <w:pPr>
        <w:rPr>
          <w:rFonts w:ascii="Palatino Linotype" w:hAnsi="Palatino Linotype"/>
          <w:sz w:val="18"/>
          <w:szCs w:val="18"/>
          <w:shd w:val="clear" w:color="auto" w:fill="FFFFFF"/>
          <w:lang w:val="en-GB"/>
        </w:rPr>
      </w:pPr>
      <w:r w:rsidRPr="00DC3C26">
        <w:rPr>
          <w:rFonts w:ascii="Palatino Linotype" w:hAnsi="Palatino Linotype"/>
          <w:sz w:val="18"/>
          <w:szCs w:val="18"/>
          <w:shd w:val="clear" w:color="auto" w:fill="FFFFFF"/>
          <w:lang w:val="en-GB"/>
        </w:rPr>
        <w:t xml:space="preserve">The containment within the limits accepted by law of fungi and bacteria in food products is strictly regulated, especially for </w:t>
      </w:r>
      <w:proofErr w:type="spellStart"/>
      <w:r w:rsidRPr="00DC3C26">
        <w:rPr>
          <w:rFonts w:ascii="Palatino Linotype" w:hAnsi="Palatino Linotype"/>
          <w:sz w:val="18"/>
          <w:szCs w:val="18"/>
          <w:shd w:val="clear" w:color="auto" w:fill="FFFFFF"/>
          <w:lang w:val="en-GB"/>
        </w:rPr>
        <w:t>psychrotrophic</w:t>
      </w:r>
      <w:proofErr w:type="spellEnd"/>
      <w:r w:rsidRPr="00DC3C26">
        <w:rPr>
          <w:rFonts w:ascii="Palatino Linotype" w:hAnsi="Palatino Linotype"/>
          <w:sz w:val="18"/>
          <w:szCs w:val="18"/>
          <w:shd w:val="clear" w:color="auto" w:fill="FFFFFF"/>
          <w:lang w:val="en-GB"/>
        </w:rPr>
        <w:t xml:space="preserve"> bacteria, during the manufacture and the distribution of the products. There are solutions by food technologists in order to ensure that food products remain sterile (not contaminated) during the production line, from detection of manufacturing lines to packaging materials provided with sensors or hazard detector strips. In these years, the food safety challenge will require to ensure delivering the commodities to the distribution, from stocked products to supermarket desks. The costs of analyses can be afforded by the military agencies, but remains still impracticable for </w:t>
      </w:r>
      <w:proofErr w:type="gramStart"/>
      <w:r w:rsidRPr="00DC3C26">
        <w:rPr>
          <w:rFonts w:ascii="Palatino Linotype" w:hAnsi="Palatino Linotype"/>
          <w:sz w:val="18"/>
          <w:szCs w:val="18"/>
          <w:shd w:val="clear" w:color="auto" w:fill="FFFFFF"/>
          <w:lang w:val="en-GB"/>
        </w:rPr>
        <w:t>students</w:t>
      </w:r>
      <w:proofErr w:type="gramEnd"/>
      <w:r w:rsidRPr="00DC3C26">
        <w:rPr>
          <w:rFonts w:ascii="Palatino Linotype" w:hAnsi="Palatino Linotype"/>
          <w:sz w:val="18"/>
          <w:szCs w:val="18"/>
          <w:shd w:val="clear" w:color="auto" w:fill="FFFFFF"/>
          <w:lang w:val="en-GB"/>
        </w:rPr>
        <w:t xml:space="preserve"> refectories and school meals.</w:t>
      </w:r>
    </w:p>
    <w:p w:rsidR="00DC3C26" w:rsidRPr="00DC3C26" w:rsidRDefault="00DC3C26" w:rsidP="00DC3C26">
      <w:pPr>
        <w:rPr>
          <w:rFonts w:ascii="Palatino Linotype" w:hAnsi="Palatino Linotype"/>
          <w:sz w:val="18"/>
          <w:szCs w:val="18"/>
          <w:shd w:val="clear" w:color="auto" w:fill="FFFFFF"/>
          <w:lang w:val="en-GB"/>
        </w:rPr>
      </w:pPr>
      <w:r w:rsidRPr="00DC3C26">
        <w:rPr>
          <w:rFonts w:ascii="Palatino Linotype" w:hAnsi="Palatino Linotype"/>
          <w:sz w:val="18"/>
          <w:szCs w:val="18"/>
          <w:shd w:val="clear" w:color="auto" w:fill="FFFFFF"/>
          <w:lang w:val="en-GB"/>
        </w:rPr>
        <w:t>In the last few years, microbiology has made great advancements through next-generation sequencing (NGS) methods. Bacteria and viruses can be sequenced, provided that sequencers by Pacific Bioscience (</w:t>
      </w:r>
      <w:proofErr w:type="spellStart"/>
      <w:r w:rsidRPr="00DC3C26">
        <w:rPr>
          <w:rFonts w:ascii="Palatino Linotype" w:hAnsi="Palatino Linotype"/>
          <w:sz w:val="18"/>
          <w:szCs w:val="18"/>
          <w:shd w:val="clear" w:color="auto" w:fill="FFFFFF"/>
          <w:lang w:val="en-GB"/>
        </w:rPr>
        <w:t>PacBio</w:t>
      </w:r>
      <w:proofErr w:type="spellEnd"/>
      <w:r w:rsidRPr="00DC3C26">
        <w:rPr>
          <w:rFonts w:ascii="Palatino Linotype" w:hAnsi="Palatino Linotype"/>
          <w:sz w:val="18"/>
          <w:szCs w:val="18"/>
          <w:shd w:val="clear" w:color="auto" w:fill="FFFFFF"/>
          <w:lang w:val="en-GB"/>
        </w:rPr>
        <w:t xml:space="preserve">) or </w:t>
      </w:r>
      <w:proofErr w:type="spellStart"/>
      <w:r w:rsidRPr="00DC3C26">
        <w:rPr>
          <w:rFonts w:ascii="Palatino Linotype" w:hAnsi="Palatino Linotype"/>
          <w:sz w:val="18"/>
          <w:szCs w:val="18"/>
          <w:shd w:val="clear" w:color="auto" w:fill="FFFFFF"/>
          <w:lang w:val="en-GB"/>
        </w:rPr>
        <w:t>Nanopore</w:t>
      </w:r>
      <w:proofErr w:type="spellEnd"/>
      <w:r w:rsidRPr="00DC3C26">
        <w:rPr>
          <w:rFonts w:ascii="Palatino Linotype" w:hAnsi="Palatino Linotype"/>
          <w:sz w:val="18"/>
          <w:szCs w:val="18"/>
          <w:shd w:val="clear" w:color="auto" w:fill="FFFFFF"/>
          <w:lang w:val="en-GB"/>
        </w:rPr>
        <w:t xml:space="preserve"> portable tools are spread in the common laboratory, making it possible to identify the hazard, and discriminate them at strain or serotype level, detecting the presence of pathogenicity genes. Bacterial communities present in fermented foods can add increased complexity to these analyses, but these bottlenecks may be circumvented by ad hoc DNA purification and amplification methods.</w:t>
      </w:r>
    </w:p>
    <w:p w:rsidR="00DC3C26" w:rsidRPr="00DC3C26" w:rsidRDefault="00DC3C26" w:rsidP="00DC3C26">
      <w:pPr>
        <w:snapToGrid w:val="0"/>
        <w:rPr>
          <w:rFonts w:ascii="Palatino Linotype" w:hAnsi="Palatino Linotype"/>
          <w:sz w:val="18"/>
          <w:szCs w:val="18"/>
          <w:lang w:eastAsia="it-IT"/>
        </w:rPr>
      </w:pPr>
      <w:r w:rsidRPr="00DC3C26">
        <w:rPr>
          <w:rFonts w:ascii="Palatino Linotype" w:hAnsi="Palatino Linotype"/>
          <w:sz w:val="18"/>
          <w:szCs w:val="18"/>
          <w:lang w:eastAsia="it-IT"/>
        </w:rPr>
        <w:t xml:space="preserve">A highly sensitive molecular method is the analysis of the nucleic acids, either DNA or RNA, of the micro-organisms that are believed to be contaminants. The use of quantitative Real Time PCR (RT-PCR) can allow quantification of bacteria, and the unambiguous identification of the bacterial species. Sensor methods have been applied to pathogen identification, based on the following elements: an antibody-based </w:t>
      </w:r>
      <w:proofErr w:type="spellStart"/>
      <w:r w:rsidRPr="00DC3C26">
        <w:rPr>
          <w:rFonts w:ascii="Palatino Linotype" w:hAnsi="Palatino Linotype"/>
          <w:sz w:val="18"/>
          <w:szCs w:val="18"/>
          <w:lang w:eastAsia="it-IT"/>
        </w:rPr>
        <w:t>bioreceptor</w:t>
      </w:r>
      <w:proofErr w:type="spellEnd"/>
      <w:r w:rsidRPr="00DC3C26">
        <w:rPr>
          <w:rFonts w:ascii="Palatino Linotype" w:hAnsi="Palatino Linotype"/>
          <w:sz w:val="18"/>
          <w:szCs w:val="18"/>
          <w:lang w:eastAsia="it-IT"/>
        </w:rPr>
        <w:t xml:space="preserve"> (</w:t>
      </w:r>
      <w:proofErr w:type="spellStart"/>
      <w:r w:rsidRPr="00DC3C26">
        <w:rPr>
          <w:rFonts w:ascii="Palatino Linotype" w:hAnsi="Palatino Linotype"/>
          <w:sz w:val="18"/>
          <w:szCs w:val="18"/>
          <w:lang w:eastAsia="it-IT"/>
        </w:rPr>
        <w:t>immunosensor</w:t>
      </w:r>
      <w:proofErr w:type="spellEnd"/>
      <w:r w:rsidRPr="00DC3C26">
        <w:rPr>
          <w:rFonts w:ascii="Palatino Linotype" w:hAnsi="Palatino Linotype"/>
          <w:sz w:val="18"/>
          <w:szCs w:val="18"/>
          <w:lang w:eastAsia="it-IT"/>
        </w:rPr>
        <w:t xml:space="preserve"> for capturing the </w:t>
      </w:r>
      <w:proofErr w:type="spellStart"/>
      <w:r w:rsidRPr="00DC3C26">
        <w:rPr>
          <w:rFonts w:ascii="Palatino Linotype" w:hAnsi="Palatino Linotype"/>
          <w:sz w:val="18"/>
          <w:szCs w:val="18"/>
          <w:lang w:eastAsia="it-IT"/>
        </w:rPr>
        <w:t>analyte</w:t>
      </w:r>
      <w:proofErr w:type="spellEnd"/>
      <w:r w:rsidRPr="00DC3C26">
        <w:rPr>
          <w:rFonts w:ascii="Palatino Linotype" w:hAnsi="Palatino Linotype"/>
          <w:sz w:val="18"/>
          <w:szCs w:val="18"/>
          <w:lang w:eastAsia="it-IT"/>
        </w:rPr>
        <w:t xml:space="preserve">), linked to physicochemical detector based on one of several transducing (label-free or label dependent) mechanisms, and on signal amplification, processing and display </w:t>
      </w:r>
      <w:r w:rsidRPr="00DC3C26">
        <w:rPr>
          <w:rFonts w:ascii="Palatino Linotype" w:hAnsi="Palatino Linotype"/>
          <w:sz w:val="18"/>
          <w:szCs w:val="18"/>
          <w:lang w:eastAsia="it-IT"/>
        </w:rPr>
        <w:lastRenderedPageBreak/>
        <w:t xml:space="preserve">systems. When the system is aimed to recognize a DNA sequence, prior or after DNA amplification, it is called a </w:t>
      </w:r>
      <w:proofErr w:type="spellStart"/>
      <w:r w:rsidRPr="00DC3C26">
        <w:rPr>
          <w:rFonts w:ascii="Palatino Linotype" w:hAnsi="Palatino Linotype"/>
          <w:sz w:val="18"/>
          <w:szCs w:val="18"/>
          <w:lang w:eastAsia="it-IT"/>
        </w:rPr>
        <w:t>genosensor</w:t>
      </w:r>
      <w:proofErr w:type="spellEnd"/>
      <w:r w:rsidRPr="00DC3C26">
        <w:rPr>
          <w:rFonts w:ascii="Palatino Linotype" w:hAnsi="Palatino Linotype"/>
          <w:sz w:val="18"/>
          <w:szCs w:val="18"/>
          <w:lang w:eastAsia="it-IT"/>
        </w:rPr>
        <w:t>.</w:t>
      </w:r>
    </w:p>
    <w:p w:rsidR="00DC3C26" w:rsidRPr="00DC3C26" w:rsidRDefault="00DC3C26" w:rsidP="00DC3C26">
      <w:pPr>
        <w:snapToGrid w:val="0"/>
        <w:rPr>
          <w:rFonts w:ascii="Palatino Linotype" w:hAnsi="Palatino Linotype"/>
          <w:sz w:val="18"/>
          <w:szCs w:val="18"/>
          <w:lang w:eastAsia="it-IT"/>
        </w:rPr>
      </w:pPr>
      <w:r w:rsidRPr="00DC3C26">
        <w:rPr>
          <w:rFonts w:ascii="Palatino Linotype" w:hAnsi="Palatino Linotype"/>
          <w:sz w:val="18"/>
          <w:szCs w:val="18"/>
          <w:lang w:eastAsia="it-IT"/>
        </w:rPr>
        <w:t>Several methods are available for rapid detection of multiple pathogenic components at the same time. One of the most advanced is based on DNA microarrays for detection of multiple pathogens. The advantage of the microarray approach is in the simultaneous analysis of several targets in one experiment, where hybridization of target DNA to specific probes confirms the identity and therefore enables recognition of the contaminant.</w:t>
      </w:r>
    </w:p>
    <w:p w:rsidR="00DC3C26" w:rsidRPr="00DC3C26" w:rsidRDefault="00DC3C26" w:rsidP="00DC3C26">
      <w:pPr>
        <w:rPr>
          <w:rFonts w:ascii="Palatino Linotype" w:hAnsi="Palatino Linotype"/>
          <w:bCs/>
          <w:sz w:val="18"/>
          <w:szCs w:val="18"/>
          <w:lang w:val="en-GB"/>
        </w:rPr>
      </w:pPr>
      <w:r w:rsidRPr="00DC3C26">
        <w:rPr>
          <w:rFonts w:ascii="Palatino Linotype" w:hAnsi="Palatino Linotype"/>
          <w:bCs/>
          <w:sz w:val="18"/>
          <w:szCs w:val="18"/>
          <w:lang w:val="en-GB"/>
        </w:rPr>
        <w:t xml:space="preserve">One problem is the high dilution of biological and chemical compounds, and the difficulty of recovery from heterogeneous materials such as food and complex biological substances. The problems related to methods of capture and concentration of the targets by using </w:t>
      </w:r>
      <w:proofErr w:type="spellStart"/>
      <w:r w:rsidRPr="00DC3C26">
        <w:rPr>
          <w:rFonts w:ascii="Palatino Linotype" w:hAnsi="Palatino Linotype"/>
          <w:bCs/>
          <w:sz w:val="18"/>
          <w:szCs w:val="18"/>
          <w:lang w:val="en-GB"/>
        </w:rPr>
        <w:t>aptamers</w:t>
      </w:r>
      <w:proofErr w:type="spellEnd"/>
      <w:r w:rsidRPr="00DC3C26">
        <w:rPr>
          <w:rFonts w:ascii="Palatino Linotype" w:hAnsi="Palatino Linotype"/>
          <w:bCs/>
          <w:sz w:val="18"/>
          <w:szCs w:val="18"/>
          <w:lang w:val="en-GB"/>
        </w:rPr>
        <w:t xml:space="preserve">, biotinylated sequences, molecular imprinting and antibodies, is a bottleneck in the sample enrichment process to achieve the maximum yield. </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 xml:space="preserve">One possible approach is the development of assays to be applied on field. Interest in Real Time-PCR for biological agents is dependent on the deployment of in field tests, based on portable RT-PCR systems. </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 xml:space="preserve">Another essential step towards the implementation of field applications for early detection is the development of DNA extraction-free methods, to avoid lengthy procedures before a diagnostic PCR or immunological analysis. </w:t>
      </w:r>
    </w:p>
    <w:p w:rsidR="00DC3C26" w:rsidRPr="00DC3C26" w:rsidRDefault="00DC3C26" w:rsidP="00DC3C26">
      <w:pPr>
        <w:rPr>
          <w:rFonts w:ascii="Palatino Linotype" w:hAnsi="Palatino Linotype"/>
          <w:sz w:val="18"/>
          <w:szCs w:val="18"/>
          <w:lang w:val="en-GB"/>
        </w:rPr>
      </w:pPr>
      <w:proofErr w:type="spellStart"/>
      <w:r w:rsidRPr="00DC3C26">
        <w:rPr>
          <w:rFonts w:ascii="Palatino Linotype" w:hAnsi="Palatino Linotype"/>
          <w:sz w:val="18"/>
          <w:szCs w:val="18"/>
          <w:lang w:val="en-GB"/>
        </w:rPr>
        <w:t>Taq</w:t>
      </w:r>
      <w:proofErr w:type="spellEnd"/>
      <w:r w:rsidRPr="00DC3C26">
        <w:rPr>
          <w:rFonts w:ascii="Palatino Linotype" w:hAnsi="Palatino Linotype"/>
          <w:sz w:val="18"/>
          <w:szCs w:val="18"/>
          <w:lang w:val="en-GB"/>
        </w:rPr>
        <w:t xml:space="preserve"> polymerase is the principal enzyme used for thermal cycling DNA amplification. There are several mutant enzymes that have been exploited by companies, to be adapted to different needs. </w:t>
      </w:r>
      <w:proofErr w:type="spellStart"/>
      <w:r w:rsidRPr="00DC3C26">
        <w:rPr>
          <w:rFonts w:ascii="Palatino Linotype" w:hAnsi="Palatino Linotype"/>
          <w:sz w:val="18"/>
          <w:szCs w:val="18"/>
          <w:lang w:val="en-GB"/>
        </w:rPr>
        <w:t>Taq</w:t>
      </w:r>
      <w:proofErr w:type="spellEnd"/>
      <w:r w:rsidRPr="00DC3C26">
        <w:rPr>
          <w:rFonts w:ascii="Palatino Linotype" w:hAnsi="Palatino Linotype"/>
          <w:sz w:val="18"/>
          <w:szCs w:val="18"/>
          <w:lang w:val="en-GB"/>
        </w:rPr>
        <w:t xml:space="preserve"> polymerase has a low fidelity in copying the template, with a rate of 1:100.000 bases being erroneously incorporated in the DNA copy [11]. A high-fidelity polymerase can process to copy DNA with 1 mutation in 1 million bases [12]. Therefore, it has to be known which level of fidelity the experiment has to accomplish, or the level of detection sensitivity. With sequencing, laboratories request polymerases to amplify thousands or hundreds of thousands of amplicons. For DNA extracted from blood, several new polymerases are going to substitute </w:t>
      </w:r>
      <w:proofErr w:type="spellStart"/>
      <w:r w:rsidRPr="00DC3C26">
        <w:rPr>
          <w:rFonts w:ascii="Palatino Linotype" w:hAnsi="Palatino Linotype"/>
          <w:sz w:val="18"/>
          <w:szCs w:val="18"/>
          <w:lang w:val="en-GB"/>
        </w:rPr>
        <w:t>Taq</w:t>
      </w:r>
      <w:proofErr w:type="spellEnd"/>
      <w:r w:rsidRPr="00DC3C26">
        <w:rPr>
          <w:rFonts w:ascii="Palatino Linotype" w:hAnsi="Palatino Linotype"/>
          <w:sz w:val="18"/>
          <w:szCs w:val="18"/>
          <w:lang w:val="en-GB"/>
        </w:rPr>
        <w:t xml:space="preserve"> for its sensitivity to </w:t>
      </w:r>
      <w:proofErr w:type="spellStart"/>
      <w:r w:rsidRPr="00DC3C26">
        <w:rPr>
          <w:rFonts w:ascii="Palatino Linotype" w:hAnsi="Palatino Linotype"/>
          <w:sz w:val="18"/>
          <w:szCs w:val="18"/>
          <w:lang w:val="en-GB"/>
        </w:rPr>
        <w:t>heme</w:t>
      </w:r>
      <w:proofErr w:type="spellEnd"/>
      <w:r w:rsidRPr="00DC3C26">
        <w:rPr>
          <w:rFonts w:ascii="Palatino Linotype" w:hAnsi="Palatino Linotype"/>
          <w:sz w:val="18"/>
          <w:szCs w:val="18"/>
          <w:lang w:val="en-GB"/>
        </w:rPr>
        <w:t xml:space="preserve">. Finally, GC rich sequences tend to dissociate with difficulty and remain sticky, therefore additives are exploited to lower the melting point of GC rich sequences [13]. </w:t>
      </w:r>
    </w:p>
    <w:p w:rsidR="00DC3C26" w:rsidRPr="00DC3C26" w:rsidRDefault="00DC3C26" w:rsidP="00DC3C26">
      <w:pPr>
        <w:rPr>
          <w:rFonts w:ascii="Palatino Linotype" w:hAnsi="Palatino Linotype"/>
          <w:color w:val="222222"/>
          <w:sz w:val="18"/>
          <w:szCs w:val="18"/>
          <w:shd w:val="clear" w:color="auto" w:fill="FFFFFF"/>
          <w:lang w:val="en-GB"/>
        </w:rPr>
      </w:pPr>
      <w:r w:rsidRPr="00DC3C26">
        <w:rPr>
          <w:rFonts w:ascii="Palatino Linotype" w:hAnsi="Palatino Linotype"/>
          <w:sz w:val="18"/>
          <w:szCs w:val="18"/>
          <w:lang w:val="en-GB"/>
        </w:rPr>
        <w:t xml:space="preserve">Among the wide range of </w:t>
      </w:r>
      <w:proofErr w:type="spellStart"/>
      <w:r w:rsidRPr="00DC3C26">
        <w:rPr>
          <w:rFonts w:ascii="Palatino Linotype" w:hAnsi="Palatino Linotype"/>
          <w:sz w:val="18"/>
          <w:szCs w:val="18"/>
          <w:lang w:val="en-GB"/>
        </w:rPr>
        <w:t>phagic</w:t>
      </w:r>
      <w:proofErr w:type="spellEnd"/>
      <w:r w:rsidRPr="00DC3C26">
        <w:rPr>
          <w:rFonts w:ascii="Palatino Linotype" w:hAnsi="Palatino Linotype"/>
          <w:sz w:val="18"/>
          <w:szCs w:val="18"/>
          <w:lang w:val="en-GB"/>
        </w:rPr>
        <w:t xml:space="preserve"> and bacterial polymerases used in isothermal amplification with high </w:t>
      </w:r>
      <w:proofErr w:type="spellStart"/>
      <w:r w:rsidRPr="00DC3C26">
        <w:rPr>
          <w:rFonts w:ascii="Palatino Linotype" w:hAnsi="Palatino Linotype"/>
          <w:sz w:val="18"/>
          <w:szCs w:val="18"/>
          <w:lang w:val="en-GB"/>
        </w:rPr>
        <w:t>processivity</w:t>
      </w:r>
      <w:proofErr w:type="spellEnd"/>
      <w:r w:rsidRPr="00DC3C26">
        <w:rPr>
          <w:rFonts w:ascii="Palatino Linotype" w:hAnsi="Palatino Linotype"/>
          <w:sz w:val="18"/>
          <w:szCs w:val="18"/>
          <w:lang w:val="en-GB"/>
        </w:rPr>
        <w:t xml:space="preserve">, are </w:t>
      </w:r>
      <w:proofErr w:type="spellStart"/>
      <w:r w:rsidRPr="00DC3C26">
        <w:rPr>
          <w:rStyle w:val="Emphasis"/>
          <w:rFonts w:ascii="Palatino Linotype" w:hAnsi="Palatino Linotype"/>
          <w:sz w:val="18"/>
          <w:szCs w:val="18"/>
          <w:shd w:val="clear" w:color="auto" w:fill="FFFFFF"/>
          <w:lang w:val="en-GB"/>
        </w:rPr>
        <w:t>Bst</w:t>
      </w:r>
      <w:proofErr w:type="spellEnd"/>
      <w:r w:rsidRPr="00DC3C26">
        <w:rPr>
          <w:rStyle w:val="apple-converted-space"/>
          <w:rFonts w:ascii="Palatino Linotype" w:hAnsi="Palatino Linotype"/>
          <w:sz w:val="18"/>
          <w:szCs w:val="18"/>
          <w:shd w:val="clear" w:color="auto" w:fill="FFFFFF"/>
          <w:lang w:val="en-GB"/>
        </w:rPr>
        <w:t xml:space="preserve"> </w:t>
      </w:r>
      <w:r w:rsidRPr="00DC3C26">
        <w:rPr>
          <w:rFonts w:ascii="Palatino Linotype" w:hAnsi="Palatino Linotype"/>
          <w:sz w:val="18"/>
          <w:szCs w:val="18"/>
          <w:shd w:val="clear" w:color="auto" w:fill="FFFFFF"/>
          <w:lang w:val="en-GB"/>
        </w:rPr>
        <w:t>DNA Polymerase, a</w:t>
      </w:r>
      <w:r w:rsidRPr="00DC3C26">
        <w:rPr>
          <w:rFonts w:ascii="Palatino Linotype" w:hAnsi="Palatino Linotype"/>
          <w:sz w:val="18"/>
          <w:szCs w:val="18"/>
          <w:lang w:val="en-GB"/>
        </w:rPr>
        <w:t xml:space="preserve"> </w:t>
      </w:r>
      <w:r w:rsidRPr="00DC3C26">
        <w:rPr>
          <w:rFonts w:ascii="Palatino Linotype" w:hAnsi="Palatino Linotype"/>
          <w:sz w:val="18"/>
          <w:szCs w:val="18"/>
          <w:shd w:val="clear" w:color="auto" w:fill="FFFFFF"/>
          <w:lang w:val="en-GB"/>
        </w:rPr>
        <w:t xml:space="preserve">strand-displacing DNA polymerase, used in </w:t>
      </w:r>
      <w:r w:rsidRPr="00DC3C26">
        <w:rPr>
          <w:rFonts w:ascii="Palatino Linotype" w:hAnsi="Palatino Linotype"/>
          <w:sz w:val="18"/>
          <w:szCs w:val="18"/>
          <w:lang w:val="en-GB"/>
        </w:rPr>
        <w:t xml:space="preserve">LAMP (Loop mediated isothermal </w:t>
      </w:r>
      <w:proofErr w:type="spellStart"/>
      <w:r w:rsidRPr="00DC3C26">
        <w:rPr>
          <w:rFonts w:ascii="Palatino Linotype" w:hAnsi="Palatino Linotype"/>
          <w:sz w:val="18"/>
          <w:szCs w:val="18"/>
          <w:lang w:val="en-GB"/>
        </w:rPr>
        <w:t>AMPlification</w:t>
      </w:r>
      <w:proofErr w:type="spellEnd"/>
      <w:r w:rsidRPr="00DC3C26">
        <w:rPr>
          <w:rFonts w:ascii="Palatino Linotype" w:hAnsi="Palatino Linotype"/>
          <w:sz w:val="18"/>
          <w:szCs w:val="18"/>
          <w:lang w:val="en-GB"/>
        </w:rPr>
        <w:t>) reactions, or the bacteriophage phi29 DNA polymerase used in Rolling Circle Amplification (RCA). Recently the LAMP reaction has been put forward from on-tube qualitative amplification to a quantitative instrument based reaction</w:t>
      </w:r>
      <w:r w:rsidRPr="00DC3C26">
        <w:rPr>
          <w:rFonts w:ascii="Palatino Linotype" w:hAnsi="Palatino Linotype"/>
          <w:color w:val="222222"/>
          <w:sz w:val="18"/>
          <w:szCs w:val="18"/>
          <w:shd w:val="clear" w:color="auto" w:fill="FFFFFF"/>
          <w:lang w:val="en-GB"/>
        </w:rPr>
        <w:t xml:space="preserve"> </w:t>
      </w:r>
      <w:r w:rsidRPr="00DC3C26">
        <w:rPr>
          <w:rFonts w:ascii="Palatino Linotype" w:hAnsi="Palatino Linotype"/>
          <w:sz w:val="18"/>
          <w:szCs w:val="18"/>
          <w:lang w:val="en-GB"/>
        </w:rPr>
        <w:t>[14-16].</w:t>
      </w:r>
    </w:p>
    <w:p w:rsidR="00DC3C26" w:rsidRPr="00DC3C26" w:rsidRDefault="00DC3C26" w:rsidP="00DC3C26">
      <w:pPr>
        <w:rPr>
          <w:rFonts w:ascii="Palatino Linotype" w:hAnsi="Palatino Linotype"/>
          <w:sz w:val="18"/>
          <w:szCs w:val="18"/>
        </w:rPr>
      </w:pPr>
      <w:r w:rsidRPr="00DC3C26">
        <w:rPr>
          <w:rFonts w:ascii="Palatino Linotype" w:hAnsi="Palatino Linotype"/>
          <w:sz w:val="18"/>
          <w:szCs w:val="18"/>
          <w:shd w:val="clear" w:color="auto" w:fill="FFFFFF"/>
          <w:lang w:val="en-GB"/>
        </w:rPr>
        <w:t xml:space="preserve">Description of technology gaps. </w:t>
      </w:r>
      <w:r w:rsidRPr="00DC3C26">
        <w:rPr>
          <w:rFonts w:ascii="Palatino Linotype" w:hAnsi="Palatino Linotype"/>
          <w:sz w:val="18"/>
          <w:szCs w:val="18"/>
        </w:rPr>
        <w:t xml:space="preserve">The development of methods is envisaged to integrate biomaterials in functional devices with acceptable costs and production rate. A further challenge concerns the development of methods suited to use such biomaterials as building blocks to prepare architectures with innovative or enhanced properties; for a given biomaterial, the capability to produce a large number of identical units; maintaining the </w:t>
      </w:r>
      <w:proofErr w:type="spellStart"/>
      <w:r w:rsidRPr="00DC3C26">
        <w:rPr>
          <w:rFonts w:ascii="Palatino Linotype" w:hAnsi="Palatino Linotype"/>
          <w:sz w:val="18"/>
          <w:szCs w:val="18"/>
        </w:rPr>
        <w:t>nano</w:t>
      </w:r>
      <w:proofErr w:type="spellEnd"/>
      <w:r w:rsidRPr="00DC3C26">
        <w:rPr>
          <w:rFonts w:ascii="Palatino Linotype" w:hAnsi="Palatino Linotype"/>
          <w:sz w:val="18"/>
          <w:szCs w:val="18"/>
        </w:rPr>
        <w:t>-size and organization of nanostructures, avoiding unwanted self-assembly or coarsening phenomena.</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A complete integrated system linking information about history and movement of the products along the chain, and objective parameters of quality and safety measured at critical points, would certainly increase preparedness towards intentional and accidental threats.</w:t>
      </w:r>
    </w:p>
    <w:p w:rsidR="00DC3C26" w:rsidRPr="00DC3C26" w:rsidRDefault="00DC3C26" w:rsidP="00DC3C26">
      <w:pPr>
        <w:rPr>
          <w:rFonts w:ascii="Palatino Linotype" w:hAnsi="Palatino Linotype"/>
          <w:color w:val="222222"/>
          <w:sz w:val="18"/>
          <w:szCs w:val="18"/>
          <w:shd w:val="clear" w:color="auto" w:fill="FFFFFF"/>
          <w:lang w:val="en-GB"/>
        </w:rPr>
      </w:pPr>
      <w:r w:rsidRPr="00DC3C26">
        <w:rPr>
          <w:rFonts w:ascii="Palatino Linotype" w:hAnsi="Palatino Linotype"/>
          <w:sz w:val="18"/>
          <w:szCs w:val="18"/>
          <w:lang w:val="en-GB"/>
        </w:rPr>
        <w:t>Microfluidics are applied to different types of sensors and chips [17, 5], for detection of volatile molecules, dissolved molecules, proteins, nucleic acids, and in amplification and direct detection of DNA fragments through arrays or e-DNA platforms. The peculiar behaviour of nanostructures, which is not reproducible at a larger scale, provides further possibility for specific reactions.</w:t>
      </w:r>
    </w:p>
    <w:p w:rsidR="00DC3C26" w:rsidRPr="00DC3C26" w:rsidRDefault="00DC3C26" w:rsidP="00DC3C26">
      <w:pPr>
        <w:snapToGrid w:val="0"/>
        <w:rPr>
          <w:rFonts w:ascii="Palatino Linotype" w:hAnsi="Palatino Linotype" w:cs="Arial"/>
          <w:color w:val="222222"/>
          <w:sz w:val="18"/>
          <w:szCs w:val="18"/>
          <w:shd w:val="clear" w:color="auto" w:fill="FFFFFF"/>
        </w:rPr>
      </w:pPr>
      <w:r w:rsidRPr="00DC3C26">
        <w:rPr>
          <w:rFonts w:ascii="Palatino Linotype" w:hAnsi="Palatino Linotype"/>
          <w:sz w:val="18"/>
          <w:szCs w:val="18"/>
          <w:lang w:val="en-GB"/>
        </w:rPr>
        <w:lastRenderedPageBreak/>
        <w:t xml:space="preserve">Innovation in lab-on-chip components. Biomaterials can be moulded to take desired forms and shapes, and as part of a complex system, applied to control the interactions with components of complex systems. The design of biomaterials, polymer synthesis and characterization, self-assembly of biopolymers (nucleic acids, proteins, lipoproteins or sugar linked proteins, polysaccharides, other compounds with specific features). For Biopolymers, specific sequences in nucleic acids or amino acids provide specific features (interaction and binding with target molecules) so a SELEX combinatorial approach is widely used to identify the sequences better interacting with the desired targets. </w:t>
      </w:r>
      <w:r w:rsidRPr="00DC3C26">
        <w:rPr>
          <w:rFonts w:ascii="Palatino Linotype" w:hAnsi="Palatino Linotype"/>
          <w:sz w:val="18"/>
          <w:szCs w:val="18"/>
          <w:lang w:val="en"/>
        </w:rPr>
        <w:t xml:space="preserve">Biomaterials can be synthesized in the laboratory using a variety of chemical approaches utilizing metallic components, ceramics, or nanoscale composite materials/nanocomposites. </w:t>
      </w:r>
      <w:r w:rsidRPr="00DC3C26">
        <w:rPr>
          <w:rFonts w:ascii="Palatino Linotype" w:hAnsi="Palatino Linotype"/>
          <w:sz w:val="18"/>
          <w:szCs w:val="18"/>
          <w:lang w:val="en-GB"/>
        </w:rPr>
        <w:t xml:space="preserve">Biomaterials may possess self-assembly properties and a structural hierarchy. Functionalization of polymer surfaces can provide the desired properties of a surface thin layer: the technique allows the control of the gating properties, like the opening and closing of channels that controls the flow of ions between two sides of a surface. </w:t>
      </w:r>
      <w:r w:rsidRPr="00DC3C26">
        <w:rPr>
          <w:rFonts w:ascii="Palatino Linotype" w:hAnsi="Palatino Linotype"/>
          <w:sz w:val="18"/>
          <w:szCs w:val="18"/>
          <w:lang w:val="en"/>
        </w:rPr>
        <w:t xml:space="preserve">Technologies for fabricating </w:t>
      </w:r>
      <w:hyperlink r:id="rId8" w:tooltip="Microprocessor" w:history="1">
        <w:r w:rsidRPr="00DC3C26">
          <w:rPr>
            <w:rStyle w:val="Hyperlink"/>
            <w:rFonts w:ascii="Palatino Linotype" w:hAnsi="Palatino Linotype"/>
            <w:color w:val="auto"/>
            <w:sz w:val="18"/>
            <w:szCs w:val="18"/>
            <w:lang w:val="en"/>
          </w:rPr>
          <w:t>microprocessors</w:t>
        </w:r>
      </w:hyperlink>
      <w:r w:rsidRPr="00DC3C26">
        <w:rPr>
          <w:rFonts w:ascii="Palatino Linotype" w:hAnsi="Palatino Linotype"/>
          <w:sz w:val="18"/>
          <w:szCs w:val="18"/>
          <w:lang w:val="en"/>
        </w:rPr>
        <w:t>, capable of creating features smaller than 100 nm, are applied to nanofabrication. Molecular nanotechnology is especially associated with a molecular assembler, a machine that can produce a desired structure or device adding individual units of biomaterials to form a layer on the surface.</w:t>
      </w:r>
      <w:r w:rsidRPr="00DC3C26">
        <w:rPr>
          <w:rFonts w:ascii="Palatino Linotype" w:hAnsi="Palatino Linotype"/>
          <w:sz w:val="18"/>
          <w:szCs w:val="18"/>
        </w:rPr>
        <w:t xml:space="preserve"> Other performances can be obtained through the exploitation of hierarchical architectures, featuring the presence of different biomaterials and/or structures organized at different levels and length scales. Stability has been addressed both improving the quality of materials (for instance, by reducing the presence of defects that can induce drift with time and reduced reproducibility) and the development of different protocols (such as photo-activation of chemical reactions).</w:t>
      </w:r>
    </w:p>
    <w:p w:rsidR="00DC3C26" w:rsidRPr="00DC3C26" w:rsidRDefault="00DC3C26" w:rsidP="00DC3C26">
      <w:pPr>
        <w:rPr>
          <w:rFonts w:ascii="Palatino Linotype" w:hAnsi="Palatino Linotype"/>
          <w:sz w:val="18"/>
          <w:szCs w:val="18"/>
          <w:lang w:val="en-GB"/>
        </w:rPr>
      </w:pPr>
      <w:r w:rsidRPr="00DC3C26">
        <w:rPr>
          <w:rFonts w:ascii="Palatino Linotype" w:hAnsi="Palatino Linotype"/>
          <w:sz w:val="18"/>
          <w:szCs w:val="18"/>
          <w:shd w:val="clear" w:color="auto" w:fill="FFFFFF"/>
          <w:lang w:val="en-GB"/>
        </w:rPr>
        <w:t xml:space="preserve">Evolutionary trends are envisaged in the </w:t>
      </w:r>
      <w:r w:rsidRPr="00DC3C26">
        <w:rPr>
          <w:rFonts w:ascii="Palatino Linotype" w:hAnsi="Palatino Linotype"/>
          <w:sz w:val="18"/>
          <w:szCs w:val="18"/>
        </w:rPr>
        <w:t xml:space="preserve">development of techniques working in parallel, manipulating (orientating) biomaterials over more device substrates at the same time. Similarly, other techniques have been devoted to directly grow biomaterials over functional substrates (Self-assembly techniques); </w:t>
      </w:r>
      <w:proofErr w:type="spellStart"/>
      <w:r w:rsidRPr="00DC3C26">
        <w:rPr>
          <w:rFonts w:ascii="Palatino Linotype" w:hAnsi="Palatino Linotype"/>
          <w:sz w:val="18"/>
          <w:szCs w:val="18"/>
        </w:rPr>
        <w:t>t</w:t>
      </w:r>
      <w:r w:rsidRPr="00DC3C26">
        <w:rPr>
          <w:rFonts w:ascii="Palatino Linotype" w:hAnsi="Palatino Linotype"/>
          <w:sz w:val="18"/>
          <w:szCs w:val="18"/>
          <w:lang w:val="en"/>
        </w:rPr>
        <w:t>he</w:t>
      </w:r>
      <w:proofErr w:type="spellEnd"/>
      <w:r w:rsidRPr="00DC3C26">
        <w:rPr>
          <w:rFonts w:ascii="Palatino Linotype" w:hAnsi="Palatino Linotype"/>
          <w:sz w:val="18"/>
          <w:szCs w:val="18"/>
          <w:lang w:val="en"/>
        </w:rPr>
        <w:t xml:space="preserve"> assembly of strong, flexible biomaterials with optical and electronic abilities leading to foldable surfaces and sensors. </w:t>
      </w:r>
      <w:r w:rsidRPr="00DC3C26">
        <w:rPr>
          <w:rFonts w:ascii="Palatino Linotype" w:hAnsi="Palatino Linotype"/>
          <w:sz w:val="18"/>
          <w:szCs w:val="18"/>
        </w:rPr>
        <w:t xml:space="preserve">Sensitivity and selectivity of nanofabricated biomaterials are an important requisite of these systems. </w:t>
      </w:r>
      <w:r w:rsidRPr="00DC3C26">
        <w:rPr>
          <w:rFonts w:ascii="Palatino Linotype" w:hAnsi="Palatino Linotype"/>
          <w:sz w:val="18"/>
          <w:szCs w:val="18"/>
          <w:lang w:val="en-GB"/>
        </w:rPr>
        <w:t xml:space="preserve">'DNA origami' has been developed as a means of producing </w:t>
      </w:r>
      <w:proofErr w:type="spellStart"/>
      <w:r w:rsidRPr="00DC3C26">
        <w:rPr>
          <w:rFonts w:ascii="Palatino Linotype" w:hAnsi="Palatino Linotype"/>
          <w:sz w:val="18"/>
          <w:szCs w:val="18"/>
          <w:lang w:val="en-GB"/>
        </w:rPr>
        <w:t>plasmonic</w:t>
      </w:r>
      <w:proofErr w:type="spellEnd"/>
      <w:r w:rsidRPr="00DC3C26">
        <w:rPr>
          <w:rFonts w:ascii="Palatino Linotype" w:hAnsi="Palatino Linotype"/>
          <w:sz w:val="18"/>
          <w:szCs w:val="18"/>
          <w:lang w:val="en-GB"/>
        </w:rPr>
        <w:t xml:space="preserve"> structures that contain nanoparticles with chiral structure arranged in helices, with a </w:t>
      </w:r>
      <w:proofErr w:type="spellStart"/>
      <w:r w:rsidRPr="00DC3C26">
        <w:rPr>
          <w:rFonts w:ascii="Palatino Linotype" w:hAnsi="Palatino Linotype"/>
          <w:sz w:val="18"/>
          <w:szCs w:val="18"/>
          <w:lang w:val="en-GB"/>
        </w:rPr>
        <w:t>tunable</w:t>
      </w:r>
      <w:proofErr w:type="spellEnd"/>
      <w:r w:rsidRPr="00DC3C26">
        <w:rPr>
          <w:rFonts w:ascii="Palatino Linotype" w:hAnsi="Palatino Linotype"/>
          <w:sz w:val="18"/>
          <w:szCs w:val="18"/>
          <w:lang w:val="en-GB"/>
        </w:rPr>
        <w:t xml:space="preserve"> optical response, with nanometre precision. The optical response of these assemblies can be rationally tuned for handedness, colour and intensity, highlighting the value of DNA origami as a valuable tool for guiding the self-assembly of nanoparticles into materials with desired electric or magnetic properties.</w:t>
      </w:r>
    </w:p>
    <w:p w:rsidR="00DC3C26" w:rsidRPr="00DC3C26" w:rsidRDefault="00DC3C26" w:rsidP="00DC3C26">
      <w:pPr>
        <w:rPr>
          <w:rFonts w:ascii="Palatino Linotype" w:hAnsi="Palatino Linotype"/>
          <w:sz w:val="18"/>
          <w:szCs w:val="18"/>
          <w:lang w:val="en-GB"/>
        </w:rPr>
      </w:pPr>
      <w:r w:rsidRPr="00DC3C26">
        <w:rPr>
          <w:rFonts w:ascii="Palatino Linotype" w:hAnsi="Palatino Linotype"/>
          <w:sz w:val="18"/>
          <w:szCs w:val="18"/>
          <w:lang w:val="en-GB"/>
        </w:rPr>
        <w:t xml:space="preserve">The evolution trends are in the nanotechnology and in improvements of purification processes, the application of </w:t>
      </w:r>
      <w:proofErr w:type="spellStart"/>
      <w:r w:rsidRPr="00DC3C26">
        <w:rPr>
          <w:rFonts w:ascii="Palatino Linotype" w:hAnsi="Palatino Linotype"/>
          <w:sz w:val="18"/>
          <w:szCs w:val="18"/>
          <w:lang w:val="en-GB"/>
        </w:rPr>
        <w:t>nano</w:t>
      </w:r>
      <w:proofErr w:type="spellEnd"/>
      <w:r w:rsidRPr="00DC3C26">
        <w:rPr>
          <w:rFonts w:ascii="Palatino Linotype" w:hAnsi="Palatino Linotype"/>
          <w:sz w:val="18"/>
          <w:szCs w:val="18"/>
          <w:lang w:val="en-GB"/>
        </w:rPr>
        <w:t>-HPLC systems, use of micro-columns for enrichment of selective targets, micro-concentrators with selective membranes.</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Several innovative devices based on automatic sampling and analysis of nucleic acids or proteins have been recently developed for monitoring high-risk locations, especially for defense against bioterrorism. One trend therefore concerns sampling for surveillance and treatment of samples, which must be minimized prior to analysis.</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 xml:space="preserve">To increase the speed of analysis, lab-on-chips are the most advanced applications of portable biosensors, reproducing complex analytical techniques on small slides of a few square centimeters. Nowadays, many analytical techniques have been integrated or associated with Lab-on-chip sensors including PCR, RT-PCR and microarrays. </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lastRenderedPageBreak/>
        <w:t>Finally, data analysis and integration with other information for efficient decision support is an issue that current research is addressing.</w:t>
      </w:r>
    </w:p>
    <w:p w:rsidR="00DC3C26" w:rsidRPr="00DC3C26" w:rsidRDefault="00DC3C26" w:rsidP="00DC3C26">
      <w:pPr>
        <w:rPr>
          <w:rFonts w:ascii="Palatino Linotype" w:hAnsi="Palatino Linotype"/>
          <w:sz w:val="18"/>
          <w:szCs w:val="18"/>
          <w:lang w:eastAsia="it-IT"/>
        </w:rPr>
      </w:pPr>
      <w:r w:rsidRPr="00DC3C26">
        <w:rPr>
          <w:rFonts w:ascii="Palatino Linotype" w:hAnsi="Palatino Linotype"/>
          <w:sz w:val="18"/>
          <w:szCs w:val="18"/>
          <w:lang w:eastAsia="it-IT"/>
        </w:rPr>
        <w:t>These evolutionary trends have been clearly expressed in the latest call for research projects in the open EU calls (2016-2017) on novel kits for detection of pathogens for humans as well as for plants.</w:t>
      </w:r>
    </w:p>
    <w:p w:rsidR="00DC3C26" w:rsidRPr="00DC3C26" w:rsidRDefault="00DC3C26" w:rsidP="00DC3C26">
      <w:pPr>
        <w:rPr>
          <w:rFonts w:ascii="Palatino Linotype" w:hAnsi="Palatino Linotype"/>
          <w:bCs/>
          <w:sz w:val="18"/>
          <w:szCs w:val="18"/>
          <w:lang w:val="en-GB"/>
        </w:rPr>
      </w:pPr>
      <w:r w:rsidRPr="00DC3C26">
        <w:rPr>
          <w:rFonts w:ascii="Palatino Linotype" w:hAnsi="Palatino Linotype"/>
          <w:sz w:val="18"/>
          <w:szCs w:val="18"/>
          <w:shd w:val="clear" w:color="auto" w:fill="FFFFFF"/>
          <w:lang w:val="en-GB"/>
        </w:rPr>
        <w:t xml:space="preserve">Technology Readiness Level (TRL). </w:t>
      </w:r>
      <w:r w:rsidRPr="00DC3C26">
        <w:rPr>
          <w:rFonts w:ascii="Palatino Linotype" w:hAnsi="Palatino Linotype"/>
          <w:bCs/>
          <w:sz w:val="18"/>
          <w:szCs w:val="18"/>
          <w:lang w:val="en-GB"/>
        </w:rPr>
        <w:t xml:space="preserve">Studies on biomaterials for biological hazard detection systems at an intermediate level (TRL 6): communication between needs and applicability of prototypes to focus on specific features are required. Next steps </w:t>
      </w:r>
      <w:r w:rsidRPr="00DC3C26">
        <w:rPr>
          <w:rFonts w:ascii="Palatino Linotype" w:hAnsi="Palatino Linotype"/>
          <w:bCs/>
          <w:kern w:val="24"/>
          <w:sz w:val="18"/>
          <w:szCs w:val="18"/>
          <w:lang w:eastAsia="it-IT"/>
        </w:rPr>
        <w:t>require miniaturization of analytical devices (Lab-on-Chip, Point of Care diagnostics) and field portability and interoperability; new strategic approaches for simultaneous identification of agents; definition of sampling strategies and treatments; interconnection with ICT systems for automatic acquisition and analysis of data.</w:t>
      </w:r>
    </w:p>
    <w:p w:rsidR="00DC3C26" w:rsidRPr="00DC3C26" w:rsidRDefault="00DC3C26" w:rsidP="00DC3C26">
      <w:pPr>
        <w:rPr>
          <w:rFonts w:ascii="Palatino Linotype" w:hAnsi="Palatino Linotype"/>
          <w:sz w:val="18"/>
          <w:szCs w:val="18"/>
          <w:lang w:val="en-GB"/>
        </w:rPr>
      </w:pPr>
      <w:r w:rsidRPr="00DC3C26">
        <w:rPr>
          <w:rFonts w:ascii="Palatino Linotype" w:hAnsi="Palatino Linotype"/>
          <w:sz w:val="18"/>
          <w:szCs w:val="18"/>
          <w:lang w:val="en-GB"/>
        </w:rPr>
        <w:t>Biotechnology-based systems must be implemented for early detection with rapid environmental DNA/protein detection, DNA-extraction-free Real Time PCR methods, or by solid-state DNA extraction methods, to monitor high-risk contamination events. To increase the speed of analysis, portable biosensors (Lab-on-chips) are needed for deployment near-line in critical points. Monitoring and surveillance of critical points against intentional or accidental delivery of biological hazards requires the development of sampling strategies and of devices for automatic sampling at an industrial level.</w:t>
      </w:r>
    </w:p>
    <w:p w:rsidR="00DC3C26" w:rsidRPr="00DC3C26" w:rsidRDefault="00DC3C26" w:rsidP="00DC3C26">
      <w:pPr>
        <w:rPr>
          <w:rFonts w:ascii="Palatino Linotype" w:hAnsi="Palatino Linotype"/>
          <w:sz w:val="18"/>
          <w:szCs w:val="18"/>
          <w:lang w:val="en-GB"/>
        </w:rPr>
      </w:pPr>
    </w:p>
    <w:p w:rsidR="00DC3C26" w:rsidRPr="00DC3C26" w:rsidRDefault="00DC3C26" w:rsidP="00DC3C26">
      <w:pPr>
        <w:rPr>
          <w:rFonts w:ascii="Palatino Linotype" w:hAnsi="Palatino Linotype"/>
          <w:sz w:val="18"/>
          <w:szCs w:val="18"/>
          <w:lang w:val="en-GB"/>
        </w:rPr>
      </w:pPr>
      <w:r w:rsidRPr="00DC3C26">
        <w:rPr>
          <w:rFonts w:ascii="Palatino Linotype" w:hAnsi="Palatino Linotype"/>
          <w:sz w:val="18"/>
          <w:szCs w:val="18"/>
          <w:lang w:val="en-GB"/>
        </w:rPr>
        <w:t>References</w:t>
      </w:r>
    </w:p>
    <w:p w:rsidR="00DC3C26" w:rsidRPr="00DC3C26" w:rsidRDefault="00DC3C26" w:rsidP="00DC3C26">
      <w:pPr>
        <w:numPr>
          <w:ilvl w:val="0"/>
          <w:numId w:val="46"/>
        </w:numPr>
        <w:spacing w:line="240" w:lineRule="auto"/>
        <w:rPr>
          <w:rFonts w:ascii="Palatino Linotype" w:hAnsi="Palatino Linotype"/>
          <w:sz w:val="18"/>
          <w:szCs w:val="18"/>
          <w:shd w:val="clear" w:color="auto" w:fill="FFFFFF"/>
        </w:rPr>
      </w:pPr>
      <w:proofErr w:type="spellStart"/>
      <w:r w:rsidRPr="00DC3C26">
        <w:rPr>
          <w:rFonts w:ascii="Palatino Linotype" w:hAnsi="Palatino Linotype"/>
          <w:sz w:val="18"/>
          <w:szCs w:val="18"/>
          <w:lang w:val="en-GB"/>
        </w:rPr>
        <w:t>Cimaglia</w:t>
      </w:r>
      <w:proofErr w:type="spellEnd"/>
      <w:r w:rsidRPr="00DC3C26">
        <w:rPr>
          <w:rFonts w:ascii="Palatino Linotype" w:hAnsi="Palatino Linotype"/>
          <w:sz w:val="18"/>
          <w:szCs w:val="18"/>
          <w:lang w:val="en-GB"/>
        </w:rPr>
        <w:t xml:space="preserve"> F., De </w:t>
      </w:r>
      <w:proofErr w:type="spellStart"/>
      <w:r w:rsidRPr="00DC3C26">
        <w:rPr>
          <w:rFonts w:ascii="Palatino Linotype" w:hAnsi="Palatino Linotype"/>
          <w:sz w:val="18"/>
          <w:szCs w:val="18"/>
          <w:lang w:val="en-GB"/>
        </w:rPr>
        <w:t>Lorenzis</w:t>
      </w:r>
      <w:proofErr w:type="spellEnd"/>
      <w:r w:rsidRPr="00DC3C26">
        <w:rPr>
          <w:rFonts w:ascii="Palatino Linotype" w:hAnsi="Palatino Linotype"/>
          <w:sz w:val="18"/>
          <w:szCs w:val="18"/>
          <w:lang w:val="en-GB"/>
        </w:rPr>
        <w:t xml:space="preserve"> E, </w:t>
      </w:r>
      <w:proofErr w:type="spellStart"/>
      <w:r w:rsidRPr="00DC3C26">
        <w:rPr>
          <w:rFonts w:ascii="Palatino Linotype" w:hAnsi="Palatino Linotype"/>
          <w:sz w:val="18"/>
          <w:szCs w:val="18"/>
          <w:lang w:val="en-GB"/>
        </w:rPr>
        <w:t>Mezzolla</w:t>
      </w:r>
      <w:proofErr w:type="spellEnd"/>
      <w:r w:rsidRPr="00DC3C26">
        <w:rPr>
          <w:rFonts w:ascii="Palatino Linotype" w:hAnsi="Palatino Linotype"/>
          <w:sz w:val="18"/>
          <w:szCs w:val="18"/>
          <w:lang w:val="en-GB"/>
        </w:rPr>
        <w:t xml:space="preserve"> V., Rossi F., </w:t>
      </w:r>
      <w:proofErr w:type="spellStart"/>
      <w:r w:rsidRPr="00DC3C26">
        <w:rPr>
          <w:rFonts w:ascii="Palatino Linotype" w:hAnsi="Palatino Linotype"/>
          <w:sz w:val="18"/>
          <w:szCs w:val="18"/>
          <w:lang w:val="en-GB"/>
        </w:rPr>
        <w:t>Poltronieri</w:t>
      </w:r>
      <w:proofErr w:type="spellEnd"/>
      <w:r w:rsidRPr="00DC3C26">
        <w:rPr>
          <w:rFonts w:ascii="Palatino Linotype" w:hAnsi="Palatino Linotype"/>
          <w:sz w:val="18"/>
          <w:szCs w:val="18"/>
          <w:lang w:val="en-GB"/>
        </w:rPr>
        <w:t xml:space="preserve"> P. </w:t>
      </w:r>
      <w:r w:rsidRPr="00DC3C26">
        <w:rPr>
          <w:rFonts w:ascii="Palatino Linotype" w:hAnsi="Palatino Linotype"/>
          <w:sz w:val="18"/>
          <w:szCs w:val="18"/>
          <w:shd w:val="clear" w:color="auto" w:fill="FFFFFF"/>
          <w:lang w:val="en-GB"/>
        </w:rPr>
        <w:t xml:space="preserve">Detection of </w:t>
      </w:r>
      <w:r w:rsidRPr="00DC3C26">
        <w:rPr>
          <w:rFonts w:ascii="Palatino Linotype" w:hAnsi="Palatino Linotype"/>
          <w:i/>
          <w:sz w:val="18"/>
          <w:szCs w:val="18"/>
          <w:shd w:val="clear" w:color="auto" w:fill="FFFFFF"/>
          <w:lang w:val="en-GB"/>
        </w:rPr>
        <w:t xml:space="preserve">L. </w:t>
      </w:r>
      <w:proofErr w:type="spellStart"/>
      <w:r w:rsidRPr="00DC3C26">
        <w:rPr>
          <w:rFonts w:ascii="Palatino Linotype" w:hAnsi="Palatino Linotype"/>
          <w:i/>
          <w:sz w:val="18"/>
          <w:szCs w:val="18"/>
          <w:shd w:val="clear" w:color="auto" w:fill="FFFFFF"/>
          <w:lang w:val="en-GB"/>
        </w:rPr>
        <w:t>monocytogenes</w:t>
      </w:r>
      <w:proofErr w:type="spellEnd"/>
      <w:r w:rsidRPr="00DC3C26">
        <w:rPr>
          <w:rFonts w:ascii="Palatino Linotype" w:hAnsi="Palatino Linotype"/>
          <w:sz w:val="18"/>
          <w:szCs w:val="18"/>
          <w:shd w:val="clear" w:color="auto" w:fill="FFFFFF"/>
          <w:lang w:val="en-GB"/>
        </w:rPr>
        <w:t xml:space="preserve"> in enrichment cultures by </w:t>
      </w:r>
      <w:proofErr w:type="spellStart"/>
      <w:r w:rsidRPr="00DC3C26">
        <w:rPr>
          <w:rFonts w:ascii="Palatino Linotype" w:hAnsi="Palatino Linotype"/>
          <w:sz w:val="18"/>
          <w:szCs w:val="18"/>
          <w:shd w:val="clear" w:color="auto" w:fill="FFFFFF"/>
          <w:lang w:val="en-GB"/>
        </w:rPr>
        <w:t>immunoseparation</w:t>
      </w:r>
      <w:proofErr w:type="spellEnd"/>
      <w:r w:rsidRPr="00DC3C26">
        <w:rPr>
          <w:rFonts w:ascii="Palatino Linotype" w:hAnsi="Palatino Linotype"/>
          <w:sz w:val="18"/>
          <w:szCs w:val="18"/>
          <w:shd w:val="clear" w:color="auto" w:fill="FFFFFF"/>
          <w:lang w:val="en-GB"/>
        </w:rPr>
        <w:t xml:space="preserve"> and </w:t>
      </w:r>
      <w:proofErr w:type="spellStart"/>
      <w:r w:rsidRPr="00DC3C26">
        <w:rPr>
          <w:rFonts w:ascii="Palatino Linotype" w:hAnsi="Palatino Linotype"/>
          <w:sz w:val="18"/>
          <w:szCs w:val="18"/>
          <w:shd w:val="clear" w:color="auto" w:fill="FFFFFF"/>
          <w:lang w:val="en-GB"/>
        </w:rPr>
        <w:t>immunosensors</w:t>
      </w:r>
      <w:proofErr w:type="spellEnd"/>
      <w:r w:rsidRPr="00DC3C26">
        <w:rPr>
          <w:rFonts w:ascii="Palatino Linotype" w:hAnsi="Palatino Linotype"/>
          <w:sz w:val="18"/>
          <w:szCs w:val="18"/>
          <w:shd w:val="clear" w:color="auto" w:fill="FFFFFF"/>
          <w:lang w:val="en-GB"/>
        </w:rPr>
        <w:t>.</w:t>
      </w:r>
      <w:r w:rsidRPr="00DC3C26">
        <w:rPr>
          <w:rFonts w:ascii="Palatino Linotype" w:hAnsi="Palatino Linotype"/>
          <w:sz w:val="18"/>
          <w:szCs w:val="18"/>
          <w:lang w:val="en-GB"/>
        </w:rPr>
        <w:t xml:space="preserve"> </w:t>
      </w:r>
      <w:r w:rsidRPr="00DC3C26">
        <w:rPr>
          <w:rFonts w:ascii="Palatino Linotype" w:hAnsi="Palatino Linotype"/>
          <w:sz w:val="18"/>
          <w:szCs w:val="18"/>
        </w:rPr>
        <w:t>IEEE Sensors, 2016, 16(19):</w:t>
      </w:r>
      <w:r w:rsidRPr="00DC3C26">
        <w:rPr>
          <w:rFonts w:ascii="Palatino Linotype" w:hAnsi="Palatino Linotype"/>
          <w:sz w:val="18"/>
          <w:szCs w:val="18"/>
          <w:shd w:val="clear" w:color="auto" w:fill="FFFFFF"/>
        </w:rPr>
        <w:t>7045-7052.</w:t>
      </w:r>
    </w:p>
    <w:p w:rsidR="00DC3C26" w:rsidRPr="00DC3C26" w:rsidRDefault="00DC3C26" w:rsidP="00DC3C26">
      <w:pPr>
        <w:numPr>
          <w:ilvl w:val="0"/>
          <w:numId w:val="46"/>
        </w:numPr>
        <w:spacing w:line="240" w:lineRule="auto"/>
        <w:rPr>
          <w:rFonts w:ascii="Palatino Linotype" w:hAnsi="Palatino Linotype"/>
          <w:sz w:val="18"/>
          <w:szCs w:val="18"/>
        </w:rPr>
      </w:pPr>
      <w:proofErr w:type="spellStart"/>
      <w:r w:rsidRPr="00DC3C26">
        <w:rPr>
          <w:rFonts w:ascii="Palatino Linotype" w:hAnsi="Palatino Linotype"/>
          <w:sz w:val="18"/>
          <w:szCs w:val="18"/>
        </w:rPr>
        <w:t>Poltronieri</w:t>
      </w:r>
      <w:proofErr w:type="spellEnd"/>
      <w:r w:rsidRPr="00DC3C26">
        <w:rPr>
          <w:rFonts w:ascii="Palatino Linotype" w:hAnsi="Palatino Linotype"/>
          <w:sz w:val="18"/>
          <w:szCs w:val="18"/>
        </w:rPr>
        <w:t xml:space="preserve"> P., </w:t>
      </w:r>
      <w:proofErr w:type="spellStart"/>
      <w:r w:rsidRPr="00DC3C26">
        <w:rPr>
          <w:rFonts w:ascii="Palatino Linotype" w:hAnsi="Palatino Linotype"/>
          <w:sz w:val="18"/>
          <w:szCs w:val="18"/>
        </w:rPr>
        <w:t>Cimaglia</w:t>
      </w:r>
      <w:proofErr w:type="spellEnd"/>
      <w:r w:rsidRPr="00DC3C26">
        <w:rPr>
          <w:rFonts w:ascii="Palatino Linotype" w:hAnsi="Palatino Linotype"/>
          <w:sz w:val="18"/>
          <w:szCs w:val="18"/>
        </w:rPr>
        <w:t xml:space="preserve"> F., De </w:t>
      </w:r>
      <w:proofErr w:type="spellStart"/>
      <w:r w:rsidRPr="00DC3C26">
        <w:rPr>
          <w:rFonts w:ascii="Palatino Linotype" w:hAnsi="Palatino Linotype"/>
          <w:sz w:val="18"/>
          <w:szCs w:val="18"/>
        </w:rPr>
        <w:t>Lorenzis</w:t>
      </w:r>
      <w:proofErr w:type="spellEnd"/>
      <w:r w:rsidRPr="00DC3C26">
        <w:rPr>
          <w:rFonts w:ascii="Palatino Linotype" w:hAnsi="Palatino Linotype"/>
          <w:sz w:val="18"/>
          <w:szCs w:val="18"/>
        </w:rPr>
        <w:t xml:space="preserve"> E, Chiesa M, </w:t>
      </w:r>
      <w:proofErr w:type="spellStart"/>
      <w:r w:rsidRPr="00DC3C26">
        <w:rPr>
          <w:rFonts w:ascii="Palatino Linotype" w:hAnsi="Palatino Linotype"/>
          <w:sz w:val="18"/>
          <w:szCs w:val="18"/>
        </w:rPr>
        <w:t>Mezzolla</w:t>
      </w:r>
      <w:proofErr w:type="spellEnd"/>
      <w:r w:rsidRPr="00DC3C26">
        <w:rPr>
          <w:rFonts w:ascii="Palatino Linotype" w:hAnsi="Palatino Linotype"/>
          <w:sz w:val="18"/>
          <w:szCs w:val="18"/>
        </w:rPr>
        <w:t xml:space="preserve"> V, </w:t>
      </w:r>
      <w:proofErr w:type="spellStart"/>
      <w:r w:rsidRPr="00DC3C26">
        <w:rPr>
          <w:rFonts w:ascii="Palatino Linotype" w:hAnsi="Palatino Linotype"/>
          <w:sz w:val="18"/>
          <w:szCs w:val="18"/>
        </w:rPr>
        <w:t>Reca</w:t>
      </w:r>
      <w:proofErr w:type="spellEnd"/>
      <w:r w:rsidRPr="00DC3C26">
        <w:rPr>
          <w:rFonts w:ascii="Palatino Linotype" w:hAnsi="Palatino Linotype"/>
          <w:sz w:val="18"/>
          <w:szCs w:val="18"/>
        </w:rPr>
        <w:t xml:space="preserve"> IB. </w:t>
      </w:r>
      <w:r w:rsidRPr="00DC3C26">
        <w:rPr>
          <w:rFonts w:ascii="Palatino Linotype" w:hAnsi="Palatino Linotype"/>
          <w:sz w:val="18"/>
          <w:szCs w:val="18"/>
          <w:lang w:val="en-GB"/>
        </w:rPr>
        <w:t xml:space="preserve">Protein chips for detection of </w:t>
      </w:r>
      <w:r w:rsidRPr="00DC3C26">
        <w:rPr>
          <w:rFonts w:ascii="Palatino Linotype" w:hAnsi="Palatino Linotype"/>
          <w:i/>
          <w:iCs/>
          <w:sz w:val="18"/>
          <w:szCs w:val="18"/>
          <w:lang w:val="en-GB"/>
        </w:rPr>
        <w:t>Salmonella</w:t>
      </w:r>
      <w:r w:rsidRPr="00DC3C26">
        <w:rPr>
          <w:rFonts w:ascii="Palatino Linotype" w:hAnsi="Palatino Linotype"/>
          <w:sz w:val="18"/>
          <w:szCs w:val="18"/>
          <w:lang w:val="en-GB"/>
        </w:rPr>
        <w:t xml:space="preserve"> spp. from enrichment culture. </w:t>
      </w:r>
      <w:r w:rsidRPr="00DC3C26">
        <w:rPr>
          <w:rFonts w:ascii="Palatino Linotype" w:hAnsi="Palatino Linotype"/>
          <w:sz w:val="18"/>
          <w:szCs w:val="18"/>
        </w:rPr>
        <w:t>Sensors 2016, 16(4):574.</w:t>
      </w:r>
    </w:p>
    <w:p w:rsidR="00DC3C26" w:rsidRPr="00DC3C26" w:rsidRDefault="00DC3C26" w:rsidP="00DC3C26">
      <w:pPr>
        <w:numPr>
          <w:ilvl w:val="0"/>
          <w:numId w:val="46"/>
        </w:numPr>
        <w:spacing w:line="240" w:lineRule="auto"/>
        <w:rPr>
          <w:rFonts w:ascii="Palatino Linotype" w:hAnsi="Palatino Linotype"/>
          <w:sz w:val="18"/>
          <w:szCs w:val="18"/>
          <w:lang w:val="en-GB"/>
        </w:rPr>
      </w:pPr>
      <w:proofErr w:type="spellStart"/>
      <w:r w:rsidRPr="00DC3C26">
        <w:rPr>
          <w:rFonts w:ascii="Palatino Linotype" w:hAnsi="Palatino Linotype"/>
          <w:sz w:val="18"/>
          <w:szCs w:val="18"/>
          <w:shd w:val="clear" w:color="auto" w:fill="FFFFFF"/>
          <w:lang w:val="en-GB"/>
        </w:rPr>
        <w:t>Poltronieri</w:t>
      </w:r>
      <w:proofErr w:type="spellEnd"/>
      <w:r w:rsidRPr="00DC3C26">
        <w:rPr>
          <w:rFonts w:ascii="Palatino Linotype" w:hAnsi="Palatino Linotype"/>
          <w:sz w:val="18"/>
          <w:szCs w:val="18"/>
          <w:shd w:val="clear" w:color="auto" w:fill="FFFFFF"/>
          <w:lang w:val="en-GB"/>
        </w:rPr>
        <w:t xml:space="preserve"> P.; </w:t>
      </w:r>
      <w:proofErr w:type="spellStart"/>
      <w:r w:rsidRPr="00DC3C26">
        <w:rPr>
          <w:rFonts w:ascii="Palatino Linotype" w:hAnsi="Palatino Linotype"/>
          <w:sz w:val="18"/>
          <w:szCs w:val="18"/>
          <w:shd w:val="clear" w:color="auto" w:fill="FFFFFF"/>
          <w:lang w:val="en-GB"/>
        </w:rPr>
        <w:t>Mezzolla</w:t>
      </w:r>
      <w:proofErr w:type="spellEnd"/>
      <w:r w:rsidRPr="00DC3C26">
        <w:rPr>
          <w:rFonts w:ascii="Palatino Linotype" w:hAnsi="Palatino Linotype"/>
          <w:sz w:val="18"/>
          <w:szCs w:val="18"/>
          <w:shd w:val="clear" w:color="auto" w:fill="FFFFFF"/>
          <w:lang w:val="en-GB"/>
        </w:rPr>
        <w:t xml:space="preserve"> V.; </w:t>
      </w:r>
      <w:proofErr w:type="spellStart"/>
      <w:r w:rsidRPr="00DC3C26">
        <w:rPr>
          <w:rFonts w:ascii="Palatino Linotype" w:hAnsi="Palatino Linotype"/>
          <w:sz w:val="18"/>
          <w:szCs w:val="18"/>
          <w:shd w:val="clear" w:color="auto" w:fill="FFFFFF"/>
          <w:lang w:val="en-GB"/>
        </w:rPr>
        <w:t>Primiceri</w:t>
      </w:r>
      <w:proofErr w:type="spellEnd"/>
      <w:r w:rsidRPr="00DC3C26">
        <w:rPr>
          <w:rFonts w:ascii="Palatino Linotype" w:hAnsi="Palatino Linotype"/>
          <w:sz w:val="18"/>
          <w:szCs w:val="18"/>
          <w:shd w:val="clear" w:color="auto" w:fill="FFFFFF"/>
          <w:lang w:val="en-GB"/>
        </w:rPr>
        <w:t xml:space="preserve"> E.; </w:t>
      </w:r>
      <w:proofErr w:type="spellStart"/>
      <w:r w:rsidRPr="00DC3C26">
        <w:rPr>
          <w:rFonts w:ascii="Palatino Linotype" w:hAnsi="Palatino Linotype"/>
          <w:sz w:val="18"/>
          <w:szCs w:val="18"/>
          <w:shd w:val="clear" w:color="auto" w:fill="FFFFFF"/>
          <w:lang w:val="en-GB"/>
        </w:rPr>
        <w:t>Maruccio</w:t>
      </w:r>
      <w:proofErr w:type="spellEnd"/>
      <w:r w:rsidRPr="00DC3C26">
        <w:rPr>
          <w:rFonts w:ascii="Palatino Linotype" w:hAnsi="Palatino Linotype"/>
          <w:sz w:val="18"/>
          <w:szCs w:val="18"/>
          <w:shd w:val="clear" w:color="auto" w:fill="FFFFFF"/>
          <w:lang w:val="en-GB"/>
        </w:rPr>
        <w:t xml:space="preserve"> G. Biosensors for the detection of food pathogens. </w:t>
      </w:r>
      <w:r w:rsidRPr="00DC3C26">
        <w:rPr>
          <w:rStyle w:val="Emphasis"/>
          <w:rFonts w:ascii="Palatino Linotype" w:hAnsi="Palatino Linotype"/>
          <w:sz w:val="18"/>
          <w:szCs w:val="18"/>
          <w:shd w:val="clear" w:color="auto" w:fill="FFFFFF"/>
          <w:lang w:val="en-GB"/>
        </w:rPr>
        <w:t xml:space="preserve">Foods </w:t>
      </w:r>
      <w:r w:rsidRPr="00DC3C26">
        <w:rPr>
          <w:rFonts w:ascii="Palatino Linotype" w:hAnsi="Palatino Linotype"/>
          <w:bCs/>
          <w:sz w:val="18"/>
          <w:szCs w:val="18"/>
          <w:shd w:val="clear" w:color="auto" w:fill="FFFFFF"/>
          <w:lang w:val="en-GB"/>
        </w:rPr>
        <w:t>2014</w:t>
      </w:r>
      <w:r w:rsidRPr="00DC3C26">
        <w:rPr>
          <w:rFonts w:ascii="Palatino Linotype" w:hAnsi="Palatino Linotype"/>
          <w:sz w:val="18"/>
          <w:szCs w:val="18"/>
          <w:shd w:val="clear" w:color="auto" w:fill="FFFFFF"/>
          <w:lang w:val="en-GB"/>
        </w:rPr>
        <w:t xml:space="preserve">, </w:t>
      </w:r>
      <w:r w:rsidRPr="00DC3C26">
        <w:rPr>
          <w:rStyle w:val="Emphasis"/>
          <w:rFonts w:ascii="Palatino Linotype" w:hAnsi="Palatino Linotype"/>
          <w:i w:val="0"/>
          <w:sz w:val="18"/>
          <w:szCs w:val="18"/>
          <w:shd w:val="clear" w:color="auto" w:fill="FFFFFF"/>
          <w:lang w:val="en-GB"/>
        </w:rPr>
        <w:t>3</w:t>
      </w:r>
      <w:r w:rsidRPr="00DC3C26">
        <w:rPr>
          <w:rFonts w:ascii="Palatino Linotype" w:hAnsi="Palatino Linotype"/>
          <w:sz w:val="18"/>
          <w:szCs w:val="18"/>
          <w:shd w:val="clear" w:color="auto" w:fill="FFFFFF"/>
          <w:lang w:val="en-GB"/>
        </w:rPr>
        <w:t>, 511-526.</w:t>
      </w:r>
    </w:p>
    <w:p w:rsidR="00DC3C26" w:rsidRPr="00DC3C26" w:rsidRDefault="00DC3C26" w:rsidP="00DC3C26">
      <w:pPr>
        <w:numPr>
          <w:ilvl w:val="0"/>
          <w:numId w:val="46"/>
        </w:numPr>
        <w:spacing w:line="240" w:lineRule="auto"/>
        <w:rPr>
          <w:rFonts w:ascii="Palatino Linotype" w:hAnsi="Palatino Linotype"/>
          <w:noProof/>
          <w:sz w:val="18"/>
          <w:szCs w:val="18"/>
        </w:rPr>
      </w:pPr>
      <w:r w:rsidRPr="00DC3C26">
        <w:rPr>
          <w:rFonts w:ascii="Palatino Linotype" w:hAnsi="Palatino Linotype"/>
          <w:noProof/>
          <w:sz w:val="18"/>
          <w:szCs w:val="18"/>
          <w:lang w:val="en-GB"/>
        </w:rPr>
        <w:t xml:space="preserve">Primiceri E., Chiriacò M.S., De Feo F., Santovito E., Fusco V., Maruccio G. A multipurpose biochip for food pathogen detection. </w:t>
      </w:r>
      <w:r w:rsidRPr="00DC3C26">
        <w:rPr>
          <w:rFonts w:ascii="Palatino Linotype" w:hAnsi="Palatino Linotype"/>
          <w:noProof/>
          <w:sz w:val="18"/>
          <w:szCs w:val="18"/>
        </w:rPr>
        <w:t>Analytical Methods, 2016, 88(15), 3055-3060.</w:t>
      </w:r>
    </w:p>
    <w:p w:rsidR="00DC3C26" w:rsidRPr="00DC3C26" w:rsidRDefault="00DC3C26" w:rsidP="00DC3C26">
      <w:pPr>
        <w:numPr>
          <w:ilvl w:val="0"/>
          <w:numId w:val="46"/>
        </w:numPr>
        <w:spacing w:line="240" w:lineRule="auto"/>
        <w:rPr>
          <w:rFonts w:ascii="Palatino Linotype" w:hAnsi="Palatino Linotype"/>
          <w:noProof/>
          <w:sz w:val="18"/>
          <w:szCs w:val="18"/>
        </w:rPr>
      </w:pPr>
      <w:r w:rsidRPr="00DC3C26">
        <w:rPr>
          <w:rFonts w:ascii="Palatino Linotype" w:hAnsi="Palatino Linotype"/>
          <w:sz w:val="18"/>
          <w:szCs w:val="18"/>
        </w:rPr>
        <w:t xml:space="preserve">Jiang X.; Liu Y.; Liu Q; </w:t>
      </w:r>
      <w:proofErr w:type="spellStart"/>
      <w:r w:rsidRPr="00DC3C26">
        <w:rPr>
          <w:rFonts w:ascii="Palatino Linotype" w:hAnsi="Palatino Linotype"/>
          <w:sz w:val="18"/>
          <w:szCs w:val="18"/>
        </w:rPr>
        <w:t>Wenwen</w:t>
      </w:r>
      <w:proofErr w:type="spellEnd"/>
      <w:r w:rsidRPr="00DC3C26">
        <w:rPr>
          <w:rFonts w:ascii="Palatino Linotype" w:hAnsi="Palatino Linotype"/>
          <w:sz w:val="18"/>
          <w:szCs w:val="18"/>
        </w:rPr>
        <w:t xml:space="preserve"> J.; Qin K.; Sui G., Rapid capture and analysis of airborne </w:t>
      </w:r>
      <w:r w:rsidRPr="00DC3C26">
        <w:rPr>
          <w:rFonts w:ascii="Palatino Linotype" w:hAnsi="Palatino Linotype"/>
          <w:i/>
          <w:sz w:val="18"/>
          <w:szCs w:val="18"/>
        </w:rPr>
        <w:t>Staphylococcus aureus</w:t>
      </w:r>
      <w:r w:rsidRPr="00DC3C26">
        <w:rPr>
          <w:rFonts w:ascii="Palatino Linotype" w:hAnsi="Palatino Linotype"/>
          <w:sz w:val="18"/>
          <w:szCs w:val="18"/>
        </w:rPr>
        <w:t xml:space="preserve"> in the hospital using a microfluidic chip. </w:t>
      </w:r>
      <w:proofErr w:type="spellStart"/>
      <w:r w:rsidRPr="00DC3C26">
        <w:rPr>
          <w:rFonts w:ascii="Palatino Linotype" w:hAnsi="Palatino Linotype"/>
          <w:sz w:val="18"/>
          <w:szCs w:val="18"/>
        </w:rPr>
        <w:t>Micromachines</w:t>
      </w:r>
      <w:proofErr w:type="spellEnd"/>
      <w:r w:rsidRPr="00DC3C26">
        <w:rPr>
          <w:rFonts w:ascii="Palatino Linotype" w:hAnsi="Palatino Linotype"/>
          <w:sz w:val="18"/>
          <w:szCs w:val="18"/>
        </w:rPr>
        <w:t xml:space="preserve">, 2016, 7(9), 169. </w:t>
      </w:r>
    </w:p>
    <w:p w:rsidR="00DC3C26" w:rsidRPr="00DC3C26" w:rsidRDefault="00DC3C26" w:rsidP="00DC3C26">
      <w:pPr>
        <w:numPr>
          <w:ilvl w:val="0"/>
          <w:numId w:val="46"/>
        </w:numPr>
        <w:spacing w:line="240" w:lineRule="auto"/>
        <w:rPr>
          <w:rFonts w:ascii="Palatino Linotype" w:hAnsi="Palatino Linotype"/>
          <w:noProof/>
          <w:sz w:val="18"/>
          <w:szCs w:val="18"/>
        </w:rPr>
      </w:pPr>
      <w:r w:rsidRPr="00DC3C26">
        <w:rPr>
          <w:rFonts w:ascii="Palatino Linotype" w:hAnsi="Palatino Linotype"/>
          <w:sz w:val="18"/>
          <w:szCs w:val="18"/>
        </w:rPr>
        <w:t xml:space="preserve">Yilmaz M.D., Hsu S.-H., </w:t>
      </w:r>
      <w:proofErr w:type="spellStart"/>
      <w:r w:rsidRPr="00DC3C26">
        <w:rPr>
          <w:rFonts w:ascii="Palatino Linotype" w:hAnsi="Palatino Linotype"/>
          <w:sz w:val="18"/>
          <w:szCs w:val="18"/>
        </w:rPr>
        <w:t>Reinhoudt</w:t>
      </w:r>
      <w:proofErr w:type="spellEnd"/>
      <w:r w:rsidRPr="00DC3C26">
        <w:rPr>
          <w:rFonts w:ascii="Palatino Linotype" w:hAnsi="Palatino Linotype"/>
          <w:sz w:val="18"/>
          <w:szCs w:val="18"/>
        </w:rPr>
        <w:t xml:space="preserve"> D.N., </w:t>
      </w:r>
      <w:proofErr w:type="spellStart"/>
      <w:r w:rsidRPr="00DC3C26">
        <w:rPr>
          <w:rFonts w:ascii="Palatino Linotype" w:hAnsi="Palatino Linotype"/>
          <w:sz w:val="18"/>
          <w:szCs w:val="18"/>
        </w:rPr>
        <w:t>Velders</w:t>
      </w:r>
      <w:proofErr w:type="spellEnd"/>
      <w:r w:rsidRPr="00DC3C26">
        <w:rPr>
          <w:rFonts w:ascii="Palatino Linotype" w:hAnsi="Palatino Linotype"/>
          <w:sz w:val="18"/>
          <w:szCs w:val="18"/>
        </w:rPr>
        <w:t xml:space="preserve"> A.H., </w:t>
      </w:r>
      <w:proofErr w:type="spellStart"/>
      <w:r w:rsidRPr="00DC3C26">
        <w:rPr>
          <w:rFonts w:ascii="Palatino Linotype" w:hAnsi="Palatino Linotype"/>
          <w:sz w:val="18"/>
          <w:szCs w:val="18"/>
        </w:rPr>
        <w:t>Huskens</w:t>
      </w:r>
      <w:proofErr w:type="spellEnd"/>
      <w:r w:rsidRPr="00DC3C26">
        <w:rPr>
          <w:rFonts w:ascii="Palatino Linotype" w:hAnsi="Palatino Linotype"/>
          <w:sz w:val="18"/>
          <w:szCs w:val="18"/>
        </w:rPr>
        <w:t xml:space="preserve"> J. </w:t>
      </w:r>
      <w:proofErr w:type="spellStart"/>
      <w:r w:rsidRPr="00DC3C26">
        <w:rPr>
          <w:rFonts w:ascii="Palatino Linotype" w:hAnsi="Palatino Linotype"/>
          <w:sz w:val="18"/>
          <w:szCs w:val="18"/>
        </w:rPr>
        <w:t>Ratiometric</w:t>
      </w:r>
      <w:proofErr w:type="spellEnd"/>
      <w:r w:rsidRPr="00DC3C26">
        <w:rPr>
          <w:rFonts w:ascii="Palatino Linotype" w:hAnsi="Palatino Linotype"/>
          <w:sz w:val="18"/>
          <w:szCs w:val="18"/>
        </w:rPr>
        <w:t xml:space="preserve"> fluorescent detection of an Anthrax biomarker at molecular </w:t>
      </w:r>
      <w:proofErr w:type="spellStart"/>
      <w:r w:rsidRPr="00DC3C26">
        <w:rPr>
          <w:rFonts w:ascii="Palatino Linotype" w:hAnsi="Palatino Linotype"/>
          <w:sz w:val="18"/>
          <w:szCs w:val="18"/>
        </w:rPr>
        <w:t>printboards</w:t>
      </w:r>
      <w:proofErr w:type="spellEnd"/>
      <w:r w:rsidRPr="00DC3C26">
        <w:rPr>
          <w:rFonts w:ascii="Palatino Linotype" w:hAnsi="Palatino Linotype"/>
          <w:sz w:val="18"/>
          <w:szCs w:val="18"/>
        </w:rPr>
        <w:t xml:space="preserve">. </w:t>
      </w:r>
      <w:proofErr w:type="spellStart"/>
      <w:r w:rsidRPr="00DC3C26">
        <w:rPr>
          <w:rFonts w:ascii="Palatino Linotype" w:hAnsi="Palatino Linotype"/>
          <w:sz w:val="18"/>
          <w:szCs w:val="18"/>
        </w:rPr>
        <w:t>Angewandte</w:t>
      </w:r>
      <w:proofErr w:type="spellEnd"/>
      <w:r w:rsidRPr="00DC3C26">
        <w:rPr>
          <w:rFonts w:ascii="Palatino Linotype" w:hAnsi="Palatino Linotype"/>
          <w:sz w:val="18"/>
          <w:szCs w:val="18"/>
        </w:rPr>
        <w:t xml:space="preserve"> </w:t>
      </w:r>
      <w:proofErr w:type="spellStart"/>
      <w:r w:rsidRPr="00DC3C26">
        <w:rPr>
          <w:rFonts w:ascii="Palatino Linotype" w:hAnsi="Palatino Linotype"/>
          <w:sz w:val="18"/>
          <w:szCs w:val="18"/>
        </w:rPr>
        <w:t>Chemie</w:t>
      </w:r>
      <w:proofErr w:type="spellEnd"/>
      <w:r w:rsidRPr="00DC3C26">
        <w:rPr>
          <w:rFonts w:ascii="Palatino Linotype" w:hAnsi="Palatino Linotype"/>
          <w:sz w:val="18"/>
          <w:szCs w:val="18"/>
        </w:rPr>
        <w:t>, 2010, 49(34), 5938–5941.</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lang w:val="en-GB"/>
        </w:rPr>
        <w:t>Lee I., Oh W.-K., Jang J. Screen-printed fluorescent sensors for rapid and sensitive anthrax biomarker detection. Journal of Hazardous Materials, 2013, 186, 252-253.</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proofErr w:type="spellStart"/>
      <w:r w:rsidRPr="00DC3C26">
        <w:rPr>
          <w:rFonts w:ascii="Palatino Linotype" w:hAnsi="Palatino Linotype"/>
          <w:sz w:val="18"/>
          <w:szCs w:val="18"/>
        </w:rPr>
        <w:t>Misztal</w:t>
      </w:r>
      <w:proofErr w:type="spellEnd"/>
      <w:r w:rsidRPr="00DC3C26">
        <w:rPr>
          <w:rFonts w:ascii="Palatino Linotype" w:hAnsi="Palatino Linotype"/>
          <w:sz w:val="18"/>
          <w:szCs w:val="18"/>
        </w:rPr>
        <w:t xml:space="preserve"> K., </w:t>
      </w:r>
      <w:proofErr w:type="spellStart"/>
      <w:r w:rsidRPr="00DC3C26">
        <w:rPr>
          <w:rFonts w:ascii="Palatino Linotype" w:hAnsi="Palatino Linotype"/>
          <w:sz w:val="18"/>
          <w:szCs w:val="18"/>
        </w:rPr>
        <w:t>Tudisco</w:t>
      </w:r>
      <w:proofErr w:type="spellEnd"/>
      <w:r w:rsidRPr="00DC3C26">
        <w:rPr>
          <w:rFonts w:ascii="Palatino Linotype" w:hAnsi="Palatino Linotype"/>
          <w:sz w:val="18"/>
          <w:szCs w:val="18"/>
        </w:rPr>
        <w:t xml:space="preserve"> C., </w:t>
      </w:r>
      <w:proofErr w:type="spellStart"/>
      <w:r w:rsidRPr="00DC3C26">
        <w:rPr>
          <w:rFonts w:ascii="Palatino Linotype" w:hAnsi="Palatino Linotype"/>
          <w:sz w:val="18"/>
          <w:szCs w:val="18"/>
        </w:rPr>
        <w:t>Sartori</w:t>
      </w:r>
      <w:proofErr w:type="spellEnd"/>
      <w:r w:rsidRPr="00DC3C26">
        <w:rPr>
          <w:rFonts w:ascii="Palatino Linotype" w:hAnsi="Palatino Linotype"/>
          <w:sz w:val="18"/>
          <w:szCs w:val="18"/>
        </w:rPr>
        <w:t xml:space="preserve"> A., </w:t>
      </w:r>
      <w:proofErr w:type="spellStart"/>
      <w:r w:rsidRPr="00DC3C26">
        <w:rPr>
          <w:rFonts w:ascii="Palatino Linotype" w:hAnsi="Palatino Linotype"/>
          <w:sz w:val="18"/>
          <w:szCs w:val="18"/>
        </w:rPr>
        <w:t>Malicka</w:t>
      </w:r>
      <w:proofErr w:type="spellEnd"/>
      <w:r w:rsidRPr="00DC3C26">
        <w:rPr>
          <w:rFonts w:ascii="Palatino Linotype" w:hAnsi="Palatino Linotype"/>
          <w:sz w:val="18"/>
          <w:szCs w:val="18"/>
        </w:rPr>
        <w:t xml:space="preserve"> J.M., </w:t>
      </w:r>
      <w:proofErr w:type="spellStart"/>
      <w:r w:rsidRPr="00DC3C26">
        <w:rPr>
          <w:rFonts w:ascii="Palatino Linotype" w:hAnsi="Palatino Linotype"/>
          <w:sz w:val="18"/>
          <w:szCs w:val="18"/>
        </w:rPr>
        <w:t>Castelli</w:t>
      </w:r>
      <w:proofErr w:type="spellEnd"/>
      <w:r w:rsidRPr="00DC3C26">
        <w:rPr>
          <w:rFonts w:ascii="Palatino Linotype" w:hAnsi="Palatino Linotype"/>
          <w:sz w:val="18"/>
          <w:szCs w:val="18"/>
        </w:rPr>
        <w:t xml:space="preserve"> R., </w:t>
      </w:r>
      <w:proofErr w:type="spellStart"/>
      <w:r w:rsidRPr="00DC3C26">
        <w:rPr>
          <w:rFonts w:ascii="Palatino Linotype" w:hAnsi="Palatino Linotype"/>
          <w:sz w:val="18"/>
          <w:szCs w:val="18"/>
        </w:rPr>
        <w:t>Condorelli</w:t>
      </w:r>
      <w:proofErr w:type="spellEnd"/>
      <w:r w:rsidRPr="00DC3C26">
        <w:rPr>
          <w:rFonts w:ascii="Palatino Linotype" w:hAnsi="Palatino Linotype"/>
          <w:sz w:val="18"/>
          <w:szCs w:val="18"/>
        </w:rPr>
        <w:t xml:space="preserve"> G.G., </w:t>
      </w:r>
      <w:proofErr w:type="spellStart"/>
      <w:r w:rsidRPr="00DC3C26">
        <w:rPr>
          <w:rFonts w:ascii="Palatino Linotype" w:hAnsi="Palatino Linotype"/>
          <w:sz w:val="18"/>
          <w:szCs w:val="18"/>
        </w:rPr>
        <w:t>Dalcanale</w:t>
      </w:r>
      <w:proofErr w:type="spellEnd"/>
      <w:r w:rsidRPr="00DC3C26">
        <w:rPr>
          <w:rFonts w:ascii="Palatino Linotype" w:hAnsi="Palatino Linotype"/>
          <w:sz w:val="18"/>
          <w:szCs w:val="18"/>
        </w:rPr>
        <w:t xml:space="preserve"> E. Hierarchical self-assembly of luminescent </w:t>
      </w:r>
      <w:proofErr w:type="spellStart"/>
      <w:r w:rsidRPr="00DC3C26">
        <w:rPr>
          <w:rFonts w:ascii="Palatino Linotype" w:hAnsi="Palatino Linotype"/>
          <w:sz w:val="18"/>
          <w:szCs w:val="18"/>
        </w:rPr>
        <w:t>EuIII</w:t>
      </w:r>
      <w:proofErr w:type="spellEnd"/>
      <w:r w:rsidRPr="00DC3C26">
        <w:rPr>
          <w:rFonts w:ascii="Palatino Linotype" w:hAnsi="Palatino Linotype"/>
          <w:sz w:val="18"/>
          <w:szCs w:val="18"/>
        </w:rPr>
        <w:t xml:space="preserve"> complexes on silicon, European Journal of Inorganic Chemistry, 2014, 2014, 16, 2687.</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rPr>
        <w:t xml:space="preserve">Tan H., Ma C., Chen L., Xu F., Chen S., </w:t>
      </w:r>
      <w:proofErr w:type="gramStart"/>
      <w:r w:rsidRPr="00DC3C26">
        <w:rPr>
          <w:rFonts w:ascii="Palatino Linotype" w:hAnsi="Palatino Linotype"/>
          <w:sz w:val="18"/>
          <w:szCs w:val="18"/>
        </w:rPr>
        <w:t>Wang</w:t>
      </w:r>
      <w:proofErr w:type="gramEnd"/>
      <w:r w:rsidRPr="00DC3C26">
        <w:rPr>
          <w:rFonts w:ascii="Palatino Linotype" w:hAnsi="Palatino Linotype"/>
          <w:sz w:val="18"/>
          <w:szCs w:val="18"/>
        </w:rPr>
        <w:t xml:space="preserve"> L. </w:t>
      </w:r>
      <w:proofErr w:type="spellStart"/>
      <w:r w:rsidRPr="00DC3C26">
        <w:rPr>
          <w:rFonts w:ascii="Palatino Linotype" w:hAnsi="Palatino Linotype"/>
          <w:sz w:val="18"/>
          <w:szCs w:val="18"/>
        </w:rPr>
        <w:t>Nanoscaled</w:t>
      </w:r>
      <w:proofErr w:type="spellEnd"/>
      <w:r w:rsidRPr="00DC3C26">
        <w:rPr>
          <w:rFonts w:ascii="Palatino Linotype" w:hAnsi="Palatino Linotype"/>
          <w:sz w:val="18"/>
          <w:szCs w:val="18"/>
        </w:rPr>
        <w:t xml:space="preserve"> lanthanide/nucleotide coordination polymer for detection of an anthrax biomarker. </w:t>
      </w:r>
      <w:r w:rsidRPr="00DC3C26">
        <w:rPr>
          <w:rFonts w:ascii="Palatino Linotype" w:hAnsi="Palatino Linotype"/>
          <w:sz w:val="18"/>
          <w:szCs w:val="18"/>
          <w:lang w:val="en-GB"/>
        </w:rPr>
        <w:t>Sensors and Actuators B: Chemical, 2014, 190, 621.</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rPr>
        <w:t xml:space="preserve">Chen H., </w:t>
      </w:r>
      <w:proofErr w:type="spellStart"/>
      <w:r w:rsidRPr="00DC3C26">
        <w:rPr>
          <w:rFonts w:ascii="Palatino Linotype" w:hAnsi="Palatino Linotype"/>
          <w:sz w:val="18"/>
          <w:szCs w:val="18"/>
        </w:rPr>
        <w:t>Xie</w:t>
      </w:r>
      <w:proofErr w:type="spellEnd"/>
      <w:r w:rsidRPr="00DC3C26">
        <w:rPr>
          <w:rFonts w:ascii="Palatino Linotype" w:hAnsi="Palatino Linotype"/>
          <w:sz w:val="18"/>
          <w:szCs w:val="18"/>
        </w:rPr>
        <w:t xml:space="preserve"> Y., </w:t>
      </w:r>
      <w:proofErr w:type="spellStart"/>
      <w:r w:rsidRPr="00DC3C26">
        <w:rPr>
          <w:rFonts w:ascii="Palatino Linotype" w:hAnsi="Palatino Linotype"/>
          <w:sz w:val="18"/>
          <w:szCs w:val="18"/>
        </w:rPr>
        <w:t>Kirillov</w:t>
      </w:r>
      <w:proofErr w:type="spellEnd"/>
      <w:r w:rsidRPr="00DC3C26">
        <w:rPr>
          <w:rFonts w:ascii="Palatino Linotype" w:hAnsi="Palatino Linotype"/>
          <w:sz w:val="18"/>
          <w:szCs w:val="18"/>
        </w:rPr>
        <w:t xml:space="preserve"> A.M., Liu L., Yu M., Liu W., Tang Y. A </w:t>
      </w:r>
      <w:proofErr w:type="spellStart"/>
      <w:r w:rsidRPr="00DC3C26">
        <w:rPr>
          <w:rFonts w:ascii="Palatino Linotype" w:hAnsi="Palatino Linotype"/>
          <w:sz w:val="18"/>
          <w:szCs w:val="18"/>
        </w:rPr>
        <w:t>ratiometric</w:t>
      </w:r>
      <w:proofErr w:type="spellEnd"/>
      <w:r w:rsidRPr="00DC3C26">
        <w:rPr>
          <w:rFonts w:ascii="Palatino Linotype" w:hAnsi="Palatino Linotype"/>
          <w:sz w:val="18"/>
          <w:szCs w:val="18"/>
        </w:rPr>
        <w:t xml:space="preserve"> fluorescent </w:t>
      </w:r>
      <w:proofErr w:type="spellStart"/>
      <w:r w:rsidRPr="00DC3C26">
        <w:rPr>
          <w:rFonts w:ascii="Palatino Linotype" w:hAnsi="Palatino Linotype"/>
          <w:sz w:val="18"/>
          <w:szCs w:val="18"/>
        </w:rPr>
        <w:t>nanoprobe</w:t>
      </w:r>
      <w:proofErr w:type="spellEnd"/>
      <w:r w:rsidRPr="00DC3C26">
        <w:rPr>
          <w:rFonts w:ascii="Palatino Linotype" w:hAnsi="Palatino Linotype"/>
          <w:sz w:val="18"/>
          <w:szCs w:val="18"/>
        </w:rPr>
        <w:t xml:space="preserve"> based on terbium functionalized carbon dots for highly sensitive detection of an anthrax biomarker. Chem. </w:t>
      </w:r>
      <w:proofErr w:type="spellStart"/>
      <w:r w:rsidRPr="00DC3C26">
        <w:rPr>
          <w:rFonts w:ascii="Palatino Linotype" w:hAnsi="Palatino Linotype"/>
          <w:sz w:val="18"/>
          <w:szCs w:val="18"/>
        </w:rPr>
        <w:t>Commun</w:t>
      </w:r>
      <w:proofErr w:type="spellEnd"/>
      <w:r w:rsidRPr="00DC3C26">
        <w:rPr>
          <w:rFonts w:ascii="Palatino Linotype" w:hAnsi="Palatino Linotype"/>
          <w:sz w:val="18"/>
          <w:szCs w:val="18"/>
        </w:rPr>
        <w:t>., 2015, 51(24), 5036</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shd w:val="clear" w:color="auto" w:fill="FFFFFF"/>
          <w:lang w:val="en-GB"/>
        </w:rPr>
        <w:t>Marx V. PCR: the price of infidelity. Nature Methods, 2016, 13, 6, 475-479.</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shd w:val="clear" w:color="auto" w:fill="FFFFFF"/>
          <w:lang w:val="en-GB"/>
        </w:rPr>
        <w:lastRenderedPageBreak/>
        <w:t xml:space="preserve">Lahr, D.J.G., and Katz, L.A. Reducing the impact of PCR-mediated recombination in molecular evolution and environmental studies using a new-generation high-fidelity DNA polymerase. </w:t>
      </w:r>
      <w:proofErr w:type="spellStart"/>
      <w:r w:rsidRPr="00DC3C26">
        <w:rPr>
          <w:rFonts w:ascii="Palatino Linotype" w:hAnsi="Palatino Linotype"/>
          <w:sz w:val="18"/>
          <w:szCs w:val="18"/>
          <w:shd w:val="clear" w:color="auto" w:fill="FFFFFF"/>
          <w:lang w:val="en-GB"/>
        </w:rPr>
        <w:t>Bitoechniques</w:t>
      </w:r>
      <w:proofErr w:type="spellEnd"/>
      <w:r w:rsidRPr="00DC3C26">
        <w:rPr>
          <w:rFonts w:ascii="Palatino Linotype" w:hAnsi="Palatino Linotype"/>
          <w:sz w:val="18"/>
          <w:szCs w:val="18"/>
          <w:shd w:val="clear" w:color="auto" w:fill="FFFFFF"/>
          <w:lang w:val="en-GB"/>
        </w:rPr>
        <w:t>, 2009, 47, 857-866.</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proofErr w:type="spellStart"/>
      <w:r w:rsidRPr="00DC3C26">
        <w:rPr>
          <w:rFonts w:ascii="Palatino Linotype" w:hAnsi="Palatino Linotype"/>
          <w:sz w:val="18"/>
          <w:szCs w:val="18"/>
          <w:shd w:val="clear" w:color="auto" w:fill="FFFFFF"/>
          <w:lang w:val="en-GB"/>
        </w:rPr>
        <w:t>Hengen</w:t>
      </w:r>
      <w:proofErr w:type="spellEnd"/>
      <w:r w:rsidRPr="00DC3C26">
        <w:rPr>
          <w:rFonts w:ascii="Palatino Linotype" w:hAnsi="Palatino Linotype"/>
          <w:sz w:val="18"/>
          <w:szCs w:val="18"/>
          <w:shd w:val="clear" w:color="auto" w:fill="FFFFFF"/>
          <w:lang w:val="en-GB"/>
        </w:rPr>
        <w:t xml:space="preserve"> P.N. Cycle sequencing through GC-rich regions. TIBS, 1996, 21, 33-34.</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rPr>
        <w:t xml:space="preserve">Uddin S.M.; Ibrahim F.; </w:t>
      </w:r>
      <w:proofErr w:type="spellStart"/>
      <w:r w:rsidRPr="00DC3C26">
        <w:rPr>
          <w:rFonts w:ascii="Palatino Linotype" w:hAnsi="Palatino Linotype"/>
          <w:sz w:val="18"/>
          <w:szCs w:val="18"/>
        </w:rPr>
        <w:t>Sayad</w:t>
      </w:r>
      <w:proofErr w:type="spellEnd"/>
      <w:r w:rsidRPr="00DC3C26">
        <w:rPr>
          <w:rFonts w:ascii="Palatino Linotype" w:hAnsi="Palatino Linotype"/>
          <w:sz w:val="18"/>
          <w:szCs w:val="18"/>
        </w:rPr>
        <w:t xml:space="preserve"> A.A.; </w:t>
      </w:r>
      <w:proofErr w:type="spellStart"/>
      <w:r w:rsidRPr="00DC3C26">
        <w:rPr>
          <w:rFonts w:ascii="Palatino Linotype" w:hAnsi="Palatino Linotype"/>
          <w:sz w:val="18"/>
          <w:szCs w:val="18"/>
        </w:rPr>
        <w:t>Thiha</w:t>
      </w:r>
      <w:proofErr w:type="spellEnd"/>
      <w:r w:rsidRPr="00DC3C26">
        <w:rPr>
          <w:rFonts w:ascii="Palatino Linotype" w:hAnsi="Palatino Linotype"/>
          <w:sz w:val="18"/>
          <w:szCs w:val="18"/>
        </w:rPr>
        <w:t xml:space="preserve"> A.; Pei K.X.; </w:t>
      </w:r>
      <w:proofErr w:type="spellStart"/>
      <w:r w:rsidRPr="00DC3C26">
        <w:rPr>
          <w:rFonts w:ascii="Palatino Linotype" w:hAnsi="Palatino Linotype"/>
          <w:sz w:val="18"/>
          <w:szCs w:val="18"/>
        </w:rPr>
        <w:t>Mohktar</w:t>
      </w:r>
      <w:proofErr w:type="spellEnd"/>
      <w:r w:rsidRPr="00DC3C26">
        <w:rPr>
          <w:rFonts w:ascii="Palatino Linotype" w:hAnsi="Palatino Linotype"/>
          <w:sz w:val="18"/>
          <w:szCs w:val="18"/>
        </w:rPr>
        <w:t xml:space="preserve"> M.S.; </w:t>
      </w:r>
      <w:proofErr w:type="spellStart"/>
      <w:r w:rsidRPr="00DC3C26">
        <w:rPr>
          <w:rFonts w:ascii="Palatino Linotype" w:hAnsi="Palatino Linotype"/>
          <w:sz w:val="18"/>
          <w:szCs w:val="18"/>
        </w:rPr>
        <w:t>Hashim</w:t>
      </w:r>
      <w:proofErr w:type="spellEnd"/>
      <w:r w:rsidRPr="00DC3C26">
        <w:rPr>
          <w:rFonts w:ascii="Palatino Linotype" w:hAnsi="Palatino Linotype"/>
          <w:sz w:val="18"/>
          <w:szCs w:val="18"/>
        </w:rPr>
        <w:t xml:space="preserve"> U.; Cho J.; Thong K.L. A portable automatic endpoint detection system for amplicons of Loop Mediated Isothermal Amplification on microfluidic Compact Disk platform. Sensors 2015, </w:t>
      </w:r>
      <w:r w:rsidRPr="00DC3C26">
        <w:rPr>
          <w:rFonts w:ascii="Palatino Linotype" w:hAnsi="Palatino Linotype"/>
          <w:sz w:val="18"/>
          <w:szCs w:val="18"/>
          <w:lang w:val="en-GB"/>
        </w:rPr>
        <w:t>15, 5376-5389.</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rPr>
        <w:t xml:space="preserve">Ball C.S., Light Y.K., </w:t>
      </w:r>
      <w:proofErr w:type="spellStart"/>
      <w:r w:rsidRPr="00DC3C26">
        <w:rPr>
          <w:rFonts w:ascii="Palatino Linotype" w:hAnsi="Palatino Linotype"/>
          <w:sz w:val="18"/>
          <w:szCs w:val="18"/>
        </w:rPr>
        <w:t>Koh</w:t>
      </w:r>
      <w:proofErr w:type="spellEnd"/>
      <w:r w:rsidRPr="00DC3C26">
        <w:rPr>
          <w:rFonts w:ascii="Palatino Linotype" w:hAnsi="Palatino Linotype"/>
          <w:sz w:val="18"/>
          <w:szCs w:val="18"/>
        </w:rPr>
        <w:t xml:space="preserve"> C.-Y., Wheeler S.S., Coffey L.L., Meagher R.J. Quenching of unincorporated amplification signal reporters in Reverse-Transcription Loop-Mediated Isothermal Amplification enabling bright, single-step, closed-tube, and multiplexed detection of RNA viruses. Anal. </w:t>
      </w:r>
      <w:r w:rsidRPr="00DC3C26">
        <w:rPr>
          <w:rFonts w:ascii="Palatino Linotype" w:hAnsi="Palatino Linotype"/>
          <w:sz w:val="18"/>
          <w:szCs w:val="18"/>
          <w:lang w:val="en-GB"/>
        </w:rPr>
        <w:t>Chem., 2016, 88 (7)</w:t>
      </w:r>
      <w:proofErr w:type="gramStart"/>
      <w:r w:rsidRPr="00DC3C26">
        <w:rPr>
          <w:rFonts w:ascii="Palatino Linotype" w:hAnsi="Palatino Linotype"/>
          <w:sz w:val="18"/>
          <w:szCs w:val="18"/>
          <w:lang w:val="en-GB"/>
        </w:rPr>
        <w:t>,  3562</w:t>
      </w:r>
      <w:proofErr w:type="gramEnd"/>
      <w:r w:rsidRPr="00DC3C26">
        <w:rPr>
          <w:rFonts w:ascii="Palatino Linotype" w:hAnsi="Palatino Linotype"/>
          <w:sz w:val="18"/>
          <w:szCs w:val="18"/>
          <w:lang w:val="en-GB"/>
        </w:rPr>
        <w:t>–3568.</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r w:rsidRPr="00DC3C26">
        <w:rPr>
          <w:rFonts w:ascii="Palatino Linotype" w:hAnsi="Palatino Linotype"/>
          <w:sz w:val="18"/>
          <w:szCs w:val="18"/>
          <w:lang w:val="en-GB"/>
        </w:rPr>
        <w:t xml:space="preserve">Ding X., Wang G., Sun J., </w:t>
      </w:r>
      <w:proofErr w:type="spellStart"/>
      <w:r w:rsidRPr="00DC3C26">
        <w:rPr>
          <w:rFonts w:ascii="Palatino Linotype" w:hAnsi="Palatino Linotype"/>
          <w:sz w:val="18"/>
          <w:szCs w:val="18"/>
          <w:lang w:val="en-GB"/>
        </w:rPr>
        <w:t>Zhanga</w:t>
      </w:r>
      <w:proofErr w:type="spellEnd"/>
      <w:r w:rsidRPr="00DC3C26">
        <w:rPr>
          <w:rFonts w:ascii="Palatino Linotype" w:hAnsi="Palatino Linotype"/>
          <w:sz w:val="18"/>
          <w:szCs w:val="18"/>
          <w:lang w:val="en-GB"/>
        </w:rPr>
        <w:t xml:space="preserve"> T., </w:t>
      </w:r>
      <w:proofErr w:type="gramStart"/>
      <w:r w:rsidRPr="00DC3C26">
        <w:rPr>
          <w:rFonts w:ascii="Palatino Linotype" w:hAnsi="Palatino Linotype"/>
          <w:sz w:val="18"/>
          <w:szCs w:val="18"/>
          <w:lang w:val="en-GB"/>
        </w:rPr>
        <w:t>Mu  Y</w:t>
      </w:r>
      <w:proofErr w:type="gramEnd"/>
      <w:r w:rsidRPr="00DC3C26">
        <w:rPr>
          <w:rFonts w:ascii="Palatino Linotype" w:hAnsi="Palatino Linotype"/>
          <w:sz w:val="18"/>
          <w:szCs w:val="18"/>
          <w:lang w:val="en-GB"/>
        </w:rPr>
        <w:t xml:space="preserve">. </w:t>
      </w:r>
      <w:proofErr w:type="spellStart"/>
      <w:r w:rsidRPr="00DC3C26">
        <w:rPr>
          <w:rFonts w:ascii="Palatino Linotype" w:hAnsi="Palatino Linotype"/>
          <w:sz w:val="18"/>
          <w:szCs w:val="18"/>
          <w:lang w:val="en-GB"/>
        </w:rPr>
        <w:t>Fluorogenic</w:t>
      </w:r>
      <w:proofErr w:type="spellEnd"/>
      <w:r w:rsidRPr="00DC3C26">
        <w:rPr>
          <w:rFonts w:ascii="Palatino Linotype" w:hAnsi="Palatino Linotype"/>
          <w:sz w:val="18"/>
          <w:szCs w:val="18"/>
          <w:lang w:val="en-GB"/>
        </w:rPr>
        <w:t xml:space="preserve"> bidirectional displacement probe-based real-time isothermal DNA amplification and specific visual detection of products. </w:t>
      </w:r>
      <w:r w:rsidRPr="00DC3C26">
        <w:rPr>
          <w:rFonts w:ascii="Palatino Linotype" w:hAnsi="Palatino Linotype"/>
          <w:sz w:val="18"/>
          <w:szCs w:val="18"/>
          <w:lang w:val="de-DE"/>
        </w:rPr>
        <w:t>Chem. Commun., 2016, 52 (76), 11438-11441.</w:t>
      </w:r>
    </w:p>
    <w:p w:rsidR="00DC3C26" w:rsidRPr="00DC3C26" w:rsidRDefault="00DC3C26" w:rsidP="00DC3C26">
      <w:pPr>
        <w:numPr>
          <w:ilvl w:val="0"/>
          <w:numId w:val="46"/>
        </w:numPr>
        <w:autoSpaceDE w:val="0"/>
        <w:autoSpaceDN w:val="0"/>
        <w:adjustRightInd w:val="0"/>
        <w:spacing w:line="240" w:lineRule="auto"/>
        <w:rPr>
          <w:rFonts w:ascii="Palatino Linotype" w:hAnsi="Palatino Linotype"/>
          <w:sz w:val="18"/>
          <w:szCs w:val="18"/>
        </w:rPr>
      </w:pPr>
      <w:proofErr w:type="spellStart"/>
      <w:r w:rsidRPr="00DC3C26">
        <w:rPr>
          <w:rFonts w:ascii="Palatino Linotype" w:hAnsi="Palatino Linotype"/>
          <w:sz w:val="18"/>
          <w:szCs w:val="18"/>
        </w:rPr>
        <w:t>Mauk</w:t>
      </w:r>
      <w:proofErr w:type="spellEnd"/>
      <w:r w:rsidRPr="00DC3C26">
        <w:rPr>
          <w:rFonts w:ascii="Palatino Linotype" w:hAnsi="Palatino Linotype"/>
          <w:sz w:val="18"/>
          <w:szCs w:val="18"/>
        </w:rPr>
        <w:t xml:space="preserve"> M.G., Liu C.,  Song J., </w:t>
      </w:r>
      <w:proofErr w:type="spellStart"/>
      <w:r w:rsidRPr="00DC3C26">
        <w:rPr>
          <w:rFonts w:ascii="Palatino Linotype" w:hAnsi="Palatino Linotype"/>
          <w:sz w:val="18"/>
          <w:szCs w:val="18"/>
        </w:rPr>
        <w:t>Bau</w:t>
      </w:r>
      <w:proofErr w:type="spellEnd"/>
      <w:r w:rsidRPr="00DC3C26">
        <w:rPr>
          <w:rFonts w:ascii="Palatino Linotype" w:hAnsi="Palatino Linotype"/>
          <w:sz w:val="18"/>
          <w:szCs w:val="18"/>
        </w:rPr>
        <w:t xml:space="preserve"> H.H. Integrated microfluidic nucleic acid isolation, isothermal amplification, and amplicon quantification. </w:t>
      </w:r>
      <w:r w:rsidRPr="00DC3C26">
        <w:rPr>
          <w:rFonts w:ascii="Palatino Linotype" w:hAnsi="Palatino Linotype"/>
          <w:sz w:val="18"/>
          <w:szCs w:val="18"/>
          <w:lang w:val="en-GB"/>
        </w:rPr>
        <w:t>Microarrays 2015, 4, 474-489.</w:t>
      </w:r>
    </w:p>
    <w:p w:rsidR="00A01504" w:rsidRPr="002D4F9D" w:rsidRDefault="002D4F9D" w:rsidP="002D4F9D">
      <w:pPr>
        <w:adjustRightInd w:val="0"/>
        <w:snapToGrid w:val="0"/>
        <w:spacing w:before="240" w:line="260" w:lineRule="atLeast"/>
        <w:rPr>
          <w:rFonts w:eastAsiaTheme="minorEastAsia"/>
        </w:rPr>
      </w:pPr>
      <w:r w:rsidRPr="002D4F9D">
        <w:rPr>
          <w:rFonts w:ascii="Palatino Linotype" w:hAnsi="Palatino Linotype"/>
          <w:noProof/>
          <w:snapToGrid w:val="0"/>
          <w:sz w:val="18"/>
          <w:szCs w:val="18"/>
          <w:lang w:eastAsia="zh-CN"/>
        </w:rPr>
        <w:drawing>
          <wp:anchor distT="0" distB="0" distL="114300" distR="114300" simplePos="0" relativeHeight="251659264" behindDoc="1" locked="0" layoutInCell="1" allowOverlap="1" wp14:anchorId="19B6D737" wp14:editId="166B0D5C">
            <wp:simplePos x="0" y="0"/>
            <wp:positionH relativeFrom="margin">
              <wp:align>left</wp:align>
            </wp:positionH>
            <wp:positionV relativeFrom="paragraph">
              <wp:posOffset>206187</wp:posOffset>
            </wp:positionV>
            <wp:extent cx="1000800" cy="360000"/>
            <wp:effectExtent l="0" t="0" r="0" b="2540"/>
            <wp:wrapTight wrapText="bothSides">
              <wp:wrapPolygon edited="0">
                <wp:start x="0" y="0"/>
                <wp:lineTo x="0" y="20608"/>
                <wp:lineTo x="20970" y="20608"/>
                <wp:lineTo x="20970" y="0"/>
                <wp:lineTo x="0" y="0"/>
              </wp:wrapPolygon>
            </wp:wrapTight>
            <wp:docPr id="4" name="Picture 6" descr="H:\documents\layout\new template June 2014\figures\CC-BY logo original v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ocuments\layout\new template June 2014\figures\CC-BY logo original v1.wmf"/>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530" r="1488"/>
                    <a:stretch/>
                  </pic:blipFill>
                  <pic:spPr bwMode="auto">
                    <a:xfrm>
                      <a:off x="0" y="0"/>
                      <a:ext cx="1000800" cy="36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4F9D">
        <w:rPr>
          <w:rFonts w:ascii="Palatino Linotype" w:hAnsi="Palatino Linotype"/>
          <w:snapToGrid w:val="0"/>
          <w:sz w:val="18"/>
          <w:szCs w:val="18"/>
          <w:lang w:bidi="en-US"/>
        </w:rPr>
        <w:t>© 201</w:t>
      </w:r>
      <w:r w:rsidR="00EE0A79">
        <w:rPr>
          <w:rFonts w:ascii="Palatino Linotype" w:eastAsia="宋体" w:hAnsi="Palatino Linotype"/>
          <w:snapToGrid w:val="0"/>
          <w:sz w:val="18"/>
          <w:szCs w:val="18"/>
          <w:lang w:eastAsia="zh-CN" w:bidi="en-US"/>
        </w:rPr>
        <w:t>6</w:t>
      </w:r>
      <w:r w:rsidR="00DC3C26">
        <w:rPr>
          <w:rFonts w:ascii="Palatino Linotype" w:hAnsi="Palatino Linotype"/>
          <w:snapToGrid w:val="0"/>
          <w:sz w:val="18"/>
          <w:szCs w:val="18"/>
          <w:lang w:bidi="en-US"/>
        </w:rPr>
        <w:t xml:space="preserve"> by the author</w:t>
      </w:r>
      <w:r w:rsidRPr="002D4F9D">
        <w:rPr>
          <w:rFonts w:ascii="Palatino Linotype" w:hAnsi="Palatino Linotype"/>
          <w:snapToGrid w:val="0"/>
          <w:sz w:val="18"/>
          <w:szCs w:val="18"/>
          <w:lang w:bidi="en-US"/>
        </w:rPr>
        <w:t>; licensee MDPI, Basel, Switzerland. This article is an open access article distributed under the terms and conditions of the Creative Commons by Attribution (CC-BY) license (ht</w:t>
      </w:r>
      <w:bookmarkStart w:id="0" w:name="_GoBack"/>
      <w:bookmarkEnd w:id="0"/>
      <w:r w:rsidRPr="002D4F9D">
        <w:rPr>
          <w:rFonts w:ascii="Palatino Linotype" w:hAnsi="Palatino Linotype"/>
          <w:snapToGrid w:val="0"/>
          <w:sz w:val="18"/>
          <w:szCs w:val="18"/>
          <w:lang w:bidi="en-US"/>
        </w:rPr>
        <w:t>tp://creativecommons.org/licenses/by/4.0/).</w:t>
      </w:r>
    </w:p>
    <w:sectPr w:rsidR="00A01504" w:rsidRPr="002D4F9D" w:rsidSect="00EE0A79">
      <w:headerReference w:type="even" r:id="rId10"/>
      <w:headerReference w:type="default" r:id="rId11"/>
      <w:footerReference w:type="default" r:id="rId12"/>
      <w:headerReference w:type="first" r:id="rId13"/>
      <w:footerReference w:type="first" r:id="rId14"/>
      <w:type w:val="continuous"/>
      <w:pgSz w:w="11906" w:h="16838" w:code="9"/>
      <w:pgMar w:top="1417" w:right="1531" w:bottom="1077" w:left="1531" w:header="1020" w:footer="850" w:gutter="0"/>
      <w:lnNumType w:countBy="1" w:restart="continuous"/>
      <w:pgNumType w:start="1"/>
      <w:cols w:space="425"/>
      <w:titlePg/>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571A" w:rsidRDefault="006F571A" w:rsidP="00C1340D">
      <w:r>
        <w:separator/>
      </w:r>
    </w:p>
  </w:endnote>
  <w:endnote w:type="continuationSeparator" w:id="0">
    <w:p w:rsidR="006F571A" w:rsidRDefault="006F571A" w:rsidP="00C13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inion Pro">
    <w:altName w:val="Times New Roman"/>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3BF5" w:rsidRPr="00607996" w:rsidRDefault="00607996" w:rsidP="00607996">
    <w:pPr>
      <w:pStyle w:val="Footer"/>
      <w:spacing w:before="120"/>
      <w:ind w:firstLine="120"/>
      <w:jc w:val="center"/>
      <w:rPr>
        <w:rFonts w:ascii="Palatino Linotype" w:hAnsi="Palatino Linotype"/>
        <w:sz w:val="20"/>
      </w:rPr>
    </w:pPr>
    <w:r w:rsidRPr="00607996">
      <w:rPr>
        <w:rFonts w:ascii="Palatino Linotype" w:hAnsi="Palatino Linotype"/>
        <w:sz w:val="20"/>
      </w:rPr>
      <w:fldChar w:fldCharType="begin"/>
    </w:r>
    <w:r w:rsidRPr="00607996">
      <w:rPr>
        <w:rFonts w:ascii="Palatino Linotype" w:hAnsi="Palatino Linotype"/>
        <w:sz w:val="20"/>
      </w:rPr>
      <w:instrText xml:space="preserve"> PAGE   \* MERGEFORMAT </w:instrText>
    </w:r>
    <w:r w:rsidRPr="00607996">
      <w:rPr>
        <w:rFonts w:ascii="Palatino Linotype" w:hAnsi="Palatino Linotype"/>
        <w:sz w:val="20"/>
      </w:rPr>
      <w:fldChar w:fldCharType="separate"/>
    </w:r>
    <w:r w:rsidR="00DC3C26" w:rsidRPr="00DC3C26">
      <w:rPr>
        <w:rFonts w:ascii="Palatino Linotype" w:hAnsi="Palatino Linotype"/>
        <w:bCs/>
        <w:noProof/>
        <w:sz w:val="20"/>
      </w:rPr>
      <w:t>2</w:t>
    </w:r>
    <w:r w:rsidRPr="00607996">
      <w:rPr>
        <w:rFonts w:ascii="Palatino Linotype" w:hAnsi="Palatino Linotype"/>
        <w:bCs/>
        <w:noProof/>
        <w:sz w:val="20"/>
      </w:rPr>
      <w:fldChar w:fldCharType="end"/>
    </w:r>
    <w:r w:rsidRPr="00607996">
      <w:rPr>
        <w:rFonts w:ascii="Palatino Linotype" w:hAnsi="Palatino Linotype"/>
        <w:bCs/>
        <w:sz w:val="20"/>
      </w:rPr>
      <w:t>/5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Palatino Linotype" w:hAnsi="Palatino Linotype"/>
        <w:i/>
        <w:sz w:val="20"/>
      </w:rPr>
      <w:id w:val="1717389558"/>
      <w:docPartObj>
        <w:docPartGallery w:val="Page Numbers (Top of Page)"/>
        <w:docPartUnique/>
      </w:docPartObj>
    </w:sdtPr>
    <w:sdtEndPr>
      <w:rPr>
        <w:i w:val="0"/>
        <w:sz w:val="16"/>
        <w:szCs w:val="16"/>
      </w:rPr>
    </w:sdtEndPr>
    <w:sdtContent>
      <w:p w:rsidR="00391035" w:rsidRPr="00372FCD" w:rsidRDefault="000F3B42" w:rsidP="00B65510">
        <w:pPr>
          <w:adjustRightInd w:val="0"/>
          <w:snapToGrid w:val="0"/>
          <w:spacing w:before="120" w:line="240" w:lineRule="auto"/>
          <w:rPr>
            <w:rFonts w:ascii="Palatino Linotype" w:hAnsi="Palatino Linotype"/>
            <w:sz w:val="16"/>
            <w:szCs w:val="16"/>
            <w:lang w:val="fr-CH"/>
          </w:rPr>
        </w:pPr>
        <w:r w:rsidRPr="000F3B42">
          <w:rPr>
            <w:rFonts w:ascii="Palatino Linotype" w:hAnsi="Palatino Linotype"/>
            <w:i/>
            <w:sz w:val="16"/>
            <w:szCs w:val="16"/>
          </w:rPr>
          <w:t>Challenges</w:t>
        </w:r>
        <w:r>
          <w:rPr>
            <w:rFonts w:ascii="Palatino Linotype" w:hAnsi="Palatino Linotype"/>
            <w:i/>
            <w:sz w:val="16"/>
            <w:szCs w:val="16"/>
          </w:rPr>
          <w:t xml:space="preserve"> </w:t>
        </w:r>
        <w:r w:rsidR="00550E34" w:rsidRPr="00B65510">
          <w:rPr>
            <w:rFonts w:ascii="Palatino Linotype" w:hAnsi="Palatino Linotype"/>
            <w:b/>
            <w:bCs/>
            <w:iCs/>
            <w:sz w:val="16"/>
            <w:szCs w:val="16"/>
          </w:rPr>
          <w:t>201</w:t>
        </w:r>
        <w:r w:rsidR="00550E34" w:rsidRPr="00B65510">
          <w:rPr>
            <w:rFonts w:ascii="Palatino Linotype" w:eastAsia="宋体" w:hAnsi="Palatino Linotype"/>
            <w:b/>
            <w:bCs/>
            <w:iCs/>
            <w:sz w:val="16"/>
            <w:szCs w:val="16"/>
            <w:lang w:eastAsia="zh-CN"/>
          </w:rPr>
          <w:t>6</w:t>
        </w:r>
        <w:r w:rsidR="00550E34" w:rsidRPr="00B65510">
          <w:rPr>
            <w:rFonts w:ascii="Palatino Linotype" w:hAnsi="Palatino Linotype"/>
            <w:iCs/>
            <w:sz w:val="16"/>
            <w:szCs w:val="16"/>
          </w:rPr>
          <w:t xml:space="preserve">, </w:t>
        </w:r>
        <w:r>
          <w:rPr>
            <w:rFonts w:ascii="Palatino Linotype" w:eastAsia="宋体" w:hAnsi="Palatino Linotype"/>
            <w:i/>
            <w:iCs/>
            <w:sz w:val="16"/>
            <w:szCs w:val="16"/>
            <w:lang w:eastAsia="zh-CN"/>
          </w:rPr>
          <w:t>7</w:t>
        </w:r>
        <w:r w:rsidR="00550E34" w:rsidRPr="00B65510">
          <w:rPr>
            <w:rFonts w:ascii="Palatino Linotype" w:hAnsi="Palatino Linotype"/>
            <w:iCs/>
            <w:sz w:val="16"/>
            <w:szCs w:val="16"/>
          </w:rPr>
          <w:t>,</w:t>
        </w:r>
        <w:r w:rsidR="00550E34" w:rsidRPr="00B65510">
          <w:rPr>
            <w:rFonts w:ascii="Palatino Linotype" w:eastAsia="宋体" w:hAnsi="Palatino Linotype"/>
            <w:sz w:val="16"/>
            <w:szCs w:val="16"/>
            <w:lang w:eastAsia="zh-CN"/>
          </w:rPr>
          <w:t xml:space="preserve"> </w:t>
        </w:r>
        <w:r w:rsidR="00EE0A79">
          <w:rPr>
            <w:rFonts w:ascii="Palatino Linotype" w:hAnsi="Palatino Linotype"/>
            <w:sz w:val="16"/>
            <w:szCs w:val="16"/>
          </w:rPr>
          <w:t>x</w:t>
        </w:r>
        <w:r w:rsidR="00391035" w:rsidRPr="00B65510">
          <w:rPr>
            <w:rFonts w:ascii="Palatino Linotype" w:hAnsi="Palatino Linotype"/>
            <w:sz w:val="16"/>
            <w:szCs w:val="16"/>
            <w:lang w:val="fr-CH"/>
          </w:rPr>
          <w:t>; doi</w:t>
        </w:r>
        <w:proofErr w:type="gramStart"/>
        <w:r w:rsidR="00391035" w:rsidRPr="00B65510">
          <w:rPr>
            <w:rFonts w:ascii="Palatino Linotype" w:hAnsi="Palatino Linotype"/>
            <w:sz w:val="16"/>
            <w:szCs w:val="16"/>
            <w:lang w:val="fr-CH"/>
          </w:rPr>
          <w:t>:10.3390</w:t>
        </w:r>
        <w:proofErr w:type="gramEnd"/>
        <w:r w:rsidR="00391035" w:rsidRPr="00B65510">
          <w:rPr>
            <w:rFonts w:ascii="Palatino Linotype" w:hAnsi="Palatino Linotype"/>
            <w:sz w:val="16"/>
            <w:szCs w:val="16"/>
            <w:lang w:val="fr-CH"/>
          </w:rPr>
          <w:t>/</w:t>
        </w:r>
        <w:r w:rsidR="00372FCD">
          <w:rPr>
            <w:rFonts w:ascii="Palatino Linotype" w:hAnsi="Palatino Linotype"/>
            <w:sz w:val="20"/>
            <w:lang w:val="fr-CH"/>
          </w:rPr>
          <w:ptab w:relativeTo="margin" w:alignment="right" w:leader="none"/>
        </w:r>
        <w:r w:rsidR="00391035" w:rsidRPr="00372FCD">
          <w:rPr>
            <w:rFonts w:ascii="Palatino Linotype" w:hAnsi="Palatino Linotype"/>
            <w:sz w:val="16"/>
            <w:szCs w:val="16"/>
            <w:lang w:val="fr-CH"/>
          </w:rPr>
          <w:t>www.mdpi.com/journal/</w:t>
        </w:r>
        <w:r w:rsidRPr="000F3B42">
          <w:rPr>
            <w:rFonts w:ascii="Palatino Linotype" w:hAnsi="Palatino Linotype"/>
            <w:sz w:val="16"/>
            <w:szCs w:val="16"/>
          </w:rPr>
          <w:t>challenges</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571A" w:rsidRDefault="006F571A" w:rsidP="00C1340D">
      <w:r>
        <w:separator/>
      </w:r>
    </w:p>
  </w:footnote>
  <w:footnote w:type="continuationSeparator" w:id="0">
    <w:p w:rsidR="006F571A" w:rsidRDefault="006F571A" w:rsidP="00C134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3BF5" w:rsidRDefault="00953BF5" w:rsidP="00225F3F">
    <w:pPr>
      <w:pStyle w:val="Header"/>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1035" w:rsidRPr="008810B3" w:rsidRDefault="000F3B42" w:rsidP="008810B3">
    <w:pPr>
      <w:adjustRightInd w:val="0"/>
      <w:snapToGrid w:val="0"/>
      <w:spacing w:after="240" w:line="240" w:lineRule="auto"/>
      <w:rPr>
        <w:rFonts w:ascii="Palatino Linotype" w:hAnsi="Palatino Linotype"/>
        <w:sz w:val="16"/>
      </w:rPr>
    </w:pPr>
    <w:r w:rsidRPr="000F3B42">
      <w:rPr>
        <w:rFonts w:ascii="Palatino Linotype" w:hAnsi="Palatino Linotype"/>
        <w:i/>
        <w:sz w:val="16"/>
        <w:szCs w:val="16"/>
      </w:rPr>
      <w:t>Challenges</w:t>
    </w:r>
    <w:r>
      <w:rPr>
        <w:rFonts w:ascii="Palatino Linotype" w:hAnsi="Palatino Linotype"/>
        <w:i/>
        <w:sz w:val="16"/>
        <w:szCs w:val="16"/>
      </w:rPr>
      <w:t xml:space="preserve"> </w:t>
    </w:r>
    <w:r w:rsidR="00701987" w:rsidRPr="00E21DDB">
      <w:rPr>
        <w:rFonts w:ascii="Palatino Linotype" w:hAnsi="Palatino Linotype"/>
        <w:b/>
        <w:bCs/>
        <w:iCs/>
        <w:sz w:val="16"/>
        <w:szCs w:val="16"/>
      </w:rPr>
      <w:t>201</w:t>
    </w:r>
    <w:r w:rsidR="00550E34">
      <w:rPr>
        <w:rFonts w:ascii="Palatino Linotype" w:eastAsia="宋体" w:hAnsi="Palatino Linotype"/>
        <w:b/>
        <w:bCs/>
        <w:iCs/>
        <w:sz w:val="16"/>
        <w:szCs w:val="16"/>
        <w:lang w:eastAsia="zh-CN"/>
      </w:rPr>
      <w:t>6</w:t>
    </w:r>
    <w:r w:rsidR="00701987" w:rsidRPr="00E21DDB">
      <w:rPr>
        <w:rFonts w:ascii="Palatino Linotype" w:hAnsi="Palatino Linotype"/>
        <w:iCs/>
        <w:sz w:val="16"/>
        <w:szCs w:val="16"/>
      </w:rPr>
      <w:t xml:space="preserve">, </w:t>
    </w:r>
    <w:r>
      <w:rPr>
        <w:rFonts w:ascii="Palatino Linotype" w:eastAsia="宋体" w:hAnsi="Palatino Linotype"/>
        <w:i/>
        <w:iCs/>
        <w:sz w:val="16"/>
        <w:szCs w:val="16"/>
        <w:lang w:eastAsia="zh-CN"/>
      </w:rPr>
      <w:t>7</w:t>
    </w:r>
    <w:r w:rsidR="00701987" w:rsidRPr="00E21DDB">
      <w:rPr>
        <w:rFonts w:ascii="Palatino Linotype" w:hAnsi="Palatino Linotype"/>
        <w:iCs/>
        <w:sz w:val="16"/>
        <w:szCs w:val="16"/>
      </w:rPr>
      <w:t>,</w:t>
    </w:r>
    <w:r w:rsidR="00E92812">
      <w:rPr>
        <w:rFonts w:ascii="Palatino Linotype" w:eastAsia="宋体" w:hAnsi="Palatino Linotype"/>
        <w:sz w:val="16"/>
        <w:szCs w:val="16"/>
        <w:lang w:eastAsia="zh-CN"/>
      </w:rPr>
      <w:t xml:space="preserve"> </w:t>
    </w:r>
    <w:r w:rsidR="00EE0A79">
      <w:rPr>
        <w:rFonts w:ascii="Palatino Linotype" w:hAnsi="Palatino Linotype"/>
        <w:sz w:val="16"/>
      </w:rPr>
      <w:t>x</w:t>
    </w:r>
    <w:r w:rsidR="00EE0A79">
      <w:rPr>
        <w:rFonts w:ascii="Palatino Linotype" w:hAnsi="Palatino Linotype"/>
        <w:sz w:val="16"/>
      </w:rPr>
      <w:ptab w:relativeTo="margin" w:alignment="right" w:leader="none"/>
    </w:r>
    <w:r w:rsidR="00EE0A79" w:rsidRPr="007D777A">
      <w:rPr>
        <w:rFonts w:ascii="Palatino Linotype" w:hAnsi="Palatino Linotype"/>
        <w:sz w:val="16"/>
        <w:szCs w:val="16"/>
      </w:rPr>
      <w:fldChar w:fldCharType="begin"/>
    </w:r>
    <w:r w:rsidR="00EE0A79" w:rsidRPr="007D777A">
      <w:rPr>
        <w:rFonts w:ascii="Palatino Linotype" w:hAnsi="Palatino Linotype"/>
        <w:sz w:val="16"/>
        <w:szCs w:val="16"/>
      </w:rPr>
      <w:instrText xml:space="preserve"> PAGE   \* MERGEFORMAT </w:instrText>
    </w:r>
    <w:r w:rsidR="00EE0A79" w:rsidRPr="007D777A">
      <w:rPr>
        <w:rFonts w:ascii="Palatino Linotype" w:hAnsi="Palatino Linotype"/>
        <w:sz w:val="16"/>
        <w:szCs w:val="16"/>
      </w:rPr>
      <w:fldChar w:fldCharType="separate"/>
    </w:r>
    <w:r w:rsidR="00DC3C26" w:rsidRPr="00DC3C26">
      <w:rPr>
        <w:rFonts w:ascii="Palatino Linotype" w:hAnsi="Palatino Linotype"/>
        <w:bCs/>
        <w:noProof/>
        <w:sz w:val="16"/>
        <w:szCs w:val="16"/>
      </w:rPr>
      <w:t>2</w:t>
    </w:r>
    <w:r w:rsidR="00EE0A79" w:rsidRPr="007D777A">
      <w:rPr>
        <w:rFonts w:ascii="Palatino Linotype" w:hAnsi="Palatino Linotype"/>
        <w:bCs/>
        <w:noProof/>
        <w:sz w:val="16"/>
        <w:szCs w:val="16"/>
      </w:rPr>
      <w:fldChar w:fldCharType="end"/>
    </w:r>
    <w:r w:rsidR="00EE0A79">
      <w:rPr>
        <w:rFonts w:ascii="Palatino Linotype" w:hAnsi="Palatino Linotype"/>
        <w:bCs/>
        <w:sz w:val="16"/>
        <w:szCs w:val="16"/>
      </w:rPr>
      <w:t xml:space="preserve"> of 5</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10B3" w:rsidRDefault="008810B3" w:rsidP="008810B3">
    <w:pPr>
      <w:pStyle w:val="MDPIheaderjournallogo"/>
    </w:pPr>
    <w:r w:rsidRPr="00D5387F">
      <w:rPr>
        <w:i w:val="0"/>
        <w:noProof/>
        <w:szCs w:val="16"/>
        <w:lang w:eastAsia="zh-CN"/>
      </w:rPr>
      <mc:AlternateContent>
        <mc:Choice Requires="wps">
          <w:drawing>
            <wp:anchor distT="45720" distB="45720" distL="114300" distR="114300" simplePos="0" relativeHeight="251659264" behindDoc="1" locked="0" layoutInCell="1" allowOverlap="1" wp14:anchorId="34970664" wp14:editId="20DD024C">
              <wp:simplePos x="0" y="0"/>
              <wp:positionH relativeFrom="rightMargin">
                <wp:posOffset>-558165</wp:posOffset>
              </wp:positionH>
              <wp:positionV relativeFrom="paragraph">
                <wp:posOffset>0</wp:posOffset>
              </wp:positionV>
              <wp:extent cx="558000" cy="709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000" cy="709200"/>
                      </a:xfrm>
                      <a:prstGeom prst="rect">
                        <a:avLst/>
                      </a:prstGeom>
                      <a:solidFill>
                        <a:srgbClr val="FFFFFF"/>
                      </a:solidFill>
                      <a:ln w="9525">
                        <a:noFill/>
                        <a:miter lim="800000"/>
                        <a:headEnd/>
                        <a:tailEnd/>
                      </a:ln>
                    </wps:spPr>
                    <wps:txbx>
                      <w:txbxContent>
                        <w:p w:rsidR="008810B3" w:rsidRDefault="00EE0A79" w:rsidP="001E2C7B">
                          <w:pPr>
                            <w:pStyle w:val="MDPIheaderjournallogo"/>
                            <w:jc w:val="center"/>
                            <w:textboxTightWrap w:val="allLines"/>
                            <w:rPr>
                              <w:i w:val="0"/>
                              <w:szCs w:val="16"/>
                            </w:rPr>
                          </w:pPr>
                          <w:r w:rsidRPr="0058552C">
                            <w:rPr>
                              <w:i w:val="0"/>
                              <w:noProof/>
                              <w:szCs w:val="16"/>
                              <w:lang w:eastAsia="zh-CN"/>
                            </w:rPr>
                            <w:drawing>
                              <wp:inline distT="0" distB="0" distL="0" distR="0" wp14:anchorId="36ED601A" wp14:editId="4B8C9E3C">
                                <wp:extent cx="546216" cy="360000"/>
                                <wp:effectExtent l="0" t="0" r="6350" b="2540"/>
                                <wp:docPr id="3"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6216" cy="36000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970664" id="_x0000_t202" coordsize="21600,21600" o:spt="202" path="m,l,21600r21600,l21600,xe">
              <v:stroke joinstyle="miter"/>
              <v:path gradientshapeok="t" o:connecttype="rect"/>
            </v:shapetype>
            <v:shape id="Text Box 2" o:spid="_x0000_s1026" type="#_x0000_t202" style="position:absolute;margin-left:-43.95pt;margin-top:0;width:43.95pt;height:55.85pt;z-index:-251657216;visibility:visible;mso-wrap-style:non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xMKEwIAAAoEAAAOAAAAZHJzL2Uyb0RvYy54bWysU8Fu2zAMvQ/YPwi6L3YCZG2NOEWXLsOA&#10;bh3Q7gNoWY6FSaIgqbGzrx8lJ2m33YrqIFAS+fj4SK2uR6PZXvqg0NZ8Pis5k1Zgq+yu5j8ftx8u&#10;OQsRbAsaraz5QQZ+vX7/bjW4Si6wR91KzwjEhmpwNe9jdFVRBNFLA2GGTlp67NAbiHT0u6L1MBC6&#10;0cWiLD8WA/rWeRQyBLq9nR75OuN3nRTxvuuCjEzXnLjFvPu8N2kv1iuodh5cr8SRBryChQFlKekZ&#10;6hYisCev/oMySngM2MWZQFNg1ykhcw1Uzbz8p5qHHpzMtZA4wZ1lCm8HK77vf3im2pov5hecWTDU&#10;pEc5RvYJR7ZI+gwuVOT24MgxjnRNfc61BneH4ldgFjc92J288R6HXkJL/OYpsngROuGEBNIM37Cl&#10;NPAUMQONnTdJPJKDETr16XDuTaIi6HK5vCxLehH0dFFeUe9zBqhOwc6H+EWiYcmouafWZ3DY34WY&#10;yEB1ckm5AmrVbpXW+eB3zUZ7tgcak21eR/S/3LRlQ82vlotlRraY4vMEGRVpjLUyNU80J3JQJTE+&#10;2za7RFB6somJtkd1kiCTNHFsRnJMkjXYHkgnj9O40vcio0f/m7OBRrXmlv4SZ/qrJaXTVJ8MfzKa&#10;kwFWUGDNI2eTuYl5+lPVFm+oA53K6jznPTKjgcuiHT9HmuiX5+z1/IXXfwAAAP//AwBQSwMEFAAG&#10;AAgAAAAhAO+jnDjaAAAABQEAAA8AAABkcnMvZG93bnJldi54bWxMj8tqwzAQRfeF/oOYQHeJ7EJq&#10;17UcSqAPukviD1CsiW2ihyPJj/59p6t2MzDcw50z5W4xmk3oQ++sgHSTAEPbONXbVkB9elvnwEKU&#10;VkntLAr4xgC76v6ulIVysz3gdIwtoxIbCimgi3EoOA9Nh0aGjRvQUnZx3shIq2+58nKmcqP5Y5I8&#10;cSN7Sxc6OeC+w+Z6HI2AMVxmfcinL6w/99v6/ZZtP25eiIfV8voCLOIS/2D41Sd1qMjp7EarAtMC&#10;1nn2TKgA+ohimmeC0jQDXpX8v331AwAA//8DAFBLAQItABQABgAIAAAAIQC2gziS/gAAAOEBAAAT&#10;AAAAAAAAAAAAAAAAAAAAAABbQ29udGVudF9UeXBlc10ueG1sUEsBAi0AFAAGAAgAAAAhADj9If/W&#10;AAAAlAEAAAsAAAAAAAAAAAAAAAAALwEAAF9yZWxzLy5yZWxzUEsBAi0AFAAGAAgAAAAhAM/bEwoT&#10;AgAACgQAAA4AAAAAAAAAAAAAAAAALgIAAGRycy9lMm9Eb2MueG1sUEsBAi0AFAAGAAgAAAAhAO+j&#10;nDjaAAAABQEAAA8AAAAAAAAAAAAAAAAAbQQAAGRycy9kb3ducmV2LnhtbFBLBQYAAAAABAAEAPMA&#10;AAB0BQAAAAA=&#10;" stroked="f">
              <v:textbox inset="0,0,0,0">
                <w:txbxContent>
                  <w:p w:rsidR="008810B3" w:rsidRDefault="00EE0A79" w:rsidP="001E2C7B">
                    <w:pPr>
                      <w:pStyle w:val="MDPIheaderjournallogo"/>
                      <w:jc w:val="center"/>
                      <w:textboxTightWrap w:val="allLines"/>
                      <w:rPr>
                        <w:i w:val="0"/>
                        <w:szCs w:val="16"/>
                      </w:rPr>
                    </w:pPr>
                    <w:r w:rsidRPr="0058552C">
                      <w:rPr>
                        <w:i w:val="0"/>
                        <w:noProof/>
                        <w:szCs w:val="16"/>
                        <w:lang w:eastAsia="zh-CN"/>
                      </w:rPr>
                      <w:drawing>
                        <wp:inline distT="0" distB="0" distL="0" distR="0" wp14:anchorId="36ED601A" wp14:editId="4B8C9E3C">
                          <wp:extent cx="546216" cy="360000"/>
                          <wp:effectExtent l="0" t="0" r="6350" b="2540"/>
                          <wp:docPr id="3"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6216" cy="360000"/>
                                  </a:xfrm>
                                  <a:prstGeom prst="rect">
                                    <a:avLst/>
                                  </a:prstGeom>
                                  <a:noFill/>
                                  <a:ln>
                                    <a:noFill/>
                                  </a:ln>
                                </pic:spPr>
                              </pic:pic>
                            </a:graphicData>
                          </a:graphic>
                        </wp:inline>
                      </w:drawing>
                    </w:r>
                  </w:p>
                </w:txbxContent>
              </v:textbox>
              <w10:wrap anchorx="margin"/>
            </v:shape>
          </w:pict>
        </mc:Fallback>
      </mc:AlternateContent>
    </w:r>
    <w:r w:rsidR="00607996">
      <w:rPr>
        <w:noProof/>
        <w:lang w:eastAsia="zh-CN"/>
      </w:rPr>
      <w:drawing>
        <wp:inline distT="0" distB="0" distL="0" distR="0">
          <wp:extent cx="1689735" cy="431800"/>
          <wp:effectExtent l="0" t="0" r="5715" b="6350"/>
          <wp:docPr id="5" name="Picture 5" descr="C:\Users\home\AppData\Local\Temp\HZ$D.003.484\challenge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AppData\Local\Temp\HZ$D.003.484\challenges_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89735" cy="4318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5927E06"/>
    <w:lvl w:ilvl="0">
      <w:start w:val="1"/>
      <w:numFmt w:val="bullet"/>
      <w:lvlText w:val=""/>
      <w:lvlJc w:val="left"/>
      <w:pPr>
        <w:tabs>
          <w:tab w:val="num" w:pos="360"/>
        </w:tabs>
        <w:ind w:left="360" w:hangingChars="200" w:hanging="360"/>
      </w:pPr>
      <w:rPr>
        <w:rFonts w:ascii="Wingdings" w:hAnsi="Wingdings" w:hint="default"/>
      </w:rPr>
    </w:lvl>
  </w:abstractNum>
  <w:abstractNum w:abstractNumId="1" w15:restartNumberingAfterBreak="0">
    <w:nsid w:val="14F82A47"/>
    <w:multiLevelType w:val="hybridMultilevel"/>
    <w:tmpl w:val="2DF4741C"/>
    <w:lvl w:ilvl="0" w:tplc="CF5CA7CC">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19CF5E91"/>
    <w:multiLevelType w:val="hybridMultilevel"/>
    <w:tmpl w:val="6CE4E924"/>
    <w:lvl w:ilvl="0" w:tplc="CF5CA7CC">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1DB905E9"/>
    <w:multiLevelType w:val="hybridMultilevel"/>
    <w:tmpl w:val="F42E4BB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250A245F"/>
    <w:multiLevelType w:val="hybridMultilevel"/>
    <w:tmpl w:val="29E20A30"/>
    <w:lvl w:ilvl="0" w:tplc="1AF444CE">
      <w:start w:val="1"/>
      <w:numFmt w:val="decimal"/>
      <w:pStyle w:val="MDPI71References"/>
      <w:lvlText w:val="%1."/>
      <w:lvlJc w:val="left"/>
      <w:pPr>
        <w:ind w:left="845" w:hanging="420"/>
      </w:pPr>
      <w:rPr>
        <w:rFonts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5"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6" w15:restartNumberingAfterBreak="0">
    <w:nsid w:val="327441F7"/>
    <w:multiLevelType w:val="hybridMultilevel"/>
    <w:tmpl w:val="D9D8E514"/>
    <w:lvl w:ilvl="0" w:tplc="B6DA7924">
      <w:start w:val="1"/>
      <w:numFmt w:val="bullet"/>
      <w:lvlText w:val=""/>
      <w:lvlJc w:val="left"/>
      <w:pPr>
        <w:ind w:left="845" w:hanging="420"/>
      </w:pPr>
      <w:rPr>
        <w:rFonts w:ascii="Wingdings" w:hAnsi="Wingdings" w:hint="default"/>
      </w:rPr>
    </w:lvl>
    <w:lvl w:ilvl="1" w:tplc="04090003" w:tentative="1">
      <w:start w:val="1"/>
      <w:numFmt w:val="bullet"/>
      <w:lvlText w:val=""/>
      <w:lvlJc w:val="left"/>
      <w:pPr>
        <w:ind w:left="1402" w:hanging="420"/>
      </w:pPr>
      <w:rPr>
        <w:rFonts w:ascii="Wingdings" w:hAnsi="Wingdings" w:hint="default"/>
      </w:rPr>
    </w:lvl>
    <w:lvl w:ilvl="2" w:tplc="04090005" w:tentative="1">
      <w:start w:val="1"/>
      <w:numFmt w:val="bullet"/>
      <w:lvlText w:val=""/>
      <w:lvlJc w:val="left"/>
      <w:pPr>
        <w:ind w:left="1822" w:hanging="420"/>
      </w:pPr>
      <w:rPr>
        <w:rFonts w:ascii="Wingdings" w:hAnsi="Wingdings" w:hint="default"/>
      </w:rPr>
    </w:lvl>
    <w:lvl w:ilvl="3" w:tplc="04090001" w:tentative="1">
      <w:start w:val="1"/>
      <w:numFmt w:val="bullet"/>
      <w:lvlText w:val=""/>
      <w:lvlJc w:val="left"/>
      <w:pPr>
        <w:ind w:left="2242" w:hanging="420"/>
      </w:pPr>
      <w:rPr>
        <w:rFonts w:ascii="Wingdings" w:hAnsi="Wingdings" w:hint="default"/>
      </w:rPr>
    </w:lvl>
    <w:lvl w:ilvl="4" w:tplc="04090003" w:tentative="1">
      <w:start w:val="1"/>
      <w:numFmt w:val="bullet"/>
      <w:lvlText w:val=""/>
      <w:lvlJc w:val="left"/>
      <w:pPr>
        <w:ind w:left="2662" w:hanging="420"/>
      </w:pPr>
      <w:rPr>
        <w:rFonts w:ascii="Wingdings" w:hAnsi="Wingdings" w:hint="default"/>
      </w:rPr>
    </w:lvl>
    <w:lvl w:ilvl="5" w:tplc="04090005" w:tentative="1">
      <w:start w:val="1"/>
      <w:numFmt w:val="bullet"/>
      <w:lvlText w:val=""/>
      <w:lvlJc w:val="left"/>
      <w:pPr>
        <w:ind w:left="3082" w:hanging="420"/>
      </w:pPr>
      <w:rPr>
        <w:rFonts w:ascii="Wingdings" w:hAnsi="Wingdings" w:hint="default"/>
      </w:rPr>
    </w:lvl>
    <w:lvl w:ilvl="6" w:tplc="04090001" w:tentative="1">
      <w:start w:val="1"/>
      <w:numFmt w:val="bullet"/>
      <w:lvlText w:val=""/>
      <w:lvlJc w:val="left"/>
      <w:pPr>
        <w:ind w:left="3502" w:hanging="420"/>
      </w:pPr>
      <w:rPr>
        <w:rFonts w:ascii="Wingdings" w:hAnsi="Wingdings" w:hint="default"/>
      </w:rPr>
    </w:lvl>
    <w:lvl w:ilvl="7" w:tplc="04090003" w:tentative="1">
      <w:start w:val="1"/>
      <w:numFmt w:val="bullet"/>
      <w:lvlText w:val=""/>
      <w:lvlJc w:val="left"/>
      <w:pPr>
        <w:ind w:left="3922" w:hanging="420"/>
      </w:pPr>
      <w:rPr>
        <w:rFonts w:ascii="Wingdings" w:hAnsi="Wingdings" w:hint="default"/>
      </w:rPr>
    </w:lvl>
    <w:lvl w:ilvl="8" w:tplc="04090005" w:tentative="1">
      <w:start w:val="1"/>
      <w:numFmt w:val="bullet"/>
      <w:lvlText w:val=""/>
      <w:lvlJc w:val="left"/>
      <w:pPr>
        <w:ind w:left="4342" w:hanging="420"/>
      </w:pPr>
      <w:rPr>
        <w:rFonts w:ascii="Wingdings" w:hAnsi="Wingdings" w:hint="default"/>
      </w:rPr>
    </w:lvl>
  </w:abstractNum>
  <w:abstractNum w:abstractNumId="7"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8" w15:restartNumberingAfterBreak="0">
    <w:nsid w:val="396C24B9"/>
    <w:multiLevelType w:val="hybridMultilevel"/>
    <w:tmpl w:val="344A584C"/>
    <w:lvl w:ilvl="0" w:tplc="CECC1D30">
      <w:start w:val="1"/>
      <w:numFmt w:val="bullet"/>
      <w:lvlText w:val=""/>
      <w:lvlJc w:val="left"/>
      <w:pPr>
        <w:ind w:left="708" w:hanging="420"/>
      </w:pPr>
      <w:rPr>
        <w:rFonts w:ascii="Wingdings" w:hAnsi="Wingdings" w:hint="default"/>
      </w:rPr>
    </w:lvl>
    <w:lvl w:ilvl="1" w:tplc="04090003" w:tentative="1">
      <w:start w:val="1"/>
      <w:numFmt w:val="bullet"/>
      <w:lvlText w:val=""/>
      <w:lvlJc w:val="left"/>
      <w:pPr>
        <w:ind w:left="1128" w:hanging="420"/>
      </w:pPr>
      <w:rPr>
        <w:rFonts w:ascii="Wingdings" w:hAnsi="Wingdings" w:hint="default"/>
      </w:rPr>
    </w:lvl>
    <w:lvl w:ilvl="2" w:tplc="04090005" w:tentative="1">
      <w:start w:val="1"/>
      <w:numFmt w:val="bullet"/>
      <w:lvlText w:val=""/>
      <w:lvlJc w:val="left"/>
      <w:pPr>
        <w:ind w:left="1548" w:hanging="420"/>
      </w:pPr>
      <w:rPr>
        <w:rFonts w:ascii="Wingdings" w:hAnsi="Wingdings" w:hint="default"/>
      </w:rPr>
    </w:lvl>
    <w:lvl w:ilvl="3" w:tplc="04090001" w:tentative="1">
      <w:start w:val="1"/>
      <w:numFmt w:val="bullet"/>
      <w:lvlText w:val=""/>
      <w:lvlJc w:val="left"/>
      <w:pPr>
        <w:ind w:left="1968" w:hanging="420"/>
      </w:pPr>
      <w:rPr>
        <w:rFonts w:ascii="Wingdings" w:hAnsi="Wingdings" w:hint="default"/>
      </w:rPr>
    </w:lvl>
    <w:lvl w:ilvl="4" w:tplc="04090003" w:tentative="1">
      <w:start w:val="1"/>
      <w:numFmt w:val="bullet"/>
      <w:lvlText w:val=""/>
      <w:lvlJc w:val="left"/>
      <w:pPr>
        <w:ind w:left="2388" w:hanging="420"/>
      </w:pPr>
      <w:rPr>
        <w:rFonts w:ascii="Wingdings" w:hAnsi="Wingdings" w:hint="default"/>
      </w:rPr>
    </w:lvl>
    <w:lvl w:ilvl="5" w:tplc="04090005" w:tentative="1">
      <w:start w:val="1"/>
      <w:numFmt w:val="bullet"/>
      <w:lvlText w:val=""/>
      <w:lvlJc w:val="left"/>
      <w:pPr>
        <w:ind w:left="2808" w:hanging="420"/>
      </w:pPr>
      <w:rPr>
        <w:rFonts w:ascii="Wingdings" w:hAnsi="Wingdings" w:hint="default"/>
      </w:rPr>
    </w:lvl>
    <w:lvl w:ilvl="6" w:tplc="04090001" w:tentative="1">
      <w:start w:val="1"/>
      <w:numFmt w:val="bullet"/>
      <w:lvlText w:val=""/>
      <w:lvlJc w:val="left"/>
      <w:pPr>
        <w:ind w:left="3228" w:hanging="420"/>
      </w:pPr>
      <w:rPr>
        <w:rFonts w:ascii="Wingdings" w:hAnsi="Wingdings" w:hint="default"/>
      </w:rPr>
    </w:lvl>
    <w:lvl w:ilvl="7" w:tplc="04090003" w:tentative="1">
      <w:start w:val="1"/>
      <w:numFmt w:val="bullet"/>
      <w:lvlText w:val=""/>
      <w:lvlJc w:val="left"/>
      <w:pPr>
        <w:ind w:left="3648" w:hanging="420"/>
      </w:pPr>
      <w:rPr>
        <w:rFonts w:ascii="Wingdings" w:hAnsi="Wingdings" w:hint="default"/>
      </w:rPr>
    </w:lvl>
    <w:lvl w:ilvl="8" w:tplc="04090005" w:tentative="1">
      <w:start w:val="1"/>
      <w:numFmt w:val="bullet"/>
      <w:lvlText w:val=""/>
      <w:lvlJc w:val="left"/>
      <w:pPr>
        <w:ind w:left="4068" w:hanging="420"/>
      </w:pPr>
      <w:rPr>
        <w:rFonts w:ascii="Wingdings" w:hAnsi="Wingdings" w:hint="default"/>
      </w:rPr>
    </w:lvl>
  </w:abstractNum>
  <w:abstractNum w:abstractNumId="9" w15:restartNumberingAfterBreak="0">
    <w:nsid w:val="430B505B"/>
    <w:multiLevelType w:val="hybridMultilevel"/>
    <w:tmpl w:val="78AA790A"/>
    <w:lvl w:ilvl="0" w:tplc="3BA0C004">
      <w:start w:val="1"/>
      <w:numFmt w:val="decimal"/>
      <w:pStyle w:val="Mdeck8references"/>
      <w:lvlText w:val="%1."/>
      <w:lvlJc w:val="left"/>
      <w:pPr>
        <w:ind w:left="782" w:hanging="42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D5443C4"/>
    <w:multiLevelType w:val="multilevel"/>
    <w:tmpl w:val="4C90A12C"/>
    <w:lvl w:ilvl="0">
      <w:start w:val="1"/>
      <w:numFmt w:val="decimal"/>
      <w:lvlText w:val="%1"/>
      <w:lvlJc w:val="left"/>
      <w:pPr>
        <w:ind w:left="1429" w:hanging="357"/>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1" w15:restartNumberingAfterBreak="0">
    <w:nsid w:val="605F5E61"/>
    <w:multiLevelType w:val="hybridMultilevel"/>
    <w:tmpl w:val="E3140CC2"/>
    <w:lvl w:ilvl="0" w:tplc="8E38962A">
      <w:start w:val="1"/>
      <w:numFmt w:val="decimal"/>
      <w:lvlText w:val="  %1"/>
      <w:lvlJc w:val="left"/>
      <w:pPr>
        <w:ind w:left="420" w:hanging="420"/>
      </w:pPr>
      <w:rPr>
        <w:rFonts w:hint="eastAsia"/>
        <w:spacing w:val="0"/>
        <w:position w:val="108"/>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673C370A"/>
    <w:multiLevelType w:val="hybridMultilevel"/>
    <w:tmpl w:val="DED8C25E"/>
    <w:lvl w:ilvl="0" w:tplc="9668B0B2">
      <w:start w:val="1"/>
      <w:numFmt w:val="bullet"/>
      <w:pStyle w:val="Mdeck4textbulletlist"/>
      <w:lvlText w:val=""/>
      <w:lvlJc w:val="left"/>
      <w:pPr>
        <w:ind w:left="1429" w:hanging="357"/>
      </w:pPr>
      <w:rPr>
        <w:rFonts w:ascii="Wingdings" w:hAnsi="Wingdings" w:hint="default"/>
      </w:rPr>
    </w:lvl>
    <w:lvl w:ilvl="1" w:tplc="04090003" w:tentative="1">
      <w:start w:val="1"/>
      <w:numFmt w:val="bullet"/>
      <w:lvlText w:val=""/>
      <w:lvlJc w:val="left"/>
      <w:pPr>
        <w:ind w:left="1402" w:hanging="420"/>
      </w:pPr>
      <w:rPr>
        <w:rFonts w:ascii="Wingdings" w:hAnsi="Wingdings" w:hint="default"/>
      </w:rPr>
    </w:lvl>
    <w:lvl w:ilvl="2" w:tplc="04090005" w:tentative="1">
      <w:start w:val="1"/>
      <w:numFmt w:val="bullet"/>
      <w:lvlText w:val=""/>
      <w:lvlJc w:val="left"/>
      <w:pPr>
        <w:ind w:left="1822" w:hanging="420"/>
      </w:pPr>
      <w:rPr>
        <w:rFonts w:ascii="Wingdings" w:hAnsi="Wingdings" w:hint="default"/>
      </w:rPr>
    </w:lvl>
    <w:lvl w:ilvl="3" w:tplc="04090001" w:tentative="1">
      <w:start w:val="1"/>
      <w:numFmt w:val="bullet"/>
      <w:lvlText w:val=""/>
      <w:lvlJc w:val="left"/>
      <w:pPr>
        <w:ind w:left="2242" w:hanging="420"/>
      </w:pPr>
      <w:rPr>
        <w:rFonts w:ascii="Wingdings" w:hAnsi="Wingdings" w:hint="default"/>
      </w:rPr>
    </w:lvl>
    <w:lvl w:ilvl="4" w:tplc="04090003" w:tentative="1">
      <w:start w:val="1"/>
      <w:numFmt w:val="bullet"/>
      <w:lvlText w:val=""/>
      <w:lvlJc w:val="left"/>
      <w:pPr>
        <w:ind w:left="2662" w:hanging="420"/>
      </w:pPr>
      <w:rPr>
        <w:rFonts w:ascii="Wingdings" w:hAnsi="Wingdings" w:hint="default"/>
      </w:rPr>
    </w:lvl>
    <w:lvl w:ilvl="5" w:tplc="04090005" w:tentative="1">
      <w:start w:val="1"/>
      <w:numFmt w:val="bullet"/>
      <w:lvlText w:val=""/>
      <w:lvlJc w:val="left"/>
      <w:pPr>
        <w:ind w:left="3082" w:hanging="420"/>
      </w:pPr>
      <w:rPr>
        <w:rFonts w:ascii="Wingdings" w:hAnsi="Wingdings" w:hint="default"/>
      </w:rPr>
    </w:lvl>
    <w:lvl w:ilvl="6" w:tplc="04090001" w:tentative="1">
      <w:start w:val="1"/>
      <w:numFmt w:val="bullet"/>
      <w:lvlText w:val=""/>
      <w:lvlJc w:val="left"/>
      <w:pPr>
        <w:ind w:left="3502" w:hanging="420"/>
      </w:pPr>
      <w:rPr>
        <w:rFonts w:ascii="Wingdings" w:hAnsi="Wingdings" w:hint="default"/>
      </w:rPr>
    </w:lvl>
    <w:lvl w:ilvl="7" w:tplc="04090003" w:tentative="1">
      <w:start w:val="1"/>
      <w:numFmt w:val="bullet"/>
      <w:lvlText w:val=""/>
      <w:lvlJc w:val="left"/>
      <w:pPr>
        <w:ind w:left="3922" w:hanging="420"/>
      </w:pPr>
      <w:rPr>
        <w:rFonts w:ascii="Wingdings" w:hAnsi="Wingdings" w:hint="default"/>
      </w:rPr>
    </w:lvl>
    <w:lvl w:ilvl="8" w:tplc="04090005" w:tentative="1">
      <w:start w:val="1"/>
      <w:numFmt w:val="bullet"/>
      <w:lvlText w:val=""/>
      <w:lvlJc w:val="left"/>
      <w:pPr>
        <w:ind w:left="4342" w:hanging="420"/>
      </w:pPr>
      <w:rPr>
        <w:rFonts w:ascii="Wingdings" w:hAnsi="Wingdings" w:hint="default"/>
      </w:rPr>
    </w:lvl>
  </w:abstractNum>
  <w:abstractNum w:abstractNumId="13" w15:restartNumberingAfterBreak="0">
    <w:nsid w:val="6DB20A64"/>
    <w:multiLevelType w:val="hybridMultilevel"/>
    <w:tmpl w:val="3BB4DF5C"/>
    <w:lvl w:ilvl="0" w:tplc="10ACE5BA">
      <w:start w:val="1"/>
      <w:numFmt w:val="decimal"/>
      <w:pStyle w:val="Mdeck4textnumberedlist"/>
      <w:lvlText w:val="%1."/>
      <w:lvlJc w:val="left"/>
      <w:pPr>
        <w:ind w:left="1429" w:hanging="357"/>
      </w:pPr>
      <w:rPr>
        <w:rFonts w:hint="eastAsia"/>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num w:numId="1">
    <w:abstractNumId w:val="6"/>
  </w:num>
  <w:num w:numId="2">
    <w:abstractNumId w:val="13"/>
  </w:num>
  <w:num w:numId="3">
    <w:abstractNumId w:val="9"/>
  </w:num>
  <w:num w:numId="4">
    <w:abstractNumId w:val="0"/>
  </w:num>
  <w:num w:numId="5">
    <w:abstractNumId w:val="8"/>
  </w:num>
  <w:num w:numId="6">
    <w:abstractNumId w:val="13"/>
  </w:num>
  <w:num w:numId="7">
    <w:abstractNumId w:val="6"/>
  </w:num>
  <w:num w:numId="8">
    <w:abstractNumId w:val="1"/>
  </w:num>
  <w:num w:numId="9">
    <w:abstractNumId w:val="2"/>
  </w:num>
  <w:num w:numId="10">
    <w:abstractNumId w:val="10"/>
  </w:num>
  <w:num w:numId="11">
    <w:abstractNumId w:val="11"/>
  </w:num>
  <w:num w:numId="12">
    <w:abstractNumId w:val="12"/>
  </w:num>
  <w:num w:numId="13">
    <w:abstractNumId w:val="5"/>
  </w:num>
  <w:num w:numId="14">
    <w:abstractNumId w:val="7"/>
  </w:num>
  <w:num w:numId="15">
    <w:abstractNumId w:val="4"/>
  </w:num>
  <w:num w:numId="16">
    <w:abstractNumId w:val="4"/>
  </w:num>
  <w:num w:numId="17">
    <w:abstractNumId w:val="9"/>
  </w:num>
  <w:num w:numId="18">
    <w:abstractNumId w:val="9"/>
  </w:num>
  <w:num w:numId="19">
    <w:abstractNumId w:val="12"/>
  </w:num>
  <w:num w:numId="20">
    <w:abstractNumId w:val="13"/>
  </w:num>
  <w:num w:numId="21">
    <w:abstractNumId w:val="5"/>
  </w:num>
  <w:num w:numId="22">
    <w:abstractNumId w:val="7"/>
  </w:num>
  <w:num w:numId="23">
    <w:abstractNumId w:val="4"/>
  </w:num>
  <w:num w:numId="24">
    <w:abstractNumId w:val="4"/>
  </w:num>
  <w:num w:numId="25">
    <w:abstractNumId w:val="5"/>
  </w:num>
  <w:num w:numId="26">
    <w:abstractNumId w:val="7"/>
  </w:num>
  <w:num w:numId="27">
    <w:abstractNumId w:val="4"/>
  </w:num>
  <w:num w:numId="28">
    <w:abstractNumId w:val="5"/>
  </w:num>
  <w:num w:numId="29">
    <w:abstractNumId w:val="7"/>
  </w:num>
  <w:num w:numId="30">
    <w:abstractNumId w:val="5"/>
  </w:num>
  <w:num w:numId="31">
    <w:abstractNumId w:val="7"/>
  </w:num>
  <w:num w:numId="32">
    <w:abstractNumId w:val="4"/>
  </w:num>
  <w:num w:numId="33">
    <w:abstractNumId w:val="4"/>
  </w:num>
  <w:num w:numId="34">
    <w:abstractNumId w:val="12"/>
  </w:num>
  <w:num w:numId="35">
    <w:abstractNumId w:val="13"/>
  </w:num>
  <w:num w:numId="36">
    <w:abstractNumId w:val="9"/>
  </w:num>
  <w:num w:numId="37">
    <w:abstractNumId w:val="12"/>
  </w:num>
  <w:num w:numId="38">
    <w:abstractNumId w:val="13"/>
  </w:num>
  <w:num w:numId="39">
    <w:abstractNumId w:val="9"/>
  </w:num>
  <w:num w:numId="40">
    <w:abstractNumId w:val="6"/>
  </w:num>
  <w:num w:numId="41">
    <w:abstractNumId w:val="13"/>
  </w:num>
  <w:num w:numId="42">
    <w:abstractNumId w:val="9"/>
  </w:num>
  <w:num w:numId="43">
    <w:abstractNumId w:val="12"/>
  </w:num>
  <w:num w:numId="44">
    <w:abstractNumId w:val="13"/>
  </w:num>
  <w:num w:numId="45">
    <w:abstractNumId w:val="9"/>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hideSpellingErrors/>
  <w:hideGrammaticalErrors/>
  <w:proofState w:spelling="clean" w:grammar="clean"/>
  <w:attachedTemplate r:id="rId1"/>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2E1"/>
    <w:rsid w:val="00000637"/>
    <w:rsid w:val="000006F8"/>
    <w:rsid w:val="000046B6"/>
    <w:rsid w:val="00004BA7"/>
    <w:rsid w:val="00005FC2"/>
    <w:rsid w:val="00011BC3"/>
    <w:rsid w:val="0001283B"/>
    <w:rsid w:val="0002090C"/>
    <w:rsid w:val="00024621"/>
    <w:rsid w:val="0002467B"/>
    <w:rsid w:val="00025A91"/>
    <w:rsid w:val="00025C56"/>
    <w:rsid w:val="000319B8"/>
    <w:rsid w:val="0003351A"/>
    <w:rsid w:val="00034840"/>
    <w:rsid w:val="00034BF8"/>
    <w:rsid w:val="000361F7"/>
    <w:rsid w:val="00037F00"/>
    <w:rsid w:val="00041A10"/>
    <w:rsid w:val="0004245C"/>
    <w:rsid w:val="00042C12"/>
    <w:rsid w:val="000439F3"/>
    <w:rsid w:val="00043F91"/>
    <w:rsid w:val="00044417"/>
    <w:rsid w:val="0004473F"/>
    <w:rsid w:val="00045898"/>
    <w:rsid w:val="00050716"/>
    <w:rsid w:val="00050C65"/>
    <w:rsid w:val="000520E3"/>
    <w:rsid w:val="000551E0"/>
    <w:rsid w:val="000562B9"/>
    <w:rsid w:val="00056DBB"/>
    <w:rsid w:val="000578BD"/>
    <w:rsid w:val="000602E4"/>
    <w:rsid w:val="000605CD"/>
    <w:rsid w:val="00063A6A"/>
    <w:rsid w:val="0006467F"/>
    <w:rsid w:val="000662E1"/>
    <w:rsid w:val="00071D03"/>
    <w:rsid w:val="00073BD9"/>
    <w:rsid w:val="00077A9D"/>
    <w:rsid w:val="00082D78"/>
    <w:rsid w:val="000833FA"/>
    <w:rsid w:val="000848F9"/>
    <w:rsid w:val="00094176"/>
    <w:rsid w:val="000A0E49"/>
    <w:rsid w:val="000A0F29"/>
    <w:rsid w:val="000A3155"/>
    <w:rsid w:val="000A411D"/>
    <w:rsid w:val="000A45A9"/>
    <w:rsid w:val="000A5FAE"/>
    <w:rsid w:val="000B05D0"/>
    <w:rsid w:val="000B38AC"/>
    <w:rsid w:val="000B529D"/>
    <w:rsid w:val="000B5482"/>
    <w:rsid w:val="000B7EF6"/>
    <w:rsid w:val="000C299D"/>
    <w:rsid w:val="000C4A82"/>
    <w:rsid w:val="000C4B5D"/>
    <w:rsid w:val="000C4FB6"/>
    <w:rsid w:val="000D0305"/>
    <w:rsid w:val="000D0745"/>
    <w:rsid w:val="000D0874"/>
    <w:rsid w:val="000D093A"/>
    <w:rsid w:val="000D166F"/>
    <w:rsid w:val="000D2842"/>
    <w:rsid w:val="000D2F06"/>
    <w:rsid w:val="000D5554"/>
    <w:rsid w:val="000E08FD"/>
    <w:rsid w:val="000E35FE"/>
    <w:rsid w:val="000E37D1"/>
    <w:rsid w:val="000E7A5D"/>
    <w:rsid w:val="000F0E85"/>
    <w:rsid w:val="000F0F9F"/>
    <w:rsid w:val="000F3B42"/>
    <w:rsid w:val="000F4E0E"/>
    <w:rsid w:val="00100B2F"/>
    <w:rsid w:val="00100FE2"/>
    <w:rsid w:val="00103634"/>
    <w:rsid w:val="00104294"/>
    <w:rsid w:val="001170CF"/>
    <w:rsid w:val="0011779E"/>
    <w:rsid w:val="0012125D"/>
    <w:rsid w:val="00124285"/>
    <w:rsid w:val="0012462F"/>
    <w:rsid w:val="001268A0"/>
    <w:rsid w:val="00127B58"/>
    <w:rsid w:val="00130F88"/>
    <w:rsid w:val="00131F3D"/>
    <w:rsid w:val="001352B6"/>
    <w:rsid w:val="00135C14"/>
    <w:rsid w:val="00140A39"/>
    <w:rsid w:val="0014158B"/>
    <w:rsid w:val="00143181"/>
    <w:rsid w:val="00144660"/>
    <w:rsid w:val="00144DC5"/>
    <w:rsid w:val="00144E54"/>
    <w:rsid w:val="00145F5A"/>
    <w:rsid w:val="00150342"/>
    <w:rsid w:val="00151E48"/>
    <w:rsid w:val="00152F85"/>
    <w:rsid w:val="00155401"/>
    <w:rsid w:val="00156006"/>
    <w:rsid w:val="00160C50"/>
    <w:rsid w:val="0016263E"/>
    <w:rsid w:val="001632F9"/>
    <w:rsid w:val="00163372"/>
    <w:rsid w:val="00165A01"/>
    <w:rsid w:val="001665A2"/>
    <w:rsid w:val="0016702F"/>
    <w:rsid w:val="001732EE"/>
    <w:rsid w:val="001739FB"/>
    <w:rsid w:val="00173FC0"/>
    <w:rsid w:val="001763AE"/>
    <w:rsid w:val="00176BBA"/>
    <w:rsid w:val="00176DC5"/>
    <w:rsid w:val="00176E73"/>
    <w:rsid w:val="0017709E"/>
    <w:rsid w:val="001812DE"/>
    <w:rsid w:val="00184B65"/>
    <w:rsid w:val="00184ECF"/>
    <w:rsid w:val="001854A7"/>
    <w:rsid w:val="001860DD"/>
    <w:rsid w:val="00192141"/>
    <w:rsid w:val="001929BE"/>
    <w:rsid w:val="00193EBD"/>
    <w:rsid w:val="00194DCB"/>
    <w:rsid w:val="001A0D5B"/>
    <w:rsid w:val="001A103B"/>
    <w:rsid w:val="001A2D5C"/>
    <w:rsid w:val="001A3926"/>
    <w:rsid w:val="001A4A0E"/>
    <w:rsid w:val="001A7D08"/>
    <w:rsid w:val="001B09F9"/>
    <w:rsid w:val="001B22D3"/>
    <w:rsid w:val="001B2E32"/>
    <w:rsid w:val="001B396D"/>
    <w:rsid w:val="001B3A0F"/>
    <w:rsid w:val="001B446E"/>
    <w:rsid w:val="001C0136"/>
    <w:rsid w:val="001C0A1F"/>
    <w:rsid w:val="001C2A2E"/>
    <w:rsid w:val="001C3B86"/>
    <w:rsid w:val="001C6374"/>
    <w:rsid w:val="001D0A2E"/>
    <w:rsid w:val="001D0BD8"/>
    <w:rsid w:val="001D3EFB"/>
    <w:rsid w:val="001D4C88"/>
    <w:rsid w:val="001D4CBF"/>
    <w:rsid w:val="001D5C83"/>
    <w:rsid w:val="001D5CB0"/>
    <w:rsid w:val="001D7118"/>
    <w:rsid w:val="001D7351"/>
    <w:rsid w:val="001E0BFA"/>
    <w:rsid w:val="001E26BA"/>
    <w:rsid w:val="001E3DBC"/>
    <w:rsid w:val="001F2913"/>
    <w:rsid w:val="001F45A9"/>
    <w:rsid w:val="001F55DC"/>
    <w:rsid w:val="001F5A4A"/>
    <w:rsid w:val="0020147D"/>
    <w:rsid w:val="002021CF"/>
    <w:rsid w:val="002026F5"/>
    <w:rsid w:val="00206B4D"/>
    <w:rsid w:val="0021202D"/>
    <w:rsid w:val="00214190"/>
    <w:rsid w:val="00216FA9"/>
    <w:rsid w:val="00220209"/>
    <w:rsid w:val="002220D5"/>
    <w:rsid w:val="00223A64"/>
    <w:rsid w:val="00225217"/>
    <w:rsid w:val="00225F3F"/>
    <w:rsid w:val="00226AB1"/>
    <w:rsid w:val="00234505"/>
    <w:rsid w:val="00235077"/>
    <w:rsid w:val="00235973"/>
    <w:rsid w:val="00236969"/>
    <w:rsid w:val="00236C0D"/>
    <w:rsid w:val="00236D35"/>
    <w:rsid w:val="00236F94"/>
    <w:rsid w:val="00237EDD"/>
    <w:rsid w:val="0024084D"/>
    <w:rsid w:val="00240C8C"/>
    <w:rsid w:val="00241C14"/>
    <w:rsid w:val="002434C9"/>
    <w:rsid w:val="00246CE0"/>
    <w:rsid w:val="0025127B"/>
    <w:rsid w:val="00251811"/>
    <w:rsid w:val="0025232D"/>
    <w:rsid w:val="00252515"/>
    <w:rsid w:val="0025259B"/>
    <w:rsid w:val="00252BD9"/>
    <w:rsid w:val="00253193"/>
    <w:rsid w:val="00255B5C"/>
    <w:rsid w:val="00257403"/>
    <w:rsid w:val="0025777F"/>
    <w:rsid w:val="00261B77"/>
    <w:rsid w:val="00263890"/>
    <w:rsid w:val="0026479E"/>
    <w:rsid w:val="002665A2"/>
    <w:rsid w:val="00271978"/>
    <w:rsid w:val="00272574"/>
    <w:rsid w:val="00273440"/>
    <w:rsid w:val="0027513B"/>
    <w:rsid w:val="0027593D"/>
    <w:rsid w:val="00275F7E"/>
    <w:rsid w:val="00276B71"/>
    <w:rsid w:val="0027713B"/>
    <w:rsid w:val="002813F6"/>
    <w:rsid w:val="0028335A"/>
    <w:rsid w:val="00285954"/>
    <w:rsid w:val="00285A67"/>
    <w:rsid w:val="0028727D"/>
    <w:rsid w:val="002915B6"/>
    <w:rsid w:val="0029287A"/>
    <w:rsid w:val="00294C2F"/>
    <w:rsid w:val="0029628E"/>
    <w:rsid w:val="00296EB7"/>
    <w:rsid w:val="002A31E4"/>
    <w:rsid w:val="002A66E9"/>
    <w:rsid w:val="002B0BCA"/>
    <w:rsid w:val="002B37F5"/>
    <w:rsid w:val="002B4981"/>
    <w:rsid w:val="002B75A2"/>
    <w:rsid w:val="002B7893"/>
    <w:rsid w:val="002C0E6A"/>
    <w:rsid w:val="002C28DD"/>
    <w:rsid w:val="002C300A"/>
    <w:rsid w:val="002C5045"/>
    <w:rsid w:val="002C6C5F"/>
    <w:rsid w:val="002C7423"/>
    <w:rsid w:val="002C7CEB"/>
    <w:rsid w:val="002D0834"/>
    <w:rsid w:val="002D2055"/>
    <w:rsid w:val="002D476D"/>
    <w:rsid w:val="002D4F9D"/>
    <w:rsid w:val="002D7EB2"/>
    <w:rsid w:val="002E0B8D"/>
    <w:rsid w:val="002E11AF"/>
    <w:rsid w:val="002E1F9C"/>
    <w:rsid w:val="002E2696"/>
    <w:rsid w:val="002E45FF"/>
    <w:rsid w:val="002E4AE9"/>
    <w:rsid w:val="002E59FA"/>
    <w:rsid w:val="002E699F"/>
    <w:rsid w:val="002F0022"/>
    <w:rsid w:val="002F1F90"/>
    <w:rsid w:val="002F30E0"/>
    <w:rsid w:val="002F3A40"/>
    <w:rsid w:val="002F6006"/>
    <w:rsid w:val="002F667B"/>
    <w:rsid w:val="002F6728"/>
    <w:rsid w:val="002F6FC8"/>
    <w:rsid w:val="00300F39"/>
    <w:rsid w:val="0030282D"/>
    <w:rsid w:val="0030286C"/>
    <w:rsid w:val="0030379B"/>
    <w:rsid w:val="003053D7"/>
    <w:rsid w:val="00305668"/>
    <w:rsid w:val="003066AC"/>
    <w:rsid w:val="00306771"/>
    <w:rsid w:val="0030792C"/>
    <w:rsid w:val="00307DAD"/>
    <w:rsid w:val="00312F5B"/>
    <w:rsid w:val="0031308C"/>
    <w:rsid w:val="0031392A"/>
    <w:rsid w:val="003167AC"/>
    <w:rsid w:val="0032250E"/>
    <w:rsid w:val="00322580"/>
    <w:rsid w:val="003229FD"/>
    <w:rsid w:val="003246E2"/>
    <w:rsid w:val="0032589B"/>
    <w:rsid w:val="003260DD"/>
    <w:rsid w:val="0033124F"/>
    <w:rsid w:val="0033164F"/>
    <w:rsid w:val="00333C2D"/>
    <w:rsid w:val="003352F1"/>
    <w:rsid w:val="00336080"/>
    <w:rsid w:val="00336BEA"/>
    <w:rsid w:val="003379F5"/>
    <w:rsid w:val="00340477"/>
    <w:rsid w:val="00341638"/>
    <w:rsid w:val="00341815"/>
    <w:rsid w:val="00344684"/>
    <w:rsid w:val="00344DFE"/>
    <w:rsid w:val="00346A68"/>
    <w:rsid w:val="00346B1B"/>
    <w:rsid w:val="00347596"/>
    <w:rsid w:val="00352D55"/>
    <w:rsid w:val="0035313A"/>
    <w:rsid w:val="0035340A"/>
    <w:rsid w:val="00353B41"/>
    <w:rsid w:val="0035469E"/>
    <w:rsid w:val="0035521D"/>
    <w:rsid w:val="00357207"/>
    <w:rsid w:val="00363D81"/>
    <w:rsid w:val="00367166"/>
    <w:rsid w:val="00367343"/>
    <w:rsid w:val="003675B2"/>
    <w:rsid w:val="00367C05"/>
    <w:rsid w:val="00370569"/>
    <w:rsid w:val="003709EC"/>
    <w:rsid w:val="00372FCD"/>
    <w:rsid w:val="00373D16"/>
    <w:rsid w:val="00373F32"/>
    <w:rsid w:val="00374898"/>
    <w:rsid w:val="00376FA1"/>
    <w:rsid w:val="00381C2D"/>
    <w:rsid w:val="00381D89"/>
    <w:rsid w:val="00381FC4"/>
    <w:rsid w:val="003835CE"/>
    <w:rsid w:val="003855CF"/>
    <w:rsid w:val="003902E6"/>
    <w:rsid w:val="00391035"/>
    <w:rsid w:val="003911F6"/>
    <w:rsid w:val="00391F71"/>
    <w:rsid w:val="003938E0"/>
    <w:rsid w:val="00394742"/>
    <w:rsid w:val="003A0FDD"/>
    <w:rsid w:val="003A116E"/>
    <w:rsid w:val="003A1FCC"/>
    <w:rsid w:val="003A2168"/>
    <w:rsid w:val="003A3F7E"/>
    <w:rsid w:val="003A445F"/>
    <w:rsid w:val="003A4FD3"/>
    <w:rsid w:val="003A5E59"/>
    <w:rsid w:val="003B2A22"/>
    <w:rsid w:val="003B3A7C"/>
    <w:rsid w:val="003B4E63"/>
    <w:rsid w:val="003B559A"/>
    <w:rsid w:val="003B65E3"/>
    <w:rsid w:val="003C014C"/>
    <w:rsid w:val="003C245C"/>
    <w:rsid w:val="003C2C26"/>
    <w:rsid w:val="003C4A20"/>
    <w:rsid w:val="003C4AAF"/>
    <w:rsid w:val="003C7C01"/>
    <w:rsid w:val="003D1BCF"/>
    <w:rsid w:val="003D2888"/>
    <w:rsid w:val="003D2BC8"/>
    <w:rsid w:val="003D6836"/>
    <w:rsid w:val="003D6DF8"/>
    <w:rsid w:val="003D740F"/>
    <w:rsid w:val="003E08EB"/>
    <w:rsid w:val="003E0C56"/>
    <w:rsid w:val="003E14E1"/>
    <w:rsid w:val="003E2B81"/>
    <w:rsid w:val="003E5F91"/>
    <w:rsid w:val="003E68A1"/>
    <w:rsid w:val="003F0471"/>
    <w:rsid w:val="003F21C8"/>
    <w:rsid w:val="003F2876"/>
    <w:rsid w:val="003F35A6"/>
    <w:rsid w:val="003F368E"/>
    <w:rsid w:val="003F4AE6"/>
    <w:rsid w:val="003F6004"/>
    <w:rsid w:val="003F6831"/>
    <w:rsid w:val="003F693E"/>
    <w:rsid w:val="00401EA0"/>
    <w:rsid w:val="0040655F"/>
    <w:rsid w:val="00407752"/>
    <w:rsid w:val="00411667"/>
    <w:rsid w:val="004123C0"/>
    <w:rsid w:val="00412F36"/>
    <w:rsid w:val="00412FD3"/>
    <w:rsid w:val="004137AF"/>
    <w:rsid w:val="00415FB0"/>
    <w:rsid w:val="00416645"/>
    <w:rsid w:val="00417A0D"/>
    <w:rsid w:val="00423429"/>
    <w:rsid w:val="00424882"/>
    <w:rsid w:val="00425AEA"/>
    <w:rsid w:val="0042627E"/>
    <w:rsid w:val="004262FE"/>
    <w:rsid w:val="00427902"/>
    <w:rsid w:val="0043115A"/>
    <w:rsid w:val="00432800"/>
    <w:rsid w:val="00433837"/>
    <w:rsid w:val="00434423"/>
    <w:rsid w:val="00436BA8"/>
    <w:rsid w:val="0043748F"/>
    <w:rsid w:val="004378B1"/>
    <w:rsid w:val="0044006E"/>
    <w:rsid w:val="00441209"/>
    <w:rsid w:val="00441AF9"/>
    <w:rsid w:val="00441FA3"/>
    <w:rsid w:val="004466AA"/>
    <w:rsid w:val="00446CA3"/>
    <w:rsid w:val="0045011E"/>
    <w:rsid w:val="0045101B"/>
    <w:rsid w:val="004539D4"/>
    <w:rsid w:val="00453CFB"/>
    <w:rsid w:val="0045405C"/>
    <w:rsid w:val="00455021"/>
    <w:rsid w:val="00456BA6"/>
    <w:rsid w:val="00461413"/>
    <w:rsid w:val="004614D9"/>
    <w:rsid w:val="00461DA2"/>
    <w:rsid w:val="00462789"/>
    <w:rsid w:val="00462F89"/>
    <w:rsid w:val="00467F33"/>
    <w:rsid w:val="00471859"/>
    <w:rsid w:val="00475F95"/>
    <w:rsid w:val="00476172"/>
    <w:rsid w:val="00477487"/>
    <w:rsid w:val="0048098C"/>
    <w:rsid w:val="00480BAE"/>
    <w:rsid w:val="00481ADA"/>
    <w:rsid w:val="00482266"/>
    <w:rsid w:val="00483436"/>
    <w:rsid w:val="00484615"/>
    <w:rsid w:val="004869B2"/>
    <w:rsid w:val="00492418"/>
    <w:rsid w:val="00492DD6"/>
    <w:rsid w:val="004938FB"/>
    <w:rsid w:val="00495448"/>
    <w:rsid w:val="004971EB"/>
    <w:rsid w:val="004975CF"/>
    <w:rsid w:val="004A070F"/>
    <w:rsid w:val="004A3D67"/>
    <w:rsid w:val="004A3EEB"/>
    <w:rsid w:val="004A44AE"/>
    <w:rsid w:val="004A485C"/>
    <w:rsid w:val="004A6E3D"/>
    <w:rsid w:val="004A7C02"/>
    <w:rsid w:val="004B1516"/>
    <w:rsid w:val="004B637A"/>
    <w:rsid w:val="004B664F"/>
    <w:rsid w:val="004C16C9"/>
    <w:rsid w:val="004C1961"/>
    <w:rsid w:val="004C1A82"/>
    <w:rsid w:val="004C1AB7"/>
    <w:rsid w:val="004C1B70"/>
    <w:rsid w:val="004C3D4B"/>
    <w:rsid w:val="004C5DBC"/>
    <w:rsid w:val="004C6EE2"/>
    <w:rsid w:val="004C71C5"/>
    <w:rsid w:val="004D0408"/>
    <w:rsid w:val="004D3D30"/>
    <w:rsid w:val="004D464D"/>
    <w:rsid w:val="004D50E0"/>
    <w:rsid w:val="004D6828"/>
    <w:rsid w:val="004E16F5"/>
    <w:rsid w:val="004E70CE"/>
    <w:rsid w:val="004F1511"/>
    <w:rsid w:val="004F41A3"/>
    <w:rsid w:val="004F7B5B"/>
    <w:rsid w:val="00505235"/>
    <w:rsid w:val="005052F4"/>
    <w:rsid w:val="005055B1"/>
    <w:rsid w:val="0050609E"/>
    <w:rsid w:val="0050618C"/>
    <w:rsid w:val="00514D19"/>
    <w:rsid w:val="00516FD5"/>
    <w:rsid w:val="005173DA"/>
    <w:rsid w:val="00520C33"/>
    <w:rsid w:val="00523C06"/>
    <w:rsid w:val="00524E78"/>
    <w:rsid w:val="00525CC6"/>
    <w:rsid w:val="00527BF5"/>
    <w:rsid w:val="00532B9C"/>
    <w:rsid w:val="005332DD"/>
    <w:rsid w:val="00533883"/>
    <w:rsid w:val="00534135"/>
    <w:rsid w:val="005400CD"/>
    <w:rsid w:val="00541DC6"/>
    <w:rsid w:val="00546A9B"/>
    <w:rsid w:val="005477D0"/>
    <w:rsid w:val="00547A73"/>
    <w:rsid w:val="00550577"/>
    <w:rsid w:val="00550622"/>
    <w:rsid w:val="00550E34"/>
    <w:rsid w:val="005518BE"/>
    <w:rsid w:val="005519F1"/>
    <w:rsid w:val="00554334"/>
    <w:rsid w:val="00554D7C"/>
    <w:rsid w:val="005569C6"/>
    <w:rsid w:val="00556FA7"/>
    <w:rsid w:val="005574FA"/>
    <w:rsid w:val="005579F5"/>
    <w:rsid w:val="0056451B"/>
    <w:rsid w:val="00565398"/>
    <w:rsid w:val="005665B7"/>
    <w:rsid w:val="0056676E"/>
    <w:rsid w:val="00566825"/>
    <w:rsid w:val="00566C4A"/>
    <w:rsid w:val="0056718A"/>
    <w:rsid w:val="00567455"/>
    <w:rsid w:val="00570518"/>
    <w:rsid w:val="00571422"/>
    <w:rsid w:val="00580739"/>
    <w:rsid w:val="005818B8"/>
    <w:rsid w:val="00587918"/>
    <w:rsid w:val="005879FB"/>
    <w:rsid w:val="005904F3"/>
    <w:rsid w:val="00591118"/>
    <w:rsid w:val="00592174"/>
    <w:rsid w:val="005967E7"/>
    <w:rsid w:val="0059706B"/>
    <w:rsid w:val="0059738E"/>
    <w:rsid w:val="005A1A79"/>
    <w:rsid w:val="005A42BD"/>
    <w:rsid w:val="005A6846"/>
    <w:rsid w:val="005A791C"/>
    <w:rsid w:val="005B372B"/>
    <w:rsid w:val="005C001C"/>
    <w:rsid w:val="005C1C6F"/>
    <w:rsid w:val="005C2A6C"/>
    <w:rsid w:val="005C5730"/>
    <w:rsid w:val="005D196D"/>
    <w:rsid w:val="005D19D4"/>
    <w:rsid w:val="005D2650"/>
    <w:rsid w:val="005D35BB"/>
    <w:rsid w:val="005E1274"/>
    <w:rsid w:val="005E13E0"/>
    <w:rsid w:val="005E36A0"/>
    <w:rsid w:val="005E4EC3"/>
    <w:rsid w:val="005E64B5"/>
    <w:rsid w:val="005E7457"/>
    <w:rsid w:val="005E74D7"/>
    <w:rsid w:val="005E790B"/>
    <w:rsid w:val="005F092A"/>
    <w:rsid w:val="005F1258"/>
    <w:rsid w:val="005F3117"/>
    <w:rsid w:val="005F69DB"/>
    <w:rsid w:val="0060191C"/>
    <w:rsid w:val="00603D46"/>
    <w:rsid w:val="0060502A"/>
    <w:rsid w:val="006054D8"/>
    <w:rsid w:val="00607996"/>
    <w:rsid w:val="00607C65"/>
    <w:rsid w:val="00610143"/>
    <w:rsid w:val="006101B1"/>
    <w:rsid w:val="00610C2F"/>
    <w:rsid w:val="006118C4"/>
    <w:rsid w:val="00612526"/>
    <w:rsid w:val="00612FD7"/>
    <w:rsid w:val="00614AE8"/>
    <w:rsid w:val="0061522B"/>
    <w:rsid w:val="0061539D"/>
    <w:rsid w:val="0061583B"/>
    <w:rsid w:val="00615B18"/>
    <w:rsid w:val="00621703"/>
    <w:rsid w:val="00621836"/>
    <w:rsid w:val="00621F58"/>
    <w:rsid w:val="00622325"/>
    <w:rsid w:val="00622348"/>
    <w:rsid w:val="00625F2E"/>
    <w:rsid w:val="00626100"/>
    <w:rsid w:val="00626476"/>
    <w:rsid w:val="00627115"/>
    <w:rsid w:val="006310D8"/>
    <w:rsid w:val="00632FFF"/>
    <w:rsid w:val="006349FA"/>
    <w:rsid w:val="006378A2"/>
    <w:rsid w:val="00637E6E"/>
    <w:rsid w:val="006402BD"/>
    <w:rsid w:val="006408F0"/>
    <w:rsid w:val="006410D6"/>
    <w:rsid w:val="006411A5"/>
    <w:rsid w:val="00641221"/>
    <w:rsid w:val="00642B45"/>
    <w:rsid w:val="0064371D"/>
    <w:rsid w:val="00645862"/>
    <w:rsid w:val="006458D8"/>
    <w:rsid w:val="0065221D"/>
    <w:rsid w:val="00652887"/>
    <w:rsid w:val="00653B88"/>
    <w:rsid w:val="00654659"/>
    <w:rsid w:val="00655087"/>
    <w:rsid w:val="00655F4C"/>
    <w:rsid w:val="0065777B"/>
    <w:rsid w:val="00661780"/>
    <w:rsid w:val="00663D7F"/>
    <w:rsid w:val="00663FED"/>
    <w:rsid w:val="00667F99"/>
    <w:rsid w:val="006719DE"/>
    <w:rsid w:val="00673C97"/>
    <w:rsid w:val="00674566"/>
    <w:rsid w:val="006746B1"/>
    <w:rsid w:val="006808E8"/>
    <w:rsid w:val="0068100B"/>
    <w:rsid w:val="00682FE2"/>
    <w:rsid w:val="00684284"/>
    <w:rsid w:val="00684579"/>
    <w:rsid w:val="00686750"/>
    <w:rsid w:val="00686CBD"/>
    <w:rsid w:val="00686CC5"/>
    <w:rsid w:val="0068700B"/>
    <w:rsid w:val="00690186"/>
    <w:rsid w:val="0069559D"/>
    <w:rsid w:val="00695D67"/>
    <w:rsid w:val="00696F8C"/>
    <w:rsid w:val="0069700C"/>
    <w:rsid w:val="00697037"/>
    <w:rsid w:val="00697801"/>
    <w:rsid w:val="006A074F"/>
    <w:rsid w:val="006A54E3"/>
    <w:rsid w:val="006A55D7"/>
    <w:rsid w:val="006A7AD1"/>
    <w:rsid w:val="006B20CA"/>
    <w:rsid w:val="006B440B"/>
    <w:rsid w:val="006B5189"/>
    <w:rsid w:val="006C09DE"/>
    <w:rsid w:val="006C1055"/>
    <w:rsid w:val="006C3E9D"/>
    <w:rsid w:val="006C44B9"/>
    <w:rsid w:val="006C4FA4"/>
    <w:rsid w:val="006C51D6"/>
    <w:rsid w:val="006C6552"/>
    <w:rsid w:val="006C67DC"/>
    <w:rsid w:val="006C7D91"/>
    <w:rsid w:val="006C7FED"/>
    <w:rsid w:val="006D0C85"/>
    <w:rsid w:val="006D2ED9"/>
    <w:rsid w:val="006D4052"/>
    <w:rsid w:val="006D425B"/>
    <w:rsid w:val="006D6F56"/>
    <w:rsid w:val="006D7D80"/>
    <w:rsid w:val="006E17AC"/>
    <w:rsid w:val="006E24C6"/>
    <w:rsid w:val="006E32F6"/>
    <w:rsid w:val="006E60D8"/>
    <w:rsid w:val="006E60E5"/>
    <w:rsid w:val="006F0B83"/>
    <w:rsid w:val="006F571A"/>
    <w:rsid w:val="00701836"/>
    <w:rsid w:val="00701987"/>
    <w:rsid w:val="00701F70"/>
    <w:rsid w:val="00702650"/>
    <w:rsid w:val="007062E3"/>
    <w:rsid w:val="00706936"/>
    <w:rsid w:val="0070769C"/>
    <w:rsid w:val="00710E06"/>
    <w:rsid w:val="00715914"/>
    <w:rsid w:val="00716CC2"/>
    <w:rsid w:val="0071759D"/>
    <w:rsid w:val="0072079B"/>
    <w:rsid w:val="00722184"/>
    <w:rsid w:val="007229D7"/>
    <w:rsid w:val="0072401B"/>
    <w:rsid w:val="00724474"/>
    <w:rsid w:val="007269A0"/>
    <w:rsid w:val="00730268"/>
    <w:rsid w:val="00730EDD"/>
    <w:rsid w:val="00734C7C"/>
    <w:rsid w:val="0073535F"/>
    <w:rsid w:val="00736FD6"/>
    <w:rsid w:val="0073714D"/>
    <w:rsid w:val="00737F17"/>
    <w:rsid w:val="0074264B"/>
    <w:rsid w:val="0074415C"/>
    <w:rsid w:val="00746790"/>
    <w:rsid w:val="0074696F"/>
    <w:rsid w:val="00746DFC"/>
    <w:rsid w:val="00747BD5"/>
    <w:rsid w:val="007512D0"/>
    <w:rsid w:val="0075223F"/>
    <w:rsid w:val="00752DCE"/>
    <w:rsid w:val="00753727"/>
    <w:rsid w:val="00755404"/>
    <w:rsid w:val="00755676"/>
    <w:rsid w:val="00760E65"/>
    <w:rsid w:val="00763B07"/>
    <w:rsid w:val="00763D41"/>
    <w:rsid w:val="00766CD4"/>
    <w:rsid w:val="0077122E"/>
    <w:rsid w:val="0077147D"/>
    <w:rsid w:val="007814A1"/>
    <w:rsid w:val="00786C6C"/>
    <w:rsid w:val="00790072"/>
    <w:rsid w:val="00791FB2"/>
    <w:rsid w:val="00792569"/>
    <w:rsid w:val="007936E5"/>
    <w:rsid w:val="00793A96"/>
    <w:rsid w:val="007A29C5"/>
    <w:rsid w:val="007B0185"/>
    <w:rsid w:val="007B0A56"/>
    <w:rsid w:val="007B4B9B"/>
    <w:rsid w:val="007B7493"/>
    <w:rsid w:val="007C425D"/>
    <w:rsid w:val="007C431E"/>
    <w:rsid w:val="007C7E77"/>
    <w:rsid w:val="007D3CF3"/>
    <w:rsid w:val="007D40E6"/>
    <w:rsid w:val="007D6401"/>
    <w:rsid w:val="007D76D3"/>
    <w:rsid w:val="007D7ECD"/>
    <w:rsid w:val="007E1C66"/>
    <w:rsid w:val="007E250D"/>
    <w:rsid w:val="007E25C6"/>
    <w:rsid w:val="007E3C59"/>
    <w:rsid w:val="007E3F1E"/>
    <w:rsid w:val="007E52C3"/>
    <w:rsid w:val="007E596F"/>
    <w:rsid w:val="007E70AC"/>
    <w:rsid w:val="007E735C"/>
    <w:rsid w:val="007E7A85"/>
    <w:rsid w:val="007F0197"/>
    <w:rsid w:val="007F0281"/>
    <w:rsid w:val="007F1923"/>
    <w:rsid w:val="007F1FB0"/>
    <w:rsid w:val="007F263B"/>
    <w:rsid w:val="007F2DC8"/>
    <w:rsid w:val="007F5437"/>
    <w:rsid w:val="007F5BE2"/>
    <w:rsid w:val="007F7723"/>
    <w:rsid w:val="0080057F"/>
    <w:rsid w:val="008005B3"/>
    <w:rsid w:val="0080262B"/>
    <w:rsid w:val="0080381D"/>
    <w:rsid w:val="00803BBF"/>
    <w:rsid w:val="008045A7"/>
    <w:rsid w:val="00804F2A"/>
    <w:rsid w:val="00806F80"/>
    <w:rsid w:val="008111C0"/>
    <w:rsid w:val="00811217"/>
    <w:rsid w:val="00814E34"/>
    <w:rsid w:val="008156EB"/>
    <w:rsid w:val="008158EE"/>
    <w:rsid w:val="0081603E"/>
    <w:rsid w:val="00816EB3"/>
    <w:rsid w:val="008244D7"/>
    <w:rsid w:val="008252B3"/>
    <w:rsid w:val="00826339"/>
    <w:rsid w:val="00826661"/>
    <w:rsid w:val="008277BB"/>
    <w:rsid w:val="00831D40"/>
    <w:rsid w:val="00832530"/>
    <w:rsid w:val="0083491C"/>
    <w:rsid w:val="00834DFD"/>
    <w:rsid w:val="00837B94"/>
    <w:rsid w:val="00837BC3"/>
    <w:rsid w:val="00840C66"/>
    <w:rsid w:val="008417F4"/>
    <w:rsid w:val="008418F1"/>
    <w:rsid w:val="008434A1"/>
    <w:rsid w:val="00844A58"/>
    <w:rsid w:val="008471DD"/>
    <w:rsid w:val="0084766E"/>
    <w:rsid w:val="00851EA5"/>
    <w:rsid w:val="00852591"/>
    <w:rsid w:val="00856761"/>
    <w:rsid w:val="00857347"/>
    <w:rsid w:val="008573D5"/>
    <w:rsid w:val="008625BD"/>
    <w:rsid w:val="008640E5"/>
    <w:rsid w:val="00865499"/>
    <w:rsid w:val="008670AA"/>
    <w:rsid w:val="0086721C"/>
    <w:rsid w:val="00870E00"/>
    <w:rsid w:val="00871C11"/>
    <w:rsid w:val="008777D3"/>
    <w:rsid w:val="008810B3"/>
    <w:rsid w:val="00883B03"/>
    <w:rsid w:val="0088505F"/>
    <w:rsid w:val="0088519A"/>
    <w:rsid w:val="00890C8F"/>
    <w:rsid w:val="00891F22"/>
    <w:rsid w:val="00894D12"/>
    <w:rsid w:val="00894E26"/>
    <w:rsid w:val="00895D2A"/>
    <w:rsid w:val="00896C4C"/>
    <w:rsid w:val="008A1923"/>
    <w:rsid w:val="008A20CD"/>
    <w:rsid w:val="008A26D8"/>
    <w:rsid w:val="008A37CD"/>
    <w:rsid w:val="008A5B8F"/>
    <w:rsid w:val="008A5EC4"/>
    <w:rsid w:val="008A6BDF"/>
    <w:rsid w:val="008A716B"/>
    <w:rsid w:val="008B5B4F"/>
    <w:rsid w:val="008B7538"/>
    <w:rsid w:val="008C0E13"/>
    <w:rsid w:val="008C2CAB"/>
    <w:rsid w:val="008C3CC7"/>
    <w:rsid w:val="008C5A60"/>
    <w:rsid w:val="008D2721"/>
    <w:rsid w:val="008D4222"/>
    <w:rsid w:val="008D448D"/>
    <w:rsid w:val="008D48DD"/>
    <w:rsid w:val="008D5B12"/>
    <w:rsid w:val="008D5E3B"/>
    <w:rsid w:val="008E114F"/>
    <w:rsid w:val="008E7A56"/>
    <w:rsid w:val="008E7C63"/>
    <w:rsid w:val="008F1A68"/>
    <w:rsid w:val="008F2DEE"/>
    <w:rsid w:val="008F33FE"/>
    <w:rsid w:val="008F3A92"/>
    <w:rsid w:val="008F71EA"/>
    <w:rsid w:val="00900F5C"/>
    <w:rsid w:val="0090278A"/>
    <w:rsid w:val="009029A5"/>
    <w:rsid w:val="00910A12"/>
    <w:rsid w:val="009136F9"/>
    <w:rsid w:val="00916274"/>
    <w:rsid w:val="00917AB1"/>
    <w:rsid w:val="0092016B"/>
    <w:rsid w:val="0092078E"/>
    <w:rsid w:val="00921161"/>
    <w:rsid w:val="00922F79"/>
    <w:rsid w:val="00923D04"/>
    <w:rsid w:val="00924154"/>
    <w:rsid w:val="00924749"/>
    <w:rsid w:val="0092599A"/>
    <w:rsid w:val="00926435"/>
    <w:rsid w:val="00930D40"/>
    <w:rsid w:val="009320BE"/>
    <w:rsid w:val="0093245D"/>
    <w:rsid w:val="00932DF7"/>
    <w:rsid w:val="00934A1D"/>
    <w:rsid w:val="00935FFF"/>
    <w:rsid w:val="00936873"/>
    <w:rsid w:val="00937630"/>
    <w:rsid w:val="00941A38"/>
    <w:rsid w:val="00943DB0"/>
    <w:rsid w:val="009445C2"/>
    <w:rsid w:val="00945ABF"/>
    <w:rsid w:val="009479BC"/>
    <w:rsid w:val="009502B2"/>
    <w:rsid w:val="00953BF5"/>
    <w:rsid w:val="0095432D"/>
    <w:rsid w:val="00954F6E"/>
    <w:rsid w:val="009564D7"/>
    <w:rsid w:val="0095730D"/>
    <w:rsid w:val="009573AE"/>
    <w:rsid w:val="00957A7B"/>
    <w:rsid w:val="00957C7E"/>
    <w:rsid w:val="009636E0"/>
    <w:rsid w:val="00965D9A"/>
    <w:rsid w:val="00971857"/>
    <w:rsid w:val="0097717F"/>
    <w:rsid w:val="009801B6"/>
    <w:rsid w:val="0098119E"/>
    <w:rsid w:val="009836DF"/>
    <w:rsid w:val="009867EF"/>
    <w:rsid w:val="00986BB9"/>
    <w:rsid w:val="0098796E"/>
    <w:rsid w:val="0099115A"/>
    <w:rsid w:val="00992FA0"/>
    <w:rsid w:val="0099449B"/>
    <w:rsid w:val="009947DB"/>
    <w:rsid w:val="00994E48"/>
    <w:rsid w:val="0099601C"/>
    <w:rsid w:val="00997702"/>
    <w:rsid w:val="009A21C5"/>
    <w:rsid w:val="009A2D1C"/>
    <w:rsid w:val="009A428D"/>
    <w:rsid w:val="009A453D"/>
    <w:rsid w:val="009A656B"/>
    <w:rsid w:val="009A73A9"/>
    <w:rsid w:val="009A7DE1"/>
    <w:rsid w:val="009B1383"/>
    <w:rsid w:val="009B75D1"/>
    <w:rsid w:val="009C1EA0"/>
    <w:rsid w:val="009C3A17"/>
    <w:rsid w:val="009C47DE"/>
    <w:rsid w:val="009C4D38"/>
    <w:rsid w:val="009C501E"/>
    <w:rsid w:val="009C50FC"/>
    <w:rsid w:val="009D0479"/>
    <w:rsid w:val="009D0924"/>
    <w:rsid w:val="009D34D2"/>
    <w:rsid w:val="009D55DE"/>
    <w:rsid w:val="009D56B4"/>
    <w:rsid w:val="009E2755"/>
    <w:rsid w:val="009E43C3"/>
    <w:rsid w:val="009E50FD"/>
    <w:rsid w:val="009E5D13"/>
    <w:rsid w:val="009E5FB2"/>
    <w:rsid w:val="009E61C0"/>
    <w:rsid w:val="009E7648"/>
    <w:rsid w:val="009F017C"/>
    <w:rsid w:val="009F1081"/>
    <w:rsid w:val="009F245B"/>
    <w:rsid w:val="009F3C30"/>
    <w:rsid w:val="009F6F14"/>
    <w:rsid w:val="009F70DB"/>
    <w:rsid w:val="00A00529"/>
    <w:rsid w:val="00A01504"/>
    <w:rsid w:val="00A01773"/>
    <w:rsid w:val="00A06558"/>
    <w:rsid w:val="00A06614"/>
    <w:rsid w:val="00A0689F"/>
    <w:rsid w:val="00A077D6"/>
    <w:rsid w:val="00A10B4B"/>
    <w:rsid w:val="00A12039"/>
    <w:rsid w:val="00A14C60"/>
    <w:rsid w:val="00A15B50"/>
    <w:rsid w:val="00A16B99"/>
    <w:rsid w:val="00A202CE"/>
    <w:rsid w:val="00A2661C"/>
    <w:rsid w:val="00A30E40"/>
    <w:rsid w:val="00A31AFC"/>
    <w:rsid w:val="00A32E38"/>
    <w:rsid w:val="00A34A3A"/>
    <w:rsid w:val="00A34AC3"/>
    <w:rsid w:val="00A37CE5"/>
    <w:rsid w:val="00A404B1"/>
    <w:rsid w:val="00A434D9"/>
    <w:rsid w:val="00A44129"/>
    <w:rsid w:val="00A44FB7"/>
    <w:rsid w:val="00A46EC6"/>
    <w:rsid w:val="00A46FB9"/>
    <w:rsid w:val="00A47071"/>
    <w:rsid w:val="00A51E43"/>
    <w:rsid w:val="00A55A64"/>
    <w:rsid w:val="00A61DE2"/>
    <w:rsid w:val="00A67762"/>
    <w:rsid w:val="00A7295D"/>
    <w:rsid w:val="00A753C9"/>
    <w:rsid w:val="00A75FF2"/>
    <w:rsid w:val="00A808AC"/>
    <w:rsid w:val="00A82ADF"/>
    <w:rsid w:val="00A84F67"/>
    <w:rsid w:val="00A8598D"/>
    <w:rsid w:val="00A861F6"/>
    <w:rsid w:val="00A902DE"/>
    <w:rsid w:val="00A9156B"/>
    <w:rsid w:val="00A91FB2"/>
    <w:rsid w:val="00A95E52"/>
    <w:rsid w:val="00A96386"/>
    <w:rsid w:val="00A96AAA"/>
    <w:rsid w:val="00A96DC0"/>
    <w:rsid w:val="00A973BA"/>
    <w:rsid w:val="00AA2CBC"/>
    <w:rsid w:val="00AA4CDC"/>
    <w:rsid w:val="00AA534C"/>
    <w:rsid w:val="00AA6D33"/>
    <w:rsid w:val="00AA6D42"/>
    <w:rsid w:val="00AA7D47"/>
    <w:rsid w:val="00AB118B"/>
    <w:rsid w:val="00AB3B2F"/>
    <w:rsid w:val="00AB4374"/>
    <w:rsid w:val="00AB7823"/>
    <w:rsid w:val="00AC0F37"/>
    <w:rsid w:val="00AC1CB6"/>
    <w:rsid w:val="00AC2E74"/>
    <w:rsid w:val="00AC37B2"/>
    <w:rsid w:val="00AC4C9A"/>
    <w:rsid w:val="00AD1980"/>
    <w:rsid w:val="00AD323F"/>
    <w:rsid w:val="00AD414A"/>
    <w:rsid w:val="00AD419B"/>
    <w:rsid w:val="00AD452E"/>
    <w:rsid w:val="00AD595E"/>
    <w:rsid w:val="00AD5DDA"/>
    <w:rsid w:val="00AE1FC9"/>
    <w:rsid w:val="00AE26B0"/>
    <w:rsid w:val="00AE481D"/>
    <w:rsid w:val="00AE6A00"/>
    <w:rsid w:val="00AE737B"/>
    <w:rsid w:val="00AF319E"/>
    <w:rsid w:val="00AF3647"/>
    <w:rsid w:val="00AF69A6"/>
    <w:rsid w:val="00AF6B00"/>
    <w:rsid w:val="00AF6F96"/>
    <w:rsid w:val="00AF75FB"/>
    <w:rsid w:val="00AF7D31"/>
    <w:rsid w:val="00B00435"/>
    <w:rsid w:val="00B00829"/>
    <w:rsid w:val="00B0158D"/>
    <w:rsid w:val="00B04A30"/>
    <w:rsid w:val="00B062AD"/>
    <w:rsid w:val="00B06C8B"/>
    <w:rsid w:val="00B075B0"/>
    <w:rsid w:val="00B110B4"/>
    <w:rsid w:val="00B2055D"/>
    <w:rsid w:val="00B21A85"/>
    <w:rsid w:val="00B21C2D"/>
    <w:rsid w:val="00B225D6"/>
    <w:rsid w:val="00B23DA4"/>
    <w:rsid w:val="00B243FE"/>
    <w:rsid w:val="00B24904"/>
    <w:rsid w:val="00B24CBA"/>
    <w:rsid w:val="00B2666F"/>
    <w:rsid w:val="00B26F93"/>
    <w:rsid w:val="00B27BFC"/>
    <w:rsid w:val="00B306A5"/>
    <w:rsid w:val="00B3096E"/>
    <w:rsid w:val="00B3205D"/>
    <w:rsid w:val="00B32A73"/>
    <w:rsid w:val="00B36FA1"/>
    <w:rsid w:val="00B37511"/>
    <w:rsid w:val="00B451AE"/>
    <w:rsid w:val="00B52973"/>
    <w:rsid w:val="00B52EB1"/>
    <w:rsid w:val="00B5455D"/>
    <w:rsid w:val="00B56B51"/>
    <w:rsid w:val="00B6121E"/>
    <w:rsid w:val="00B61A5C"/>
    <w:rsid w:val="00B62B2E"/>
    <w:rsid w:val="00B637D3"/>
    <w:rsid w:val="00B65510"/>
    <w:rsid w:val="00B65A10"/>
    <w:rsid w:val="00B66F4D"/>
    <w:rsid w:val="00B74786"/>
    <w:rsid w:val="00B757FD"/>
    <w:rsid w:val="00B770CF"/>
    <w:rsid w:val="00B80F65"/>
    <w:rsid w:val="00B81556"/>
    <w:rsid w:val="00B82775"/>
    <w:rsid w:val="00B82878"/>
    <w:rsid w:val="00B832AE"/>
    <w:rsid w:val="00B83B50"/>
    <w:rsid w:val="00B85C83"/>
    <w:rsid w:val="00B8797E"/>
    <w:rsid w:val="00B90965"/>
    <w:rsid w:val="00B92E82"/>
    <w:rsid w:val="00B93F30"/>
    <w:rsid w:val="00B94B25"/>
    <w:rsid w:val="00B958A6"/>
    <w:rsid w:val="00B96FBF"/>
    <w:rsid w:val="00BA1537"/>
    <w:rsid w:val="00BA2636"/>
    <w:rsid w:val="00BA6755"/>
    <w:rsid w:val="00BB349D"/>
    <w:rsid w:val="00BB5110"/>
    <w:rsid w:val="00BB514E"/>
    <w:rsid w:val="00BC0793"/>
    <w:rsid w:val="00BC092A"/>
    <w:rsid w:val="00BC2E11"/>
    <w:rsid w:val="00BC33F8"/>
    <w:rsid w:val="00BC61FC"/>
    <w:rsid w:val="00BD30B2"/>
    <w:rsid w:val="00BD3F58"/>
    <w:rsid w:val="00BD583E"/>
    <w:rsid w:val="00BE0ADB"/>
    <w:rsid w:val="00BE0EB9"/>
    <w:rsid w:val="00BE10C7"/>
    <w:rsid w:val="00BE6469"/>
    <w:rsid w:val="00BE7A85"/>
    <w:rsid w:val="00BE7D4C"/>
    <w:rsid w:val="00BF1568"/>
    <w:rsid w:val="00BF321E"/>
    <w:rsid w:val="00BF4E44"/>
    <w:rsid w:val="00BF602D"/>
    <w:rsid w:val="00BF7B4F"/>
    <w:rsid w:val="00C00218"/>
    <w:rsid w:val="00C01305"/>
    <w:rsid w:val="00C01849"/>
    <w:rsid w:val="00C0532A"/>
    <w:rsid w:val="00C05F9F"/>
    <w:rsid w:val="00C06CF0"/>
    <w:rsid w:val="00C07AB8"/>
    <w:rsid w:val="00C07D01"/>
    <w:rsid w:val="00C11FEA"/>
    <w:rsid w:val="00C124C6"/>
    <w:rsid w:val="00C1340D"/>
    <w:rsid w:val="00C14AF9"/>
    <w:rsid w:val="00C152AD"/>
    <w:rsid w:val="00C17354"/>
    <w:rsid w:val="00C221B1"/>
    <w:rsid w:val="00C232C0"/>
    <w:rsid w:val="00C236E0"/>
    <w:rsid w:val="00C23CA1"/>
    <w:rsid w:val="00C23F3D"/>
    <w:rsid w:val="00C258E4"/>
    <w:rsid w:val="00C25FEE"/>
    <w:rsid w:val="00C31793"/>
    <w:rsid w:val="00C32AC9"/>
    <w:rsid w:val="00C373FE"/>
    <w:rsid w:val="00C4329A"/>
    <w:rsid w:val="00C45687"/>
    <w:rsid w:val="00C45730"/>
    <w:rsid w:val="00C45A45"/>
    <w:rsid w:val="00C47CCD"/>
    <w:rsid w:val="00C50174"/>
    <w:rsid w:val="00C504B1"/>
    <w:rsid w:val="00C5213B"/>
    <w:rsid w:val="00C52AF1"/>
    <w:rsid w:val="00C53638"/>
    <w:rsid w:val="00C5376E"/>
    <w:rsid w:val="00C541C4"/>
    <w:rsid w:val="00C54255"/>
    <w:rsid w:val="00C55BA4"/>
    <w:rsid w:val="00C57E9A"/>
    <w:rsid w:val="00C628E4"/>
    <w:rsid w:val="00C62E0E"/>
    <w:rsid w:val="00C64ACC"/>
    <w:rsid w:val="00C6573A"/>
    <w:rsid w:val="00C66CC4"/>
    <w:rsid w:val="00C70D7F"/>
    <w:rsid w:val="00C715CB"/>
    <w:rsid w:val="00C7209A"/>
    <w:rsid w:val="00C721BC"/>
    <w:rsid w:val="00C77BDE"/>
    <w:rsid w:val="00C77C78"/>
    <w:rsid w:val="00C804DA"/>
    <w:rsid w:val="00C80FCB"/>
    <w:rsid w:val="00C814C8"/>
    <w:rsid w:val="00C819D0"/>
    <w:rsid w:val="00C81B6C"/>
    <w:rsid w:val="00C8206B"/>
    <w:rsid w:val="00C86511"/>
    <w:rsid w:val="00C874D2"/>
    <w:rsid w:val="00C9168E"/>
    <w:rsid w:val="00C930E0"/>
    <w:rsid w:val="00C937F4"/>
    <w:rsid w:val="00C93855"/>
    <w:rsid w:val="00C94ADE"/>
    <w:rsid w:val="00C96464"/>
    <w:rsid w:val="00CA464D"/>
    <w:rsid w:val="00CA538C"/>
    <w:rsid w:val="00CA54B4"/>
    <w:rsid w:val="00CA70EC"/>
    <w:rsid w:val="00CB275A"/>
    <w:rsid w:val="00CB2FA0"/>
    <w:rsid w:val="00CB5825"/>
    <w:rsid w:val="00CB5C91"/>
    <w:rsid w:val="00CB6330"/>
    <w:rsid w:val="00CC0829"/>
    <w:rsid w:val="00CC1B4D"/>
    <w:rsid w:val="00CC2405"/>
    <w:rsid w:val="00CC28F1"/>
    <w:rsid w:val="00CC7174"/>
    <w:rsid w:val="00CC7B2B"/>
    <w:rsid w:val="00CD024A"/>
    <w:rsid w:val="00CD0F34"/>
    <w:rsid w:val="00CD145E"/>
    <w:rsid w:val="00CD2D10"/>
    <w:rsid w:val="00CD43A6"/>
    <w:rsid w:val="00CD4785"/>
    <w:rsid w:val="00CE091A"/>
    <w:rsid w:val="00CE0E7A"/>
    <w:rsid w:val="00CE10A1"/>
    <w:rsid w:val="00CE19F7"/>
    <w:rsid w:val="00CE1AE4"/>
    <w:rsid w:val="00CE2A1C"/>
    <w:rsid w:val="00CE4940"/>
    <w:rsid w:val="00CF01EB"/>
    <w:rsid w:val="00CF1A7E"/>
    <w:rsid w:val="00CF1BC0"/>
    <w:rsid w:val="00CF28B7"/>
    <w:rsid w:val="00CF39CC"/>
    <w:rsid w:val="00CF3B0F"/>
    <w:rsid w:val="00CF422F"/>
    <w:rsid w:val="00CF5340"/>
    <w:rsid w:val="00CF64E5"/>
    <w:rsid w:val="00CF7633"/>
    <w:rsid w:val="00CF7FB7"/>
    <w:rsid w:val="00D02E83"/>
    <w:rsid w:val="00D055F1"/>
    <w:rsid w:val="00D05F55"/>
    <w:rsid w:val="00D062B4"/>
    <w:rsid w:val="00D1289B"/>
    <w:rsid w:val="00D12A40"/>
    <w:rsid w:val="00D12CA8"/>
    <w:rsid w:val="00D13D95"/>
    <w:rsid w:val="00D1653A"/>
    <w:rsid w:val="00D17DF2"/>
    <w:rsid w:val="00D21550"/>
    <w:rsid w:val="00D222AD"/>
    <w:rsid w:val="00D22B5B"/>
    <w:rsid w:val="00D22C3A"/>
    <w:rsid w:val="00D22E1E"/>
    <w:rsid w:val="00D24178"/>
    <w:rsid w:val="00D24A1C"/>
    <w:rsid w:val="00D2504A"/>
    <w:rsid w:val="00D250E6"/>
    <w:rsid w:val="00D31166"/>
    <w:rsid w:val="00D32ECC"/>
    <w:rsid w:val="00D4012B"/>
    <w:rsid w:val="00D4065E"/>
    <w:rsid w:val="00D427F0"/>
    <w:rsid w:val="00D43C23"/>
    <w:rsid w:val="00D4756A"/>
    <w:rsid w:val="00D525A8"/>
    <w:rsid w:val="00D52ACF"/>
    <w:rsid w:val="00D53787"/>
    <w:rsid w:val="00D539AF"/>
    <w:rsid w:val="00D5468C"/>
    <w:rsid w:val="00D558C8"/>
    <w:rsid w:val="00D56DA9"/>
    <w:rsid w:val="00D624EC"/>
    <w:rsid w:val="00D625D4"/>
    <w:rsid w:val="00D64261"/>
    <w:rsid w:val="00D6520A"/>
    <w:rsid w:val="00D66692"/>
    <w:rsid w:val="00D70AE3"/>
    <w:rsid w:val="00D713E4"/>
    <w:rsid w:val="00D73B65"/>
    <w:rsid w:val="00D73B8E"/>
    <w:rsid w:val="00D73D41"/>
    <w:rsid w:val="00D751EB"/>
    <w:rsid w:val="00D75A89"/>
    <w:rsid w:val="00D77608"/>
    <w:rsid w:val="00D807CB"/>
    <w:rsid w:val="00D82A79"/>
    <w:rsid w:val="00D84033"/>
    <w:rsid w:val="00D8426C"/>
    <w:rsid w:val="00D90392"/>
    <w:rsid w:val="00D914A3"/>
    <w:rsid w:val="00D92A92"/>
    <w:rsid w:val="00D946C1"/>
    <w:rsid w:val="00D9548A"/>
    <w:rsid w:val="00DA179D"/>
    <w:rsid w:val="00DA1E4B"/>
    <w:rsid w:val="00DA2D13"/>
    <w:rsid w:val="00DA4517"/>
    <w:rsid w:val="00DA514C"/>
    <w:rsid w:val="00DA52A7"/>
    <w:rsid w:val="00DA6CE0"/>
    <w:rsid w:val="00DA6E1F"/>
    <w:rsid w:val="00DA7759"/>
    <w:rsid w:val="00DA7F13"/>
    <w:rsid w:val="00DB0ED0"/>
    <w:rsid w:val="00DB1636"/>
    <w:rsid w:val="00DB21ED"/>
    <w:rsid w:val="00DB4349"/>
    <w:rsid w:val="00DB6C33"/>
    <w:rsid w:val="00DB75FF"/>
    <w:rsid w:val="00DC2AAE"/>
    <w:rsid w:val="00DC2CB7"/>
    <w:rsid w:val="00DC3888"/>
    <w:rsid w:val="00DC3C26"/>
    <w:rsid w:val="00DC440B"/>
    <w:rsid w:val="00DC4A24"/>
    <w:rsid w:val="00DC7F92"/>
    <w:rsid w:val="00DD10A4"/>
    <w:rsid w:val="00DD268D"/>
    <w:rsid w:val="00DD33B8"/>
    <w:rsid w:val="00DD3E4C"/>
    <w:rsid w:val="00DD502C"/>
    <w:rsid w:val="00DD5FC4"/>
    <w:rsid w:val="00DD7120"/>
    <w:rsid w:val="00DD7C63"/>
    <w:rsid w:val="00DE0C52"/>
    <w:rsid w:val="00DE5A20"/>
    <w:rsid w:val="00DE691C"/>
    <w:rsid w:val="00DF0811"/>
    <w:rsid w:val="00DF0FE2"/>
    <w:rsid w:val="00DF51EC"/>
    <w:rsid w:val="00DF6E6A"/>
    <w:rsid w:val="00DF7BE7"/>
    <w:rsid w:val="00E00EE7"/>
    <w:rsid w:val="00E01097"/>
    <w:rsid w:val="00E014CB"/>
    <w:rsid w:val="00E1004D"/>
    <w:rsid w:val="00E104D3"/>
    <w:rsid w:val="00E125E4"/>
    <w:rsid w:val="00E12963"/>
    <w:rsid w:val="00E13FF8"/>
    <w:rsid w:val="00E1428A"/>
    <w:rsid w:val="00E145C4"/>
    <w:rsid w:val="00E14BB3"/>
    <w:rsid w:val="00E169AA"/>
    <w:rsid w:val="00E16D8E"/>
    <w:rsid w:val="00E20C0F"/>
    <w:rsid w:val="00E2458B"/>
    <w:rsid w:val="00E2468A"/>
    <w:rsid w:val="00E31719"/>
    <w:rsid w:val="00E32DAA"/>
    <w:rsid w:val="00E33D63"/>
    <w:rsid w:val="00E36E4C"/>
    <w:rsid w:val="00E3769D"/>
    <w:rsid w:val="00E4022E"/>
    <w:rsid w:val="00E4488A"/>
    <w:rsid w:val="00E54EAF"/>
    <w:rsid w:val="00E558E4"/>
    <w:rsid w:val="00E563E8"/>
    <w:rsid w:val="00E56549"/>
    <w:rsid w:val="00E56680"/>
    <w:rsid w:val="00E576D2"/>
    <w:rsid w:val="00E576D8"/>
    <w:rsid w:val="00E6022B"/>
    <w:rsid w:val="00E60504"/>
    <w:rsid w:val="00E62DEE"/>
    <w:rsid w:val="00E62F39"/>
    <w:rsid w:val="00E63751"/>
    <w:rsid w:val="00E647C0"/>
    <w:rsid w:val="00E648C4"/>
    <w:rsid w:val="00E71C76"/>
    <w:rsid w:val="00E723A2"/>
    <w:rsid w:val="00E73C28"/>
    <w:rsid w:val="00E74DF7"/>
    <w:rsid w:val="00E75A3D"/>
    <w:rsid w:val="00E762C6"/>
    <w:rsid w:val="00E7766F"/>
    <w:rsid w:val="00E77ABB"/>
    <w:rsid w:val="00E824DD"/>
    <w:rsid w:val="00E82EA8"/>
    <w:rsid w:val="00E83912"/>
    <w:rsid w:val="00E86AAD"/>
    <w:rsid w:val="00E903DB"/>
    <w:rsid w:val="00E90EAE"/>
    <w:rsid w:val="00E9196B"/>
    <w:rsid w:val="00E92812"/>
    <w:rsid w:val="00E943BD"/>
    <w:rsid w:val="00E954F5"/>
    <w:rsid w:val="00EA186E"/>
    <w:rsid w:val="00EA5F8F"/>
    <w:rsid w:val="00EA6423"/>
    <w:rsid w:val="00EB214B"/>
    <w:rsid w:val="00EB30B4"/>
    <w:rsid w:val="00EB6AC4"/>
    <w:rsid w:val="00EB7428"/>
    <w:rsid w:val="00EC0025"/>
    <w:rsid w:val="00EC1380"/>
    <w:rsid w:val="00EC1463"/>
    <w:rsid w:val="00EC3E6A"/>
    <w:rsid w:val="00EC456D"/>
    <w:rsid w:val="00EC5027"/>
    <w:rsid w:val="00EC5E32"/>
    <w:rsid w:val="00EC7ADC"/>
    <w:rsid w:val="00ED2D8B"/>
    <w:rsid w:val="00ED3981"/>
    <w:rsid w:val="00ED40B7"/>
    <w:rsid w:val="00ED42A7"/>
    <w:rsid w:val="00ED51FC"/>
    <w:rsid w:val="00ED5E55"/>
    <w:rsid w:val="00ED7F7F"/>
    <w:rsid w:val="00EE0626"/>
    <w:rsid w:val="00EE0A79"/>
    <w:rsid w:val="00EE120F"/>
    <w:rsid w:val="00EF0C73"/>
    <w:rsid w:val="00EF36CB"/>
    <w:rsid w:val="00EF5129"/>
    <w:rsid w:val="00EF56B2"/>
    <w:rsid w:val="00EF5F2E"/>
    <w:rsid w:val="00EF6195"/>
    <w:rsid w:val="00F010A9"/>
    <w:rsid w:val="00F0347B"/>
    <w:rsid w:val="00F119E2"/>
    <w:rsid w:val="00F11AA2"/>
    <w:rsid w:val="00F13393"/>
    <w:rsid w:val="00F144F4"/>
    <w:rsid w:val="00F156AC"/>
    <w:rsid w:val="00F21CAD"/>
    <w:rsid w:val="00F228FA"/>
    <w:rsid w:val="00F22B53"/>
    <w:rsid w:val="00F23BCE"/>
    <w:rsid w:val="00F2598F"/>
    <w:rsid w:val="00F31901"/>
    <w:rsid w:val="00F31CA9"/>
    <w:rsid w:val="00F3278E"/>
    <w:rsid w:val="00F33C00"/>
    <w:rsid w:val="00F35D88"/>
    <w:rsid w:val="00F37431"/>
    <w:rsid w:val="00F42D71"/>
    <w:rsid w:val="00F430ED"/>
    <w:rsid w:val="00F444FD"/>
    <w:rsid w:val="00F45AAC"/>
    <w:rsid w:val="00F46624"/>
    <w:rsid w:val="00F46D96"/>
    <w:rsid w:val="00F5715D"/>
    <w:rsid w:val="00F57252"/>
    <w:rsid w:val="00F57454"/>
    <w:rsid w:val="00F57A80"/>
    <w:rsid w:val="00F57D61"/>
    <w:rsid w:val="00F61B11"/>
    <w:rsid w:val="00F63D61"/>
    <w:rsid w:val="00F653FE"/>
    <w:rsid w:val="00F65579"/>
    <w:rsid w:val="00F721EB"/>
    <w:rsid w:val="00F723C9"/>
    <w:rsid w:val="00F72AD8"/>
    <w:rsid w:val="00F72B7B"/>
    <w:rsid w:val="00F73710"/>
    <w:rsid w:val="00F74EFD"/>
    <w:rsid w:val="00F75858"/>
    <w:rsid w:val="00F769D3"/>
    <w:rsid w:val="00F80519"/>
    <w:rsid w:val="00F83B5F"/>
    <w:rsid w:val="00F8504B"/>
    <w:rsid w:val="00F860B3"/>
    <w:rsid w:val="00F87A76"/>
    <w:rsid w:val="00F90137"/>
    <w:rsid w:val="00F90ADA"/>
    <w:rsid w:val="00F96829"/>
    <w:rsid w:val="00F97D82"/>
    <w:rsid w:val="00FA18CD"/>
    <w:rsid w:val="00FA1A57"/>
    <w:rsid w:val="00FA2089"/>
    <w:rsid w:val="00FA2380"/>
    <w:rsid w:val="00FA3B97"/>
    <w:rsid w:val="00FA3F21"/>
    <w:rsid w:val="00FA4839"/>
    <w:rsid w:val="00FA6901"/>
    <w:rsid w:val="00FA6BAD"/>
    <w:rsid w:val="00FB19CA"/>
    <w:rsid w:val="00FB2FF5"/>
    <w:rsid w:val="00FB3E9E"/>
    <w:rsid w:val="00FB52C1"/>
    <w:rsid w:val="00FB5756"/>
    <w:rsid w:val="00FB6CBF"/>
    <w:rsid w:val="00FB6FA7"/>
    <w:rsid w:val="00FC1608"/>
    <w:rsid w:val="00FC2BEC"/>
    <w:rsid w:val="00FC2C5F"/>
    <w:rsid w:val="00FC3FE6"/>
    <w:rsid w:val="00FC5786"/>
    <w:rsid w:val="00FC5DA4"/>
    <w:rsid w:val="00FC7178"/>
    <w:rsid w:val="00FC7BC3"/>
    <w:rsid w:val="00FD0A9E"/>
    <w:rsid w:val="00FD1368"/>
    <w:rsid w:val="00FD4174"/>
    <w:rsid w:val="00FD438B"/>
    <w:rsid w:val="00FE07B4"/>
    <w:rsid w:val="00FE1979"/>
    <w:rsid w:val="00FE1F09"/>
    <w:rsid w:val="00FE39FA"/>
    <w:rsid w:val="00FE43F1"/>
    <w:rsid w:val="00FE44E3"/>
    <w:rsid w:val="00FF038A"/>
    <w:rsid w:val="00FF1B9C"/>
    <w:rsid w:val="00FF1E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C9F4A75-7C5A-477E-B7FD-E1C80BBEA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heme="minorBidi"/>
        <w:kern w:val="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71C5"/>
    <w:pPr>
      <w:spacing w:line="340" w:lineRule="atLeast"/>
      <w:jc w:val="both"/>
    </w:pPr>
    <w:rPr>
      <w:rFonts w:eastAsia="Times New Roman" w:cs="Times New Roman"/>
      <w:color w:val="000000"/>
      <w:kern w:val="0"/>
      <w:sz w:val="24"/>
      <w:lang w:eastAsia="de-DE"/>
    </w:rPr>
  </w:style>
  <w:style w:type="paragraph" w:styleId="Heading1">
    <w:name w:val="heading 1"/>
    <w:aliases w:val="x"/>
    <w:basedOn w:val="Normal"/>
    <w:next w:val="Normal"/>
    <w:link w:val="Heading1Char"/>
    <w:qFormat/>
    <w:rsid w:val="00F87A76"/>
    <w:pPr>
      <w:spacing w:before="240"/>
      <w:outlineLvl w:val="0"/>
    </w:pPr>
    <w:rPr>
      <w:rFonts w:ascii="Arial" w:hAnsi="Arial"/>
      <w:b/>
      <w:u w:val="single"/>
    </w:rPr>
  </w:style>
  <w:style w:type="paragraph" w:styleId="Heading2">
    <w:name w:val="heading 2"/>
    <w:basedOn w:val="Normal"/>
    <w:next w:val="Normal"/>
    <w:link w:val="Heading2Char"/>
    <w:qFormat/>
    <w:rsid w:val="00F87A76"/>
    <w:pPr>
      <w:spacing w:before="120"/>
      <w:outlineLvl w:val="1"/>
    </w:pPr>
    <w:rPr>
      <w:rFonts w:ascii="Arial" w:hAnsi="Arial" w:cstheme="majorBidi"/>
      <w:b/>
    </w:rPr>
  </w:style>
  <w:style w:type="paragraph" w:styleId="Heading3">
    <w:name w:val="heading 3"/>
    <w:basedOn w:val="Normal"/>
    <w:next w:val="Normal"/>
    <w:link w:val="Heading3Char"/>
    <w:qFormat/>
    <w:rsid w:val="00F87A76"/>
    <w:pPr>
      <w:ind w:left="360"/>
      <w:outlineLvl w:val="2"/>
    </w:pPr>
    <w:rPr>
      <w:b/>
    </w:rPr>
  </w:style>
  <w:style w:type="paragraph" w:styleId="Heading4">
    <w:name w:val="heading 4"/>
    <w:basedOn w:val="Normal"/>
    <w:next w:val="Normal"/>
    <w:link w:val="Heading4Char"/>
    <w:qFormat/>
    <w:rsid w:val="00F87A76"/>
    <w:pPr>
      <w:keepNext/>
      <w:keepLines/>
      <w:spacing w:before="240" w:line="480" w:lineRule="atLeast"/>
      <w:ind w:left="907" w:hanging="907"/>
      <w:outlineLvl w:val="3"/>
    </w:pPr>
    <w:rPr>
      <w:rFonts w:ascii="Arial" w:hAnsi="Arial" w:cstheme="majorBidi"/>
      <w:b/>
    </w:rPr>
  </w:style>
  <w:style w:type="paragraph" w:styleId="Heading5">
    <w:name w:val="heading 5"/>
    <w:basedOn w:val="Normal"/>
    <w:next w:val="Normal"/>
    <w:link w:val="Heading5Char"/>
    <w:qFormat/>
    <w:rsid w:val="00F87A76"/>
    <w:pPr>
      <w:ind w:left="706"/>
      <w:outlineLvl w:val="4"/>
    </w:pPr>
    <w:rPr>
      <w:b/>
    </w:rPr>
  </w:style>
  <w:style w:type="paragraph" w:styleId="Heading6">
    <w:name w:val="heading 6"/>
    <w:basedOn w:val="Normal"/>
    <w:next w:val="Normal"/>
    <w:link w:val="Heading6Char"/>
    <w:qFormat/>
    <w:rsid w:val="00F87A76"/>
    <w:pPr>
      <w:ind w:left="706"/>
      <w:outlineLvl w:val="5"/>
    </w:pPr>
    <w:rPr>
      <w:rFonts w:cstheme="majorBidi"/>
      <w:u w:val="single"/>
    </w:rPr>
  </w:style>
  <w:style w:type="paragraph" w:styleId="Heading7">
    <w:name w:val="heading 7"/>
    <w:basedOn w:val="Normal"/>
    <w:next w:val="Normal"/>
    <w:link w:val="Heading7Char"/>
    <w:qFormat/>
    <w:rsid w:val="00F87A76"/>
    <w:pPr>
      <w:ind w:left="706"/>
      <w:outlineLvl w:val="6"/>
    </w:pPr>
    <w:rPr>
      <w:i/>
    </w:rPr>
  </w:style>
  <w:style w:type="paragraph" w:styleId="Heading8">
    <w:name w:val="heading 8"/>
    <w:basedOn w:val="Normal"/>
    <w:next w:val="Normal"/>
    <w:link w:val="Heading8Char"/>
    <w:qFormat/>
    <w:rsid w:val="00F87A76"/>
    <w:pPr>
      <w:ind w:left="706"/>
      <w:outlineLvl w:val="7"/>
    </w:pPr>
    <w:rPr>
      <w:rFonts w:cstheme="majorBidi"/>
      <w:i/>
    </w:rPr>
  </w:style>
  <w:style w:type="paragraph" w:styleId="Heading9">
    <w:name w:val="heading 9"/>
    <w:basedOn w:val="Normal"/>
    <w:next w:val="Normal"/>
    <w:link w:val="Heading9Char"/>
    <w:qFormat/>
    <w:rsid w:val="00F87A76"/>
    <w:pPr>
      <w:ind w:left="706"/>
      <w:outlineLvl w:val="8"/>
    </w:pPr>
    <w:rPr>
      <w:rFonts w:cstheme="majorBidi"/>
      <w: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87A76"/>
  </w:style>
  <w:style w:type="paragraph" w:customStyle="1" w:styleId="MDPI11articletype">
    <w:name w:val="MDPI_1.1_article_type"/>
    <w:basedOn w:val="MDPI31text"/>
    <w:next w:val="MDPI12title"/>
    <w:qFormat/>
    <w:rsid w:val="00135C14"/>
    <w:pPr>
      <w:spacing w:before="240" w:line="240" w:lineRule="auto"/>
      <w:ind w:firstLine="0"/>
      <w:jc w:val="left"/>
    </w:pPr>
    <w:rPr>
      <w:i/>
    </w:rPr>
  </w:style>
  <w:style w:type="paragraph" w:customStyle="1" w:styleId="MDPI12title">
    <w:name w:val="MDPI_1.2_title"/>
    <w:next w:val="MDPI13authornames"/>
    <w:qFormat/>
    <w:rsid w:val="003B4E63"/>
    <w:pPr>
      <w:adjustRightInd w:val="0"/>
      <w:snapToGrid w:val="0"/>
      <w:spacing w:after="240" w:line="400" w:lineRule="exact"/>
    </w:pPr>
    <w:rPr>
      <w:rFonts w:ascii="Palatino Linotype" w:eastAsia="Times New Roman" w:hAnsi="Palatino Linotype" w:cs="Times New Roman"/>
      <w:b/>
      <w:snapToGrid w:val="0"/>
      <w:color w:val="000000"/>
      <w:kern w:val="0"/>
      <w:sz w:val="36"/>
      <w:lang w:eastAsia="de-DE" w:bidi="en-US"/>
    </w:rPr>
  </w:style>
  <w:style w:type="paragraph" w:customStyle="1" w:styleId="MDPI13authornames">
    <w:name w:val="MDPI_1.3_authornames"/>
    <w:basedOn w:val="MDPI31text"/>
    <w:next w:val="MDPI14history"/>
    <w:qFormat/>
    <w:rsid w:val="0012125D"/>
    <w:pPr>
      <w:spacing w:after="120"/>
      <w:ind w:firstLine="0"/>
      <w:jc w:val="left"/>
    </w:pPr>
    <w:rPr>
      <w:b/>
      <w:snapToGrid/>
    </w:rPr>
  </w:style>
  <w:style w:type="paragraph" w:customStyle="1" w:styleId="MDPI14history">
    <w:name w:val="MDPI_1.4_history"/>
    <w:basedOn w:val="MDPI62Acknowledgments"/>
    <w:next w:val="MDPI15academiceditor"/>
    <w:qFormat/>
    <w:rsid w:val="003B4E63"/>
    <w:pPr>
      <w:ind w:left="113"/>
      <w:jc w:val="left"/>
    </w:pPr>
    <w:rPr>
      <w:snapToGrid/>
    </w:rPr>
  </w:style>
  <w:style w:type="paragraph" w:customStyle="1" w:styleId="MDPI15academiceditor">
    <w:name w:val="MDPI_1.5_academic_editor"/>
    <w:basedOn w:val="MDPI62Acknowledgments"/>
    <w:qFormat/>
    <w:rsid w:val="003B4E63"/>
    <w:pPr>
      <w:spacing w:before="0" w:after="120"/>
      <w:ind w:left="113"/>
      <w:jc w:val="left"/>
    </w:pPr>
    <w:rPr>
      <w:snapToGrid/>
      <w:szCs w:val="22"/>
    </w:rPr>
  </w:style>
  <w:style w:type="paragraph" w:customStyle="1" w:styleId="MDPI16affiliation">
    <w:name w:val="MDPI_1.6_affiliation"/>
    <w:basedOn w:val="MDPI62Acknowledgments"/>
    <w:qFormat/>
    <w:rsid w:val="00F3278E"/>
    <w:pPr>
      <w:spacing w:before="0"/>
      <w:ind w:left="311" w:hanging="198"/>
      <w:jc w:val="left"/>
    </w:pPr>
    <w:rPr>
      <w:snapToGrid/>
      <w:szCs w:val="18"/>
    </w:rPr>
  </w:style>
  <w:style w:type="paragraph" w:customStyle="1" w:styleId="MDPI17abstract">
    <w:name w:val="MDPI_1.7_abstract"/>
    <w:basedOn w:val="MDPI31text"/>
    <w:next w:val="MDPI18keywords"/>
    <w:qFormat/>
    <w:rsid w:val="003B4E63"/>
    <w:pPr>
      <w:spacing w:before="240"/>
      <w:ind w:left="113" w:firstLine="0"/>
    </w:pPr>
    <w:rPr>
      <w:snapToGrid/>
    </w:rPr>
  </w:style>
  <w:style w:type="paragraph" w:customStyle="1" w:styleId="MDPI18keywords">
    <w:name w:val="MDPI_1.8_keywords"/>
    <w:basedOn w:val="MDPI31text"/>
    <w:next w:val="MDPI19classification"/>
    <w:qFormat/>
    <w:rsid w:val="003B4E63"/>
    <w:pPr>
      <w:spacing w:before="240"/>
      <w:ind w:left="113" w:firstLine="0"/>
    </w:pPr>
  </w:style>
  <w:style w:type="paragraph" w:customStyle="1" w:styleId="MDPI19classification">
    <w:name w:val="MDPI_1.9_classification"/>
    <w:basedOn w:val="MDPI31text"/>
    <w:qFormat/>
    <w:rsid w:val="003B4E63"/>
    <w:pPr>
      <w:spacing w:before="240"/>
      <w:ind w:left="113" w:firstLine="0"/>
    </w:pPr>
    <w:rPr>
      <w:b/>
      <w:snapToGrid/>
    </w:rPr>
  </w:style>
  <w:style w:type="paragraph" w:customStyle="1" w:styleId="MDPI19line">
    <w:name w:val="MDPI_1.9_line"/>
    <w:basedOn w:val="MDPI31text"/>
    <w:qFormat/>
    <w:rsid w:val="003B4E63"/>
    <w:pPr>
      <w:pBdr>
        <w:bottom w:val="single" w:sz="6" w:space="1" w:color="auto"/>
      </w:pBdr>
      <w:ind w:firstLine="0"/>
    </w:pPr>
    <w:rPr>
      <w:rFonts w:cstheme="minorBidi"/>
      <w:snapToGrid/>
      <w:szCs w:val="24"/>
    </w:rPr>
  </w:style>
  <w:style w:type="paragraph" w:customStyle="1" w:styleId="M1stheader">
    <w:name w:val="M_1stheader"/>
    <w:basedOn w:val="Normal"/>
    <w:rsid w:val="00F87A76"/>
    <w:pPr>
      <w:tabs>
        <w:tab w:val="center" w:pos="4320"/>
        <w:tab w:val="right" w:pos="8640"/>
      </w:tabs>
      <w:ind w:right="360"/>
      <w:outlineLvl w:val="0"/>
    </w:pPr>
    <w:rPr>
      <w:i/>
    </w:rPr>
  </w:style>
  <w:style w:type="paragraph" w:customStyle="1" w:styleId="Mabstract">
    <w:name w:val="M_abstract"/>
    <w:basedOn w:val="Mdeck4text"/>
    <w:next w:val="Mdeck3keywords"/>
    <w:rsid w:val="00F87A76"/>
    <w:pPr>
      <w:spacing w:before="240"/>
      <w:ind w:left="113" w:right="505" w:firstLine="0"/>
    </w:pPr>
  </w:style>
  <w:style w:type="paragraph" w:customStyle="1" w:styleId="MAcknow">
    <w:name w:val="M_Acknow"/>
    <w:basedOn w:val="Normal"/>
    <w:rsid w:val="00F87A76"/>
    <w:pPr>
      <w:spacing w:before="120" w:line="240" w:lineRule="atLeast"/>
    </w:pPr>
    <w:rPr>
      <w:rFonts w:ascii="Minion Pro" w:hAnsi="Minion Pro"/>
      <w:color w:val="000000" w:themeColor="text1"/>
    </w:rPr>
  </w:style>
  <w:style w:type="paragraph" w:customStyle="1" w:styleId="Maddress">
    <w:name w:val="M_address"/>
    <w:basedOn w:val="Normal"/>
    <w:rsid w:val="00F87A76"/>
    <w:pPr>
      <w:spacing w:before="240"/>
    </w:pPr>
  </w:style>
  <w:style w:type="paragraph" w:customStyle="1" w:styleId="Mauthor">
    <w:name w:val="M_author"/>
    <w:basedOn w:val="Normal"/>
    <w:rsid w:val="00F87A76"/>
    <w:pPr>
      <w:spacing w:before="240" w:after="240" w:line="340" w:lineRule="exact"/>
    </w:pPr>
    <w:rPr>
      <w:b/>
      <w:lang w:val="it-IT"/>
    </w:rPr>
  </w:style>
  <w:style w:type="paragraph" w:customStyle="1" w:styleId="MCaption">
    <w:name w:val="M_Caption"/>
    <w:basedOn w:val="Normal"/>
    <w:rsid w:val="00F87A76"/>
    <w:pPr>
      <w:spacing w:before="240" w:after="240"/>
      <w:jc w:val="center"/>
    </w:pPr>
  </w:style>
  <w:style w:type="paragraph" w:customStyle="1" w:styleId="MCopyright">
    <w:name w:val="M_Copyright"/>
    <w:basedOn w:val="Mdeck8references"/>
    <w:qFormat/>
    <w:rsid w:val="00F87A76"/>
    <w:pPr>
      <w:tabs>
        <w:tab w:val="center" w:pos="4536"/>
        <w:tab w:val="right" w:pos="9072"/>
      </w:tabs>
      <w:spacing w:before="400"/>
      <w:ind w:left="0" w:firstLine="0"/>
    </w:pPr>
  </w:style>
  <w:style w:type="paragraph" w:customStyle="1" w:styleId="Mdeck1articletitle">
    <w:name w:val="M_deck_1_article_title"/>
    <w:next w:val="Mdeck2authorname"/>
    <w:qFormat/>
    <w:rsid w:val="008810B3"/>
    <w:pPr>
      <w:kinsoku w:val="0"/>
      <w:overflowPunct w:val="0"/>
      <w:autoSpaceDE w:val="0"/>
      <w:autoSpaceDN w:val="0"/>
      <w:adjustRightInd w:val="0"/>
      <w:snapToGrid w:val="0"/>
      <w:spacing w:after="240" w:line="400" w:lineRule="exact"/>
    </w:pPr>
    <w:rPr>
      <w:rFonts w:ascii="Minion Pro" w:eastAsia="Times New Roman" w:hAnsi="Minion Pro"/>
      <w:b/>
      <w:snapToGrid w:val="0"/>
      <w:color w:val="000000"/>
      <w:kern w:val="0"/>
      <w:sz w:val="36"/>
      <w:lang w:eastAsia="de-DE" w:bidi="en-US"/>
    </w:rPr>
  </w:style>
  <w:style w:type="paragraph" w:customStyle="1" w:styleId="Mdeck1articletype">
    <w:name w:val="M_deck_1_article_type"/>
    <w:basedOn w:val="Mdeck4text"/>
    <w:next w:val="Mdeck1articletitle"/>
    <w:qFormat/>
    <w:rsid w:val="008810B3"/>
    <w:pPr>
      <w:widowControl w:val="0"/>
      <w:spacing w:before="120" w:after="120" w:line="240" w:lineRule="auto"/>
      <w:ind w:firstLine="0"/>
      <w:jc w:val="left"/>
    </w:pPr>
    <w:rPr>
      <w:rFonts w:cs="Times New Roman"/>
      <w:i/>
      <w:sz w:val="20"/>
      <w:szCs w:val="24"/>
    </w:rPr>
  </w:style>
  <w:style w:type="paragraph" w:customStyle="1" w:styleId="Mdeck2authoraffiliation">
    <w:name w:val="M_deck_2_author_affiliation"/>
    <w:qFormat/>
    <w:rsid w:val="008810B3"/>
    <w:pPr>
      <w:widowControl w:val="0"/>
      <w:kinsoku w:val="0"/>
      <w:overflowPunct w:val="0"/>
      <w:autoSpaceDE w:val="0"/>
      <w:autoSpaceDN w:val="0"/>
      <w:adjustRightInd w:val="0"/>
      <w:snapToGrid w:val="0"/>
      <w:spacing w:line="340" w:lineRule="atLeast"/>
      <w:ind w:left="311" w:hanging="198"/>
    </w:pPr>
    <w:rPr>
      <w:rFonts w:eastAsia="Times New Roman"/>
      <w:snapToGrid w:val="0"/>
      <w:color w:val="000000"/>
      <w:kern w:val="0"/>
      <w:sz w:val="24"/>
      <w:lang w:eastAsia="de-DE" w:bidi="en-US"/>
    </w:rPr>
  </w:style>
  <w:style w:type="paragraph" w:customStyle="1" w:styleId="Mdeck2authorcorrespondence">
    <w:name w:val="M_deck_2_author_correspondence"/>
    <w:qFormat/>
    <w:rsid w:val="008810B3"/>
    <w:pPr>
      <w:kinsoku w:val="0"/>
      <w:overflowPunct w:val="0"/>
      <w:autoSpaceDE w:val="0"/>
      <w:autoSpaceDN w:val="0"/>
      <w:adjustRightInd w:val="0"/>
      <w:snapToGrid w:val="0"/>
      <w:spacing w:line="200" w:lineRule="atLeast"/>
      <w:ind w:left="311" w:hanging="198"/>
    </w:pPr>
    <w:rPr>
      <w:rFonts w:ascii="Palatino Linotype" w:eastAsia="Times New Roman" w:hAnsi="Palatino Linotype"/>
      <w:snapToGrid w:val="0"/>
      <w:color w:val="000000"/>
      <w:kern w:val="0"/>
      <w:sz w:val="18"/>
      <w:lang w:eastAsia="de-DE" w:bidi="en-US"/>
    </w:rPr>
  </w:style>
  <w:style w:type="paragraph" w:customStyle="1" w:styleId="Mdeck2authorname">
    <w:name w:val="M_deck_2_author_name"/>
    <w:next w:val="Mdeck3publcationhistory"/>
    <w:qFormat/>
    <w:rsid w:val="008810B3"/>
    <w:pPr>
      <w:kinsoku w:val="0"/>
      <w:overflowPunct w:val="0"/>
      <w:autoSpaceDE w:val="0"/>
      <w:autoSpaceDN w:val="0"/>
      <w:adjustRightInd w:val="0"/>
      <w:snapToGrid w:val="0"/>
      <w:spacing w:before="240" w:after="120" w:line="320" w:lineRule="atLeast"/>
    </w:pPr>
    <w:rPr>
      <w:rFonts w:eastAsia="Times New Roman"/>
      <w:b/>
      <w:snapToGrid w:val="0"/>
      <w:color w:val="000000"/>
      <w:kern w:val="0"/>
      <w:sz w:val="22"/>
      <w:lang w:eastAsia="de-DE" w:bidi="en-US"/>
    </w:rPr>
  </w:style>
  <w:style w:type="paragraph" w:customStyle="1" w:styleId="Mdeck3abstract">
    <w:name w:val="M_deck_3_abstract"/>
    <w:basedOn w:val="Mdeck4text"/>
    <w:next w:val="Mdeck3keywords"/>
    <w:qFormat/>
    <w:rsid w:val="008810B3"/>
    <w:pPr>
      <w:widowControl w:val="0"/>
      <w:spacing w:before="240" w:after="240"/>
      <w:ind w:left="113" w:right="567"/>
    </w:pPr>
    <w:rPr>
      <w:snapToGrid/>
    </w:rPr>
  </w:style>
  <w:style w:type="paragraph" w:customStyle="1" w:styleId="Mdeck3keywords">
    <w:name w:val="M_deck_3_keywords"/>
    <w:basedOn w:val="Mdeck4text"/>
    <w:next w:val="Normal"/>
    <w:qFormat/>
    <w:rsid w:val="008810B3"/>
    <w:pPr>
      <w:spacing w:before="240"/>
      <w:ind w:left="113" w:firstLine="0"/>
    </w:pPr>
  </w:style>
  <w:style w:type="paragraph" w:customStyle="1" w:styleId="Mdeck3publcationhistory">
    <w:name w:val="M_deck_3_publcation_history"/>
    <w:next w:val="Normal"/>
    <w:qFormat/>
    <w:rsid w:val="008810B3"/>
    <w:pPr>
      <w:widowControl w:val="0"/>
      <w:kinsoku w:val="0"/>
      <w:overflowPunct w:val="0"/>
      <w:autoSpaceDE w:val="0"/>
      <w:autoSpaceDN w:val="0"/>
      <w:adjustRightInd w:val="0"/>
      <w:snapToGrid w:val="0"/>
      <w:spacing w:before="240" w:line="340" w:lineRule="atLeast"/>
      <w:ind w:left="113"/>
    </w:pPr>
    <w:rPr>
      <w:rFonts w:eastAsia="Times New Roman"/>
      <w:i/>
      <w:snapToGrid w:val="0"/>
      <w:color w:val="000000"/>
      <w:kern w:val="0"/>
      <w:sz w:val="24"/>
      <w:lang w:eastAsia="de-DE" w:bidi="en-US"/>
    </w:rPr>
  </w:style>
  <w:style w:type="paragraph" w:customStyle="1" w:styleId="Mdeck4heading1">
    <w:name w:val="M_deck_4_heading_1"/>
    <w:basedOn w:val="MHeading3"/>
    <w:next w:val="Normal"/>
    <w:qFormat/>
    <w:rsid w:val="008810B3"/>
    <w:pPr>
      <w:outlineLvl w:val="0"/>
    </w:pPr>
    <w:rPr>
      <w:b/>
      <w:snapToGrid/>
    </w:rPr>
  </w:style>
  <w:style w:type="paragraph" w:customStyle="1" w:styleId="Mdeck4heading2">
    <w:name w:val="M_deck_4_heading_2"/>
    <w:basedOn w:val="MHeading3"/>
    <w:next w:val="Normal"/>
    <w:qFormat/>
    <w:rsid w:val="008810B3"/>
    <w:pPr>
      <w:outlineLvl w:val="1"/>
    </w:pPr>
    <w:rPr>
      <w:i/>
      <w:snapToGrid/>
    </w:rPr>
  </w:style>
  <w:style w:type="paragraph" w:customStyle="1" w:styleId="Mdeck4heading3">
    <w:name w:val="M_deck_4_heading_3"/>
    <w:basedOn w:val="Mdeck4text"/>
    <w:next w:val="Normal"/>
    <w:qFormat/>
    <w:rsid w:val="008810B3"/>
    <w:pPr>
      <w:spacing w:before="240" w:after="120"/>
      <w:ind w:firstLineChars="50" w:firstLine="50"/>
      <w:outlineLvl w:val="2"/>
    </w:pPr>
    <w:rPr>
      <w:snapToGrid/>
    </w:rPr>
  </w:style>
  <w:style w:type="paragraph" w:customStyle="1" w:styleId="Mdeck4text">
    <w:name w:val="M_deck_4_text"/>
    <w:qFormat/>
    <w:rsid w:val="008810B3"/>
    <w:pPr>
      <w:kinsoku w:val="0"/>
      <w:overflowPunct w:val="0"/>
      <w:autoSpaceDE w:val="0"/>
      <w:autoSpaceDN w:val="0"/>
      <w:adjustRightInd w:val="0"/>
      <w:snapToGrid w:val="0"/>
      <w:spacing w:line="320" w:lineRule="atLeast"/>
      <w:ind w:firstLine="425"/>
      <w:jc w:val="both"/>
    </w:pPr>
    <w:rPr>
      <w:rFonts w:ascii="Minion Pro" w:eastAsia="Times New Roman" w:hAnsi="Minion Pro"/>
      <w:snapToGrid w:val="0"/>
      <w:color w:val="000000"/>
      <w:kern w:val="0"/>
      <w:sz w:val="24"/>
      <w:lang w:eastAsia="de-DE" w:bidi="en-US"/>
    </w:rPr>
  </w:style>
  <w:style w:type="paragraph" w:customStyle="1" w:styleId="Mdeck4textbulletlist">
    <w:name w:val="M_deck_4_text_bullet_list"/>
    <w:basedOn w:val="Mdeck4text"/>
    <w:qFormat/>
    <w:rsid w:val="008810B3"/>
    <w:pPr>
      <w:numPr>
        <w:numId w:val="43"/>
      </w:numPr>
      <w:spacing w:before="120" w:after="120" w:line="340" w:lineRule="atLeast"/>
    </w:pPr>
    <w:rPr>
      <w:snapToGrid/>
    </w:rPr>
  </w:style>
  <w:style w:type="paragraph" w:customStyle="1" w:styleId="Mdeck4textfirstlinezero">
    <w:name w:val="M_deck_4_text_firstline_zero"/>
    <w:basedOn w:val="Mdeck4text"/>
    <w:next w:val="Mdeck4text"/>
    <w:qFormat/>
    <w:rsid w:val="008810B3"/>
    <w:pPr>
      <w:ind w:firstLine="0"/>
    </w:pPr>
    <w:rPr>
      <w:szCs w:val="24"/>
    </w:rPr>
  </w:style>
  <w:style w:type="paragraph" w:customStyle="1" w:styleId="MFigure">
    <w:name w:val="M_Figure"/>
    <w:qFormat/>
    <w:rsid w:val="00F87A76"/>
    <w:pPr>
      <w:jc w:val="center"/>
    </w:pPr>
    <w:rPr>
      <w:rFonts w:ascii="Minion Pro" w:eastAsia="Times New Roman" w:hAnsi="Minion Pro"/>
      <w:color w:val="000000" w:themeColor="text1"/>
      <w:sz w:val="24"/>
    </w:rPr>
  </w:style>
  <w:style w:type="paragraph" w:customStyle="1" w:styleId="Mdeck4textlist">
    <w:name w:val="M_deck_4_text_list"/>
    <w:basedOn w:val="MFigure"/>
    <w:qFormat/>
    <w:rsid w:val="008810B3"/>
    <w:rPr>
      <w:i/>
    </w:rPr>
  </w:style>
  <w:style w:type="paragraph" w:customStyle="1" w:styleId="Mdeck4textlrindent">
    <w:name w:val="M_deck_4_text_lr_indent"/>
    <w:basedOn w:val="Mdeck4text"/>
    <w:qFormat/>
    <w:rsid w:val="008810B3"/>
    <w:pPr>
      <w:spacing w:line="260" w:lineRule="atLeast"/>
      <w:ind w:left="567" w:right="567" w:firstLine="0"/>
    </w:pPr>
  </w:style>
  <w:style w:type="paragraph" w:customStyle="1" w:styleId="Mdeck4textnumberedlist">
    <w:name w:val="M_deck_4_text_numbered_list"/>
    <w:basedOn w:val="Mdeck4text"/>
    <w:qFormat/>
    <w:rsid w:val="008810B3"/>
    <w:pPr>
      <w:numPr>
        <w:numId w:val="44"/>
      </w:numPr>
      <w:spacing w:before="120" w:after="120" w:line="340" w:lineRule="atLeast"/>
    </w:pPr>
    <w:rPr>
      <w:snapToGrid/>
    </w:rPr>
  </w:style>
  <w:style w:type="paragraph" w:customStyle="1" w:styleId="Mdeck5tablebody">
    <w:name w:val="M_deck_5_table_body"/>
    <w:qFormat/>
    <w:rsid w:val="008810B3"/>
    <w:pPr>
      <w:kinsoku w:val="0"/>
      <w:overflowPunct w:val="0"/>
      <w:autoSpaceDE w:val="0"/>
      <w:autoSpaceDN w:val="0"/>
      <w:adjustRightInd w:val="0"/>
      <w:snapToGrid w:val="0"/>
      <w:jc w:val="center"/>
    </w:pPr>
    <w:rPr>
      <w:rFonts w:ascii="Minion Pro" w:eastAsia="Times New Roman" w:hAnsi="Minion Pro"/>
      <w:snapToGrid w:val="0"/>
      <w:color w:val="000000"/>
      <w:kern w:val="0"/>
      <w:lang w:eastAsia="de-DE" w:bidi="en-US"/>
    </w:rPr>
  </w:style>
  <w:style w:type="table" w:customStyle="1" w:styleId="Mdeck5tablebodythreelines">
    <w:name w:val="M_deck_5_table_body_three_lines"/>
    <w:basedOn w:val="TableNormal"/>
    <w:uiPriority w:val="99"/>
    <w:rsid w:val="008810B3"/>
    <w:pPr>
      <w:adjustRightInd w:val="0"/>
      <w:snapToGrid w:val="0"/>
      <w:spacing w:line="300" w:lineRule="exact"/>
      <w:jc w:val="center"/>
    </w:pPr>
    <w:rPr>
      <w:rFonts w:cs="Times New Roman"/>
      <w:kern w:val="0"/>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paragraph" w:customStyle="1" w:styleId="Mdeck5tablecaption">
    <w:name w:val="M_deck_5_table_caption"/>
    <w:qFormat/>
    <w:rsid w:val="008810B3"/>
    <w:pPr>
      <w:kinsoku w:val="0"/>
      <w:overflowPunct w:val="0"/>
      <w:autoSpaceDE w:val="0"/>
      <w:autoSpaceDN w:val="0"/>
      <w:adjustRightInd w:val="0"/>
      <w:snapToGrid w:val="0"/>
      <w:spacing w:after="120" w:line="260" w:lineRule="atLeast"/>
      <w:jc w:val="both"/>
    </w:pPr>
    <w:rPr>
      <w:rFonts w:ascii="Palatino Linotype" w:eastAsia="Times New Roman" w:hAnsi="Palatino Linotype"/>
      <w:snapToGrid w:val="0"/>
      <w:color w:val="000000"/>
      <w:kern w:val="0"/>
      <w:sz w:val="18"/>
      <w:lang w:eastAsia="de-DE" w:bidi="en-US"/>
    </w:rPr>
  </w:style>
  <w:style w:type="paragraph" w:customStyle="1" w:styleId="Mdeck5tablefooter">
    <w:name w:val="M_deck_5_table_footer"/>
    <w:basedOn w:val="Mdeck5tablecaption"/>
    <w:next w:val="Mdeck4text"/>
    <w:qFormat/>
    <w:rsid w:val="008810B3"/>
    <w:pPr>
      <w:spacing w:line="300" w:lineRule="exact"/>
    </w:pPr>
  </w:style>
  <w:style w:type="paragraph" w:customStyle="1" w:styleId="Mdeck5tableheader">
    <w:name w:val="M_deck_5_table_header"/>
    <w:basedOn w:val="Mdeck5tablefooter"/>
    <w:rsid w:val="008810B3"/>
  </w:style>
  <w:style w:type="paragraph" w:customStyle="1" w:styleId="Mdeck6figurebody">
    <w:name w:val="M_deck_6_figure_body"/>
    <w:qFormat/>
    <w:rsid w:val="008810B3"/>
    <w:pPr>
      <w:widowControl w:val="0"/>
      <w:kinsoku w:val="0"/>
      <w:overflowPunct w:val="0"/>
      <w:autoSpaceDE w:val="0"/>
      <w:autoSpaceDN w:val="0"/>
      <w:adjustRightInd w:val="0"/>
      <w:snapToGrid w:val="0"/>
      <w:spacing w:line="340" w:lineRule="atLeast"/>
      <w:jc w:val="center"/>
    </w:pPr>
    <w:rPr>
      <w:rFonts w:eastAsia="Times New Roman"/>
      <w:snapToGrid w:val="0"/>
      <w:color w:val="000000"/>
      <w:kern w:val="0"/>
      <w:sz w:val="24"/>
      <w:lang w:eastAsia="de-DE" w:bidi="en-US"/>
    </w:rPr>
  </w:style>
  <w:style w:type="paragraph" w:customStyle="1" w:styleId="Mdeck6figurecaption">
    <w:name w:val="M_deck_6_figure_caption"/>
    <w:next w:val="Mdeck4text"/>
    <w:qFormat/>
    <w:rsid w:val="008810B3"/>
    <w:pPr>
      <w:adjustRightInd w:val="0"/>
      <w:snapToGrid w:val="0"/>
      <w:spacing w:before="120" w:line="260" w:lineRule="atLeast"/>
    </w:pPr>
    <w:rPr>
      <w:rFonts w:ascii="Palatino Linotype" w:eastAsia="Times New Roman" w:hAnsi="Palatino Linotype"/>
      <w:snapToGrid w:val="0"/>
      <w:color w:val="000000"/>
      <w:kern w:val="0"/>
      <w:sz w:val="18"/>
      <w:lang w:eastAsia="de-DE" w:bidi="en-US"/>
    </w:rPr>
  </w:style>
  <w:style w:type="paragraph" w:customStyle="1" w:styleId="Mdeck7equation">
    <w:name w:val="M_deck_7_equation"/>
    <w:basedOn w:val="Mdeck4text"/>
    <w:qFormat/>
    <w:rsid w:val="008810B3"/>
    <w:pPr>
      <w:spacing w:before="120" w:after="120"/>
      <w:ind w:left="709" w:firstLine="0"/>
      <w:jc w:val="center"/>
    </w:pPr>
    <w:rPr>
      <w:i/>
      <w:snapToGrid/>
      <w:szCs w:val="24"/>
      <w:lang w:eastAsia="en-US"/>
    </w:rPr>
  </w:style>
  <w:style w:type="paragraph" w:customStyle="1" w:styleId="Mdeck8references">
    <w:name w:val="M_deck_8_references"/>
    <w:qFormat/>
    <w:rsid w:val="008810B3"/>
    <w:pPr>
      <w:numPr>
        <w:numId w:val="45"/>
      </w:numPr>
      <w:kinsoku w:val="0"/>
      <w:overflowPunct w:val="0"/>
      <w:autoSpaceDE w:val="0"/>
      <w:autoSpaceDN w:val="0"/>
      <w:adjustRightInd w:val="0"/>
      <w:snapToGrid w:val="0"/>
      <w:spacing w:line="260" w:lineRule="atLeast"/>
      <w:jc w:val="both"/>
    </w:pPr>
    <w:rPr>
      <w:rFonts w:eastAsia="Times New Roman"/>
      <w:snapToGrid w:val="0"/>
      <w:color w:val="000000"/>
      <w:kern w:val="0"/>
      <w:sz w:val="24"/>
      <w:lang w:eastAsia="de-DE" w:bidi="en-US"/>
    </w:rPr>
  </w:style>
  <w:style w:type="paragraph" w:customStyle="1" w:styleId="MHeader">
    <w:name w:val="M_Header"/>
    <w:basedOn w:val="Normal"/>
    <w:rsid w:val="00F87A76"/>
    <w:pPr>
      <w:spacing w:after="240"/>
      <w:ind w:left="425"/>
    </w:pPr>
    <w:rPr>
      <w:rFonts w:ascii="Minion Pro" w:hAnsi="Minion Pro"/>
    </w:rPr>
  </w:style>
  <w:style w:type="paragraph" w:customStyle="1" w:styleId="MHeading1">
    <w:name w:val="M_Heading1"/>
    <w:basedOn w:val="MHeading3"/>
    <w:qFormat/>
    <w:rsid w:val="00F87A76"/>
    <w:rPr>
      <w:b/>
    </w:rPr>
  </w:style>
  <w:style w:type="paragraph" w:customStyle="1" w:styleId="MHeading2">
    <w:name w:val="M_Heading2"/>
    <w:basedOn w:val="MHeading3"/>
    <w:qFormat/>
    <w:rsid w:val="00F87A76"/>
    <w:rPr>
      <w:i/>
    </w:rPr>
  </w:style>
  <w:style w:type="paragraph" w:customStyle="1" w:styleId="MHeading3">
    <w:name w:val="M_Heading3"/>
    <w:basedOn w:val="Mdeck4text"/>
    <w:qFormat/>
    <w:rsid w:val="00F87A76"/>
    <w:pPr>
      <w:spacing w:before="240" w:after="120"/>
    </w:pPr>
  </w:style>
  <w:style w:type="paragraph" w:customStyle="1" w:styleId="MISSN">
    <w:name w:val="M_ISSN"/>
    <w:basedOn w:val="Normal"/>
    <w:rsid w:val="00F87A76"/>
    <w:pPr>
      <w:spacing w:after="520"/>
      <w:jc w:val="right"/>
    </w:pPr>
  </w:style>
  <w:style w:type="paragraph" w:customStyle="1" w:styleId="Mline2">
    <w:name w:val="M_line2"/>
    <w:basedOn w:val="Mdeck4text"/>
    <w:qFormat/>
    <w:rsid w:val="00F87A76"/>
    <w:pPr>
      <w:pBdr>
        <w:bottom w:val="single" w:sz="6" w:space="1" w:color="auto"/>
      </w:pBdr>
      <w:spacing w:after="480"/>
    </w:pPr>
  </w:style>
  <w:style w:type="paragraph" w:customStyle="1" w:styleId="Mline1">
    <w:name w:val="M_line1"/>
    <w:basedOn w:val="Mdeck4text"/>
    <w:next w:val="Mline2"/>
    <w:qFormat/>
    <w:rsid w:val="00F87A76"/>
    <w:pPr>
      <w:ind w:firstLine="0"/>
    </w:pPr>
  </w:style>
  <w:style w:type="paragraph" w:customStyle="1" w:styleId="MLogo">
    <w:name w:val="M_Logo"/>
    <w:basedOn w:val="Normal"/>
    <w:rsid w:val="00F87A76"/>
    <w:pPr>
      <w:spacing w:before="140"/>
      <w:jc w:val="right"/>
    </w:pPr>
    <w:rPr>
      <w:b/>
      <w:i/>
      <w:sz w:val="64"/>
    </w:rPr>
  </w:style>
  <w:style w:type="paragraph" w:customStyle="1" w:styleId="Mreceived">
    <w:name w:val="M_received"/>
    <w:basedOn w:val="Maddress"/>
    <w:rsid w:val="00F87A76"/>
    <w:rPr>
      <w:i/>
    </w:rPr>
  </w:style>
  <w:style w:type="paragraph" w:customStyle="1" w:styleId="MRefer">
    <w:name w:val="M_Refer"/>
    <w:basedOn w:val="Normal"/>
    <w:rsid w:val="00F87A76"/>
    <w:pPr>
      <w:ind w:left="461" w:hanging="461"/>
    </w:pPr>
  </w:style>
  <w:style w:type="paragraph" w:customStyle="1" w:styleId="Mtable">
    <w:name w:val="M_table"/>
    <w:basedOn w:val="Normal"/>
    <w:rsid w:val="00F87A76"/>
    <w:pPr>
      <w:keepNext/>
      <w:tabs>
        <w:tab w:val="left" w:pos="284"/>
      </w:tabs>
    </w:pPr>
  </w:style>
  <w:style w:type="paragraph" w:customStyle="1" w:styleId="MTablecaption">
    <w:name w:val="M_Tablecaption"/>
    <w:basedOn w:val="MCaption"/>
    <w:rsid w:val="00F87A76"/>
    <w:pPr>
      <w:spacing w:after="0"/>
    </w:pPr>
  </w:style>
  <w:style w:type="paragraph" w:customStyle="1" w:styleId="MText">
    <w:name w:val="M_Text"/>
    <w:basedOn w:val="Normal"/>
    <w:rsid w:val="00F87A76"/>
    <w:pPr>
      <w:ind w:firstLine="288"/>
    </w:pPr>
  </w:style>
  <w:style w:type="paragraph" w:customStyle="1" w:styleId="MTitel">
    <w:name w:val="M_Titel"/>
    <w:basedOn w:val="Normal"/>
    <w:rsid w:val="00F87A76"/>
    <w:pPr>
      <w:spacing w:before="240"/>
    </w:pPr>
    <w:rPr>
      <w:b/>
      <w:sz w:val="36"/>
      <w:lang w:val="en-GB"/>
    </w:rPr>
  </w:style>
  <w:style w:type="paragraph" w:customStyle="1" w:styleId="MDPIheader">
    <w:name w:val="MDPI_header"/>
    <w:qFormat/>
    <w:rsid w:val="003B4E63"/>
    <w:pPr>
      <w:adjustRightInd w:val="0"/>
      <w:snapToGrid w:val="0"/>
      <w:spacing w:after="240"/>
    </w:pPr>
    <w:rPr>
      <w:rFonts w:ascii="Palatino Linotype" w:eastAsia="Times New Roman" w:hAnsi="Palatino Linotype" w:cs="Times New Roman"/>
      <w:iCs/>
      <w:kern w:val="0"/>
      <w:sz w:val="16"/>
      <w:lang w:eastAsia="de-DE"/>
    </w:rPr>
  </w:style>
  <w:style w:type="paragraph" w:customStyle="1" w:styleId="Mheaderjournallogo">
    <w:name w:val="M_header_journal_logo"/>
    <w:qFormat/>
    <w:rsid w:val="00F87A76"/>
    <w:rPr>
      <w:rFonts w:ascii="Minion Pro" w:eastAsiaTheme="minorEastAsia" w:hAnsi="Minion Pro" w:cs="Times New Roman"/>
      <w:color w:val="000000"/>
      <w:kern w:val="0"/>
      <w:sz w:val="24"/>
      <w:lang w:val="de-DE"/>
    </w:rPr>
  </w:style>
  <w:style w:type="paragraph" w:customStyle="1" w:styleId="TextBericht">
    <w:name w:val="Text_Bericht"/>
    <w:basedOn w:val="Normal"/>
    <w:uiPriority w:val="99"/>
    <w:rsid w:val="00F87A76"/>
    <w:pPr>
      <w:spacing w:after="120" w:line="276" w:lineRule="auto"/>
    </w:pPr>
    <w:rPr>
      <w:rFonts w:ascii="Arial" w:hAnsi="Arial"/>
      <w:lang w:val="de-DE"/>
    </w:rPr>
  </w:style>
  <w:style w:type="character" w:customStyle="1" w:styleId="Heading2Char">
    <w:name w:val="Heading 2 Char"/>
    <w:basedOn w:val="DefaultParagraphFont"/>
    <w:link w:val="Heading2"/>
    <w:rsid w:val="00F87A76"/>
    <w:rPr>
      <w:rFonts w:ascii="Arial" w:eastAsia="Times New Roman" w:hAnsi="Arial" w:cstheme="majorBidi"/>
      <w:b/>
      <w:color w:val="000000"/>
      <w:kern w:val="0"/>
      <w:sz w:val="24"/>
      <w:lang w:eastAsia="de-DE"/>
    </w:rPr>
  </w:style>
  <w:style w:type="paragraph" w:customStyle="1" w:styleId="berschrift3">
    <w:name w:val="Überschrift3"/>
    <w:basedOn w:val="Heading2"/>
    <w:uiPriority w:val="99"/>
    <w:rsid w:val="00F87A76"/>
    <w:pPr>
      <w:keepNext/>
      <w:tabs>
        <w:tab w:val="num" w:pos="360"/>
      </w:tabs>
      <w:spacing w:before="0"/>
      <w:ind w:left="576" w:hanging="576"/>
    </w:pPr>
    <w:rPr>
      <w:rFonts w:cs="Arial"/>
      <w:bCs/>
      <w:iCs/>
      <w:sz w:val="18"/>
      <w:szCs w:val="28"/>
      <w:lang w:val="de-DE"/>
    </w:rPr>
  </w:style>
  <w:style w:type="character" w:customStyle="1" w:styleId="Heading1Char">
    <w:name w:val="Heading 1 Char"/>
    <w:aliases w:val="x Char"/>
    <w:basedOn w:val="DefaultParagraphFont"/>
    <w:link w:val="Heading1"/>
    <w:rsid w:val="00F87A76"/>
    <w:rPr>
      <w:rFonts w:ascii="Arial" w:eastAsia="Times New Roman" w:hAnsi="Arial" w:cs="Times New Roman"/>
      <w:b/>
      <w:color w:val="000000"/>
      <w:kern w:val="0"/>
      <w:sz w:val="24"/>
      <w:u w:val="single"/>
      <w:lang w:eastAsia="de-DE"/>
    </w:rPr>
  </w:style>
  <w:style w:type="character" w:customStyle="1" w:styleId="Heading3Char">
    <w:name w:val="Heading 3 Char"/>
    <w:basedOn w:val="DefaultParagraphFont"/>
    <w:link w:val="Heading3"/>
    <w:rsid w:val="00F87A76"/>
    <w:rPr>
      <w:rFonts w:eastAsia="Times New Roman" w:cs="Times New Roman"/>
      <w:b/>
      <w:color w:val="000000"/>
      <w:kern w:val="0"/>
      <w:sz w:val="24"/>
      <w:lang w:eastAsia="de-DE"/>
    </w:rPr>
  </w:style>
  <w:style w:type="character" w:customStyle="1" w:styleId="Heading4Char">
    <w:name w:val="Heading 4 Char"/>
    <w:basedOn w:val="DefaultParagraphFont"/>
    <w:link w:val="Heading4"/>
    <w:rsid w:val="00F87A76"/>
    <w:rPr>
      <w:rFonts w:ascii="Arial" w:eastAsia="Times New Roman" w:hAnsi="Arial" w:cstheme="majorBidi"/>
      <w:b/>
      <w:color w:val="000000"/>
      <w:kern w:val="0"/>
      <w:sz w:val="24"/>
      <w:lang w:eastAsia="de-DE"/>
    </w:rPr>
  </w:style>
  <w:style w:type="character" w:customStyle="1" w:styleId="Heading5Char">
    <w:name w:val="Heading 5 Char"/>
    <w:basedOn w:val="DefaultParagraphFont"/>
    <w:link w:val="Heading5"/>
    <w:rsid w:val="00F87A76"/>
    <w:rPr>
      <w:rFonts w:eastAsia="Times New Roman" w:cs="Times New Roman"/>
      <w:b/>
      <w:color w:val="000000"/>
      <w:kern w:val="0"/>
      <w:sz w:val="24"/>
      <w:lang w:eastAsia="de-DE"/>
    </w:rPr>
  </w:style>
  <w:style w:type="character" w:customStyle="1" w:styleId="Heading6Char">
    <w:name w:val="Heading 6 Char"/>
    <w:basedOn w:val="DefaultParagraphFont"/>
    <w:link w:val="Heading6"/>
    <w:rsid w:val="00F87A76"/>
    <w:rPr>
      <w:rFonts w:eastAsia="Times New Roman" w:cstheme="majorBidi"/>
      <w:color w:val="000000"/>
      <w:kern w:val="0"/>
      <w:sz w:val="24"/>
      <w:u w:val="single"/>
      <w:lang w:eastAsia="de-DE"/>
    </w:rPr>
  </w:style>
  <w:style w:type="character" w:customStyle="1" w:styleId="Heading7Char">
    <w:name w:val="Heading 7 Char"/>
    <w:basedOn w:val="DefaultParagraphFont"/>
    <w:link w:val="Heading7"/>
    <w:rsid w:val="00F87A76"/>
    <w:rPr>
      <w:rFonts w:eastAsia="Times New Roman" w:cs="Times New Roman"/>
      <w:i/>
      <w:color w:val="000000"/>
      <w:kern w:val="0"/>
      <w:sz w:val="24"/>
      <w:lang w:eastAsia="de-DE"/>
    </w:rPr>
  </w:style>
  <w:style w:type="character" w:customStyle="1" w:styleId="Heading8Char">
    <w:name w:val="Heading 8 Char"/>
    <w:basedOn w:val="DefaultParagraphFont"/>
    <w:link w:val="Heading8"/>
    <w:rsid w:val="00F87A76"/>
    <w:rPr>
      <w:rFonts w:eastAsia="Times New Roman" w:cstheme="majorBidi"/>
      <w:i/>
      <w:color w:val="000000"/>
      <w:kern w:val="0"/>
      <w:sz w:val="24"/>
      <w:lang w:eastAsia="de-DE"/>
    </w:rPr>
  </w:style>
  <w:style w:type="character" w:customStyle="1" w:styleId="Heading9Char">
    <w:name w:val="Heading 9 Char"/>
    <w:basedOn w:val="DefaultParagraphFont"/>
    <w:link w:val="Heading9"/>
    <w:rsid w:val="00F87A76"/>
    <w:rPr>
      <w:rFonts w:eastAsia="Times New Roman" w:cstheme="majorBidi"/>
      <w:i/>
      <w:color w:val="000000"/>
      <w:kern w:val="0"/>
      <w:sz w:val="24"/>
      <w:lang w:eastAsia="de-DE"/>
    </w:rPr>
  </w:style>
  <w:style w:type="character" w:styleId="Hyperlink">
    <w:name w:val="Hyperlink"/>
    <w:rsid w:val="00F87A76"/>
    <w:rPr>
      <w:color w:val="0000FF"/>
      <w:u w:val="single"/>
    </w:rPr>
  </w:style>
  <w:style w:type="character" w:styleId="FollowedHyperlink">
    <w:name w:val="FollowedHyperlink"/>
    <w:basedOn w:val="DefaultParagraphFont"/>
    <w:rsid w:val="00F87A76"/>
    <w:rPr>
      <w:color w:val="954F72" w:themeColor="followedHyperlink"/>
      <w:u w:val="single"/>
    </w:rPr>
  </w:style>
  <w:style w:type="character" w:styleId="LineNumber">
    <w:name w:val="line number"/>
    <w:basedOn w:val="DefaultParagraphFont"/>
    <w:uiPriority w:val="99"/>
    <w:rsid w:val="00F87A76"/>
  </w:style>
  <w:style w:type="paragraph" w:styleId="FootnoteText">
    <w:name w:val="footnote text"/>
    <w:basedOn w:val="Normal"/>
    <w:link w:val="FootnoteTextChar"/>
    <w:rsid w:val="00F87A76"/>
  </w:style>
  <w:style w:type="character" w:customStyle="1" w:styleId="FootnoteTextChar">
    <w:name w:val="Footnote Text Char"/>
    <w:basedOn w:val="DefaultParagraphFont"/>
    <w:link w:val="FootnoteText"/>
    <w:rsid w:val="00F87A76"/>
    <w:rPr>
      <w:rFonts w:eastAsia="Times New Roman" w:cs="Times New Roman"/>
      <w:color w:val="000000"/>
      <w:kern w:val="0"/>
      <w:sz w:val="24"/>
      <w:lang w:eastAsia="de-DE"/>
    </w:rPr>
  </w:style>
  <w:style w:type="paragraph" w:styleId="List">
    <w:name w:val="List"/>
    <w:basedOn w:val="Normal"/>
    <w:rsid w:val="00F87A76"/>
    <w:pPr>
      <w:ind w:left="200" w:hangingChars="200" w:hanging="200"/>
      <w:contextualSpacing/>
    </w:pPr>
  </w:style>
  <w:style w:type="paragraph" w:styleId="ListBullet">
    <w:name w:val="List Bullet"/>
    <w:basedOn w:val="Normal"/>
    <w:rsid w:val="00F87A76"/>
    <w:pPr>
      <w:tabs>
        <w:tab w:val="num" w:pos="360"/>
      </w:tabs>
      <w:ind w:left="200" w:hangingChars="200" w:hanging="200"/>
      <w:contextualSpacing/>
    </w:pPr>
  </w:style>
  <w:style w:type="paragraph" w:styleId="ListParagraph">
    <w:name w:val="List Paragraph"/>
    <w:basedOn w:val="Normal"/>
    <w:uiPriority w:val="34"/>
    <w:qFormat/>
    <w:rsid w:val="00F87A76"/>
    <w:pPr>
      <w:ind w:firstLineChars="200" w:firstLine="420"/>
    </w:pPr>
  </w:style>
  <w:style w:type="paragraph" w:styleId="BalloonText">
    <w:name w:val="Balloon Text"/>
    <w:basedOn w:val="Normal"/>
    <w:link w:val="BalloonTextChar"/>
    <w:uiPriority w:val="99"/>
    <w:rsid w:val="00F87A76"/>
    <w:rPr>
      <w:rFonts w:cs="Tahoma"/>
      <w:sz w:val="18"/>
      <w:szCs w:val="18"/>
    </w:rPr>
  </w:style>
  <w:style w:type="character" w:customStyle="1" w:styleId="BalloonTextChar">
    <w:name w:val="Balloon Text Char"/>
    <w:basedOn w:val="DefaultParagraphFont"/>
    <w:link w:val="BalloonText"/>
    <w:uiPriority w:val="99"/>
    <w:rsid w:val="00F87A76"/>
    <w:rPr>
      <w:rFonts w:eastAsia="Times New Roman" w:cs="Tahoma"/>
      <w:color w:val="000000"/>
      <w:kern w:val="0"/>
      <w:sz w:val="18"/>
      <w:szCs w:val="18"/>
      <w:lang w:eastAsia="de-DE"/>
    </w:rPr>
  </w:style>
  <w:style w:type="paragraph" w:styleId="CommentText">
    <w:name w:val="annotation text"/>
    <w:basedOn w:val="Normal"/>
    <w:link w:val="CommentTextChar"/>
    <w:rsid w:val="00F87A76"/>
  </w:style>
  <w:style w:type="character" w:customStyle="1" w:styleId="CommentTextChar">
    <w:name w:val="Comment Text Char"/>
    <w:basedOn w:val="DefaultParagraphFont"/>
    <w:link w:val="CommentText"/>
    <w:rsid w:val="00F87A76"/>
    <w:rPr>
      <w:rFonts w:eastAsia="Times New Roman" w:cs="Times New Roman"/>
      <w:color w:val="000000"/>
      <w:kern w:val="0"/>
      <w:sz w:val="24"/>
      <w:lang w:eastAsia="de-DE"/>
    </w:rPr>
  </w:style>
  <w:style w:type="character" w:styleId="CommentReference">
    <w:name w:val="annotation reference"/>
    <w:basedOn w:val="DefaultParagraphFont"/>
    <w:rsid w:val="00F87A76"/>
    <w:rPr>
      <w:sz w:val="21"/>
      <w:szCs w:val="21"/>
    </w:rPr>
  </w:style>
  <w:style w:type="paragraph" w:styleId="CommentSubject">
    <w:name w:val="annotation subject"/>
    <w:basedOn w:val="CommentText"/>
    <w:next w:val="CommentText"/>
    <w:link w:val="CommentSubjectChar"/>
    <w:rsid w:val="00F87A76"/>
    <w:rPr>
      <w:b/>
      <w:bCs/>
    </w:rPr>
  </w:style>
  <w:style w:type="character" w:customStyle="1" w:styleId="CommentSubjectChar">
    <w:name w:val="Comment Subject Char"/>
    <w:basedOn w:val="CommentTextChar"/>
    <w:link w:val="CommentSubject"/>
    <w:rsid w:val="00F87A76"/>
    <w:rPr>
      <w:rFonts w:eastAsia="Times New Roman" w:cs="Times New Roman"/>
      <w:b/>
      <w:bCs/>
      <w:color w:val="000000"/>
      <w:kern w:val="0"/>
      <w:sz w:val="24"/>
      <w:lang w:eastAsia="de-DE"/>
    </w:rPr>
  </w:style>
  <w:style w:type="paragraph" w:styleId="NormalWeb">
    <w:name w:val="Normal (Web)"/>
    <w:basedOn w:val="Normal"/>
    <w:uiPriority w:val="99"/>
    <w:rsid w:val="00F87A76"/>
    <w:rPr>
      <w:szCs w:val="24"/>
    </w:rPr>
  </w:style>
  <w:style w:type="paragraph" w:styleId="Bibliography">
    <w:name w:val="Bibliography"/>
    <w:basedOn w:val="Normal"/>
    <w:next w:val="Normal"/>
    <w:uiPriority w:val="37"/>
    <w:semiHidden/>
    <w:unhideWhenUsed/>
    <w:rsid w:val="00F87A76"/>
  </w:style>
  <w:style w:type="paragraph" w:styleId="Caption">
    <w:name w:val="caption"/>
    <w:basedOn w:val="Normal"/>
    <w:next w:val="Normal"/>
    <w:qFormat/>
    <w:rsid w:val="00F87A76"/>
    <w:pPr>
      <w:ind w:left="850" w:hanging="850"/>
      <w:jc w:val="center"/>
    </w:pPr>
    <w:rPr>
      <w:b/>
      <w:bCs/>
      <w:szCs w:val="24"/>
      <w:lang w:eastAsia="en-US"/>
    </w:rPr>
  </w:style>
  <w:style w:type="paragraph" w:styleId="TableofFigures">
    <w:name w:val="table of figures"/>
    <w:basedOn w:val="Normal"/>
    <w:next w:val="Normal"/>
    <w:rsid w:val="00F87A76"/>
    <w:pPr>
      <w:tabs>
        <w:tab w:val="left" w:pos="374"/>
      </w:tabs>
      <w:snapToGrid w:val="0"/>
      <w:spacing w:line="220" w:lineRule="exact"/>
    </w:pPr>
    <w:rPr>
      <w:sz w:val="16"/>
      <w:szCs w:val="16"/>
    </w:rPr>
  </w:style>
  <w:style w:type="table" w:styleId="TableGrid">
    <w:name w:val="Table Grid"/>
    <w:basedOn w:val="TableNormal"/>
    <w:uiPriority w:val="59"/>
    <w:rsid w:val="00F87A76"/>
    <w:rPr>
      <w:rFonts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rsid w:val="00F87A76"/>
    <w:pPr>
      <w:spacing w:line="360" w:lineRule="auto"/>
    </w:pPr>
    <w:rPr>
      <w:szCs w:val="24"/>
      <w:lang w:val="en-GB" w:eastAsia="ar-SA"/>
    </w:rPr>
  </w:style>
  <w:style w:type="character" w:customStyle="1" w:styleId="EndnoteTextChar">
    <w:name w:val="Endnote Text Char"/>
    <w:basedOn w:val="DefaultParagraphFont"/>
    <w:link w:val="EndnoteText"/>
    <w:rsid w:val="00F87A76"/>
    <w:rPr>
      <w:rFonts w:eastAsia="Times New Roman" w:cs="Times New Roman"/>
      <w:color w:val="000000"/>
      <w:kern w:val="0"/>
      <w:sz w:val="24"/>
      <w:szCs w:val="24"/>
      <w:lang w:val="en-GB" w:eastAsia="ar-SA"/>
    </w:rPr>
  </w:style>
  <w:style w:type="character" w:styleId="EndnoteReference">
    <w:name w:val="endnote reference"/>
    <w:basedOn w:val="DefaultParagraphFont"/>
    <w:rsid w:val="00F87A76"/>
    <w:rPr>
      <w:vertAlign w:val="superscript"/>
    </w:rPr>
  </w:style>
  <w:style w:type="paragraph" w:styleId="Footer">
    <w:name w:val="footer"/>
    <w:basedOn w:val="Normal"/>
    <w:link w:val="FooterChar"/>
    <w:uiPriority w:val="99"/>
    <w:rsid w:val="00F87A76"/>
    <w:pPr>
      <w:tabs>
        <w:tab w:val="center" w:pos="4153"/>
        <w:tab w:val="right" w:pos="8306"/>
      </w:tabs>
      <w:snapToGrid w:val="0"/>
      <w:spacing w:line="240" w:lineRule="atLeast"/>
    </w:pPr>
    <w:rPr>
      <w:sz w:val="18"/>
      <w:szCs w:val="18"/>
    </w:rPr>
  </w:style>
  <w:style w:type="character" w:customStyle="1" w:styleId="FooterChar">
    <w:name w:val="Footer Char"/>
    <w:basedOn w:val="DefaultParagraphFont"/>
    <w:link w:val="Footer"/>
    <w:uiPriority w:val="99"/>
    <w:rsid w:val="00F87A76"/>
    <w:rPr>
      <w:rFonts w:eastAsia="Times New Roman" w:cs="Times New Roman"/>
      <w:color w:val="000000"/>
      <w:kern w:val="0"/>
      <w:sz w:val="18"/>
      <w:szCs w:val="18"/>
      <w:lang w:eastAsia="de-DE"/>
    </w:rPr>
  </w:style>
  <w:style w:type="character" w:styleId="PageNumber">
    <w:name w:val="page number"/>
    <w:basedOn w:val="DefaultParagraphFont"/>
    <w:rsid w:val="00F87A76"/>
  </w:style>
  <w:style w:type="paragraph" w:styleId="Header">
    <w:name w:val="header"/>
    <w:basedOn w:val="Normal"/>
    <w:link w:val="HeaderChar"/>
    <w:uiPriority w:val="99"/>
    <w:rsid w:val="00F87A76"/>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basedOn w:val="DefaultParagraphFont"/>
    <w:link w:val="Header"/>
    <w:uiPriority w:val="99"/>
    <w:rsid w:val="00F87A76"/>
    <w:rPr>
      <w:rFonts w:eastAsia="Times New Roman" w:cs="Times New Roman"/>
      <w:color w:val="000000"/>
      <w:kern w:val="0"/>
      <w:sz w:val="18"/>
      <w:szCs w:val="18"/>
      <w:lang w:eastAsia="de-DE"/>
    </w:rPr>
  </w:style>
  <w:style w:type="paragraph" w:styleId="BodyText">
    <w:name w:val="Body Text"/>
    <w:link w:val="BodyTextChar"/>
    <w:rsid w:val="00F87A76"/>
    <w:pPr>
      <w:spacing w:after="120" w:line="340" w:lineRule="atLeast"/>
      <w:jc w:val="both"/>
    </w:pPr>
    <w:rPr>
      <w:rFonts w:cs="Times New Roman"/>
      <w:color w:val="000000"/>
      <w:kern w:val="0"/>
      <w:sz w:val="24"/>
      <w:lang w:eastAsia="de-DE"/>
    </w:rPr>
  </w:style>
  <w:style w:type="character" w:customStyle="1" w:styleId="BodyTextChar">
    <w:name w:val="Body Text Char"/>
    <w:basedOn w:val="DefaultParagraphFont"/>
    <w:link w:val="BodyText"/>
    <w:rsid w:val="00F87A76"/>
    <w:rPr>
      <w:rFonts w:cs="Times New Roman"/>
      <w:color w:val="000000"/>
      <w:kern w:val="0"/>
      <w:sz w:val="24"/>
      <w:lang w:eastAsia="de-DE"/>
    </w:rPr>
  </w:style>
  <w:style w:type="paragraph" w:customStyle="1" w:styleId="Mdeck4text2nd">
    <w:name w:val="M_deck_4_text_2nd"/>
    <w:qFormat/>
    <w:rsid w:val="008810B3"/>
    <w:pPr>
      <w:adjustRightInd w:val="0"/>
      <w:snapToGrid w:val="0"/>
      <w:spacing w:line="260" w:lineRule="atLeast"/>
      <w:ind w:left="850" w:hanging="425"/>
      <w:jc w:val="both"/>
    </w:pPr>
    <w:rPr>
      <w:rFonts w:ascii="Palatino Linotype" w:eastAsia="Times New Roman" w:hAnsi="Palatino Linotype"/>
      <w:snapToGrid w:val="0"/>
      <w:color w:val="000000"/>
      <w:kern w:val="0"/>
      <w:lang w:eastAsia="de-DE" w:bidi="en-US"/>
    </w:rPr>
  </w:style>
  <w:style w:type="character" w:styleId="PlaceholderText">
    <w:name w:val="Placeholder Text"/>
    <w:basedOn w:val="DefaultParagraphFont"/>
    <w:uiPriority w:val="99"/>
    <w:semiHidden/>
    <w:rsid w:val="00F87A76"/>
    <w:rPr>
      <w:color w:val="808080"/>
    </w:rPr>
  </w:style>
  <w:style w:type="paragraph" w:customStyle="1" w:styleId="MDPIheadercitation">
    <w:name w:val="MDPI_header_citation"/>
    <w:basedOn w:val="MDPI62Acknowledgments"/>
    <w:rsid w:val="002220D5"/>
    <w:pPr>
      <w:spacing w:before="0" w:after="240" w:line="240" w:lineRule="auto"/>
      <w:jc w:val="left"/>
    </w:pPr>
  </w:style>
  <w:style w:type="paragraph" w:customStyle="1" w:styleId="MDPIheaderjournallogo">
    <w:name w:val="MDPI_header_journal_logo"/>
    <w:qFormat/>
    <w:rsid w:val="003B4E63"/>
    <w:pPr>
      <w:adjustRightInd w:val="0"/>
      <w:snapToGrid w:val="0"/>
    </w:pPr>
    <w:rPr>
      <w:rFonts w:ascii="Palatino Linotype" w:eastAsia="Times New Roman" w:hAnsi="Palatino Linotype" w:cs="Times New Roman"/>
      <w:i/>
      <w:color w:val="000000"/>
      <w:kern w:val="0"/>
      <w:sz w:val="24"/>
      <w:szCs w:val="22"/>
      <w:lang w:eastAsia="de-CH"/>
    </w:rPr>
  </w:style>
  <w:style w:type="paragraph" w:customStyle="1" w:styleId="Mfooter">
    <w:name w:val="M_footer"/>
    <w:qFormat/>
    <w:rsid w:val="00F87A76"/>
    <w:pPr>
      <w:spacing w:before="120"/>
      <w:jc w:val="center"/>
    </w:pPr>
    <w:rPr>
      <w:rFonts w:ascii="Minion Pro" w:eastAsiaTheme="minorEastAsia" w:hAnsi="Minion Pro" w:cs="Times New Roman"/>
      <w:color w:val="000000"/>
      <w:kern w:val="0"/>
      <w:sz w:val="24"/>
      <w:lang w:val="de-DE"/>
    </w:rPr>
  </w:style>
  <w:style w:type="paragraph" w:customStyle="1" w:styleId="Mfooterfirstpage">
    <w:name w:val="M_footer_firstpage"/>
    <w:basedOn w:val="Mfooter"/>
    <w:qFormat/>
    <w:rsid w:val="00F87A76"/>
    <w:pPr>
      <w:tabs>
        <w:tab w:val="right" w:pos="8845"/>
      </w:tabs>
      <w:spacing w:line="160" w:lineRule="exact"/>
    </w:pPr>
  </w:style>
  <w:style w:type="paragraph" w:customStyle="1" w:styleId="Mheadermdpilogo">
    <w:name w:val="M_header_mdpi_logo"/>
    <w:qFormat/>
    <w:rsid w:val="00F87A76"/>
    <w:pPr>
      <w:jc w:val="right"/>
    </w:pPr>
    <w:rPr>
      <w:rFonts w:ascii="Minion Pro" w:eastAsiaTheme="minorEastAsia" w:hAnsi="Minion Pro" w:cs="Times New Roman"/>
      <w:color w:val="000000"/>
      <w:kern w:val="0"/>
      <w:sz w:val="24"/>
      <w:lang w:val="de-DE"/>
    </w:rPr>
  </w:style>
  <w:style w:type="paragraph" w:customStyle="1" w:styleId="MAcknowledgments">
    <w:name w:val="M_Acknowledgments"/>
    <w:qFormat/>
    <w:rsid w:val="00554334"/>
    <w:pPr>
      <w:spacing w:after="120" w:line="240" w:lineRule="atLeast"/>
      <w:jc w:val="both"/>
    </w:pPr>
    <w:rPr>
      <w:rFonts w:ascii="Minion Pro" w:eastAsiaTheme="minorEastAsia" w:hAnsi="Minion Pro" w:cs="Times New Roman"/>
      <w:color w:val="000000"/>
      <w:kern w:val="0"/>
      <w:sz w:val="24"/>
      <w:lang w:val="de-DE"/>
    </w:rPr>
  </w:style>
  <w:style w:type="paragraph" w:customStyle="1" w:styleId="MDPI32textnoindent">
    <w:name w:val="MDPI_3.2_text_no_indent"/>
    <w:basedOn w:val="MDPI31text"/>
    <w:qFormat/>
    <w:rsid w:val="00B65A10"/>
    <w:pPr>
      <w:ind w:firstLine="0"/>
    </w:pPr>
  </w:style>
  <w:style w:type="paragraph" w:customStyle="1" w:styleId="MDPI33textspaceafter">
    <w:name w:val="MDPI_3.3_text_space_after"/>
    <w:basedOn w:val="MDPI31text"/>
    <w:qFormat/>
    <w:rsid w:val="00B65A10"/>
    <w:pPr>
      <w:spacing w:after="240"/>
    </w:pPr>
  </w:style>
  <w:style w:type="paragraph" w:customStyle="1" w:styleId="MDPI34textspacebefore">
    <w:name w:val="MDPI_3.4_text_space_before"/>
    <w:basedOn w:val="MDPI31text"/>
    <w:qFormat/>
    <w:rsid w:val="00B65A10"/>
    <w:pPr>
      <w:spacing w:before="240"/>
    </w:pPr>
  </w:style>
  <w:style w:type="paragraph" w:customStyle="1" w:styleId="MDPI35textbeforelist">
    <w:name w:val="MDPI_3.5_text_before_list"/>
    <w:basedOn w:val="MDPI31text"/>
    <w:qFormat/>
    <w:rsid w:val="00B65A10"/>
    <w:pPr>
      <w:spacing w:after="120"/>
    </w:pPr>
  </w:style>
  <w:style w:type="paragraph" w:customStyle="1" w:styleId="MDPI36textafterlist">
    <w:name w:val="MDPI_3.6_text_after_list"/>
    <w:basedOn w:val="MDPI31text"/>
    <w:qFormat/>
    <w:rsid w:val="00B65A10"/>
    <w:pPr>
      <w:spacing w:before="120"/>
    </w:pPr>
  </w:style>
  <w:style w:type="paragraph" w:customStyle="1" w:styleId="MDPI37itemize">
    <w:name w:val="MDPI_3.7_itemize"/>
    <w:basedOn w:val="MDPI31text"/>
    <w:qFormat/>
    <w:rsid w:val="000A45A9"/>
    <w:pPr>
      <w:numPr>
        <w:numId w:val="30"/>
      </w:numPr>
      <w:ind w:left="425" w:hanging="425"/>
    </w:pPr>
  </w:style>
  <w:style w:type="paragraph" w:customStyle="1" w:styleId="MDPI38bullet">
    <w:name w:val="MDPI_3.8_bullet"/>
    <w:basedOn w:val="MDPI31text"/>
    <w:qFormat/>
    <w:rsid w:val="00B83B50"/>
    <w:pPr>
      <w:numPr>
        <w:numId w:val="31"/>
      </w:numPr>
      <w:ind w:left="425" w:hanging="425"/>
    </w:pPr>
  </w:style>
  <w:style w:type="paragraph" w:customStyle="1" w:styleId="MDPI39equation">
    <w:name w:val="MDPI_3.9_equation"/>
    <w:basedOn w:val="MDPI31text"/>
    <w:qFormat/>
    <w:rsid w:val="00B65A10"/>
    <w:pPr>
      <w:spacing w:before="120" w:after="120"/>
      <w:ind w:left="709" w:firstLine="0"/>
      <w:jc w:val="center"/>
    </w:pPr>
  </w:style>
  <w:style w:type="paragraph" w:customStyle="1" w:styleId="MDPI3aequationnumber">
    <w:name w:val="MDPI_3.a_equation_number"/>
    <w:basedOn w:val="MDPI31text"/>
    <w:qFormat/>
    <w:rsid w:val="000F4E0E"/>
    <w:pPr>
      <w:spacing w:before="120" w:after="120" w:line="240" w:lineRule="auto"/>
      <w:ind w:firstLine="0"/>
      <w:jc w:val="right"/>
    </w:pPr>
  </w:style>
  <w:style w:type="paragraph" w:customStyle="1" w:styleId="MDPI62Acknowledgments">
    <w:name w:val="MDPI_6.2_Acknowledgments"/>
    <w:qFormat/>
    <w:rsid w:val="003B4E63"/>
    <w:pPr>
      <w:adjustRightInd w:val="0"/>
      <w:snapToGrid w:val="0"/>
      <w:spacing w:before="120" w:line="200" w:lineRule="atLeast"/>
      <w:jc w:val="both"/>
    </w:pPr>
    <w:rPr>
      <w:rFonts w:ascii="Palatino Linotype" w:eastAsia="Times New Roman" w:hAnsi="Palatino Linotype" w:cs="Times New Roman"/>
      <w:snapToGrid w:val="0"/>
      <w:color w:val="000000"/>
      <w:kern w:val="0"/>
      <w:sz w:val="18"/>
      <w:lang w:eastAsia="de-DE" w:bidi="en-US"/>
    </w:rPr>
  </w:style>
  <w:style w:type="paragraph" w:customStyle="1" w:styleId="MDPI41tablecaption">
    <w:name w:val="MDPI_4.1_table_caption"/>
    <w:basedOn w:val="MDPI62Acknowledgments"/>
    <w:qFormat/>
    <w:rsid w:val="00DB75FF"/>
    <w:pPr>
      <w:spacing w:before="240" w:after="120" w:line="260" w:lineRule="atLeast"/>
      <w:ind w:left="425" w:right="425"/>
    </w:pPr>
    <w:rPr>
      <w:rFonts w:cstheme="minorBidi"/>
      <w:snapToGrid/>
      <w:szCs w:val="22"/>
    </w:rPr>
  </w:style>
  <w:style w:type="paragraph" w:customStyle="1" w:styleId="MDPI42tablebody">
    <w:name w:val="MDPI_4.2_table_body"/>
    <w:qFormat/>
    <w:rsid w:val="003B4E63"/>
    <w:pPr>
      <w:adjustRightInd w:val="0"/>
      <w:snapToGrid w:val="0"/>
    </w:pPr>
    <w:rPr>
      <w:rFonts w:ascii="Palatino Linotype" w:eastAsia="Times New Roman" w:hAnsi="Palatino Linotype"/>
      <w:snapToGrid w:val="0"/>
      <w:color w:val="000000"/>
      <w:kern w:val="0"/>
      <w:lang w:eastAsia="de-DE" w:bidi="en-US"/>
    </w:rPr>
  </w:style>
  <w:style w:type="paragraph" w:customStyle="1" w:styleId="MDPI43tablefooter">
    <w:name w:val="MDPI_4.3_table_footer"/>
    <w:basedOn w:val="MDPI41tablecaption"/>
    <w:next w:val="MDPI31text"/>
    <w:qFormat/>
    <w:rsid w:val="00B65A10"/>
    <w:pPr>
      <w:spacing w:before="0"/>
      <w:ind w:left="0" w:right="0"/>
    </w:pPr>
  </w:style>
  <w:style w:type="paragraph" w:customStyle="1" w:styleId="MDPI51figurecaption">
    <w:name w:val="MDPI_5.1_figure_caption"/>
    <w:basedOn w:val="MDPI62Acknowledgments"/>
    <w:qFormat/>
    <w:rsid w:val="003B4E63"/>
    <w:pPr>
      <w:spacing w:after="240" w:line="260" w:lineRule="atLeast"/>
      <w:ind w:left="425" w:right="425"/>
    </w:pPr>
    <w:rPr>
      <w:snapToGrid/>
    </w:rPr>
  </w:style>
  <w:style w:type="paragraph" w:customStyle="1" w:styleId="MDPI52figure">
    <w:name w:val="MDPI_5.2_figure"/>
    <w:qFormat/>
    <w:rsid w:val="00B65A10"/>
    <w:pPr>
      <w:jc w:val="center"/>
    </w:pPr>
    <w:rPr>
      <w:rFonts w:ascii="Palatino Linotype" w:eastAsia="Times New Roman" w:hAnsi="Palatino Linotype"/>
      <w:snapToGrid w:val="0"/>
      <w:color w:val="000000"/>
      <w:kern w:val="0"/>
      <w:sz w:val="24"/>
      <w:lang w:eastAsia="de-DE" w:bidi="en-US"/>
    </w:rPr>
  </w:style>
  <w:style w:type="paragraph" w:customStyle="1" w:styleId="MDPI61Supplementary">
    <w:name w:val="MDPI_6.1_Supplementary"/>
    <w:basedOn w:val="MDPI62Acknowledgments"/>
    <w:qFormat/>
    <w:rsid w:val="00B65A10"/>
    <w:pPr>
      <w:spacing w:before="240"/>
    </w:pPr>
    <w:rPr>
      <w:lang w:eastAsia="en-US"/>
    </w:rPr>
  </w:style>
  <w:style w:type="paragraph" w:customStyle="1" w:styleId="MDPI63AuthorContributions">
    <w:name w:val="MDPI_6.3_AuthorContributions"/>
    <w:basedOn w:val="MDPI62Acknowledgments"/>
    <w:qFormat/>
    <w:rsid w:val="00B65A10"/>
    <w:rPr>
      <w:rFonts w:eastAsia="宋体"/>
      <w:color w:val="auto"/>
      <w:lang w:eastAsia="en-US"/>
    </w:rPr>
  </w:style>
  <w:style w:type="paragraph" w:customStyle="1" w:styleId="MDPI64CoI">
    <w:name w:val="MDPI_6.4_CoI"/>
    <w:basedOn w:val="MDPI62Acknowledgments"/>
    <w:qFormat/>
    <w:rsid w:val="00B65A10"/>
  </w:style>
  <w:style w:type="paragraph" w:customStyle="1" w:styleId="MDPI72Copyright">
    <w:name w:val="MDPI_7.2_Copyright"/>
    <w:basedOn w:val="MDPI71References"/>
    <w:qFormat/>
    <w:rsid w:val="00CE10A1"/>
    <w:pPr>
      <w:numPr>
        <w:numId w:val="0"/>
      </w:numPr>
      <w:spacing w:before="400"/>
    </w:pPr>
    <w:rPr>
      <w:noProof/>
      <w:spacing w:val="-2"/>
      <w:lang w:val="en-GB" w:eastAsia="en-GB" w:bidi="ar-SA"/>
    </w:rPr>
  </w:style>
  <w:style w:type="paragraph" w:customStyle="1" w:styleId="MDPI73CopyrightImage">
    <w:name w:val="MDPI_7.3_CopyrightImage"/>
    <w:rsid w:val="003B4E63"/>
    <w:pPr>
      <w:adjustRightInd w:val="0"/>
      <w:snapToGrid w:val="0"/>
      <w:spacing w:after="100"/>
      <w:jc w:val="right"/>
    </w:pPr>
    <w:rPr>
      <w:rFonts w:eastAsia="Times New Roman" w:cs="Times New Roman"/>
      <w:color w:val="000000"/>
      <w:kern w:val="0"/>
      <w:lang w:eastAsia="de-CH"/>
    </w:rPr>
  </w:style>
  <w:style w:type="paragraph" w:customStyle="1" w:styleId="MDPI81theorem">
    <w:name w:val="MDPI_8.1_theorem"/>
    <w:basedOn w:val="MDPI32textnoindent"/>
    <w:qFormat/>
    <w:rsid w:val="00B65A10"/>
    <w:rPr>
      <w:i/>
    </w:rPr>
  </w:style>
  <w:style w:type="paragraph" w:customStyle="1" w:styleId="MDPI82proof">
    <w:name w:val="MDPI_8.2_proof"/>
    <w:basedOn w:val="MDPI32textnoindent"/>
    <w:qFormat/>
    <w:rsid w:val="00CF28B7"/>
  </w:style>
  <w:style w:type="paragraph" w:customStyle="1" w:styleId="MDPIfooter">
    <w:name w:val="MDPI_footer"/>
    <w:qFormat/>
    <w:rsid w:val="003B4E63"/>
    <w:pPr>
      <w:adjustRightInd w:val="0"/>
      <w:snapToGrid w:val="0"/>
      <w:spacing w:before="120"/>
      <w:jc w:val="center"/>
    </w:pPr>
    <w:rPr>
      <w:rFonts w:ascii="Palatino Linotype" w:eastAsia="Times New Roman" w:hAnsi="Palatino Linotype" w:cs="Times New Roman"/>
      <w:kern w:val="0"/>
      <w:lang w:eastAsia="de-DE"/>
    </w:rPr>
  </w:style>
  <w:style w:type="paragraph" w:customStyle="1" w:styleId="MDPIfooterfirstpage">
    <w:name w:val="MDPI_footer_firstpage"/>
    <w:basedOn w:val="MDPIfooter"/>
    <w:qFormat/>
    <w:rsid w:val="002220D5"/>
    <w:pPr>
      <w:tabs>
        <w:tab w:val="right" w:pos="8845"/>
      </w:tabs>
      <w:spacing w:line="160" w:lineRule="exact"/>
      <w:jc w:val="left"/>
    </w:pPr>
    <w:rPr>
      <w:sz w:val="16"/>
    </w:rPr>
  </w:style>
  <w:style w:type="paragraph" w:customStyle="1" w:styleId="MDPI31text">
    <w:name w:val="MDPI_3.1_text"/>
    <w:qFormat/>
    <w:rsid w:val="003B4E63"/>
    <w:pPr>
      <w:adjustRightInd w:val="0"/>
      <w:snapToGrid w:val="0"/>
      <w:spacing w:line="260" w:lineRule="atLeast"/>
      <w:ind w:firstLine="425"/>
      <w:jc w:val="both"/>
    </w:pPr>
    <w:rPr>
      <w:rFonts w:ascii="Palatino Linotype" w:eastAsia="Times New Roman" w:hAnsi="Palatino Linotype" w:cs="Times New Roman"/>
      <w:snapToGrid w:val="0"/>
      <w:color w:val="000000"/>
      <w:kern w:val="0"/>
      <w:szCs w:val="22"/>
      <w:lang w:eastAsia="de-DE" w:bidi="en-US"/>
    </w:rPr>
  </w:style>
  <w:style w:type="paragraph" w:customStyle="1" w:styleId="MDPI23heading3">
    <w:name w:val="MDPI_2.3_heading3"/>
    <w:basedOn w:val="MDPI31text"/>
    <w:qFormat/>
    <w:rsid w:val="004B664F"/>
    <w:pPr>
      <w:spacing w:before="240" w:after="120"/>
      <w:ind w:firstLine="0"/>
      <w:jc w:val="left"/>
      <w:outlineLvl w:val="2"/>
    </w:pPr>
  </w:style>
  <w:style w:type="paragraph" w:customStyle="1" w:styleId="MDPI21heading1">
    <w:name w:val="MDPI_2.1_heading1"/>
    <w:basedOn w:val="MDPI23heading3"/>
    <w:qFormat/>
    <w:rsid w:val="004B664F"/>
    <w:pPr>
      <w:outlineLvl w:val="0"/>
    </w:pPr>
    <w:rPr>
      <w:b/>
    </w:rPr>
  </w:style>
  <w:style w:type="paragraph" w:customStyle="1" w:styleId="MDPI22heading2">
    <w:name w:val="MDPI_2.2_heading2"/>
    <w:basedOn w:val="MDPItext"/>
    <w:qFormat/>
    <w:rsid w:val="004B664F"/>
    <w:pPr>
      <w:spacing w:before="240" w:after="120" w:line="260" w:lineRule="atLeast"/>
      <w:ind w:left="0" w:right="0" w:firstLine="0"/>
      <w:jc w:val="left"/>
      <w:outlineLvl w:val="1"/>
    </w:pPr>
    <w:rPr>
      <w:rFonts w:ascii="Palatino Linotype" w:hAnsi="Palatino Linotype"/>
      <w:i/>
      <w:sz w:val="20"/>
    </w:rPr>
  </w:style>
  <w:style w:type="paragraph" w:customStyle="1" w:styleId="MDPI71References">
    <w:name w:val="MDPI_7.1_References"/>
    <w:basedOn w:val="MDPI62Acknowledgments"/>
    <w:qFormat/>
    <w:rsid w:val="004C71C5"/>
    <w:pPr>
      <w:numPr>
        <w:numId w:val="33"/>
      </w:numPr>
      <w:spacing w:before="0" w:line="260" w:lineRule="atLeast"/>
      <w:ind w:left="425" w:hanging="425"/>
    </w:pPr>
  </w:style>
  <w:style w:type="paragraph" w:customStyle="1" w:styleId="MDPIheadermdpilogo">
    <w:name w:val="MDPI_header_mdpi_logo"/>
    <w:qFormat/>
    <w:rsid w:val="003B4E63"/>
    <w:pPr>
      <w:adjustRightInd w:val="0"/>
      <w:snapToGrid w:val="0"/>
      <w:jc w:val="right"/>
    </w:pPr>
    <w:rPr>
      <w:rFonts w:ascii="Palatino Linotype" w:eastAsia="Times New Roman" w:hAnsi="Palatino Linotype" w:cs="Times New Roman"/>
      <w:color w:val="000000"/>
      <w:kern w:val="0"/>
      <w:sz w:val="24"/>
      <w:szCs w:val="22"/>
      <w:lang w:eastAsia="de-CH"/>
    </w:rPr>
  </w:style>
  <w:style w:type="paragraph" w:customStyle="1" w:styleId="MDPI411onetablecaption">
    <w:name w:val="MDPI_4.1.1_one_table_caption"/>
    <w:basedOn w:val="Normal"/>
    <w:qFormat/>
    <w:rsid w:val="009136F9"/>
    <w:pPr>
      <w:adjustRightInd w:val="0"/>
      <w:snapToGrid w:val="0"/>
      <w:spacing w:before="120" w:after="240" w:line="260" w:lineRule="atLeast"/>
      <w:jc w:val="center"/>
    </w:pPr>
    <w:rPr>
      <w:rFonts w:ascii="Palatino Linotype" w:hAnsi="Palatino Linotype" w:cstheme="minorBidi"/>
      <w:sz w:val="18"/>
      <w:szCs w:val="22"/>
      <w:lang w:bidi="en-US"/>
    </w:rPr>
  </w:style>
  <w:style w:type="paragraph" w:customStyle="1" w:styleId="MDPI511onefigurecaption">
    <w:name w:val="MDPI_5.1.1_one_figure_caption"/>
    <w:basedOn w:val="Normal"/>
    <w:qFormat/>
    <w:rsid w:val="009136F9"/>
    <w:pPr>
      <w:adjustRightInd w:val="0"/>
      <w:snapToGrid w:val="0"/>
      <w:spacing w:before="120" w:after="240" w:line="260" w:lineRule="atLeast"/>
      <w:jc w:val="center"/>
    </w:pPr>
    <w:rPr>
      <w:rFonts w:ascii="Palatino Linotype" w:hAnsi="Palatino Linotype"/>
      <w:sz w:val="18"/>
      <w:lang w:bidi="en-US"/>
    </w:rPr>
  </w:style>
  <w:style w:type="paragraph" w:customStyle="1" w:styleId="MDPItext">
    <w:name w:val="MDPI_text"/>
    <w:basedOn w:val="Mdeck4text"/>
    <w:qFormat/>
    <w:rsid w:val="006C7D91"/>
    <w:pPr>
      <w:ind w:left="425" w:right="425"/>
    </w:pPr>
    <w:rPr>
      <w:rFonts w:cs="Times New Roman"/>
      <w:noProof/>
      <w:sz w:val="22"/>
      <w:szCs w:val="22"/>
    </w:rPr>
  </w:style>
  <w:style w:type="paragraph" w:customStyle="1" w:styleId="MDPItitle">
    <w:name w:val="MDPI_title"/>
    <w:qFormat/>
    <w:rsid w:val="003B4E63"/>
    <w:pPr>
      <w:adjustRightInd w:val="0"/>
      <w:snapToGrid w:val="0"/>
      <w:spacing w:after="240"/>
    </w:pPr>
    <w:rPr>
      <w:rFonts w:eastAsia="Times New Roman" w:cs="Times New Roman"/>
      <w:b/>
      <w:snapToGrid w:val="0"/>
      <w:color w:val="000000"/>
      <w:kern w:val="0"/>
      <w:sz w:val="36"/>
      <w:lang w:eastAsia="de-DE" w:bidi="en-US"/>
    </w:rPr>
  </w:style>
  <w:style w:type="paragraph" w:styleId="HTMLPreformatted">
    <w:name w:val="HTML Preformatted"/>
    <w:basedOn w:val="Normal"/>
    <w:link w:val="HTMLPreformattedChar"/>
    <w:uiPriority w:val="99"/>
    <w:semiHidden/>
    <w:unhideWhenUsed/>
    <w:rsid w:val="00DC3C26"/>
    <w:pPr>
      <w:spacing w:line="240" w:lineRule="auto"/>
    </w:pPr>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DC3C26"/>
    <w:rPr>
      <w:rFonts w:ascii="Consolas" w:eastAsia="Times New Roman" w:hAnsi="Consolas" w:cs="Consolas"/>
      <w:color w:val="000000"/>
      <w:kern w:val="0"/>
      <w:lang w:eastAsia="de-DE"/>
    </w:rPr>
  </w:style>
  <w:style w:type="character" w:styleId="Emphasis">
    <w:name w:val="Emphasis"/>
    <w:qFormat/>
    <w:rsid w:val="00DC3C2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883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Microprocessor"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challenge\challenges-template.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900381-C5A5-4E53-8950-0EDD1B3A0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challenges-template</Template>
  <TotalTime>16</TotalTime>
  <Pages>6</Pages>
  <Words>3046</Words>
  <Characters>17368</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20374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c:creator>
  <cp:keywords/>
  <dc:description/>
  <cp:lastModifiedBy>microsoft-tz2 microsoft-tz2</cp:lastModifiedBy>
  <cp:revision>2</cp:revision>
  <dcterms:created xsi:type="dcterms:W3CDTF">2016-11-29T05:26:00Z</dcterms:created>
  <dcterms:modified xsi:type="dcterms:W3CDTF">2016-11-29T05:43:00Z</dcterms:modified>
</cp:coreProperties>
</file>