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4DFCFE" w14:textId="09E2D9B3" w:rsidR="00185B66" w:rsidRPr="002A338C" w:rsidRDefault="00317CF1" w:rsidP="00185B66">
      <w:bookmarkStart w:id="0" w:name="_Toc159371021"/>
      <w:r>
        <w:rPr>
          <w:rFonts w:eastAsiaTheme="majorEastAsia"/>
          <w:spacing w:val="-10"/>
          <w:kern w:val="28"/>
          <w:sz w:val="56"/>
          <w:szCs w:val="56"/>
        </w:rPr>
        <w:t>T</w:t>
      </w:r>
      <w:r w:rsidR="003F12A9" w:rsidRPr="00A9239C">
        <w:rPr>
          <w:rFonts w:eastAsiaTheme="majorEastAsia"/>
          <w:spacing w:val="-10"/>
          <w:kern w:val="28"/>
          <w:sz w:val="56"/>
          <w:szCs w:val="56"/>
        </w:rPr>
        <w:t xml:space="preserve">owards realistic models of </w:t>
      </w:r>
      <w:r w:rsidR="00F37792" w:rsidRPr="00F37792">
        <w:rPr>
          <w:rFonts w:eastAsiaTheme="majorEastAsia"/>
          <w:spacing w:val="-10"/>
          <w:kern w:val="28"/>
          <w:sz w:val="56"/>
          <w:szCs w:val="56"/>
        </w:rPr>
        <w:t>the electrocatalytic oxygen evolution reaction</w:t>
      </w:r>
    </w:p>
    <w:p w14:paraId="6B2A1A05" w14:textId="77777777" w:rsidR="00C567DC" w:rsidRPr="00A9239C" w:rsidRDefault="00C567DC" w:rsidP="00C567DC">
      <w:pPr>
        <w:pStyle w:val="Subtitle"/>
        <w:rPr>
          <w:rFonts w:ascii="Times New Roman" w:hAnsi="Times New Roman" w:cs="Times New Roman"/>
        </w:rPr>
      </w:pPr>
    </w:p>
    <w:p w14:paraId="3D5BD2AC" w14:textId="559377D6" w:rsidR="00C567DC" w:rsidRPr="00A9239C" w:rsidRDefault="00C567DC" w:rsidP="00C567DC">
      <w:pPr>
        <w:pStyle w:val="Subtitle"/>
        <w:spacing w:after="0"/>
        <w:rPr>
          <w:rFonts w:ascii="Times New Roman" w:hAnsi="Times New Roman" w:cs="Times New Roman"/>
        </w:rPr>
      </w:pPr>
      <w:r w:rsidRPr="00A9239C">
        <w:rPr>
          <w:rFonts w:ascii="Times New Roman" w:hAnsi="Times New Roman" w:cs="Times New Roman"/>
        </w:rPr>
        <w:t>Travis E. Jones</w:t>
      </w:r>
      <w:r w:rsidR="00C1339A">
        <w:rPr>
          <w:rFonts w:ascii="Times New Roman" w:hAnsi="Times New Roman" w:cs="Times New Roman"/>
          <w:vertAlign w:val="superscript"/>
        </w:rPr>
        <w:t>1,</w:t>
      </w:r>
      <w:proofErr w:type="gramStart"/>
      <w:r w:rsidR="00C1339A">
        <w:rPr>
          <w:rFonts w:ascii="Times New Roman" w:hAnsi="Times New Roman" w:cs="Times New Roman"/>
          <w:vertAlign w:val="superscript"/>
        </w:rPr>
        <w:t>2,*</w:t>
      </w:r>
      <w:proofErr w:type="gramEnd"/>
      <w:r w:rsidR="00C1339A">
        <w:rPr>
          <w:rFonts w:ascii="Times New Roman" w:hAnsi="Times New Roman" w:cs="Times New Roman"/>
        </w:rPr>
        <w:t xml:space="preserve">, </w:t>
      </w:r>
      <w:proofErr w:type="spellStart"/>
      <w:r w:rsidRPr="00A9239C">
        <w:rPr>
          <w:rFonts w:ascii="Times New Roman" w:hAnsi="Times New Roman" w:cs="Times New Roman"/>
        </w:rPr>
        <w:t>Detre</w:t>
      </w:r>
      <w:proofErr w:type="spellEnd"/>
      <w:r w:rsidRPr="00A9239C">
        <w:rPr>
          <w:rFonts w:ascii="Times New Roman" w:hAnsi="Times New Roman" w:cs="Times New Roman"/>
        </w:rPr>
        <w:t xml:space="preserve"> Teschner</w:t>
      </w:r>
      <w:r w:rsidR="00C1339A">
        <w:rPr>
          <w:rFonts w:ascii="Times New Roman" w:hAnsi="Times New Roman" w:cs="Times New Roman"/>
          <w:vertAlign w:val="superscript"/>
        </w:rPr>
        <w:t>2,3,*</w:t>
      </w:r>
      <w:r w:rsidR="00C1339A">
        <w:rPr>
          <w:rFonts w:ascii="Times New Roman" w:hAnsi="Times New Roman" w:cs="Times New Roman"/>
        </w:rPr>
        <w:t xml:space="preserve">, </w:t>
      </w:r>
      <w:r w:rsidRPr="00A9239C">
        <w:rPr>
          <w:rFonts w:ascii="Times New Roman" w:hAnsi="Times New Roman" w:cs="Times New Roman"/>
        </w:rPr>
        <w:t>Simone Piccinin</w:t>
      </w:r>
      <w:r w:rsidR="00C1339A">
        <w:rPr>
          <w:rFonts w:ascii="Times New Roman" w:hAnsi="Times New Roman" w:cs="Times New Roman"/>
          <w:vertAlign w:val="superscript"/>
        </w:rPr>
        <w:t>4,*</w:t>
      </w:r>
      <w:r w:rsidRPr="00A9239C">
        <w:rPr>
          <w:rFonts w:ascii="Times New Roman" w:hAnsi="Times New Roman" w:cs="Times New Roman"/>
        </w:rPr>
        <w:t xml:space="preserve"> </w:t>
      </w:r>
    </w:p>
    <w:p w14:paraId="1CF3EA43" w14:textId="77298721" w:rsidR="00185B66" w:rsidRDefault="00C1339A" w:rsidP="00C1339A">
      <w:pPr>
        <w:pStyle w:val="ListParagraph"/>
        <w:numPr>
          <w:ilvl w:val="0"/>
          <w:numId w:val="23"/>
        </w:numPr>
      </w:pPr>
      <w:r w:rsidRPr="00A9239C">
        <w:t xml:space="preserve">Theoretical Division, Los Alamos National Laboratory, Los Alamos, NM, </w:t>
      </w:r>
      <w:r w:rsidR="008A3CE3" w:rsidRPr="008A3CE3">
        <w:t>87545</w:t>
      </w:r>
      <w:r w:rsidR="008A3CE3">
        <w:t>,</w:t>
      </w:r>
      <w:r w:rsidR="008A3CE3" w:rsidRPr="008A3CE3">
        <w:t xml:space="preserve"> </w:t>
      </w:r>
      <w:r w:rsidRPr="00A9239C">
        <w:t>USA.</w:t>
      </w:r>
    </w:p>
    <w:p w14:paraId="365AE93C" w14:textId="4EC447AE" w:rsidR="00C1339A" w:rsidRDefault="00C1339A" w:rsidP="00C1339A">
      <w:pPr>
        <w:pStyle w:val="ListParagraph"/>
        <w:numPr>
          <w:ilvl w:val="0"/>
          <w:numId w:val="23"/>
        </w:numPr>
      </w:pPr>
      <w:r w:rsidRPr="00A9239C">
        <w:t xml:space="preserve">Department of Inorganic Chemistry, Fritz-Haber-Institute of the Max-Planck-Society, Berlin, </w:t>
      </w:r>
      <w:r w:rsidR="008A3CE3" w:rsidRPr="008A3CE3">
        <w:t>14195</w:t>
      </w:r>
      <w:r w:rsidR="008A3CE3">
        <w:t>,</w:t>
      </w:r>
      <w:r w:rsidR="008A3CE3" w:rsidRPr="008A3CE3">
        <w:t xml:space="preserve"> </w:t>
      </w:r>
      <w:r w:rsidRPr="00A9239C">
        <w:t>Germany</w:t>
      </w:r>
      <w:r>
        <w:t>.</w:t>
      </w:r>
    </w:p>
    <w:p w14:paraId="09820CAE" w14:textId="5E9304E8" w:rsidR="00C1339A" w:rsidRDefault="00C1339A" w:rsidP="00C1339A">
      <w:pPr>
        <w:pStyle w:val="ListParagraph"/>
        <w:numPr>
          <w:ilvl w:val="0"/>
          <w:numId w:val="23"/>
        </w:numPr>
      </w:pPr>
      <w:r w:rsidRPr="00A9239C">
        <w:t xml:space="preserve">Department of Heterogeneous Reactions, Max-Planck-Institute for Chemical Energy Conversion, </w:t>
      </w:r>
      <w:proofErr w:type="spellStart"/>
      <w:r w:rsidRPr="00A9239C">
        <w:t>Mülheim</w:t>
      </w:r>
      <w:proofErr w:type="spellEnd"/>
      <w:r w:rsidR="008A3CE3">
        <w:t xml:space="preserve"> </w:t>
      </w:r>
      <w:r w:rsidRPr="00A9239C">
        <w:t>an</w:t>
      </w:r>
      <w:r w:rsidR="008A3CE3">
        <w:t xml:space="preserve"> </w:t>
      </w:r>
      <w:r w:rsidRPr="00A9239C">
        <w:t>der</w:t>
      </w:r>
      <w:r w:rsidR="008A3CE3">
        <w:t xml:space="preserve"> </w:t>
      </w:r>
      <w:r w:rsidRPr="00A9239C">
        <w:t xml:space="preserve">Ruhr, </w:t>
      </w:r>
      <w:r w:rsidR="008A3CE3" w:rsidRPr="008A3CE3">
        <w:t>45470</w:t>
      </w:r>
      <w:r w:rsidR="008A3CE3">
        <w:t>,</w:t>
      </w:r>
      <w:r w:rsidR="008A3CE3" w:rsidRPr="008A3CE3">
        <w:t xml:space="preserve"> </w:t>
      </w:r>
      <w:r w:rsidRPr="00A9239C">
        <w:t>Germany</w:t>
      </w:r>
      <w:r>
        <w:t>.</w:t>
      </w:r>
    </w:p>
    <w:p w14:paraId="1C69EF07" w14:textId="4F57059D" w:rsidR="00C1339A" w:rsidRPr="00A41B5A" w:rsidRDefault="00C1339A" w:rsidP="00C1339A">
      <w:pPr>
        <w:pStyle w:val="ListParagraph"/>
        <w:numPr>
          <w:ilvl w:val="0"/>
          <w:numId w:val="23"/>
        </w:numPr>
        <w:rPr>
          <w:lang w:val="it-IT"/>
        </w:rPr>
      </w:pPr>
      <w:r w:rsidRPr="00A41B5A">
        <w:rPr>
          <w:lang w:val="it-IT"/>
        </w:rPr>
        <w:t xml:space="preserve">Consiglio Nazionale delle Ricerche, Istituto Officina dei Materiali, Trieste, </w:t>
      </w:r>
      <w:r w:rsidR="008A3CE3" w:rsidRPr="00A41B5A">
        <w:rPr>
          <w:lang w:val="it-IT"/>
        </w:rPr>
        <w:t xml:space="preserve">34136, </w:t>
      </w:r>
      <w:proofErr w:type="spellStart"/>
      <w:r w:rsidRPr="00A41B5A">
        <w:rPr>
          <w:lang w:val="it-IT"/>
        </w:rPr>
        <w:t>Italy</w:t>
      </w:r>
      <w:proofErr w:type="spellEnd"/>
      <w:r w:rsidRPr="00A41B5A">
        <w:rPr>
          <w:lang w:val="it-IT"/>
        </w:rPr>
        <w:t>.</w:t>
      </w:r>
    </w:p>
    <w:p w14:paraId="7EFDBBDA" w14:textId="1A26D475" w:rsidR="00C1339A" w:rsidRDefault="00C1339A" w:rsidP="00C1339A">
      <w:pPr>
        <w:pStyle w:val="Subtitle"/>
        <w:rPr>
          <w:rFonts w:ascii="Times New Roman" w:hAnsi="Times New Roman" w:cs="Times New Roman"/>
        </w:rPr>
      </w:pPr>
      <w:r>
        <w:t xml:space="preserve">*Email: </w:t>
      </w:r>
      <w:hyperlink r:id="rId8" w:history="1">
        <w:r w:rsidRPr="002613F6">
          <w:rPr>
            <w:rStyle w:val="Hyperlink"/>
            <w:rFonts w:ascii="Times New Roman" w:hAnsi="Times New Roman" w:cs="Times New Roman"/>
          </w:rPr>
          <w:t>tejones@lanl.gov</w:t>
        </w:r>
      </w:hyperlink>
      <w:r>
        <w:rPr>
          <w:rFonts w:ascii="Times New Roman" w:hAnsi="Times New Roman" w:cs="Times New Roman"/>
        </w:rPr>
        <w:t xml:space="preserve">, </w:t>
      </w:r>
      <w:hyperlink r:id="rId9" w:history="1">
        <w:r w:rsidRPr="002613F6">
          <w:rPr>
            <w:rStyle w:val="Hyperlink"/>
            <w:rFonts w:ascii="Times New Roman" w:hAnsi="Times New Roman" w:cs="Times New Roman"/>
          </w:rPr>
          <w:t>teschner@fhi-berlin.mpg.de</w:t>
        </w:r>
      </w:hyperlink>
      <w:r>
        <w:rPr>
          <w:rFonts w:ascii="Times New Roman" w:hAnsi="Times New Roman" w:cs="Times New Roman"/>
        </w:rPr>
        <w:t xml:space="preserve">, </w:t>
      </w:r>
      <w:hyperlink r:id="rId10" w:history="1">
        <w:r w:rsidR="00B7319C" w:rsidRPr="009058FE">
          <w:rPr>
            <w:rStyle w:val="Hyperlink"/>
            <w:rFonts w:ascii="Times New Roman" w:hAnsi="Times New Roman" w:cs="Times New Roman"/>
          </w:rPr>
          <w:t>piccinin@iom.cnr.it</w:t>
        </w:r>
      </w:hyperlink>
    </w:p>
    <w:p w14:paraId="6552503E" w14:textId="77777777" w:rsidR="00B7319C" w:rsidRPr="00B7319C" w:rsidRDefault="00B7319C" w:rsidP="00B7319C"/>
    <w:p w14:paraId="546ED445" w14:textId="671CA736" w:rsidR="00185B66" w:rsidRPr="003844CD" w:rsidRDefault="00185B66" w:rsidP="00185B66"/>
    <w:p w14:paraId="3AD2434B" w14:textId="77777777" w:rsidR="00185B66" w:rsidRPr="003844CD" w:rsidRDefault="00185B66" w:rsidP="00185B66">
      <w:pPr>
        <w:pStyle w:val="Heading1"/>
      </w:pPr>
      <w:bookmarkStart w:id="1" w:name="_Toc159453297"/>
      <w:bookmarkStart w:id="2" w:name="_Toc159453457"/>
      <w:bookmarkStart w:id="3" w:name="_Ref159961029"/>
      <w:bookmarkStart w:id="4" w:name="_Toc166441723"/>
      <w:r w:rsidRPr="003844CD">
        <w:t>Abstract</w:t>
      </w:r>
      <w:bookmarkEnd w:id="1"/>
      <w:bookmarkEnd w:id="2"/>
      <w:bookmarkEnd w:id="3"/>
      <w:bookmarkEnd w:id="4"/>
    </w:p>
    <w:p w14:paraId="2F6C6120" w14:textId="77777777" w:rsidR="00185B66" w:rsidRDefault="00185B66" w:rsidP="00185B66"/>
    <w:p w14:paraId="6BD6CA09" w14:textId="382CB541" w:rsidR="00185B66" w:rsidRDefault="00185B66" w:rsidP="00185B66">
      <w:r>
        <w:t xml:space="preserve">The electrocatalytic oxygen evolution reaction (OER) supplies the protons and electrons needed to transform renewable electricity into chemicals and fuels. However, the OER is kinetically sluggish; it operates at </w:t>
      </w:r>
      <w:r w:rsidR="00C37783">
        <w:t xml:space="preserve">significant </w:t>
      </w:r>
      <w:r>
        <w:t>rates only when the applied potential far exceeds the reversible voltage. The origin of this overpotential is hidden in a complex mechanism involving multiple electron transfers and chemical bond making/breaking steps. Our desire to improve catalytic performance has then made mechanistic studies of the OER an area of major scientific inquiry, though the complexity of the reaction has made understanding difficult. While historically</w:t>
      </w:r>
      <w:r w:rsidR="001E6C1E">
        <w:t>,</w:t>
      </w:r>
      <w:r>
        <w:t xml:space="preserve"> mechanistic studies have relied solely on experiment and phenomenological models, over the past twenty years </w:t>
      </w:r>
      <w:r>
        <w:rPr>
          <w:i/>
          <w:iCs/>
        </w:rPr>
        <w:t>ab initio</w:t>
      </w:r>
      <w:r>
        <w:t xml:space="preserve"> simulation has been playing an increasing</w:t>
      </w:r>
      <w:r w:rsidR="001E6C1E">
        <w:t>ly</w:t>
      </w:r>
      <w:r>
        <w:t xml:space="preserve"> important role in developing our understanding of the electrocatalytic OER and its reaction mechanisms. In this review we cover advances in our mechanistic understanding of the OER, with the review organized by increasing complexity in the way through which the OER is modeled. We begin with phenomenological models built using experimental data before reviewing early efforts to incorporate </w:t>
      </w:r>
      <w:r>
        <w:rPr>
          <w:i/>
          <w:iCs/>
        </w:rPr>
        <w:t>ab initio</w:t>
      </w:r>
      <w:r>
        <w:t xml:space="preserve"> methods into mechanistic studies. We go on to cover how the assumptions in these early </w:t>
      </w:r>
      <w:r>
        <w:rPr>
          <w:i/>
          <w:iCs/>
        </w:rPr>
        <w:t>ab initio</w:t>
      </w:r>
      <w:r>
        <w:t xml:space="preserve"> simulations—no electric field, electrolyte, or explicit kinetics—have been relaxed. Through comparison with experimental literature, we explore the veracity of these different assumptions. We summarize by discussing the most critical open challenges in developing models to understand the mechanisms of the OER.</w:t>
      </w:r>
    </w:p>
    <w:p w14:paraId="2A11AB10" w14:textId="77777777" w:rsidR="00185B66" w:rsidRDefault="00185B66" w:rsidP="00185B66"/>
    <w:p w14:paraId="7E4BC2D4" w14:textId="77777777" w:rsidR="00185B66" w:rsidRDefault="00185B66" w:rsidP="00185B66"/>
    <w:p w14:paraId="3D2BA6F7" w14:textId="77777777" w:rsidR="00C567DC" w:rsidRDefault="00C567DC">
      <w:pPr>
        <w:rPr>
          <w:rFonts w:asciiTheme="minorHAnsi" w:hAnsiTheme="minorHAnsi" w:cstheme="minorHAnsi"/>
          <w:b/>
          <w:bCs/>
          <w:caps/>
          <w:szCs w:val="22"/>
          <w:u w:val="single"/>
        </w:rPr>
      </w:pPr>
      <w:r>
        <w:br w:type="page"/>
      </w:r>
    </w:p>
    <w:bookmarkStart w:id="5" w:name="_Toc159453298"/>
    <w:bookmarkStart w:id="6" w:name="_Toc159453458"/>
    <w:p w14:paraId="1F478CFB" w14:textId="763CE911" w:rsidR="00697C16" w:rsidRDefault="000231C1">
      <w:pPr>
        <w:pStyle w:val="TOC1"/>
        <w:rPr>
          <w:rFonts w:eastAsiaTheme="minorEastAsia" w:cstheme="minorBidi"/>
          <w:b w:val="0"/>
          <w:bCs w:val="0"/>
          <w:caps w:val="0"/>
          <w:noProof/>
          <w:kern w:val="2"/>
          <w:sz w:val="24"/>
          <w:szCs w:val="24"/>
          <w:u w:val="none"/>
          <w:lang w:eastAsia="en-GB"/>
          <w14:ligatures w14:val="standardContextual"/>
        </w:rPr>
      </w:pPr>
      <w:r>
        <w:rPr>
          <w:b w:val="0"/>
          <w:bCs w:val="0"/>
          <w:caps w:val="0"/>
        </w:rPr>
        <w:lastRenderedPageBreak/>
        <w:fldChar w:fldCharType="begin"/>
      </w:r>
      <w:r>
        <w:rPr>
          <w:b w:val="0"/>
          <w:bCs w:val="0"/>
          <w:caps w:val="0"/>
        </w:rPr>
        <w:instrText xml:space="preserve"> TOC \o "1-2" \h \z \u \t "Heading 4,3" </w:instrText>
      </w:r>
      <w:r>
        <w:rPr>
          <w:b w:val="0"/>
          <w:bCs w:val="0"/>
          <w:caps w:val="0"/>
        </w:rPr>
        <w:fldChar w:fldCharType="separate"/>
      </w:r>
      <w:hyperlink w:anchor="_Toc166441723" w:history="1">
        <w:r w:rsidR="00697C16" w:rsidRPr="00D57666">
          <w:rPr>
            <w:rStyle w:val="Hyperlink"/>
            <w:noProof/>
          </w:rPr>
          <w:t>Abstract</w:t>
        </w:r>
        <w:r w:rsidR="00697C16">
          <w:rPr>
            <w:noProof/>
            <w:webHidden/>
          </w:rPr>
          <w:tab/>
        </w:r>
        <w:r w:rsidR="00697C16">
          <w:rPr>
            <w:noProof/>
            <w:webHidden/>
          </w:rPr>
          <w:fldChar w:fldCharType="begin"/>
        </w:r>
        <w:r w:rsidR="00697C16">
          <w:rPr>
            <w:noProof/>
            <w:webHidden/>
          </w:rPr>
          <w:instrText xml:space="preserve"> PAGEREF _Toc166441723 \h </w:instrText>
        </w:r>
        <w:r w:rsidR="00697C16">
          <w:rPr>
            <w:noProof/>
            <w:webHidden/>
          </w:rPr>
        </w:r>
        <w:r w:rsidR="00697C16">
          <w:rPr>
            <w:noProof/>
            <w:webHidden/>
          </w:rPr>
          <w:fldChar w:fldCharType="separate"/>
        </w:r>
        <w:r w:rsidR="00DB5848">
          <w:rPr>
            <w:noProof/>
            <w:webHidden/>
          </w:rPr>
          <w:t>1</w:t>
        </w:r>
        <w:r w:rsidR="00697C16">
          <w:rPr>
            <w:noProof/>
            <w:webHidden/>
          </w:rPr>
          <w:fldChar w:fldCharType="end"/>
        </w:r>
      </w:hyperlink>
    </w:p>
    <w:p w14:paraId="16F8458A" w14:textId="64585CDC" w:rsidR="00697C16" w:rsidRDefault="00000000">
      <w:pPr>
        <w:pStyle w:val="TOC1"/>
        <w:tabs>
          <w:tab w:val="left" w:pos="410"/>
        </w:tabs>
        <w:rPr>
          <w:rFonts w:eastAsiaTheme="minorEastAsia" w:cstheme="minorBidi"/>
          <w:b w:val="0"/>
          <w:bCs w:val="0"/>
          <w:caps w:val="0"/>
          <w:noProof/>
          <w:kern w:val="2"/>
          <w:sz w:val="24"/>
          <w:szCs w:val="24"/>
          <w:u w:val="none"/>
          <w:lang w:eastAsia="en-GB"/>
          <w14:ligatures w14:val="standardContextual"/>
        </w:rPr>
      </w:pPr>
      <w:hyperlink w:anchor="_Toc166441724" w:history="1">
        <w:r w:rsidR="00697C16" w:rsidRPr="00D57666">
          <w:rPr>
            <w:rStyle w:val="Hyperlink"/>
            <w:noProof/>
          </w:rPr>
          <w:t>1.</w:t>
        </w:r>
        <w:r w:rsidR="00697C16">
          <w:rPr>
            <w:rFonts w:eastAsiaTheme="minorEastAsia" w:cstheme="minorBidi"/>
            <w:b w:val="0"/>
            <w:bCs w:val="0"/>
            <w:caps w:val="0"/>
            <w:noProof/>
            <w:kern w:val="2"/>
            <w:sz w:val="24"/>
            <w:szCs w:val="24"/>
            <w:u w:val="none"/>
            <w:lang w:eastAsia="en-GB"/>
            <w14:ligatures w14:val="standardContextual"/>
          </w:rPr>
          <w:tab/>
        </w:r>
        <w:r w:rsidR="00697C16" w:rsidRPr="00D57666">
          <w:rPr>
            <w:rStyle w:val="Hyperlink"/>
            <w:noProof/>
          </w:rPr>
          <w:t>Introduction</w:t>
        </w:r>
        <w:r w:rsidR="00697C16">
          <w:rPr>
            <w:noProof/>
            <w:webHidden/>
          </w:rPr>
          <w:tab/>
        </w:r>
        <w:r w:rsidR="00697C16">
          <w:rPr>
            <w:noProof/>
            <w:webHidden/>
          </w:rPr>
          <w:fldChar w:fldCharType="begin"/>
        </w:r>
        <w:r w:rsidR="00697C16">
          <w:rPr>
            <w:noProof/>
            <w:webHidden/>
          </w:rPr>
          <w:instrText xml:space="preserve"> PAGEREF _Toc166441724 \h </w:instrText>
        </w:r>
        <w:r w:rsidR="00697C16">
          <w:rPr>
            <w:noProof/>
            <w:webHidden/>
          </w:rPr>
        </w:r>
        <w:r w:rsidR="00697C16">
          <w:rPr>
            <w:noProof/>
            <w:webHidden/>
          </w:rPr>
          <w:fldChar w:fldCharType="separate"/>
        </w:r>
        <w:r w:rsidR="00DB5848">
          <w:rPr>
            <w:noProof/>
            <w:webHidden/>
          </w:rPr>
          <w:t>3</w:t>
        </w:r>
        <w:r w:rsidR="00697C16">
          <w:rPr>
            <w:noProof/>
            <w:webHidden/>
          </w:rPr>
          <w:fldChar w:fldCharType="end"/>
        </w:r>
      </w:hyperlink>
    </w:p>
    <w:p w14:paraId="4D907621" w14:textId="767C55D2" w:rsidR="00697C16" w:rsidRDefault="00000000">
      <w:pPr>
        <w:pStyle w:val="TOC1"/>
        <w:tabs>
          <w:tab w:val="left" w:pos="410"/>
        </w:tabs>
        <w:rPr>
          <w:rFonts w:eastAsiaTheme="minorEastAsia" w:cstheme="minorBidi"/>
          <w:b w:val="0"/>
          <w:bCs w:val="0"/>
          <w:caps w:val="0"/>
          <w:noProof/>
          <w:kern w:val="2"/>
          <w:sz w:val="24"/>
          <w:szCs w:val="24"/>
          <w:u w:val="none"/>
          <w:lang w:eastAsia="en-GB"/>
          <w14:ligatures w14:val="standardContextual"/>
        </w:rPr>
      </w:pPr>
      <w:hyperlink w:anchor="_Toc166441725" w:history="1">
        <w:r w:rsidR="00697C16" w:rsidRPr="00D57666">
          <w:rPr>
            <w:rStyle w:val="Hyperlink"/>
            <w:noProof/>
          </w:rPr>
          <w:t>2.</w:t>
        </w:r>
        <w:r w:rsidR="00697C16">
          <w:rPr>
            <w:rFonts w:eastAsiaTheme="minorEastAsia" w:cstheme="minorBidi"/>
            <w:b w:val="0"/>
            <w:bCs w:val="0"/>
            <w:caps w:val="0"/>
            <w:noProof/>
            <w:kern w:val="2"/>
            <w:sz w:val="24"/>
            <w:szCs w:val="24"/>
            <w:u w:val="none"/>
            <w:lang w:eastAsia="en-GB"/>
            <w14:ligatures w14:val="standardContextual"/>
          </w:rPr>
          <w:tab/>
        </w:r>
        <w:r w:rsidR="00697C16" w:rsidRPr="00D57666">
          <w:rPr>
            <w:rStyle w:val="Hyperlink"/>
            <w:noProof/>
          </w:rPr>
          <w:t>Kinetic theories relevant to OER before the advent of DFT</w:t>
        </w:r>
        <w:r w:rsidR="00697C16">
          <w:rPr>
            <w:noProof/>
            <w:webHidden/>
          </w:rPr>
          <w:tab/>
        </w:r>
        <w:r w:rsidR="00697C16">
          <w:rPr>
            <w:noProof/>
            <w:webHidden/>
          </w:rPr>
          <w:fldChar w:fldCharType="begin"/>
        </w:r>
        <w:r w:rsidR="00697C16">
          <w:rPr>
            <w:noProof/>
            <w:webHidden/>
          </w:rPr>
          <w:instrText xml:space="preserve"> PAGEREF _Toc166441725 \h </w:instrText>
        </w:r>
        <w:r w:rsidR="00697C16">
          <w:rPr>
            <w:noProof/>
            <w:webHidden/>
          </w:rPr>
        </w:r>
        <w:r w:rsidR="00697C16">
          <w:rPr>
            <w:noProof/>
            <w:webHidden/>
          </w:rPr>
          <w:fldChar w:fldCharType="separate"/>
        </w:r>
        <w:r w:rsidR="00DB5848">
          <w:rPr>
            <w:noProof/>
            <w:webHidden/>
          </w:rPr>
          <w:t>5</w:t>
        </w:r>
        <w:r w:rsidR="00697C16">
          <w:rPr>
            <w:noProof/>
            <w:webHidden/>
          </w:rPr>
          <w:fldChar w:fldCharType="end"/>
        </w:r>
      </w:hyperlink>
    </w:p>
    <w:p w14:paraId="3A10B644" w14:textId="50043921" w:rsidR="00697C16" w:rsidRDefault="00000000">
      <w:pPr>
        <w:pStyle w:val="TOC2"/>
        <w:rPr>
          <w:rFonts w:eastAsiaTheme="minorEastAsia" w:cstheme="minorBidi"/>
          <w:b w:val="0"/>
          <w:bCs w:val="0"/>
          <w:smallCaps w:val="0"/>
          <w:noProof/>
          <w:kern w:val="2"/>
          <w:sz w:val="24"/>
          <w:szCs w:val="24"/>
          <w:lang w:eastAsia="en-GB"/>
          <w14:ligatures w14:val="standardContextual"/>
        </w:rPr>
      </w:pPr>
      <w:hyperlink w:anchor="_Toc166441726" w:history="1">
        <w:r w:rsidR="00697C16" w:rsidRPr="00D57666">
          <w:rPr>
            <w:rStyle w:val="Hyperlink"/>
            <w:noProof/>
          </w:rPr>
          <w:t>2.1.</w:t>
        </w:r>
        <w:r w:rsidR="00697C16">
          <w:rPr>
            <w:rFonts w:eastAsiaTheme="minorEastAsia" w:cstheme="minorBidi"/>
            <w:b w:val="0"/>
            <w:bCs w:val="0"/>
            <w:smallCaps w:val="0"/>
            <w:noProof/>
            <w:kern w:val="2"/>
            <w:sz w:val="24"/>
            <w:szCs w:val="24"/>
            <w:lang w:eastAsia="en-GB"/>
            <w14:ligatures w14:val="standardContextual"/>
          </w:rPr>
          <w:tab/>
        </w:r>
        <w:r w:rsidR="00697C16" w:rsidRPr="00D57666">
          <w:rPr>
            <w:rStyle w:val="Hyperlink"/>
            <w:noProof/>
          </w:rPr>
          <w:t>Fundamental electrode kinetics</w:t>
        </w:r>
        <w:r w:rsidR="00697C16">
          <w:rPr>
            <w:noProof/>
            <w:webHidden/>
          </w:rPr>
          <w:tab/>
        </w:r>
        <w:r w:rsidR="00697C16">
          <w:rPr>
            <w:noProof/>
            <w:webHidden/>
          </w:rPr>
          <w:fldChar w:fldCharType="begin"/>
        </w:r>
        <w:r w:rsidR="00697C16">
          <w:rPr>
            <w:noProof/>
            <w:webHidden/>
          </w:rPr>
          <w:instrText xml:space="preserve"> PAGEREF _Toc166441726 \h </w:instrText>
        </w:r>
        <w:r w:rsidR="00697C16">
          <w:rPr>
            <w:noProof/>
            <w:webHidden/>
          </w:rPr>
        </w:r>
        <w:r w:rsidR="00697C16">
          <w:rPr>
            <w:noProof/>
            <w:webHidden/>
          </w:rPr>
          <w:fldChar w:fldCharType="separate"/>
        </w:r>
        <w:r w:rsidR="00DB5848">
          <w:rPr>
            <w:noProof/>
            <w:webHidden/>
          </w:rPr>
          <w:t>5</w:t>
        </w:r>
        <w:r w:rsidR="00697C16">
          <w:rPr>
            <w:noProof/>
            <w:webHidden/>
          </w:rPr>
          <w:fldChar w:fldCharType="end"/>
        </w:r>
      </w:hyperlink>
    </w:p>
    <w:p w14:paraId="2E2D2639" w14:textId="0C4800E8" w:rsidR="00697C16" w:rsidRDefault="00000000">
      <w:pPr>
        <w:pStyle w:val="TOC2"/>
        <w:rPr>
          <w:rFonts w:eastAsiaTheme="minorEastAsia" w:cstheme="minorBidi"/>
          <w:b w:val="0"/>
          <w:bCs w:val="0"/>
          <w:smallCaps w:val="0"/>
          <w:noProof/>
          <w:kern w:val="2"/>
          <w:sz w:val="24"/>
          <w:szCs w:val="24"/>
          <w:lang w:eastAsia="en-GB"/>
          <w14:ligatures w14:val="standardContextual"/>
        </w:rPr>
      </w:pPr>
      <w:hyperlink w:anchor="_Toc166441727" w:history="1">
        <w:r w:rsidR="00697C16" w:rsidRPr="00D57666">
          <w:rPr>
            <w:rStyle w:val="Hyperlink"/>
            <w:noProof/>
          </w:rPr>
          <w:t>2.2.</w:t>
        </w:r>
        <w:r w:rsidR="00697C16">
          <w:rPr>
            <w:rFonts w:eastAsiaTheme="minorEastAsia" w:cstheme="minorBidi"/>
            <w:b w:val="0"/>
            <w:bCs w:val="0"/>
            <w:smallCaps w:val="0"/>
            <w:noProof/>
            <w:kern w:val="2"/>
            <w:sz w:val="24"/>
            <w:szCs w:val="24"/>
            <w:lang w:eastAsia="en-GB"/>
            <w14:ligatures w14:val="standardContextual"/>
          </w:rPr>
          <w:tab/>
        </w:r>
        <w:r w:rsidR="00697C16" w:rsidRPr="00D57666">
          <w:rPr>
            <w:rStyle w:val="Hyperlink"/>
            <w:noProof/>
          </w:rPr>
          <w:t>Kinetics of multistep OER mechanisms</w:t>
        </w:r>
        <w:r w:rsidR="00697C16">
          <w:rPr>
            <w:noProof/>
            <w:webHidden/>
          </w:rPr>
          <w:tab/>
        </w:r>
        <w:r w:rsidR="00697C16">
          <w:rPr>
            <w:noProof/>
            <w:webHidden/>
          </w:rPr>
          <w:fldChar w:fldCharType="begin"/>
        </w:r>
        <w:r w:rsidR="00697C16">
          <w:rPr>
            <w:noProof/>
            <w:webHidden/>
          </w:rPr>
          <w:instrText xml:space="preserve"> PAGEREF _Toc166441727 \h </w:instrText>
        </w:r>
        <w:r w:rsidR="00697C16">
          <w:rPr>
            <w:noProof/>
            <w:webHidden/>
          </w:rPr>
        </w:r>
        <w:r w:rsidR="00697C16">
          <w:rPr>
            <w:noProof/>
            <w:webHidden/>
          </w:rPr>
          <w:fldChar w:fldCharType="separate"/>
        </w:r>
        <w:r w:rsidR="00DB5848">
          <w:rPr>
            <w:noProof/>
            <w:webHidden/>
          </w:rPr>
          <w:t>8</w:t>
        </w:r>
        <w:r w:rsidR="00697C16">
          <w:rPr>
            <w:noProof/>
            <w:webHidden/>
          </w:rPr>
          <w:fldChar w:fldCharType="end"/>
        </w:r>
      </w:hyperlink>
    </w:p>
    <w:p w14:paraId="1520122E" w14:textId="56549FB9" w:rsidR="00697C16" w:rsidRDefault="00000000">
      <w:pPr>
        <w:pStyle w:val="TOC2"/>
        <w:rPr>
          <w:rFonts w:eastAsiaTheme="minorEastAsia" w:cstheme="minorBidi"/>
          <w:b w:val="0"/>
          <w:bCs w:val="0"/>
          <w:smallCaps w:val="0"/>
          <w:noProof/>
          <w:kern w:val="2"/>
          <w:sz w:val="24"/>
          <w:szCs w:val="24"/>
          <w:lang w:eastAsia="en-GB"/>
          <w14:ligatures w14:val="standardContextual"/>
        </w:rPr>
      </w:pPr>
      <w:hyperlink w:anchor="_Toc166441728" w:history="1">
        <w:r w:rsidR="00697C16" w:rsidRPr="00D57666">
          <w:rPr>
            <w:rStyle w:val="Hyperlink"/>
            <w:noProof/>
          </w:rPr>
          <w:t>2.3.</w:t>
        </w:r>
        <w:r w:rsidR="00697C16">
          <w:rPr>
            <w:rFonts w:eastAsiaTheme="minorEastAsia" w:cstheme="minorBidi"/>
            <w:b w:val="0"/>
            <w:bCs w:val="0"/>
            <w:smallCaps w:val="0"/>
            <w:noProof/>
            <w:kern w:val="2"/>
            <w:sz w:val="24"/>
            <w:szCs w:val="24"/>
            <w:lang w:eastAsia="en-GB"/>
            <w14:ligatures w14:val="standardContextual"/>
          </w:rPr>
          <w:tab/>
        </w:r>
        <w:r w:rsidR="00697C16" w:rsidRPr="00D57666">
          <w:rPr>
            <w:rStyle w:val="Hyperlink"/>
            <w:noProof/>
          </w:rPr>
          <w:t>Coverage-dependent Tafel slopes</w:t>
        </w:r>
        <w:r w:rsidR="00697C16">
          <w:rPr>
            <w:noProof/>
            <w:webHidden/>
          </w:rPr>
          <w:tab/>
        </w:r>
        <w:r w:rsidR="00697C16">
          <w:rPr>
            <w:noProof/>
            <w:webHidden/>
          </w:rPr>
          <w:fldChar w:fldCharType="begin"/>
        </w:r>
        <w:r w:rsidR="00697C16">
          <w:rPr>
            <w:noProof/>
            <w:webHidden/>
          </w:rPr>
          <w:instrText xml:space="preserve"> PAGEREF _Toc166441728 \h </w:instrText>
        </w:r>
        <w:r w:rsidR="00697C16">
          <w:rPr>
            <w:noProof/>
            <w:webHidden/>
          </w:rPr>
        </w:r>
        <w:r w:rsidR="00697C16">
          <w:rPr>
            <w:noProof/>
            <w:webHidden/>
          </w:rPr>
          <w:fldChar w:fldCharType="separate"/>
        </w:r>
        <w:r w:rsidR="00DB5848">
          <w:rPr>
            <w:noProof/>
            <w:webHidden/>
          </w:rPr>
          <w:t>11</w:t>
        </w:r>
        <w:r w:rsidR="00697C16">
          <w:rPr>
            <w:noProof/>
            <w:webHidden/>
          </w:rPr>
          <w:fldChar w:fldCharType="end"/>
        </w:r>
      </w:hyperlink>
    </w:p>
    <w:p w14:paraId="0A662E67" w14:textId="60C843A9" w:rsidR="00697C16" w:rsidRDefault="00000000">
      <w:pPr>
        <w:pStyle w:val="TOC2"/>
        <w:rPr>
          <w:rFonts w:eastAsiaTheme="minorEastAsia" w:cstheme="minorBidi"/>
          <w:b w:val="0"/>
          <w:bCs w:val="0"/>
          <w:smallCaps w:val="0"/>
          <w:noProof/>
          <w:kern w:val="2"/>
          <w:sz w:val="24"/>
          <w:szCs w:val="24"/>
          <w:lang w:eastAsia="en-GB"/>
          <w14:ligatures w14:val="standardContextual"/>
        </w:rPr>
      </w:pPr>
      <w:hyperlink w:anchor="_Toc166441729" w:history="1">
        <w:r w:rsidR="00697C16" w:rsidRPr="00D57666">
          <w:rPr>
            <w:rStyle w:val="Hyperlink"/>
            <w:noProof/>
          </w:rPr>
          <w:t>2.4.</w:t>
        </w:r>
        <w:r w:rsidR="00697C16">
          <w:rPr>
            <w:rFonts w:eastAsiaTheme="minorEastAsia" w:cstheme="minorBidi"/>
            <w:b w:val="0"/>
            <w:bCs w:val="0"/>
            <w:smallCaps w:val="0"/>
            <w:noProof/>
            <w:kern w:val="2"/>
            <w:sz w:val="24"/>
            <w:szCs w:val="24"/>
            <w:lang w:eastAsia="en-GB"/>
            <w14:ligatures w14:val="standardContextual"/>
          </w:rPr>
          <w:tab/>
        </w:r>
        <w:r w:rsidR="00697C16" w:rsidRPr="00D57666">
          <w:rPr>
            <w:rStyle w:val="Hyperlink"/>
            <w:noProof/>
          </w:rPr>
          <w:t>Some cautionary observations and comments related to experiments</w:t>
        </w:r>
        <w:r w:rsidR="00697C16">
          <w:rPr>
            <w:noProof/>
            <w:webHidden/>
          </w:rPr>
          <w:tab/>
        </w:r>
        <w:r w:rsidR="00697C16">
          <w:rPr>
            <w:noProof/>
            <w:webHidden/>
          </w:rPr>
          <w:fldChar w:fldCharType="begin"/>
        </w:r>
        <w:r w:rsidR="00697C16">
          <w:rPr>
            <w:noProof/>
            <w:webHidden/>
          </w:rPr>
          <w:instrText xml:space="preserve"> PAGEREF _Toc166441729 \h </w:instrText>
        </w:r>
        <w:r w:rsidR="00697C16">
          <w:rPr>
            <w:noProof/>
            <w:webHidden/>
          </w:rPr>
        </w:r>
        <w:r w:rsidR="00697C16">
          <w:rPr>
            <w:noProof/>
            <w:webHidden/>
          </w:rPr>
          <w:fldChar w:fldCharType="separate"/>
        </w:r>
        <w:r w:rsidR="00DB5848">
          <w:rPr>
            <w:noProof/>
            <w:webHidden/>
          </w:rPr>
          <w:t>16</w:t>
        </w:r>
        <w:r w:rsidR="00697C16">
          <w:rPr>
            <w:noProof/>
            <w:webHidden/>
          </w:rPr>
          <w:fldChar w:fldCharType="end"/>
        </w:r>
      </w:hyperlink>
    </w:p>
    <w:p w14:paraId="0D0EE808" w14:textId="7835CDDE" w:rsidR="00697C16" w:rsidRDefault="00000000">
      <w:pPr>
        <w:pStyle w:val="TOC1"/>
        <w:tabs>
          <w:tab w:val="left" w:pos="410"/>
        </w:tabs>
        <w:rPr>
          <w:rFonts w:eastAsiaTheme="minorEastAsia" w:cstheme="minorBidi"/>
          <w:b w:val="0"/>
          <w:bCs w:val="0"/>
          <w:caps w:val="0"/>
          <w:noProof/>
          <w:kern w:val="2"/>
          <w:sz w:val="24"/>
          <w:szCs w:val="24"/>
          <w:u w:val="none"/>
          <w:lang w:eastAsia="en-GB"/>
          <w14:ligatures w14:val="standardContextual"/>
        </w:rPr>
      </w:pPr>
      <w:hyperlink w:anchor="_Toc166441730" w:history="1">
        <w:r w:rsidR="00697C16" w:rsidRPr="00D57666">
          <w:rPr>
            <w:rStyle w:val="Hyperlink"/>
            <w:noProof/>
          </w:rPr>
          <w:t>3.</w:t>
        </w:r>
        <w:r w:rsidR="00697C16">
          <w:rPr>
            <w:rFonts w:eastAsiaTheme="minorEastAsia" w:cstheme="minorBidi"/>
            <w:b w:val="0"/>
            <w:bCs w:val="0"/>
            <w:caps w:val="0"/>
            <w:noProof/>
            <w:kern w:val="2"/>
            <w:sz w:val="24"/>
            <w:szCs w:val="24"/>
            <w:u w:val="none"/>
            <w:lang w:eastAsia="en-GB"/>
            <w14:ligatures w14:val="standardContextual"/>
          </w:rPr>
          <w:tab/>
        </w:r>
        <w:r w:rsidR="00697C16" w:rsidRPr="00D57666">
          <w:rPr>
            <w:rStyle w:val="Hyperlink"/>
            <w:i/>
            <w:iCs/>
            <w:noProof/>
          </w:rPr>
          <w:t xml:space="preserve">Ab initio </w:t>
        </w:r>
        <w:r w:rsidR="00697C16" w:rsidRPr="00D57666">
          <w:rPr>
            <w:rStyle w:val="Hyperlink"/>
            <w:noProof/>
          </w:rPr>
          <w:t>atomistic thermodynamics and the Computational Hydrogen Electrode</w:t>
        </w:r>
        <w:r w:rsidR="00697C16">
          <w:rPr>
            <w:noProof/>
            <w:webHidden/>
          </w:rPr>
          <w:tab/>
        </w:r>
        <w:r w:rsidR="00697C16">
          <w:rPr>
            <w:noProof/>
            <w:webHidden/>
          </w:rPr>
          <w:fldChar w:fldCharType="begin"/>
        </w:r>
        <w:r w:rsidR="00697C16">
          <w:rPr>
            <w:noProof/>
            <w:webHidden/>
          </w:rPr>
          <w:instrText xml:space="preserve"> PAGEREF _Toc166441730 \h </w:instrText>
        </w:r>
        <w:r w:rsidR="00697C16">
          <w:rPr>
            <w:noProof/>
            <w:webHidden/>
          </w:rPr>
        </w:r>
        <w:r w:rsidR="00697C16">
          <w:rPr>
            <w:noProof/>
            <w:webHidden/>
          </w:rPr>
          <w:fldChar w:fldCharType="separate"/>
        </w:r>
        <w:r w:rsidR="00DB5848">
          <w:rPr>
            <w:noProof/>
            <w:webHidden/>
          </w:rPr>
          <w:t>19</w:t>
        </w:r>
        <w:r w:rsidR="00697C16">
          <w:rPr>
            <w:noProof/>
            <w:webHidden/>
          </w:rPr>
          <w:fldChar w:fldCharType="end"/>
        </w:r>
      </w:hyperlink>
    </w:p>
    <w:p w14:paraId="0FE840BE" w14:textId="66F5E294" w:rsidR="00697C16" w:rsidRDefault="00000000">
      <w:pPr>
        <w:pStyle w:val="TOC2"/>
        <w:rPr>
          <w:rFonts w:eastAsiaTheme="minorEastAsia" w:cstheme="minorBidi"/>
          <w:b w:val="0"/>
          <w:bCs w:val="0"/>
          <w:smallCaps w:val="0"/>
          <w:noProof/>
          <w:kern w:val="2"/>
          <w:sz w:val="24"/>
          <w:szCs w:val="24"/>
          <w:lang w:eastAsia="en-GB"/>
          <w14:ligatures w14:val="standardContextual"/>
        </w:rPr>
      </w:pPr>
      <w:hyperlink w:anchor="_Toc166441731" w:history="1">
        <w:r w:rsidR="00697C16" w:rsidRPr="00D57666">
          <w:rPr>
            <w:rStyle w:val="Hyperlink"/>
            <w:noProof/>
          </w:rPr>
          <w:t>3.1.</w:t>
        </w:r>
        <w:r w:rsidR="00697C16">
          <w:rPr>
            <w:rFonts w:eastAsiaTheme="minorEastAsia" w:cstheme="minorBidi"/>
            <w:b w:val="0"/>
            <w:bCs w:val="0"/>
            <w:smallCaps w:val="0"/>
            <w:noProof/>
            <w:kern w:val="2"/>
            <w:sz w:val="24"/>
            <w:szCs w:val="24"/>
            <w:lang w:eastAsia="en-GB"/>
            <w14:ligatures w14:val="standardContextual"/>
          </w:rPr>
          <w:tab/>
        </w:r>
        <w:r w:rsidR="00697C16" w:rsidRPr="00D57666">
          <w:rPr>
            <w:rStyle w:val="Hyperlink"/>
            <w:noProof/>
          </w:rPr>
          <w:t>Development of ab initio atomistic thermodynamics</w:t>
        </w:r>
        <w:r w:rsidR="00697C16">
          <w:rPr>
            <w:noProof/>
            <w:webHidden/>
          </w:rPr>
          <w:tab/>
        </w:r>
        <w:r w:rsidR="00697C16">
          <w:rPr>
            <w:noProof/>
            <w:webHidden/>
          </w:rPr>
          <w:fldChar w:fldCharType="begin"/>
        </w:r>
        <w:r w:rsidR="00697C16">
          <w:rPr>
            <w:noProof/>
            <w:webHidden/>
          </w:rPr>
          <w:instrText xml:space="preserve"> PAGEREF _Toc166441731 \h </w:instrText>
        </w:r>
        <w:r w:rsidR="00697C16">
          <w:rPr>
            <w:noProof/>
            <w:webHidden/>
          </w:rPr>
        </w:r>
        <w:r w:rsidR="00697C16">
          <w:rPr>
            <w:noProof/>
            <w:webHidden/>
          </w:rPr>
          <w:fldChar w:fldCharType="separate"/>
        </w:r>
        <w:r w:rsidR="00DB5848">
          <w:rPr>
            <w:noProof/>
            <w:webHidden/>
          </w:rPr>
          <w:t>19</w:t>
        </w:r>
        <w:r w:rsidR="00697C16">
          <w:rPr>
            <w:noProof/>
            <w:webHidden/>
          </w:rPr>
          <w:fldChar w:fldCharType="end"/>
        </w:r>
      </w:hyperlink>
    </w:p>
    <w:p w14:paraId="5C087796" w14:textId="28FAD006" w:rsidR="00697C16" w:rsidRDefault="00000000">
      <w:pPr>
        <w:pStyle w:val="TOC3"/>
        <w:rPr>
          <w:rFonts w:eastAsiaTheme="minorEastAsia" w:cstheme="minorBidi"/>
          <w:smallCaps w:val="0"/>
          <w:noProof/>
          <w:kern w:val="2"/>
          <w:sz w:val="24"/>
          <w:szCs w:val="24"/>
          <w:lang w:eastAsia="en-GB"/>
          <w14:ligatures w14:val="standardContextual"/>
        </w:rPr>
      </w:pPr>
      <w:hyperlink w:anchor="_Toc166441732" w:history="1">
        <w:r w:rsidR="00697C16" w:rsidRPr="00D57666">
          <w:rPr>
            <w:rStyle w:val="Hyperlink"/>
            <w:noProof/>
          </w:rPr>
          <w:t>3.1.1.</w:t>
        </w:r>
        <w:r w:rsidR="00697C16">
          <w:rPr>
            <w:rFonts w:eastAsiaTheme="minorEastAsia" w:cstheme="minorBidi"/>
            <w:smallCaps w:val="0"/>
            <w:noProof/>
            <w:kern w:val="2"/>
            <w:sz w:val="24"/>
            <w:szCs w:val="24"/>
            <w:lang w:eastAsia="en-GB"/>
            <w14:ligatures w14:val="standardContextual"/>
          </w:rPr>
          <w:tab/>
        </w:r>
        <w:r w:rsidR="00697C16" w:rsidRPr="00D57666">
          <w:rPr>
            <w:rStyle w:val="Hyperlink"/>
            <w:noProof/>
          </w:rPr>
          <w:t>Multicomponent systems</w:t>
        </w:r>
        <w:r w:rsidR="00697C16">
          <w:rPr>
            <w:noProof/>
            <w:webHidden/>
          </w:rPr>
          <w:tab/>
        </w:r>
        <w:r w:rsidR="00697C16">
          <w:rPr>
            <w:noProof/>
            <w:webHidden/>
          </w:rPr>
          <w:fldChar w:fldCharType="begin"/>
        </w:r>
        <w:r w:rsidR="00697C16">
          <w:rPr>
            <w:noProof/>
            <w:webHidden/>
          </w:rPr>
          <w:instrText xml:space="preserve"> PAGEREF _Toc166441732 \h </w:instrText>
        </w:r>
        <w:r w:rsidR="00697C16">
          <w:rPr>
            <w:noProof/>
            <w:webHidden/>
          </w:rPr>
        </w:r>
        <w:r w:rsidR="00697C16">
          <w:rPr>
            <w:noProof/>
            <w:webHidden/>
          </w:rPr>
          <w:fldChar w:fldCharType="separate"/>
        </w:r>
        <w:r w:rsidR="00DB5848">
          <w:rPr>
            <w:noProof/>
            <w:webHidden/>
          </w:rPr>
          <w:t>21</w:t>
        </w:r>
        <w:r w:rsidR="00697C16">
          <w:rPr>
            <w:noProof/>
            <w:webHidden/>
          </w:rPr>
          <w:fldChar w:fldCharType="end"/>
        </w:r>
      </w:hyperlink>
    </w:p>
    <w:p w14:paraId="4BE0A908" w14:textId="7DC289C3" w:rsidR="00697C16" w:rsidRDefault="00000000">
      <w:pPr>
        <w:pStyle w:val="TOC3"/>
        <w:rPr>
          <w:rFonts w:eastAsiaTheme="minorEastAsia" w:cstheme="minorBidi"/>
          <w:smallCaps w:val="0"/>
          <w:noProof/>
          <w:kern w:val="2"/>
          <w:sz w:val="24"/>
          <w:szCs w:val="24"/>
          <w:lang w:eastAsia="en-GB"/>
          <w14:ligatures w14:val="standardContextual"/>
        </w:rPr>
      </w:pPr>
      <w:hyperlink w:anchor="_Toc166441733" w:history="1">
        <w:r w:rsidR="00697C16" w:rsidRPr="00D57666">
          <w:rPr>
            <w:rStyle w:val="Hyperlink"/>
            <w:noProof/>
          </w:rPr>
          <w:t>3.1.2.</w:t>
        </w:r>
        <w:r w:rsidR="00697C16">
          <w:rPr>
            <w:rFonts w:eastAsiaTheme="minorEastAsia" w:cstheme="minorBidi"/>
            <w:smallCaps w:val="0"/>
            <w:noProof/>
            <w:kern w:val="2"/>
            <w:sz w:val="24"/>
            <w:szCs w:val="24"/>
            <w:lang w:eastAsia="en-GB"/>
            <w14:ligatures w14:val="standardContextual"/>
          </w:rPr>
          <w:tab/>
        </w:r>
        <w:r w:rsidR="00697C16" w:rsidRPr="00D57666">
          <w:rPr>
            <w:rStyle w:val="Hyperlink"/>
            <w:noProof/>
          </w:rPr>
          <w:t>Constrained equilibrium and reactive systems</w:t>
        </w:r>
        <w:r w:rsidR="00697C16">
          <w:rPr>
            <w:noProof/>
            <w:webHidden/>
          </w:rPr>
          <w:tab/>
        </w:r>
        <w:r w:rsidR="00697C16">
          <w:rPr>
            <w:noProof/>
            <w:webHidden/>
          </w:rPr>
          <w:fldChar w:fldCharType="begin"/>
        </w:r>
        <w:r w:rsidR="00697C16">
          <w:rPr>
            <w:noProof/>
            <w:webHidden/>
          </w:rPr>
          <w:instrText xml:space="preserve"> PAGEREF _Toc166441733 \h </w:instrText>
        </w:r>
        <w:r w:rsidR="00697C16">
          <w:rPr>
            <w:noProof/>
            <w:webHidden/>
          </w:rPr>
        </w:r>
        <w:r w:rsidR="00697C16">
          <w:rPr>
            <w:noProof/>
            <w:webHidden/>
          </w:rPr>
          <w:fldChar w:fldCharType="separate"/>
        </w:r>
        <w:r w:rsidR="00DB5848">
          <w:rPr>
            <w:noProof/>
            <w:webHidden/>
          </w:rPr>
          <w:t>22</w:t>
        </w:r>
        <w:r w:rsidR="00697C16">
          <w:rPr>
            <w:noProof/>
            <w:webHidden/>
          </w:rPr>
          <w:fldChar w:fldCharType="end"/>
        </w:r>
      </w:hyperlink>
    </w:p>
    <w:p w14:paraId="04C17532" w14:textId="4FE652F4" w:rsidR="00697C16" w:rsidRDefault="00000000">
      <w:pPr>
        <w:pStyle w:val="TOC2"/>
        <w:rPr>
          <w:rFonts w:eastAsiaTheme="minorEastAsia" w:cstheme="minorBidi"/>
          <w:b w:val="0"/>
          <w:bCs w:val="0"/>
          <w:smallCaps w:val="0"/>
          <w:noProof/>
          <w:kern w:val="2"/>
          <w:sz w:val="24"/>
          <w:szCs w:val="24"/>
          <w:lang w:eastAsia="en-GB"/>
          <w14:ligatures w14:val="standardContextual"/>
        </w:rPr>
      </w:pPr>
      <w:hyperlink w:anchor="_Toc166441734" w:history="1">
        <w:r w:rsidR="00697C16" w:rsidRPr="00D57666">
          <w:rPr>
            <w:rStyle w:val="Hyperlink"/>
            <w:noProof/>
          </w:rPr>
          <w:t>3.2.</w:t>
        </w:r>
        <w:r w:rsidR="00697C16">
          <w:rPr>
            <w:rFonts w:eastAsiaTheme="minorEastAsia" w:cstheme="minorBidi"/>
            <w:b w:val="0"/>
            <w:bCs w:val="0"/>
            <w:smallCaps w:val="0"/>
            <w:noProof/>
            <w:kern w:val="2"/>
            <w:sz w:val="24"/>
            <w:szCs w:val="24"/>
            <w:lang w:eastAsia="en-GB"/>
            <w14:ligatures w14:val="standardContextual"/>
          </w:rPr>
          <w:tab/>
        </w:r>
        <w:r w:rsidR="00697C16" w:rsidRPr="00D57666">
          <w:rPr>
            <w:rStyle w:val="Hyperlink"/>
            <w:noProof/>
          </w:rPr>
          <w:t>Development of the computational hydrogen electrode</w:t>
        </w:r>
        <w:r w:rsidR="00697C16">
          <w:rPr>
            <w:noProof/>
            <w:webHidden/>
          </w:rPr>
          <w:tab/>
        </w:r>
        <w:r w:rsidR="00697C16">
          <w:rPr>
            <w:noProof/>
            <w:webHidden/>
          </w:rPr>
          <w:fldChar w:fldCharType="begin"/>
        </w:r>
        <w:r w:rsidR="00697C16">
          <w:rPr>
            <w:noProof/>
            <w:webHidden/>
          </w:rPr>
          <w:instrText xml:space="preserve"> PAGEREF _Toc166441734 \h </w:instrText>
        </w:r>
        <w:r w:rsidR="00697C16">
          <w:rPr>
            <w:noProof/>
            <w:webHidden/>
          </w:rPr>
        </w:r>
        <w:r w:rsidR="00697C16">
          <w:rPr>
            <w:noProof/>
            <w:webHidden/>
          </w:rPr>
          <w:fldChar w:fldCharType="separate"/>
        </w:r>
        <w:r w:rsidR="00DB5848">
          <w:rPr>
            <w:noProof/>
            <w:webHidden/>
          </w:rPr>
          <w:t>24</w:t>
        </w:r>
        <w:r w:rsidR="00697C16">
          <w:rPr>
            <w:noProof/>
            <w:webHidden/>
          </w:rPr>
          <w:fldChar w:fldCharType="end"/>
        </w:r>
      </w:hyperlink>
    </w:p>
    <w:p w14:paraId="0CB9B81D" w14:textId="44F5D274" w:rsidR="00697C16" w:rsidRDefault="00000000">
      <w:pPr>
        <w:pStyle w:val="TOC3"/>
        <w:rPr>
          <w:rFonts w:eastAsiaTheme="minorEastAsia" w:cstheme="minorBidi"/>
          <w:smallCaps w:val="0"/>
          <w:noProof/>
          <w:kern w:val="2"/>
          <w:sz w:val="24"/>
          <w:szCs w:val="24"/>
          <w:lang w:eastAsia="en-GB"/>
          <w14:ligatures w14:val="standardContextual"/>
        </w:rPr>
      </w:pPr>
      <w:hyperlink w:anchor="_Toc166441735" w:history="1">
        <w:r w:rsidR="00697C16" w:rsidRPr="00D57666">
          <w:rPr>
            <w:rStyle w:val="Hyperlink"/>
            <w:noProof/>
          </w:rPr>
          <w:t>3.2.1.</w:t>
        </w:r>
        <w:r w:rsidR="00697C16">
          <w:rPr>
            <w:rFonts w:eastAsiaTheme="minorEastAsia" w:cstheme="minorBidi"/>
            <w:smallCaps w:val="0"/>
            <w:noProof/>
            <w:kern w:val="2"/>
            <w:sz w:val="24"/>
            <w:szCs w:val="24"/>
            <w:lang w:eastAsia="en-GB"/>
            <w14:ligatures w14:val="standardContextual"/>
          </w:rPr>
          <w:tab/>
        </w:r>
        <w:r w:rsidR="00697C16" w:rsidRPr="00D57666">
          <w:rPr>
            <w:rStyle w:val="Hyperlink"/>
            <w:noProof/>
          </w:rPr>
          <w:t>CHE model of the OER on metal surfaces</w:t>
        </w:r>
        <w:r w:rsidR="00697C16">
          <w:rPr>
            <w:noProof/>
            <w:webHidden/>
          </w:rPr>
          <w:tab/>
        </w:r>
        <w:r w:rsidR="00697C16">
          <w:rPr>
            <w:noProof/>
            <w:webHidden/>
          </w:rPr>
          <w:fldChar w:fldCharType="begin"/>
        </w:r>
        <w:r w:rsidR="00697C16">
          <w:rPr>
            <w:noProof/>
            <w:webHidden/>
          </w:rPr>
          <w:instrText xml:space="preserve"> PAGEREF _Toc166441735 \h </w:instrText>
        </w:r>
        <w:r w:rsidR="00697C16">
          <w:rPr>
            <w:noProof/>
            <w:webHidden/>
          </w:rPr>
        </w:r>
        <w:r w:rsidR="00697C16">
          <w:rPr>
            <w:noProof/>
            <w:webHidden/>
          </w:rPr>
          <w:fldChar w:fldCharType="separate"/>
        </w:r>
        <w:r w:rsidR="00DB5848">
          <w:rPr>
            <w:noProof/>
            <w:webHidden/>
          </w:rPr>
          <w:t>25</w:t>
        </w:r>
        <w:r w:rsidR="00697C16">
          <w:rPr>
            <w:noProof/>
            <w:webHidden/>
          </w:rPr>
          <w:fldChar w:fldCharType="end"/>
        </w:r>
      </w:hyperlink>
    </w:p>
    <w:p w14:paraId="4BD8E5CF" w14:textId="3F3E33E7" w:rsidR="00697C16" w:rsidRDefault="00000000">
      <w:pPr>
        <w:pStyle w:val="TOC3"/>
        <w:rPr>
          <w:rFonts w:eastAsiaTheme="minorEastAsia" w:cstheme="minorBidi"/>
          <w:smallCaps w:val="0"/>
          <w:noProof/>
          <w:kern w:val="2"/>
          <w:sz w:val="24"/>
          <w:szCs w:val="24"/>
          <w:lang w:eastAsia="en-GB"/>
          <w14:ligatures w14:val="standardContextual"/>
        </w:rPr>
      </w:pPr>
      <w:hyperlink w:anchor="_Toc166441736" w:history="1">
        <w:r w:rsidR="00697C16" w:rsidRPr="00D57666">
          <w:rPr>
            <w:rStyle w:val="Hyperlink"/>
            <w:noProof/>
          </w:rPr>
          <w:t>3.2.2.</w:t>
        </w:r>
        <w:r w:rsidR="00697C16">
          <w:rPr>
            <w:rFonts w:eastAsiaTheme="minorEastAsia" w:cstheme="minorBidi"/>
            <w:smallCaps w:val="0"/>
            <w:noProof/>
            <w:kern w:val="2"/>
            <w:sz w:val="24"/>
            <w:szCs w:val="24"/>
            <w:lang w:eastAsia="en-GB"/>
            <w14:ligatures w14:val="standardContextual"/>
          </w:rPr>
          <w:tab/>
        </w:r>
        <w:r w:rsidR="00697C16" w:rsidRPr="00D57666">
          <w:rPr>
            <w:rStyle w:val="Hyperlink"/>
            <w:noProof/>
          </w:rPr>
          <w:t>CHE model of the OER on rutile-type oxides</w:t>
        </w:r>
        <w:r w:rsidR="00697C16">
          <w:rPr>
            <w:noProof/>
            <w:webHidden/>
          </w:rPr>
          <w:tab/>
        </w:r>
        <w:r w:rsidR="00697C16">
          <w:rPr>
            <w:noProof/>
            <w:webHidden/>
          </w:rPr>
          <w:fldChar w:fldCharType="begin"/>
        </w:r>
        <w:r w:rsidR="00697C16">
          <w:rPr>
            <w:noProof/>
            <w:webHidden/>
          </w:rPr>
          <w:instrText xml:space="preserve"> PAGEREF _Toc166441736 \h </w:instrText>
        </w:r>
        <w:r w:rsidR="00697C16">
          <w:rPr>
            <w:noProof/>
            <w:webHidden/>
          </w:rPr>
        </w:r>
        <w:r w:rsidR="00697C16">
          <w:rPr>
            <w:noProof/>
            <w:webHidden/>
          </w:rPr>
          <w:fldChar w:fldCharType="separate"/>
        </w:r>
        <w:r w:rsidR="00DB5848">
          <w:rPr>
            <w:noProof/>
            <w:webHidden/>
          </w:rPr>
          <w:t>31</w:t>
        </w:r>
        <w:r w:rsidR="00697C16">
          <w:rPr>
            <w:noProof/>
            <w:webHidden/>
          </w:rPr>
          <w:fldChar w:fldCharType="end"/>
        </w:r>
      </w:hyperlink>
    </w:p>
    <w:p w14:paraId="5AF515A8" w14:textId="257B6213" w:rsidR="00697C16" w:rsidRDefault="00000000">
      <w:pPr>
        <w:pStyle w:val="TOC3"/>
        <w:rPr>
          <w:rFonts w:eastAsiaTheme="minorEastAsia" w:cstheme="minorBidi"/>
          <w:smallCaps w:val="0"/>
          <w:noProof/>
          <w:kern w:val="2"/>
          <w:sz w:val="24"/>
          <w:szCs w:val="24"/>
          <w:lang w:eastAsia="en-GB"/>
          <w14:ligatures w14:val="standardContextual"/>
        </w:rPr>
      </w:pPr>
      <w:hyperlink w:anchor="_Toc166441737" w:history="1">
        <w:r w:rsidR="00697C16" w:rsidRPr="00D57666">
          <w:rPr>
            <w:rStyle w:val="Hyperlink"/>
            <w:noProof/>
          </w:rPr>
          <w:t>3.2.3.</w:t>
        </w:r>
        <w:r w:rsidR="00697C16">
          <w:rPr>
            <w:rFonts w:eastAsiaTheme="minorEastAsia" w:cstheme="minorBidi"/>
            <w:smallCaps w:val="0"/>
            <w:noProof/>
            <w:kern w:val="2"/>
            <w:sz w:val="24"/>
            <w:szCs w:val="24"/>
            <w:lang w:eastAsia="en-GB"/>
            <w14:ligatures w14:val="standardContextual"/>
          </w:rPr>
          <w:tab/>
        </w:r>
        <w:r w:rsidR="00697C16" w:rsidRPr="00D57666">
          <w:rPr>
            <w:rStyle w:val="Hyperlink"/>
            <w:noProof/>
          </w:rPr>
          <w:t>Scaling relationships</w:t>
        </w:r>
        <w:r w:rsidR="00697C16">
          <w:rPr>
            <w:noProof/>
            <w:webHidden/>
          </w:rPr>
          <w:tab/>
        </w:r>
        <w:r w:rsidR="00697C16">
          <w:rPr>
            <w:noProof/>
            <w:webHidden/>
          </w:rPr>
          <w:fldChar w:fldCharType="begin"/>
        </w:r>
        <w:r w:rsidR="00697C16">
          <w:rPr>
            <w:noProof/>
            <w:webHidden/>
          </w:rPr>
          <w:instrText xml:space="preserve"> PAGEREF _Toc166441737 \h </w:instrText>
        </w:r>
        <w:r w:rsidR="00697C16">
          <w:rPr>
            <w:noProof/>
            <w:webHidden/>
          </w:rPr>
        </w:r>
        <w:r w:rsidR="00697C16">
          <w:rPr>
            <w:noProof/>
            <w:webHidden/>
          </w:rPr>
          <w:fldChar w:fldCharType="separate"/>
        </w:r>
        <w:r w:rsidR="00DB5848">
          <w:rPr>
            <w:noProof/>
            <w:webHidden/>
          </w:rPr>
          <w:t>33</w:t>
        </w:r>
        <w:r w:rsidR="00697C16">
          <w:rPr>
            <w:noProof/>
            <w:webHidden/>
          </w:rPr>
          <w:fldChar w:fldCharType="end"/>
        </w:r>
      </w:hyperlink>
    </w:p>
    <w:p w14:paraId="074CB79C" w14:textId="66B6CFE0" w:rsidR="00697C16" w:rsidRDefault="00000000">
      <w:pPr>
        <w:pStyle w:val="TOC3"/>
        <w:rPr>
          <w:rFonts w:eastAsiaTheme="minorEastAsia" w:cstheme="minorBidi"/>
          <w:smallCaps w:val="0"/>
          <w:noProof/>
          <w:kern w:val="2"/>
          <w:sz w:val="24"/>
          <w:szCs w:val="24"/>
          <w:lang w:eastAsia="en-GB"/>
          <w14:ligatures w14:val="standardContextual"/>
        </w:rPr>
      </w:pPr>
      <w:hyperlink w:anchor="_Toc166441738" w:history="1">
        <w:r w:rsidR="00697C16" w:rsidRPr="00D57666">
          <w:rPr>
            <w:rStyle w:val="Hyperlink"/>
            <w:iCs/>
            <w:noProof/>
          </w:rPr>
          <w:t>3.2.4.</w:t>
        </w:r>
        <w:r w:rsidR="00697C16">
          <w:rPr>
            <w:rFonts w:eastAsiaTheme="minorEastAsia" w:cstheme="minorBidi"/>
            <w:smallCaps w:val="0"/>
            <w:noProof/>
            <w:kern w:val="2"/>
            <w:sz w:val="24"/>
            <w:szCs w:val="24"/>
            <w:lang w:eastAsia="en-GB"/>
            <w14:ligatures w14:val="standardContextual"/>
          </w:rPr>
          <w:tab/>
        </w:r>
        <w:r w:rsidR="00697C16" w:rsidRPr="00D57666">
          <w:rPr>
            <w:rStyle w:val="Hyperlink"/>
            <w:noProof/>
          </w:rPr>
          <w:t>Impact of computational methodology</w:t>
        </w:r>
        <w:r w:rsidR="00697C16">
          <w:rPr>
            <w:noProof/>
            <w:webHidden/>
          </w:rPr>
          <w:tab/>
        </w:r>
        <w:r w:rsidR="00697C16">
          <w:rPr>
            <w:noProof/>
            <w:webHidden/>
          </w:rPr>
          <w:fldChar w:fldCharType="begin"/>
        </w:r>
        <w:r w:rsidR="00697C16">
          <w:rPr>
            <w:noProof/>
            <w:webHidden/>
          </w:rPr>
          <w:instrText xml:space="preserve"> PAGEREF _Toc166441738 \h </w:instrText>
        </w:r>
        <w:r w:rsidR="00697C16">
          <w:rPr>
            <w:noProof/>
            <w:webHidden/>
          </w:rPr>
        </w:r>
        <w:r w:rsidR="00697C16">
          <w:rPr>
            <w:noProof/>
            <w:webHidden/>
          </w:rPr>
          <w:fldChar w:fldCharType="separate"/>
        </w:r>
        <w:r w:rsidR="00DB5848">
          <w:rPr>
            <w:noProof/>
            <w:webHidden/>
          </w:rPr>
          <w:t>36</w:t>
        </w:r>
        <w:r w:rsidR="00697C16">
          <w:rPr>
            <w:noProof/>
            <w:webHidden/>
          </w:rPr>
          <w:fldChar w:fldCharType="end"/>
        </w:r>
      </w:hyperlink>
    </w:p>
    <w:p w14:paraId="252C8C87" w14:textId="6FB8ECE9" w:rsidR="00697C16" w:rsidRDefault="00000000">
      <w:pPr>
        <w:pStyle w:val="TOC3"/>
        <w:rPr>
          <w:rFonts w:eastAsiaTheme="minorEastAsia" w:cstheme="minorBidi"/>
          <w:smallCaps w:val="0"/>
          <w:noProof/>
          <w:kern w:val="2"/>
          <w:sz w:val="24"/>
          <w:szCs w:val="24"/>
          <w:lang w:eastAsia="en-GB"/>
          <w14:ligatures w14:val="standardContextual"/>
        </w:rPr>
      </w:pPr>
      <w:hyperlink w:anchor="_Toc166441739" w:history="1">
        <w:r w:rsidR="00697C16" w:rsidRPr="00D57666">
          <w:rPr>
            <w:rStyle w:val="Hyperlink"/>
            <w:noProof/>
          </w:rPr>
          <w:t>3.2.5.</w:t>
        </w:r>
        <w:r w:rsidR="00697C16">
          <w:rPr>
            <w:rFonts w:eastAsiaTheme="minorEastAsia" w:cstheme="minorBidi"/>
            <w:smallCaps w:val="0"/>
            <w:noProof/>
            <w:kern w:val="2"/>
            <w:sz w:val="24"/>
            <w:szCs w:val="24"/>
            <w:lang w:eastAsia="en-GB"/>
            <w14:ligatures w14:val="standardContextual"/>
          </w:rPr>
          <w:tab/>
        </w:r>
        <w:r w:rsidR="00697C16" w:rsidRPr="00D57666">
          <w:rPr>
            <w:rStyle w:val="Hyperlink"/>
            <w:noProof/>
          </w:rPr>
          <w:t>Further evidence for scaling relationships and attempts to break them</w:t>
        </w:r>
        <w:r w:rsidR="00697C16">
          <w:rPr>
            <w:noProof/>
            <w:webHidden/>
          </w:rPr>
          <w:tab/>
        </w:r>
        <w:r w:rsidR="00697C16">
          <w:rPr>
            <w:noProof/>
            <w:webHidden/>
          </w:rPr>
          <w:fldChar w:fldCharType="begin"/>
        </w:r>
        <w:r w:rsidR="00697C16">
          <w:rPr>
            <w:noProof/>
            <w:webHidden/>
          </w:rPr>
          <w:instrText xml:space="preserve"> PAGEREF _Toc166441739 \h </w:instrText>
        </w:r>
        <w:r w:rsidR="00697C16">
          <w:rPr>
            <w:noProof/>
            <w:webHidden/>
          </w:rPr>
        </w:r>
        <w:r w:rsidR="00697C16">
          <w:rPr>
            <w:noProof/>
            <w:webHidden/>
          </w:rPr>
          <w:fldChar w:fldCharType="separate"/>
        </w:r>
        <w:r w:rsidR="00DB5848">
          <w:rPr>
            <w:noProof/>
            <w:webHidden/>
          </w:rPr>
          <w:t>37</w:t>
        </w:r>
        <w:r w:rsidR="00697C16">
          <w:rPr>
            <w:noProof/>
            <w:webHidden/>
          </w:rPr>
          <w:fldChar w:fldCharType="end"/>
        </w:r>
      </w:hyperlink>
    </w:p>
    <w:p w14:paraId="3917DB01" w14:textId="6B9BFA8B" w:rsidR="00697C16" w:rsidRDefault="00000000">
      <w:pPr>
        <w:pStyle w:val="TOC3"/>
        <w:rPr>
          <w:rFonts w:eastAsiaTheme="minorEastAsia" w:cstheme="minorBidi"/>
          <w:smallCaps w:val="0"/>
          <w:noProof/>
          <w:kern w:val="2"/>
          <w:sz w:val="24"/>
          <w:szCs w:val="24"/>
          <w:lang w:eastAsia="en-GB"/>
          <w14:ligatures w14:val="standardContextual"/>
        </w:rPr>
      </w:pPr>
      <w:hyperlink w:anchor="_Toc166441740" w:history="1">
        <w:r w:rsidR="00697C16" w:rsidRPr="00D57666">
          <w:rPr>
            <w:rStyle w:val="Hyperlink"/>
            <w:noProof/>
          </w:rPr>
          <w:t>3.2.6.</w:t>
        </w:r>
        <w:r w:rsidR="00697C16">
          <w:rPr>
            <w:rFonts w:eastAsiaTheme="minorEastAsia" w:cstheme="minorBidi"/>
            <w:smallCaps w:val="0"/>
            <w:noProof/>
            <w:kern w:val="2"/>
            <w:sz w:val="24"/>
            <w:szCs w:val="24"/>
            <w:lang w:eastAsia="en-GB"/>
            <w14:ligatures w14:val="standardContextual"/>
          </w:rPr>
          <w:tab/>
        </w:r>
        <w:r w:rsidR="00697C16" w:rsidRPr="00D57666">
          <w:rPr>
            <w:rStyle w:val="Hyperlink"/>
            <w:noProof/>
          </w:rPr>
          <w:t>Lattice oxidation</w:t>
        </w:r>
        <w:r w:rsidR="00697C16">
          <w:rPr>
            <w:noProof/>
            <w:webHidden/>
          </w:rPr>
          <w:tab/>
        </w:r>
        <w:r w:rsidR="00697C16">
          <w:rPr>
            <w:noProof/>
            <w:webHidden/>
          </w:rPr>
          <w:fldChar w:fldCharType="begin"/>
        </w:r>
        <w:r w:rsidR="00697C16">
          <w:rPr>
            <w:noProof/>
            <w:webHidden/>
          </w:rPr>
          <w:instrText xml:space="preserve"> PAGEREF _Toc166441740 \h </w:instrText>
        </w:r>
        <w:r w:rsidR="00697C16">
          <w:rPr>
            <w:noProof/>
            <w:webHidden/>
          </w:rPr>
        </w:r>
        <w:r w:rsidR="00697C16">
          <w:rPr>
            <w:noProof/>
            <w:webHidden/>
          </w:rPr>
          <w:fldChar w:fldCharType="separate"/>
        </w:r>
        <w:r w:rsidR="00DB5848">
          <w:rPr>
            <w:noProof/>
            <w:webHidden/>
          </w:rPr>
          <w:t>43</w:t>
        </w:r>
        <w:r w:rsidR="00697C16">
          <w:rPr>
            <w:noProof/>
            <w:webHidden/>
          </w:rPr>
          <w:fldChar w:fldCharType="end"/>
        </w:r>
      </w:hyperlink>
    </w:p>
    <w:p w14:paraId="63398589" w14:textId="25522574" w:rsidR="00697C16" w:rsidRDefault="00000000">
      <w:pPr>
        <w:pStyle w:val="TOC2"/>
        <w:rPr>
          <w:rFonts w:eastAsiaTheme="minorEastAsia" w:cstheme="minorBidi"/>
          <w:b w:val="0"/>
          <w:bCs w:val="0"/>
          <w:smallCaps w:val="0"/>
          <w:noProof/>
          <w:kern w:val="2"/>
          <w:sz w:val="24"/>
          <w:szCs w:val="24"/>
          <w:lang w:eastAsia="en-GB"/>
          <w14:ligatures w14:val="standardContextual"/>
        </w:rPr>
      </w:pPr>
      <w:hyperlink w:anchor="_Toc166441741" w:history="1">
        <w:r w:rsidR="00697C16" w:rsidRPr="00D57666">
          <w:rPr>
            <w:rStyle w:val="Hyperlink"/>
            <w:noProof/>
          </w:rPr>
          <w:t>3.3.</w:t>
        </w:r>
        <w:r w:rsidR="00697C16">
          <w:rPr>
            <w:rFonts w:eastAsiaTheme="minorEastAsia" w:cstheme="minorBidi"/>
            <w:b w:val="0"/>
            <w:bCs w:val="0"/>
            <w:smallCaps w:val="0"/>
            <w:noProof/>
            <w:kern w:val="2"/>
            <w:sz w:val="24"/>
            <w:szCs w:val="24"/>
            <w:lang w:eastAsia="en-GB"/>
            <w14:ligatures w14:val="standardContextual"/>
          </w:rPr>
          <w:tab/>
        </w:r>
        <w:r w:rsidR="00697C16" w:rsidRPr="00D57666">
          <w:rPr>
            <w:rStyle w:val="Hyperlink"/>
            <w:noProof/>
          </w:rPr>
          <w:t>Mechanistic details over Ir-based materials and active phases from the CHE</w:t>
        </w:r>
        <w:r w:rsidR="00697C16">
          <w:rPr>
            <w:noProof/>
            <w:webHidden/>
          </w:rPr>
          <w:tab/>
        </w:r>
        <w:r w:rsidR="00697C16">
          <w:rPr>
            <w:noProof/>
            <w:webHidden/>
          </w:rPr>
          <w:fldChar w:fldCharType="begin"/>
        </w:r>
        <w:r w:rsidR="00697C16">
          <w:rPr>
            <w:noProof/>
            <w:webHidden/>
          </w:rPr>
          <w:instrText xml:space="preserve"> PAGEREF _Toc166441741 \h </w:instrText>
        </w:r>
        <w:r w:rsidR="00697C16">
          <w:rPr>
            <w:noProof/>
            <w:webHidden/>
          </w:rPr>
        </w:r>
        <w:r w:rsidR="00697C16">
          <w:rPr>
            <w:noProof/>
            <w:webHidden/>
          </w:rPr>
          <w:fldChar w:fldCharType="separate"/>
        </w:r>
        <w:r w:rsidR="00DB5848">
          <w:rPr>
            <w:noProof/>
            <w:webHidden/>
          </w:rPr>
          <w:t>50</w:t>
        </w:r>
        <w:r w:rsidR="00697C16">
          <w:rPr>
            <w:noProof/>
            <w:webHidden/>
          </w:rPr>
          <w:fldChar w:fldCharType="end"/>
        </w:r>
      </w:hyperlink>
    </w:p>
    <w:p w14:paraId="30C4C03F" w14:textId="7D3EE7B1" w:rsidR="00697C16" w:rsidRDefault="00000000">
      <w:pPr>
        <w:pStyle w:val="TOC1"/>
        <w:tabs>
          <w:tab w:val="left" w:pos="410"/>
        </w:tabs>
        <w:rPr>
          <w:rFonts w:eastAsiaTheme="minorEastAsia" w:cstheme="minorBidi"/>
          <w:b w:val="0"/>
          <w:bCs w:val="0"/>
          <w:caps w:val="0"/>
          <w:noProof/>
          <w:kern w:val="2"/>
          <w:sz w:val="24"/>
          <w:szCs w:val="24"/>
          <w:u w:val="none"/>
          <w:lang w:eastAsia="en-GB"/>
          <w14:ligatures w14:val="standardContextual"/>
        </w:rPr>
      </w:pPr>
      <w:hyperlink w:anchor="_Toc166441742" w:history="1">
        <w:r w:rsidR="00697C16" w:rsidRPr="00D57666">
          <w:rPr>
            <w:rStyle w:val="Hyperlink"/>
            <w:noProof/>
          </w:rPr>
          <w:t>4.</w:t>
        </w:r>
        <w:r w:rsidR="00697C16">
          <w:rPr>
            <w:rFonts w:eastAsiaTheme="minorEastAsia" w:cstheme="minorBidi"/>
            <w:b w:val="0"/>
            <w:bCs w:val="0"/>
            <w:caps w:val="0"/>
            <w:noProof/>
            <w:kern w:val="2"/>
            <w:sz w:val="24"/>
            <w:szCs w:val="24"/>
            <w:u w:val="none"/>
            <w:lang w:eastAsia="en-GB"/>
            <w14:ligatures w14:val="standardContextual"/>
          </w:rPr>
          <w:tab/>
        </w:r>
        <w:r w:rsidR="00697C16" w:rsidRPr="00D57666">
          <w:rPr>
            <w:rStyle w:val="Hyperlink"/>
            <w:noProof/>
          </w:rPr>
          <w:t>Electrolyte effects in the experimental OER</w:t>
        </w:r>
        <w:r w:rsidR="00697C16">
          <w:rPr>
            <w:noProof/>
            <w:webHidden/>
          </w:rPr>
          <w:tab/>
        </w:r>
        <w:r w:rsidR="00697C16">
          <w:rPr>
            <w:noProof/>
            <w:webHidden/>
          </w:rPr>
          <w:fldChar w:fldCharType="begin"/>
        </w:r>
        <w:r w:rsidR="00697C16">
          <w:rPr>
            <w:noProof/>
            <w:webHidden/>
          </w:rPr>
          <w:instrText xml:space="preserve"> PAGEREF _Toc166441742 \h </w:instrText>
        </w:r>
        <w:r w:rsidR="00697C16">
          <w:rPr>
            <w:noProof/>
            <w:webHidden/>
          </w:rPr>
        </w:r>
        <w:r w:rsidR="00697C16">
          <w:rPr>
            <w:noProof/>
            <w:webHidden/>
          </w:rPr>
          <w:fldChar w:fldCharType="separate"/>
        </w:r>
        <w:r w:rsidR="00DB5848">
          <w:rPr>
            <w:noProof/>
            <w:webHidden/>
          </w:rPr>
          <w:t>61</w:t>
        </w:r>
        <w:r w:rsidR="00697C16">
          <w:rPr>
            <w:noProof/>
            <w:webHidden/>
          </w:rPr>
          <w:fldChar w:fldCharType="end"/>
        </w:r>
      </w:hyperlink>
    </w:p>
    <w:p w14:paraId="071004CF" w14:textId="75FAD748" w:rsidR="00697C16" w:rsidRDefault="00000000">
      <w:pPr>
        <w:pStyle w:val="TOC1"/>
        <w:tabs>
          <w:tab w:val="left" w:pos="410"/>
        </w:tabs>
        <w:rPr>
          <w:rFonts w:eastAsiaTheme="minorEastAsia" w:cstheme="minorBidi"/>
          <w:b w:val="0"/>
          <w:bCs w:val="0"/>
          <w:caps w:val="0"/>
          <w:noProof/>
          <w:kern w:val="2"/>
          <w:sz w:val="24"/>
          <w:szCs w:val="24"/>
          <w:u w:val="none"/>
          <w:lang w:eastAsia="en-GB"/>
          <w14:ligatures w14:val="standardContextual"/>
        </w:rPr>
      </w:pPr>
      <w:hyperlink w:anchor="_Toc166441743" w:history="1">
        <w:r w:rsidR="00697C16" w:rsidRPr="00D57666">
          <w:rPr>
            <w:rStyle w:val="Hyperlink"/>
            <w:noProof/>
          </w:rPr>
          <w:t>5.</w:t>
        </w:r>
        <w:r w:rsidR="00697C16">
          <w:rPr>
            <w:rFonts w:eastAsiaTheme="minorEastAsia" w:cstheme="minorBidi"/>
            <w:b w:val="0"/>
            <w:bCs w:val="0"/>
            <w:caps w:val="0"/>
            <w:noProof/>
            <w:kern w:val="2"/>
            <w:sz w:val="24"/>
            <w:szCs w:val="24"/>
            <w:u w:val="none"/>
            <w:lang w:eastAsia="en-GB"/>
            <w14:ligatures w14:val="standardContextual"/>
          </w:rPr>
          <w:tab/>
        </w:r>
        <w:r w:rsidR="00697C16" w:rsidRPr="00D57666">
          <w:rPr>
            <w:rStyle w:val="Hyperlink"/>
            <w:noProof/>
          </w:rPr>
          <w:t>Modeling the electrified solid/liquid interface</w:t>
        </w:r>
        <w:r w:rsidR="00697C16">
          <w:rPr>
            <w:noProof/>
            <w:webHidden/>
          </w:rPr>
          <w:tab/>
        </w:r>
        <w:r w:rsidR="00697C16">
          <w:rPr>
            <w:noProof/>
            <w:webHidden/>
          </w:rPr>
          <w:fldChar w:fldCharType="begin"/>
        </w:r>
        <w:r w:rsidR="00697C16">
          <w:rPr>
            <w:noProof/>
            <w:webHidden/>
          </w:rPr>
          <w:instrText xml:space="preserve"> PAGEREF _Toc166441743 \h </w:instrText>
        </w:r>
        <w:r w:rsidR="00697C16">
          <w:rPr>
            <w:noProof/>
            <w:webHidden/>
          </w:rPr>
        </w:r>
        <w:r w:rsidR="00697C16">
          <w:rPr>
            <w:noProof/>
            <w:webHidden/>
          </w:rPr>
          <w:fldChar w:fldCharType="separate"/>
        </w:r>
        <w:r w:rsidR="00DB5848">
          <w:rPr>
            <w:noProof/>
            <w:webHidden/>
          </w:rPr>
          <w:t>68</w:t>
        </w:r>
        <w:r w:rsidR="00697C16">
          <w:rPr>
            <w:noProof/>
            <w:webHidden/>
          </w:rPr>
          <w:fldChar w:fldCharType="end"/>
        </w:r>
      </w:hyperlink>
    </w:p>
    <w:p w14:paraId="0C953D76" w14:textId="37040530" w:rsidR="00697C16" w:rsidRDefault="00000000">
      <w:pPr>
        <w:pStyle w:val="TOC2"/>
        <w:rPr>
          <w:rFonts w:eastAsiaTheme="minorEastAsia" w:cstheme="minorBidi"/>
          <w:b w:val="0"/>
          <w:bCs w:val="0"/>
          <w:smallCaps w:val="0"/>
          <w:noProof/>
          <w:kern w:val="2"/>
          <w:sz w:val="24"/>
          <w:szCs w:val="24"/>
          <w:lang w:eastAsia="en-GB"/>
          <w14:ligatures w14:val="standardContextual"/>
        </w:rPr>
      </w:pPr>
      <w:hyperlink w:anchor="_Toc166441744" w:history="1">
        <w:r w:rsidR="00697C16" w:rsidRPr="00D57666">
          <w:rPr>
            <w:rStyle w:val="Hyperlink"/>
            <w:noProof/>
          </w:rPr>
          <w:t>5.1.</w:t>
        </w:r>
        <w:r w:rsidR="00697C16">
          <w:rPr>
            <w:rFonts w:eastAsiaTheme="minorEastAsia" w:cstheme="minorBidi"/>
            <w:b w:val="0"/>
            <w:bCs w:val="0"/>
            <w:smallCaps w:val="0"/>
            <w:noProof/>
            <w:kern w:val="2"/>
            <w:sz w:val="24"/>
            <w:szCs w:val="24"/>
            <w:lang w:eastAsia="en-GB"/>
            <w14:ligatures w14:val="standardContextual"/>
          </w:rPr>
          <w:tab/>
        </w:r>
        <w:r w:rsidR="00697C16" w:rsidRPr="00D57666">
          <w:rPr>
            <w:rStyle w:val="Hyperlink"/>
            <w:noProof/>
          </w:rPr>
          <w:t>Effects of the liquid environment on the relative stability of the OER reaction intermediates</w:t>
        </w:r>
        <w:r w:rsidR="00697C16">
          <w:rPr>
            <w:noProof/>
            <w:webHidden/>
          </w:rPr>
          <w:tab/>
        </w:r>
        <w:r w:rsidR="00697C16">
          <w:rPr>
            <w:noProof/>
            <w:webHidden/>
          </w:rPr>
          <w:fldChar w:fldCharType="begin"/>
        </w:r>
        <w:r w:rsidR="00697C16">
          <w:rPr>
            <w:noProof/>
            <w:webHidden/>
          </w:rPr>
          <w:instrText xml:space="preserve"> PAGEREF _Toc166441744 \h </w:instrText>
        </w:r>
        <w:r w:rsidR="00697C16">
          <w:rPr>
            <w:noProof/>
            <w:webHidden/>
          </w:rPr>
        </w:r>
        <w:r w:rsidR="00697C16">
          <w:rPr>
            <w:noProof/>
            <w:webHidden/>
          </w:rPr>
          <w:fldChar w:fldCharType="separate"/>
        </w:r>
        <w:r w:rsidR="00DB5848">
          <w:rPr>
            <w:noProof/>
            <w:webHidden/>
          </w:rPr>
          <w:t>68</w:t>
        </w:r>
        <w:r w:rsidR="00697C16">
          <w:rPr>
            <w:noProof/>
            <w:webHidden/>
          </w:rPr>
          <w:fldChar w:fldCharType="end"/>
        </w:r>
      </w:hyperlink>
    </w:p>
    <w:p w14:paraId="54639D8D" w14:textId="4C39EB3D" w:rsidR="00697C16" w:rsidRDefault="00000000">
      <w:pPr>
        <w:pStyle w:val="TOC2"/>
        <w:rPr>
          <w:rFonts w:eastAsiaTheme="minorEastAsia" w:cstheme="minorBidi"/>
          <w:b w:val="0"/>
          <w:bCs w:val="0"/>
          <w:smallCaps w:val="0"/>
          <w:noProof/>
          <w:kern w:val="2"/>
          <w:sz w:val="24"/>
          <w:szCs w:val="24"/>
          <w:lang w:eastAsia="en-GB"/>
          <w14:ligatures w14:val="standardContextual"/>
        </w:rPr>
      </w:pPr>
      <w:hyperlink w:anchor="_Toc166441745" w:history="1">
        <w:r w:rsidR="00697C16" w:rsidRPr="00D57666">
          <w:rPr>
            <w:rStyle w:val="Hyperlink"/>
            <w:noProof/>
          </w:rPr>
          <w:t>5.2.</w:t>
        </w:r>
        <w:r w:rsidR="00697C16">
          <w:rPr>
            <w:rFonts w:eastAsiaTheme="minorEastAsia" w:cstheme="minorBidi"/>
            <w:b w:val="0"/>
            <w:bCs w:val="0"/>
            <w:smallCaps w:val="0"/>
            <w:noProof/>
            <w:kern w:val="2"/>
            <w:sz w:val="24"/>
            <w:szCs w:val="24"/>
            <w:lang w:eastAsia="en-GB"/>
            <w14:ligatures w14:val="standardContextual"/>
          </w:rPr>
          <w:tab/>
        </w:r>
        <w:r w:rsidR="00697C16" w:rsidRPr="00D57666">
          <w:rPr>
            <w:rStyle w:val="Hyperlink"/>
            <w:noProof/>
          </w:rPr>
          <w:t>Modeling electrochemical systems at fixed potential</w:t>
        </w:r>
        <w:r w:rsidR="00697C16">
          <w:rPr>
            <w:noProof/>
            <w:webHidden/>
          </w:rPr>
          <w:tab/>
        </w:r>
        <w:r w:rsidR="00697C16">
          <w:rPr>
            <w:noProof/>
            <w:webHidden/>
          </w:rPr>
          <w:fldChar w:fldCharType="begin"/>
        </w:r>
        <w:r w:rsidR="00697C16">
          <w:rPr>
            <w:noProof/>
            <w:webHidden/>
          </w:rPr>
          <w:instrText xml:space="preserve"> PAGEREF _Toc166441745 \h </w:instrText>
        </w:r>
        <w:r w:rsidR="00697C16">
          <w:rPr>
            <w:noProof/>
            <w:webHidden/>
          </w:rPr>
        </w:r>
        <w:r w:rsidR="00697C16">
          <w:rPr>
            <w:noProof/>
            <w:webHidden/>
          </w:rPr>
          <w:fldChar w:fldCharType="separate"/>
        </w:r>
        <w:r w:rsidR="00DB5848">
          <w:rPr>
            <w:noProof/>
            <w:webHidden/>
          </w:rPr>
          <w:t>71</w:t>
        </w:r>
        <w:r w:rsidR="00697C16">
          <w:rPr>
            <w:noProof/>
            <w:webHidden/>
          </w:rPr>
          <w:fldChar w:fldCharType="end"/>
        </w:r>
      </w:hyperlink>
    </w:p>
    <w:p w14:paraId="0CA00138" w14:textId="24E7CF7F" w:rsidR="00697C16" w:rsidRDefault="00000000">
      <w:pPr>
        <w:pStyle w:val="TOC2"/>
        <w:rPr>
          <w:rFonts w:eastAsiaTheme="minorEastAsia" w:cstheme="minorBidi"/>
          <w:b w:val="0"/>
          <w:bCs w:val="0"/>
          <w:smallCaps w:val="0"/>
          <w:noProof/>
          <w:kern w:val="2"/>
          <w:sz w:val="24"/>
          <w:szCs w:val="24"/>
          <w:lang w:eastAsia="en-GB"/>
          <w14:ligatures w14:val="standardContextual"/>
        </w:rPr>
      </w:pPr>
      <w:hyperlink w:anchor="_Toc166441746" w:history="1">
        <w:r w:rsidR="00697C16" w:rsidRPr="00D57666">
          <w:rPr>
            <w:rStyle w:val="Hyperlink"/>
            <w:noProof/>
          </w:rPr>
          <w:t>5.3.</w:t>
        </w:r>
        <w:r w:rsidR="00697C16">
          <w:rPr>
            <w:rFonts w:eastAsiaTheme="minorEastAsia" w:cstheme="minorBidi"/>
            <w:b w:val="0"/>
            <w:bCs w:val="0"/>
            <w:smallCaps w:val="0"/>
            <w:noProof/>
            <w:kern w:val="2"/>
            <w:sz w:val="24"/>
            <w:szCs w:val="24"/>
            <w:lang w:eastAsia="en-GB"/>
            <w14:ligatures w14:val="standardContextual"/>
          </w:rPr>
          <w:tab/>
        </w:r>
        <w:r w:rsidR="00697C16" w:rsidRPr="00D57666">
          <w:rPr>
            <w:rStyle w:val="Hyperlink"/>
            <w:noProof/>
          </w:rPr>
          <w:t>Modeling electrochemical systems at fixed pH</w:t>
        </w:r>
        <w:r w:rsidR="00697C16">
          <w:rPr>
            <w:noProof/>
            <w:webHidden/>
          </w:rPr>
          <w:tab/>
        </w:r>
        <w:r w:rsidR="00697C16">
          <w:rPr>
            <w:noProof/>
            <w:webHidden/>
          </w:rPr>
          <w:fldChar w:fldCharType="begin"/>
        </w:r>
        <w:r w:rsidR="00697C16">
          <w:rPr>
            <w:noProof/>
            <w:webHidden/>
          </w:rPr>
          <w:instrText xml:space="preserve"> PAGEREF _Toc166441746 \h </w:instrText>
        </w:r>
        <w:r w:rsidR="00697C16">
          <w:rPr>
            <w:noProof/>
            <w:webHidden/>
          </w:rPr>
        </w:r>
        <w:r w:rsidR="00697C16">
          <w:rPr>
            <w:noProof/>
            <w:webHidden/>
          </w:rPr>
          <w:fldChar w:fldCharType="separate"/>
        </w:r>
        <w:r w:rsidR="00DB5848">
          <w:rPr>
            <w:noProof/>
            <w:webHidden/>
          </w:rPr>
          <w:t>77</w:t>
        </w:r>
        <w:r w:rsidR="00697C16">
          <w:rPr>
            <w:noProof/>
            <w:webHidden/>
          </w:rPr>
          <w:fldChar w:fldCharType="end"/>
        </w:r>
      </w:hyperlink>
    </w:p>
    <w:p w14:paraId="715B7065" w14:textId="3BE29BF5" w:rsidR="00697C16" w:rsidRDefault="00000000">
      <w:pPr>
        <w:pStyle w:val="TOC1"/>
        <w:tabs>
          <w:tab w:val="left" w:pos="410"/>
        </w:tabs>
        <w:rPr>
          <w:rFonts w:eastAsiaTheme="minorEastAsia" w:cstheme="minorBidi"/>
          <w:b w:val="0"/>
          <w:bCs w:val="0"/>
          <w:caps w:val="0"/>
          <w:noProof/>
          <w:kern w:val="2"/>
          <w:sz w:val="24"/>
          <w:szCs w:val="24"/>
          <w:u w:val="none"/>
          <w:lang w:eastAsia="en-GB"/>
          <w14:ligatures w14:val="standardContextual"/>
        </w:rPr>
      </w:pPr>
      <w:hyperlink w:anchor="_Toc166441747" w:history="1">
        <w:r w:rsidR="00697C16" w:rsidRPr="00D57666">
          <w:rPr>
            <w:rStyle w:val="Hyperlink"/>
            <w:noProof/>
          </w:rPr>
          <w:t>6.</w:t>
        </w:r>
        <w:r w:rsidR="00697C16">
          <w:rPr>
            <w:rFonts w:eastAsiaTheme="minorEastAsia" w:cstheme="minorBidi"/>
            <w:b w:val="0"/>
            <w:bCs w:val="0"/>
            <w:caps w:val="0"/>
            <w:noProof/>
            <w:kern w:val="2"/>
            <w:sz w:val="24"/>
            <w:szCs w:val="24"/>
            <w:u w:val="none"/>
            <w:lang w:eastAsia="en-GB"/>
            <w14:ligatures w14:val="standardContextual"/>
          </w:rPr>
          <w:tab/>
        </w:r>
        <w:r w:rsidR="00697C16" w:rsidRPr="00D57666">
          <w:rPr>
            <w:rStyle w:val="Hyperlink"/>
            <w:noProof/>
          </w:rPr>
          <w:t>Kinetics of the elementary steps</w:t>
        </w:r>
        <w:r w:rsidR="00697C16">
          <w:rPr>
            <w:noProof/>
            <w:webHidden/>
          </w:rPr>
          <w:tab/>
        </w:r>
        <w:r w:rsidR="00697C16">
          <w:rPr>
            <w:noProof/>
            <w:webHidden/>
          </w:rPr>
          <w:fldChar w:fldCharType="begin"/>
        </w:r>
        <w:r w:rsidR="00697C16">
          <w:rPr>
            <w:noProof/>
            <w:webHidden/>
          </w:rPr>
          <w:instrText xml:space="preserve"> PAGEREF _Toc166441747 \h </w:instrText>
        </w:r>
        <w:r w:rsidR="00697C16">
          <w:rPr>
            <w:noProof/>
            <w:webHidden/>
          </w:rPr>
        </w:r>
        <w:r w:rsidR="00697C16">
          <w:rPr>
            <w:noProof/>
            <w:webHidden/>
          </w:rPr>
          <w:fldChar w:fldCharType="separate"/>
        </w:r>
        <w:r w:rsidR="00DB5848">
          <w:rPr>
            <w:noProof/>
            <w:webHidden/>
          </w:rPr>
          <w:t>79</w:t>
        </w:r>
        <w:r w:rsidR="00697C16">
          <w:rPr>
            <w:noProof/>
            <w:webHidden/>
          </w:rPr>
          <w:fldChar w:fldCharType="end"/>
        </w:r>
      </w:hyperlink>
    </w:p>
    <w:p w14:paraId="5BF3D597" w14:textId="4A8AD9F0" w:rsidR="00697C16" w:rsidRDefault="00000000">
      <w:pPr>
        <w:pStyle w:val="TOC2"/>
        <w:rPr>
          <w:rFonts w:eastAsiaTheme="minorEastAsia" w:cstheme="minorBidi"/>
          <w:b w:val="0"/>
          <w:bCs w:val="0"/>
          <w:smallCaps w:val="0"/>
          <w:noProof/>
          <w:kern w:val="2"/>
          <w:sz w:val="24"/>
          <w:szCs w:val="24"/>
          <w:lang w:eastAsia="en-GB"/>
          <w14:ligatures w14:val="standardContextual"/>
        </w:rPr>
      </w:pPr>
      <w:hyperlink w:anchor="_Toc166441748" w:history="1">
        <w:r w:rsidR="00697C16" w:rsidRPr="00D57666">
          <w:rPr>
            <w:rStyle w:val="Hyperlink"/>
            <w:noProof/>
          </w:rPr>
          <w:t>6.1.</w:t>
        </w:r>
        <w:r w:rsidR="00697C16">
          <w:rPr>
            <w:rFonts w:eastAsiaTheme="minorEastAsia" w:cstheme="minorBidi"/>
            <w:b w:val="0"/>
            <w:bCs w:val="0"/>
            <w:smallCaps w:val="0"/>
            <w:noProof/>
            <w:kern w:val="2"/>
            <w:sz w:val="24"/>
            <w:szCs w:val="24"/>
            <w:lang w:eastAsia="en-GB"/>
            <w14:ligatures w14:val="standardContextual"/>
          </w:rPr>
          <w:tab/>
        </w:r>
        <w:r w:rsidR="00697C16" w:rsidRPr="00D57666">
          <w:rPr>
            <w:rStyle w:val="Hyperlink"/>
            <w:noProof/>
          </w:rPr>
          <w:t>Barriers obtained from constant charge calculations</w:t>
        </w:r>
        <w:r w:rsidR="00697C16">
          <w:rPr>
            <w:noProof/>
            <w:webHidden/>
          </w:rPr>
          <w:tab/>
        </w:r>
        <w:r w:rsidR="00697C16">
          <w:rPr>
            <w:noProof/>
            <w:webHidden/>
          </w:rPr>
          <w:fldChar w:fldCharType="begin"/>
        </w:r>
        <w:r w:rsidR="00697C16">
          <w:rPr>
            <w:noProof/>
            <w:webHidden/>
          </w:rPr>
          <w:instrText xml:space="preserve"> PAGEREF _Toc166441748 \h </w:instrText>
        </w:r>
        <w:r w:rsidR="00697C16">
          <w:rPr>
            <w:noProof/>
            <w:webHidden/>
          </w:rPr>
        </w:r>
        <w:r w:rsidR="00697C16">
          <w:rPr>
            <w:noProof/>
            <w:webHidden/>
          </w:rPr>
          <w:fldChar w:fldCharType="separate"/>
        </w:r>
        <w:r w:rsidR="00DB5848">
          <w:rPr>
            <w:noProof/>
            <w:webHidden/>
          </w:rPr>
          <w:t>79</w:t>
        </w:r>
        <w:r w:rsidR="00697C16">
          <w:rPr>
            <w:noProof/>
            <w:webHidden/>
          </w:rPr>
          <w:fldChar w:fldCharType="end"/>
        </w:r>
      </w:hyperlink>
    </w:p>
    <w:p w14:paraId="3455E849" w14:textId="2C455DFE" w:rsidR="00697C16" w:rsidRDefault="00000000">
      <w:pPr>
        <w:pStyle w:val="TOC2"/>
        <w:rPr>
          <w:rFonts w:eastAsiaTheme="minorEastAsia" w:cstheme="minorBidi"/>
          <w:b w:val="0"/>
          <w:bCs w:val="0"/>
          <w:smallCaps w:val="0"/>
          <w:noProof/>
          <w:kern w:val="2"/>
          <w:sz w:val="24"/>
          <w:szCs w:val="24"/>
          <w:lang w:eastAsia="en-GB"/>
          <w14:ligatures w14:val="standardContextual"/>
        </w:rPr>
      </w:pPr>
      <w:hyperlink w:anchor="_Toc166441749" w:history="1">
        <w:r w:rsidR="00697C16" w:rsidRPr="00D57666">
          <w:rPr>
            <w:rStyle w:val="Hyperlink"/>
            <w:noProof/>
          </w:rPr>
          <w:t>6.2.</w:t>
        </w:r>
        <w:r w:rsidR="00697C16">
          <w:rPr>
            <w:rFonts w:eastAsiaTheme="minorEastAsia" w:cstheme="minorBidi"/>
            <w:b w:val="0"/>
            <w:bCs w:val="0"/>
            <w:smallCaps w:val="0"/>
            <w:noProof/>
            <w:kern w:val="2"/>
            <w:sz w:val="24"/>
            <w:szCs w:val="24"/>
            <w:lang w:eastAsia="en-GB"/>
            <w14:ligatures w14:val="standardContextual"/>
          </w:rPr>
          <w:tab/>
        </w:r>
        <w:r w:rsidR="00697C16" w:rsidRPr="00D57666">
          <w:rPr>
            <w:rStyle w:val="Hyperlink"/>
            <w:noProof/>
          </w:rPr>
          <w:t>Barriers obtained from constant potential calculations</w:t>
        </w:r>
        <w:r w:rsidR="00697C16">
          <w:rPr>
            <w:noProof/>
            <w:webHidden/>
          </w:rPr>
          <w:tab/>
        </w:r>
        <w:r w:rsidR="00697C16">
          <w:rPr>
            <w:noProof/>
            <w:webHidden/>
          </w:rPr>
          <w:fldChar w:fldCharType="begin"/>
        </w:r>
        <w:r w:rsidR="00697C16">
          <w:rPr>
            <w:noProof/>
            <w:webHidden/>
          </w:rPr>
          <w:instrText xml:space="preserve"> PAGEREF _Toc166441749 \h </w:instrText>
        </w:r>
        <w:r w:rsidR="00697C16">
          <w:rPr>
            <w:noProof/>
            <w:webHidden/>
          </w:rPr>
        </w:r>
        <w:r w:rsidR="00697C16">
          <w:rPr>
            <w:noProof/>
            <w:webHidden/>
          </w:rPr>
          <w:fldChar w:fldCharType="separate"/>
        </w:r>
        <w:r w:rsidR="00DB5848">
          <w:rPr>
            <w:noProof/>
            <w:webHidden/>
          </w:rPr>
          <w:t>83</w:t>
        </w:r>
        <w:r w:rsidR="00697C16">
          <w:rPr>
            <w:noProof/>
            <w:webHidden/>
          </w:rPr>
          <w:fldChar w:fldCharType="end"/>
        </w:r>
      </w:hyperlink>
    </w:p>
    <w:p w14:paraId="5EBCF79C" w14:textId="61A8680A" w:rsidR="00697C16" w:rsidRDefault="00000000">
      <w:pPr>
        <w:pStyle w:val="TOC1"/>
        <w:tabs>
          <w:tab w:val="left" w:pos="410"/>
        </w:tabs>
        <w:rPr>
          <w:rFonts w:eastAsiaTheme="minorEastAsia" w:cstheme="minorBidi"/>
          <w:b w:val="0"/>
          <w:bCs w:val="0"/>
          <w:caps w:val="0"/>
          <w:noProof/>
          <w:kern w:val="2"/>
          <w:sz w:val="24"/>
          <w:szCs w:val="24"/>
          <w:u w:val="none"/>
          <w:lang w:eastAsia="en-GB"/>
          <w14:ligatures w14:val="standardContextual"/>
        </w:rPr>
      </w:pPr>
      <w:hyperlink w:anchor="_Toc166441750" w:history="1">
        <w:r w:rsidR="00697C16" w:rsidRPr="00D57666">
          <w:rPr>
            <w:rStyle w:val="Hyperlink"/>
            <w:noProof/>
          </w:rPr>
          <w:t>7.</w:t>
        </w:r>
        <w:r w:rsidR="00697C16">
          <w:rPr>
            <w:rFonts w:eastAsiaTheme="minorEastAsia" w:cstheme="minorBidi"/>
            <w:b w:val="0"/>
            <w:bCs w:val="0"/>
            <w:caps w:val="0"/>
            <w:noProof/>
            <w:kern w:val="2"/>
            <w:sz w:val="24"/>
            <w:szCs w:val="24"/>
            <w:u w:val="none"/>
            <w:lang w:eastAsia="en-GB"/>
            <w14:ligatures w14:val="standardContextual"/>
          </w:rPr>
          <w:tab/>
        </w:r>
        <w:r w:rsidR="00697C16" w:rsidRPr="00D57666">
          <w:rPr>
            <w:rStyle w:val="Hyperlink"/>
            <w:noProof/>
          </w:rPr>
          <w:t>Microkinetic models</w:t>
        </w:r>
        <w:r w:rsidR="00697C16">
          <w:rPr>
            <w:noProof/>
            <w:webHidden/>
          </w:rPr>
          <w:tab/>
        </w:r>
        <w:r w:rsidR="00697C16">
          <w:rPr>
            <w:noProof/>
            <w:webHidden/>
          </w:rPr>
          <w:fldChar w:fldCharType="begin"/>
        </w:r>
        <w:r w:rsidR="00697C16">
          <w:rPr>
            <w:noProof/>
            <w:webHidden/>
          </w:rPr>
          <w:instrText xml:space="preserve"> PAGEREF _Toc166441750 \h </w:instrText>
        </w:r>
        <w:r w:rsidR="00697C16">
          <w:rPr>
            <w:noProof/>
            <w:webHidden/>
          </w:rPr>
        </w:r>
        <w:r w:rsidR="00697C16">
          <w:rPr>
            <w:noProof/>
            <w:webHidden/>
          </w:rPr>
          <w:fldChar w:fldCharType="separate"/>
        </w:r>
        <w:r w:rsidR="00DB5848">
          <w:rPr>
            <w:noProof/>
            <w:webHidden/>
          </w:rPr>
          <w:t>86</w:t>
        </w:r>
        <w:r w:rsidR="00697C16">
          <w:rPr>
            <w:noProof/>
            <w:webHidden/>
          </w:rPr>
          <w:fldChar w:fldCharType="end"/>
        </w:r>
      </w:hyperlink>
    </w:p>
    <w:p w14:paraId="1273F344" w14:textId="2DA08D32" w:rsidR="00697C16" w:rsidRDefault="00000000">
      <w:pPr>
        <w:pStyle w:val="TOC2"/>
        <w:rPr>
          <w:rFonts w:eastAsiaTheme="minorEastAsia" w:cstheme="minorBidi"/>
          <w:b w:val="0"/>
          <w:bCs w:val="0"/>
          <w:smallCaps w:val="0"/>
          <w:noProof/>
          <w:kern w:val="2"/>
          <w:sz w:val="24"/>
          <w:szCs w:val="24"/>
          <w:lang w:eastAsia="en-GB"/>
          <w14:ligatures w14:val="standardContextual"/>
        </w:rPr>
      </w:pPr>
      <w:hyperlink w:anchor="_Toc166441751" w:history="1">
        <w:r w:rsidR="00697C16" w:rsidRPr="00D57666">
          <w:rPr>
            <w:rStyle w:val="Hyperlink"/>
            <w:noProof/>
          </w:rPr>
          <w:t>7.1.</w:t>
        </w:r>
        <w:r w:rsidR="00697C16">
          <w:rPr>
            <w:rFonts w:eastAsiaTheme="minorEastAsia" w:cstheme="minorBidi"/>
            <w:b w:val="0"/>
            <w:bCs w:val="0"/>
            <w:smallCaps w:val="0"/>
            <w:noProof/>
            <w:kern w:val="2"/>
            <w:sz w:val="24"/>
            <w:szCs w:val="24"/>
            <w:lang w:eastAsia="en-GB"/>
            <w14:ligatures w14:val="standardContextual"/>
          </w:rPr>
          <w:tab/>
        </w:r>
        <w:r w:rsidR="00697C16" w:rsidRPr="00D57666">
          <w:rPr>
            <w:rStyle w:val="Hyperlink"/>
            <w:noProof/>
          </w:rPr>
          <w:t>Rutile oxides</w:t>
        </w:r>
        <w:r w:rsidR="00697C16">
          <w:rPr>
            <w:noProof/>
            <w:webHidden/>
          </w:rPr>
          <w:tab/>
        </w:r>
        <w:r w:rsidR="00697C16">
          <w:rPr>
            <w:noProof/>
            <w:webHidden/>
          </w:rPr>
          <w:fldChar w:fldCharType="begin"/>
        </w:r>
        <w:r w:rsidR="00697C16">
          <w:rPr>
            <w:noProof/>
            <w:webHidden/>
          </w:rPr>
          <w:instrText xml:space="preserve"> PAGEREF _Toc166441751 \h </w:instrText>
        </w:r>
        <w:r w:rsidR="00697C16">
          <w:rPr>
            <w:noProof/>
            <w:webHidden/>
          </w:rPr>
        </w:r>
        <w:r w:rsidR="00697C16">
          <w:rPr>
            <w:noProof/>
            <w:webHidden/>
          </w:rPr>
          <w:fldChar w:fldCharType="separate"/>
        </w:r>
        <w:r w:rsidR="00DB5848">
          <w:rPr>
            <w:noProof/>
            <w:webHidden/>
          </w:rPr>
          <w:t>87</w:t>
        </w:r>
        <w:r w:rsidR="00697C16">
          <w:rPr>
            <w:noProof/>
            <w:webHidden/>
          </w:rPr>
          <w:fldChar w:fldCharType="end"/>
        </w:r>
      </w:hyperlink>
    </w:p>
    <w:p w14:paraId="05483825" w14:textId="02194287" w:rsidR="00697C16" w:rsidRDefault="00000000">
      <w:pPr>
        <w:pStyle w:val="TOC2"/>
        <w:rPr>
          <w:rFonts w:eastAsiaTheme="minorEastAsia" w:cstheme="minorBidi"/>
          <w:b w:val="0"/>
          <w:bCs w:val="0"/>
          <w:smallCaps w:val="0"/>
          <w:noProof/>
          <w:kern w:val="2"/>
          <w:sz w:val="24"/>
          <w:szCs w:val="24"/>
          <w:lang w:eastAsia="en-GB"/>
          <w14:ligatures w14:val="standardContextual"/>
        </w:rPr>
      </w:pPr>
      <w:hyperlink w:anchor="_Toc166441752" w:history="1">
        <w:r w:rsidR="00697C16" w:rsidRPr="00D57666">
          <w:rPr>
            <w:rStyle w:val="Hyperlink"/>
            <w:noProof/>
          </w:rPr>
          <w:t>7.2.</w:t>
        </w:r>
        <w:r w:rsidR="00697C16">
          <w:rPr>
            <w:rFonts w:eastAsiaTheme="minorEastAsia" w:cstheme="minorBidi"/>
            <w:b w:val="0"/>
            <w:bCs w:val="0"/>
            <w:smallCaps w:val="0"/>
            <w:noProof/>
            <w:kern w:val="2"/>
            <w:sz w:val="24"/>
            <w:szCs w:val="24"/>
            <w:lang w:eastAsia="en-GB"/>
            <w14:ligatures w14:val="standardContextual"/>
          </w:rPr>
          <w:tab/>
        </w:r>
        <w:r w:rsidR="00697C16" w:rsidRPr="00D57666">
          <w:rPr>
            <w:rStyle w:val="Hyperlink"/>
            <w:noProof/>
          </w:rPr>
          <w:t>Oxyhydroxides</w:t>
        </w:r>
        <w:r w:rsidR="00697C16">
          <w:rPr>
            <w:noProof/>
            <w:webHidden/>
          </w:rPr>
          <w:tab/>
        </w:r>
        <w:r w:rsidR="00697C16">
          <w:rPr>
            <w:noProof/>
            <w:webHidden/>
          </w:rPr>
          <w:fldChar w:fldCharType="begin"/>
        </w:r>
        <w:r w:rsidR="00697C16">
          <w:rPr>
            <w:noProof/>
            <w:webHidden/>
          </w:rPr>
          <w:instrText xml:space="preserve"> PAGEREF _Toc166441752 \h </w:instrText>
        </w:r>
        <w:r w:rsidR="00697C16">
          <w:rPr>
            <w:noProof/>
            <w:webHidden/>
          </w:rPr>
        </w:r>
        <w:r w:rsidR="00697C16">
          <w:rPr>
            <w:noProof/>
            <w:webHidden/>
          </w:rPr>
          <w:fldChar w:fldCharType="separate"/>
        </w:r>
        <w:r w:rsidR="00DB5848">
          <w:rPr>
            <w:noProof/>
            <w:webHidden/>
          </w:rPr>
          <w:t>94</w:t>
        </w:r>
        <w:r w:rsidR="00697C16">
          <w:rPr>
            <w:noProof/>
            <w:webHidden/>
          </w:rPr>
          <w:fldChar w:fldCharType="end"/>
        </w:r>
      </w:hyperlink>
    </w:p>
    <w:p w14:paraId="3E9E9F03" w14:textId="5FFD6A64" w:rsidR="00697C16" w:rsidRDefault="00000000">
      <w:pPr>
        <w:pStyle w:val="TOC2"/>
        <w:rPr>
          <w:rFonts w:eastAsiaTheme="minorEastAsia" w:cstheme="minorBidi"/>
          <w:b w:val="0"/>
          <w:bCs w:val="0"/>
          <w:smallCaps w:val="0"/>
          <w:noProof/>
          <w:kern w:val="2"/>
          <w:sz w:val="24"/>
          <w:szCs w:val="24"/>
          <w:lang w:eastAsia="en-GB"/>
          <w14:ligatures w14:val="standardContextual"/>
        </w:rPr>
      </w:pPr>
      <w:hyperlink w:anchor="_Toc166441753" w:history="1">
        <w:r w:rsidR="00697C16" w:rsidRPr="00D57666">
          <w:rPr>
            <w:rStyle w:val="Hyperlink"/>
            <w:noProof/>
          </w:rPr>
          <w:t>7.3.</w:t>
        </w:r>
        <w:r w:rsidR="00697C16">
          <w:rPr>
            <w:rFonts w:eastAsiaTheme="minorEastAsia" w:cstheme="minorBidi"/>
            <w:b w:val="0"/>
            <w:bCs w:val="0"/>
            <w:smallCaps w:val="0"/>
            <w:noProof/>
            <w:kern w:val="2"/>
            <w:sz w:val="24"/>
            <w:szCs w:val="24"/>
            <w:lang w:eastAsia="en-GB"/>
            <w14:ligatures w14:val="standardContextual"/>
          </w:rPr>
          <w:tab/>
        </w:r>
        <w:r w:rsidR="00697C16" w:rsidRPr="00D57666">
          <w:rPr>
            <w:rStyle w:val="Hyperlink"/>
            <w:noProof/>
          </w:rPr>
          <w:t>pH and electrolyte effects in MK models</w:t>
        </w:r>
        <w:r w:rsidR="00697C16">
          <w:rPr>
            <w:noProof/>
            <w:webHidden/>
          </w:rPr>
          <w:tab/>
        </w:r>
        <w:r w:rsidR="00697C16">
          <w:rPr>
            <w:noProof/>
            <w:webHidden/>
          </w:rPr>
          <w:fldChar w:fldCharType="begin"/>
        </w:r>
        <w:r w:rsidR="00697C16">
          <w:rPr>
            <w:noProof/>
            <w:webHidden/>
          </w:rPr>
          <w:instrText xml:space="preserve"> PAGEREF _Toc166441753 \h </w:instrText>
        </w:r>
        <w:r w:rsidR="00697C16">
          <w:rPr>
            <w:noProof/>
            <w:webHidden/>
          </w:rPr>
        </w:r>
        <w:r w:rsidR="00697C16">
          <w:rPr>
            <w:noProof/>
            <w:webHidden/>
          </w:rPr>
          <w:fldChar w:fldCharType="separate"/>
        </w:r>
        <w:r w:rsidR="00DB5848">
          <w:rPr>
            <w:noProof/>
            <w:webHidden/>
          </w:rPr>
          <w:t>98</w:t>
        </w:r>
        <w:r w:rsidR="00697C16">
          <w:rPr>
            <w:noProof/>
            <w:webHidden/>
          </w:rPr>
          <w:fldChar w:fldCharType="end"/>
        </w:r>
      </w:hyperlink>
    </w:p>
    <w:p w14:paraId="6646F913" w14:textId="221CD090" w:rsidR="00697C16" w:rsidRDefault="00000000">
      <w:pPr>
        <w:pStyle w:val="TOC2"/>
        <w:rPr>
          <w:rFonts w:eastAsiaTheme="minorEastAsia" w:cstheme="minorBidi"/>
          <w:b w:val="0"/>
          <w:bCs w:val="0"/>
          <w:smallCaps w:val="0"/>
          <w:noProof/>
          <w:kern w:val="2"/>
          <w:sz w:val="24"/>
          <w:szCs w:val="24"/>
          <w:lang w:eastAsia="en-GB"/>
          <w14:ligatures w14:val="standardContextual"/>
        </w:rPr>
      </w:pPr>
      <w:hyperlink w:anchor="_Toc166441754" w:history="1">
        <w:r w:rsidR="00697C16" w:rsidRPr="00D57666">
          <w:rPr>
            <w:rStyle w:val="Hyperlink"/>
            <w:noProof/>
          </w:rPr>
          <w:t>7.4.</w:t>
        </w:r>
        <w:r w:rsidR="00697C16">
          <w:rPr>
            <w:rFonts w:eastAsiaTheme="minorEastAsia" w:cstheme="minorBidi"/>
            <w:b w:val="0"/>
            <w:bCs w:val="0"/>
            <w:smallCaps w:val="0"/>
            <w:noProof/>
            <w:kern w:val="2"/>
            <w:sz w:val="24"/>
            <w:szCs w:val="24"/>
            <w:lang w:eastAsia="en-GB"/>
            <w14:ligatures w14:val="standardContextual"/>
          </w:rPr>
          <w:tab/>
        </w:r>
        <w:r w:rsidR="00697C16" w:rsidRPr="00D57666">
          <w:rPr>
            <w:rStyle w:val="Hyperlink"/>
            <w:noProof/>
          </w:rPr>
          <w:t>Photoelectrochemical OER</w:t>
        </w:r>
        <w:r w:rsidR="00697C16">
          <w:rPr>
            <w:noProof/>
            <w:webHidden/>
          </w:rPr>
          <w:tab/>
        </w:r>
        <w:r w:rsidR="00697C16">
          <w:rPr>
            <w:noProof/>
            <w:webHidden/>
          </w:rPr>
          <w:fldChar w:fldCharType="begin"/>
        </w:r>
        <w:r w:rsidR="00697C16">
          <w:rPr>
            <w:noProof/>
            <w:webHidden/>
          </w:rPr>
          <w:instrText xml:space="preserve"> PAGEREF _Toc166441754 \h </w:instrText>
        </w:r>
        <w:r w:rsidR="00697C16">
          <w:rPr>
            <w:noProof/>
            <w:webHidden/>
          </w:rPr>
        </w:r>
        <w:r w:rsidR="00697C16">
          <w:rPr>
            <w:noProof/>
            <w:webHidden/>
          </w:rPr>
          <w:fldChar w:fldCharType="separate"/>
        </w:r>
        <w:r w:rsidR="00DB5848">
          <w:rPr>
            <w:noProof/>
            <w:webHidden/>
          </w:rPr>
          <w:t>102</w:t>
        </w:r>
        <w:r w:rsidR="00697C16">
          <w:rPr>
            <w:noProof/>
            <w:webHidden/>
          </w:rPr>
          <w:fldChar w:fldCharType="end"/>
        </w:r>
      </w:hyperlink>
    </w:p>
    <w:p w14:paraId="4BCE3694" w14:textId="4BC28D45" w:rsidR="00697C16" w:rsidRDefault="00000000">
      <w:pPr>
        <w:pStyle w:val="TOC1"/>
        <w:tabs>
          <w:tab w:val="left" w:pos="410"/>
        </w:tabs>
        <w:rPr>
          <w:rFonts w:eastAsiaTheme="minorEastAsia" w:cstheme="minorBidi"/>
          <w:b w:val="0"/>
          <w:bCs w:val="0"/>
          <w:caps w:val="0"/>
          <w:noProof/>
          <w:kern w:val="2"/>
          <w:sz w:val="24"/>
          <w:szCs w:val="24"/>
          <w:u w:val="none"/>
          <w:lang w:eastAsia="en-GB"/>
          <w14:ligatures w14:val="standardContextual"/>
        </w:rPr>
      </w:pPr>
      <w:hyperlink w:anchor="_Toc166441755" w:history="1">
        <w:r w:rsidR="00697C16" w:rsidRPr="00D57666">
          <w:rPr>
            <w:rStyle w:val="Hyperlink"/>
            <w:noProof/>
          </w:rPr>
          <w:t>8.</w:t>
        </w:r>
        <w:r w:rsidR="00697C16">
          <w:rPr>
            <w:rFonts w:eastAsiaTheme="minorEastAsia" w:cstheme="minorBidi"/>
            <w:b w:val="0"/>
            <w:bCs w:val="0"/>
            <w:caps w:val="0"/>
            <w:noProof/>
            <w:kern w:val="2"/>
            <w:sz w:val="24"/>
            <w:szCs w:val="24"/>
            <w:u w:val="none"/>
            <w:lang w:eastAsia="en-GB"/>
            <w14:ligatures w14:val="standardContextual"/>
          </w:rPr>
          <w:tab/>
        </w:r>
        <w:r w:rsidR="00697C16" w:rsidRPr="00D57666">
          <w:rPr>
            <w:rStyle w:val="Hyperlink"/>
            <w:noProof/>
          </w:rPr>
          <w:t>Conclusion</w:t>
        </w:r>
        <w:r w:rsidR="00697C16">
          <w:rPr>
            <w:noProof/>
            <w:webHidden/>
          </w:rPr>
          <w:tab/>
        </w:r>
        <w:r w:rsidR="00697C16">
          <w:rPr>
            <w:noProof/>
            <w:webHidden/>
          </w:rPr>
          <w:fldChar w:fldCharType="begin"/>
        </w:r>
        <w:r w:rsidR="00697C16">
          <w:rPr>
            <w:noProof/>
            <w:webHidden/>
          </w:rPr>
          <w:instrText xml:space="preserve"> PAGEREF _Toc166441755 \h </w:instrText>
        </w:r>
        <w:r w:rsidR="00697C16">
          <w:rPr>
            <w:noProof/>
            <w:webHidden/>
          </w:rPr>
        </w:r>
        <w:r w:rsidR="00697C16">
          <w:rPr>
            <w:noProof/>
            <w:webHidden/>
          </w:rPr>
          <w:fldChar w:fldCharType="separate"/>
        </w:r>
        <w:r w:rsidR="00DB5848">
          <w:rPr>
            <w:noProof/>
            <w:webHidden/>
          </w:rPr>
          <w:t>107</w:t>
        </w:r>
        <w:r w:rsidR="00697C16">
          <w:rPr>
            <w:noProof/>
            <w:webHidden/>
          </w:rPr>
          <w:fldChar w:fldCharType="end"/>
        </w:r>
      </w:hyperlink>
    </w:p>
    <w:p w14:paraId="41109C17" w14:textId="34A9DA0C" w:rsidR="00697C16" w:rsidRDefault="00000000">
      <w:pPr>
        <w:pStyle w:val="TOC1"/>
        <w:tabs>
          <w:tab w:val="left" w:pos="410"/>
        </w:tabs>
        <w:rPr>
          <w:rFonts w:eastAsiaTheme="minorEastAsia" w:cstheme="minorBidi"/>
          <w:b w:val="0"/>
          <w:bCs w:val="0"/>
          <w:caps w:val="0"/>
          <w:noProof/>
          <w:kern w:val="2"/>
          <w:sz w:val="24"/>
          <w:szCs w:val="24"/>
          <w:u w:val="none"/>
          <w:lang w:eastAsia="en-GB"/>
          <w14:ligatures w14:val="standardContextual"/>
        </w:rPr>
      </w:pPr>
      <w:hyperlink w:anchor="_Toc166441756" w:history="1">
        <w:r w:rsidR="00697C16" w:rsidRPr="00D57666">
          <w:rPr>
            <w:rStyle w:val="Hyperlink"/>
            <w:noProof/>
          </w:rPr>
          <w:t>9.</w:t>
        </w:r>
        <w:r w:rsidR="00697C16">
          <w:rPr>
            <w:rFonts w:eastAsiaTheme="minorEastAsia" w:cstheme="minorBidi"/>
            <w:b w:val="0"/>
            <w:bCs w:val="0"/>
            <w:caps w:val="0"/>
            <w:noProof/>
            <w:kern w:val="2"/>
            <w:sz w:val="24"/>
            <w:szCs w:val="24"/>
            <w:u w:val="none"/>
            <w:lang w:eastAsia="en-GB"/>
            <w14:ligatures w14:val="standardContextual"/>
          </w:rPr>
          <w:tab/>
        </w:r>
        <w:r w:rsidR="00697C16" w:rsidRPr="00D57666">
          <w:rPr>
            <w:rStyle w:val="Hyperlink"/>
            <w:noProof/>
          </w:rPr>
          <w:t>References</w:t>
        </w:r>
        <w:r w:rsidR="00697C16">
          <w:rPr>
            <w:noProof/>
            <w:webHidden/>
          </w:rPr>
          <w:tab/>
        </w:r>
        <w:r w:rsidR="00697C16">
          <w:rPr>
            <w:noProof/>
            <w:webHidden/>
          </w:rPr>
          <w:fldChar w:fldCharType="begin"/>
        </w:r>
        <w:r w:rsidR="00697C16">
          <w:rPr>
            <w:noProof/>
            <w:webHidden/>
          </w:rPr>
          <w:instrText xml:space="preserve"> PAGEREF _Toc166441756 \h </w:instrText>
        </w:r>
        <w:r w:rsidR="00697C16">
          <w:rPr>
            <w:noProof/>
            <w:webHidden/>
          </w:rPr>
        </w:r>
        <w:r w:rsidR="00697C16">
          <w:rPr>
            <w:noProof/>
            <w:webHidden/>
          </w:rPr>
          <w:fldChar w:fldCharType="separate"/>
        </w:r>
        <w:r w:rsidR="00DB5848">
          <w:rPr>
            <w:noProof/>
            <w:webHidden/>
          </w:rPr>
          <w:t>111</w:t>
        </w:r>
        <w:r w:rsidR="00697C16">
          <w:rPr>
            <w:noProof/>
            <w:webHidden/>
          </w:rPr>
          <w:fldChar w:fldCharType="end"/>
        </w:r>
      </w:hyperlink>
    </w:p>
    <w:p w14:paraId="7D8E39EC" w14:textId="3540ED68" w:rsidR="00185B66" w:rsidRPr="006C1C9C" w:rsidRDefault="000231C1">
      <w:r>
        <w:rPr>
          <w:rFonts w:asciiTheme="minorHAnsi" w:hAnsiTheme="minorHAnsi" w:cstheme="minorHAnsi"/>
          <w:b/>
          <w:bCs/>
          <w:caps/>
          <w:szCs w:val="22"/>
          <w:u w:val="single"/>
        </w:rPr>
        <w:fldChar w:fldCharType="end"/>
      </w:r>
      <w:r w:rsidR="00185B66">
        <w:br w:type="page"/>
      </w:r>
    </w:p>
    <w:p w14:paraId="2B01A70C" w14:textId="6CF05305" w:rsidR="00185B66" w:rsidRPr="003844CD" w:rsidRDefault="00185B66" w:rsidP="00BC7855">
      <w:pPr>
        <w:pStyle w:val="Heading1"/>
        <w:numPr>
          <w:ilvl w:val="0"/>
          <w:numId w:val="17"/>
        </w:numPr>
      </w:pPr>
      <w:bookmarkStart w:id="7" w:name="_Toc166441724"/>
      <w:r w:rsidRPr="003844CD">
        <w:lastRenderedPageBreak/>
        <w:t>Introduction</w:t>
      </w:r>
      <w:bookmarkEnd w:id="5"/>
      <w:bookmarkEnd w:id="6"/>
      <w:bookmarkEnd w:id="7"/>
    </w:p>
    <w:p w14:paraId="469788A6" w14:textId="77777777" w:rsidR="00185B66" w:rsidRDefault="00185B66" w:rsidP="00185B66"/>
    <w:p w14:paraId="51240013" w14:textId="493747A1" w:rsidR="00F2418D" w:rsidRDefault="00F2418D" w:rsidP="00F2418D">
      <w:r>
        <w:tab/>
        <w:t xml:space="preserve">Electrocatalytic transforms have seen a resurgence of scientific interest in what Markovic refers to as the </w:t>
      </w:r>
      <w:r w:rsidRPr="00645551">
        <w:t>renaissance of electrocatalysis</w:t>
      </w:r>
      <w:r w:rsidR="00774BA5">
        <w:t>.</w:t>
      </w:r>
      <w:r>
        <w:fldChar w:fldCharType="begin"/>
      </w:r>
      <w:r w:rsidR="009F6662">
        <w:instrText xml:space="preserve"> ADDIN EN.CITE &lt;EndNote&gt;&lt;Cite&gt;&lt;Author&gt;Shao&lt;/Author&gt;&lt;Year&gt;2016&lt;/Year&gt;&lt;RecNum&gt;1&lt;/RecNum&gt;&lt;DisplayText&gt;&lt;style face="superscript"&gt;1&lt;/style&gt;&lt;/DisplayText&gt;&lt;record&gt;&lt;rec-number&gt;1&lt;/rec-number&gt;&lt;foreign-keys&gt;&lt;key app="EN" db-id="2xex0erf4eexr4e2dpbxpdd829xttesxxxdr" timestamp="1715075296"&gt;1&lt;/key&gt;&lt;/foreign-keys&gt;&lt;ref-type name="Journal Article"&gt;17&lt;/ref-type&gt;&lt;contributors&gt;&lt;authors&gt;&lt;author&gt;Shao, Yuyan&lt;/author&gt;&lt;author&gt;Markovic, Nenad M.&lt;/author&gt;&lt;/authors&gt;&lt;/contributors&gt;&lt;titles&gt;&lt;title&gt;Prelude: The Renaissance of Electrocatalysis&lt;/title&gt;&lt;secondary-title&gt;Nano Energy&lt;/secondary-title&gt;&lt;/titles&gt;&lt;pages&gt;1-3&lt;/pages&gt;&lt;volume&gt;29&lt;/volume&gt;&lt;dates&gt;&lt;year&gt;2016&lt;/year&gt;&lt;pub-dates&gt;&lt;date&gt;2016/11/01/&lt;/date&gt;&lt;/pub-dates&gt;&lt;/dates&gt;&lt;isbn&gt;2211-2855&lt;/isbn&gt;&lt;urls&gt;&lt;related-urls&gt;&lt;url&gt;https://www.sciencedirect.com/science/article/pii/S2211285516303883&lt;/url&gt;&lt;/related-urls&gt;&lt;/urls&gt;&lt;electronic-resource-num&gt;https://doi.org/10.1016/j.nanoen.2016.09.025&lt;/electronic-resource-num&gt;&lt;/record&gt;&lt;/Cite&gt;&lt;/EndNote&gt;</w:instrText>
      </w:r>
      <w:r>
        <w:fldChar w:fldCharType="separate"/>
      </w:r>
      <w:r w:rsidR="009F6662" w:rsidRPr="009F6662">
        <w:rPr>
          <w:noProof/>
          <w:vertAlign w:val="superscript"/>
        </w:rPr>
        <w:t>1</w:t>
      </w:r>
      <w:r>
        <w:fldChar w:fldCharType="end"/>
      </w:r>
      <w:r>
        <w:t xml:space="preserve"> This </w:t>
      </w:r>
      <w:r w:rsidRPr="00645551">
        <w:t>renaissance</w:t>
      </w:r>
      <w:r>
        <w:t xml:space="preserve"> is a direct consequence of increased interest in a hydrogen economy, or more broadly a renewable energy economy</w:t>
      </w:r>
      <w:r w:rsidR="00774BA5">
        <w:t>.</w:t>
      </w:r>
      <w:r>
        <w:fldChar w:fldCharType="begin"/>
      </w:r>
      <w:r w:rsidR="00992662">
        <w:instrText xml:space="preserve"> ADDIN EN.CITE &lt;EndNote&gt;&lt;Cite&gt;&lt;Author&gt;Bockris&lt;/Author&gt;&lt;Year&gt;2013&lt;/Year&gt;&lt;RecNum&gt;2&lt;/RecNum&gt;&lt;DisplayText&gt;&lt;style face="superscript"&gt;2&lt;/style&gt;&lt;/DisplayText&gt;&lt;record&gt;&lt;rec-number&gt;2&lt;/rec-number&gt;&lt;foreign-keys&gt;&lt;key app="EN" db-id="2xex0erf4eexr4e2dpbxpdd829xttesxxxdr" timestamp="1715075296"&gt;2&lt;/key&gt;&lt;/foreign-keys&gt;&lt;ref-type name="Journal Article"&gt;17&lt;/ref-type&gt;&lt;contributors&gt;&lt;authors&gt;&lt;author&gt;Bockris, John O&amp;apos; M.&lt;/author&gt;&lt;/authors&gt;&lt;/contributors&gt;&lt;titles&gt;&lt;title&gt;The hydrogen economy: Its history&lt;/title&gt;&lt;secondary-title&gt;International Journal of Hydrogen Energy&lt;/secondary-title&gt;&lt;/titles&gt;&lt;periodical&gt;&lt;full-title&gt;International Journal of Hydrogen Energy&lt;/full-title&gt;&lt;abbr-1&gt;Int. J. Hydrogen Energy&lt;/abbr-1&gt;&lt;abbr-2&gt;Int J Hydrogen Energy&lt;/abbr-2&gt;&lt;/periodical&gt;&lt;pages&gt;2579-2588&lt;/pages&gt;&lt;volume&gt;38&lt;/volume&gt;&lt;number&gt;6&lt;/number&gt;&lt;keywords&gt;&lt;keyword&gt;Hydrogen&lt;/keyword&gt;&lt;keyword&gt;Veziroglu&lt;/keyword&gt;&lt;keyword&gt;International&lt;/keyword&gt;&lt;keyword&gt;Methanol&lt;/keyword&gt;&lt;keyword&gt;Global&lt;/keyword&gt;&lt;keyword&gt;Warming&lt;/keyword&gt;&lt;/keywords&gt;&lt;dates&gt;&lt;year&gt;2013&lt;/year&gt;&lt;pub-dates&gt;&lt;date&gt;2013/02/27/&lt;/date&gt;&lt;/pub-dates&gt;&lt;/dates&gt;&lt;isbn&gt;0360-3199&lt;/isbn&gt;&lt;urls&gt;&lt;related-urls&gt;&lt;url&gt;https://www.sciencedirect.com/science/article/pii/S036031991202664X&lt;/url&gt;&lt;/related-urls&gt;&lt;/urls&gt;&lt;electronic-resource-num&gt;https://doi.org/10.1016/j.ijhydene.2012.12.026&lt;/electronic-resource-num&gt;&lt;/record&gt;&lt;/Cite&gt;&lt;/EndNote&gt;</w:instrText>
      </w:r>
      <w:r>
        <w:fldChar w:fldCharType="separate"/>
      </w:r>
      <w:r w:rsidRPr="00645551">
        <w:rPr>
          <w:noProof/>
          <w:vertAlign w:val="superscript"/>
        </w:rPr>
        <w:t>2</w:t>
      </w:r>
      <w:r>
        <w:fldChar w:fldCharType="end"/>
      </w:r>
      <w:r>
        <w:t xml:space="preserve"> </w:t>
      </w:r>
      <w:r>
        <w:fldChar w:fldCharType="begin"/>
      </w:r>
      <w:r w:rsidR="00992662">
        <w:instrText xml:space="preserve"> ADDIN EN.CITE &lt;EndNote&gt;&lt;Cite&gt;&lt;Author&gt;Bockris&lt;/Author&gt;&lt;Year&gt;1977&lt;/Year&gt;&lt;RecNum&gt;3&lt;/RecNum&gt;&lt;DisplayText&gt;&lt;style face="superscript"&gt;3&lt;/style&gt;&lt;/DisplayText&gt;&lt;record&gt;&lt;rec-number&gt;3&lt;/rec-number&gt;&lt;foreign-keys&gt;&lt;key app="EN" db-id="2xex0erf4eexr4e2dpbxpdd829xttesxxxdr" timestamp="1715075296"&gt;3&lt;/key&gt;&lt;/foreign-keys&gt;&lt;ref-type name="Book Section"&gt;5&lt;/ref-type&gt;&lt;contributors&gt;&lt;authors&gt;&lt;author&gt;Bockris, John O’Mara&lt;/author&gt;&lt;/authors&gt;&lt;secondary-authors&gt;&lt;author&gt;Bockris, J. O’M&lt;/author&gt;&lt;author&gt;Rand, D. A. J.&lt;/author&gt;&lt;author&gt;Welch, B. J.&lt;/author&gt;&lt;/secondary-authors&gt;&lt;/contributors&gt;&lt;titles&gt;&lt;title&gt;Electrochemistry for a Future Society&lt;/title&gt;&lt;secondary-title&gt;Trends in Electrochemistry&lt;/secondary-title&gt;&lt;/titles&gt;&lt;pages&gt;1-23&lt;/pages&gt;&lt;dates&gt;&lt;year&gt;1977&lt;/year&gt;&lt;pub-dates&gt;&lt;date&gt;1977//&lt;/date&gt;&lt;/pub-dates&gt;&lt;/dates&gt;&lt;pub-location&gt;Boston, MA&lt;/pub-location&gt;&lt;publisher&gt;Springer US&lt;/publisher&gt;&lt;isbn&gt;978-1-4613-4136-9&lt;/isbn&gt;&lt;urls&gt;&lt;related-urls&gt;&lt;url&gt;https://doi.org/10.1007/978-1-4613-4136-9_1&lt;/url&gt;&lt;/related-urls&gt;&lt;/urls&gt;&lt;electronic-resource-num&gt;10.1007/978-1-4613-4136-9_1&lt;/electronic-resource-num&gt;&lt;/record&gt;&lt;/Cite&gt;&lt;/EndNote&gt;</w:instrText>
      </w:r>
      <w:r>
        <w:fldChar w:fldCharType="separate"/>
      </w:r>
      <w:r w:rsidRPr="003A6E25">
        <w:rPr>
          <w:noProof/>
          <w:vertAlign w:val="superscript"/>
        </w:rPr>
        <w:t>3</w:t>
      </w:r>
      <w:r>
        <w:fldChar w:fldCharType="end"/>
      </w:r>
      <w:r>
        <w:t xml:space="preserve"> Electrocatalysts play an essential role in such an energy economy; they transform renewable electricity—from, for instance</w:t>
      </w:r>
      <w:r w:rsidR="001E6C1E">
        <w:t>,</w:t>
      </w:r>
      <w:r>
        <w:t xml:space="preserve"> solar and wind—into chemicals and fuels. To facilitate this transformation, an electrocatalyst must accelerate both electron transfer</w:t>
      </w:r>
      <w:r>
        <w:fldChar w:fldCharType="begin"/>
      </w:r>
      <w:r w:rsidR="00992662">
        <w:instrText xml:space="preserve"> ADDIN EN.CITE &lt;EndNote&gt;&lt;Cite&gt;&lt;Author&gt;Marcus&lt;/Author&gt;&lt;Year&gt;1993&lt;/Year&gt;&lt;RecNum&gt;4&lt;/RecNum&gt;&lt;DisplayText&gt;&lt;style face="superscript"&gt;4&lt;/style&gt;&lt;/DisplayText&gt;&lt;record&gt;&lt;rec-number&gt;4&lt;/rec-number&gt;&lt;foreign-keys&gt;&lt;key app="EN" db-id="2xex0erf4eexr4e2dpbxpdd829xttesxxxdr" timestamp="1715075296"&gt;4&lt;/key&gt;&lt;/foreign-keys&gt;&lt;ref-type name="Journal Article"&gt;17&lt;/ref-type&gt;&lt;contributors&gt;&lt;authors&gt;&lt;author&gt;Marcus, Rudolph A.&lt;/author&gt;&lt;/authors&gt;&lt;/contributors&gt;&lt;titles&gt;&lt;title&gt;Electron transfer reactions in chemistry. Theory and experiment&lt;/title&gt;&lt;secondary-title&gt;Reviews of Modern Physics&lt;/secondary-title&gt;&lt;/titles&gt;&lt;periodical&gt;&lt;full-title&gt;Reviews of Modern Physics&lt;/full-title&gt;&lt;abbr-1&gt;Rev. Mod. Phys.&lt;/abbr-1&gt;&lt;abbr-2&gt;Rev Mod Phys&lt;/abbr-2&gt;&lt;/periodical&gt;&lt;pages&gt;599-610&lt;/pages&gt;&lt;volume&gt;65&lt;/volume&gt;&lt;number&gt;3&lt;/number&gt;&lt;dates&gt;&lt;year&gt;1993&lt;/year&gt;&lt;pub-dates&gt;&lt;date&gt;07/01/&lt;/date&gt;&lt;/pub-dates&gt;&lt;/dates&gt;&lt;publisher&gt;American Physical Society&lt;/publisher&gt;&lt;urls&gt;&lt;related-urls&gt;&lt;url&gt;https://link.aps.org/doi/10.1103/RevModPhys.65.599&lt;/url&gt;&lt;/related-urls&gt;&lt;/urls&gt;&lt;electronic-resource-num&gt;10.1103/RevModPhys.65.599&lt;/electronic-resource-num&gt;&lt;/record&gt;&lt;/Cite&gt;&lt;/EndNote&gt;</w:instrText>
      </w:r>
      <w:r>
        <w:fldChar w:fldCharType="separate"/>
      </w:r>
      <w:r w:rsidRPr="006E35D1">
        <w:rPr>
          <w:noProof/>
          <w:vertAlign w:val="superscript"/>
        </w:rPr>
        <w:t>4</w:t>
      </w:r>
      <w:r>
        <w:fldChar w:fldCharType="end"/>
      </w:r>
      <w:r>
        <w:t xml:space="preserve"> and chemical bond making/breaking</w:t>
      </w:r>
      <w:r w:rsidR="00774BA5">
        <w:t>.</w:t>
      </w:r>
      <w:r>
        <w:fldChar w:fldCharType="begin"/>
      </w:r>
      <w:r w:rsidR="00992662">
        <w:instrText xml:space="preserve"> ADDIN EN.CITE &lt;EndNote&gt;&lt;Cite&gt;&lt;Author&gt;Marcus&lt;/Author&gt;&lt;Year&gt;1968&lt;/Year&gt;&lt;RecNum&gt;5&lt;/RecNum&gt;&lt;DisplayText&gt;&lt;style face="superscript"&gt;5&lt;/style&gt;&lt;/DisplayText&gt;&lt;record&gt;&lt;rec-number&gt;5&lt;/rec-number&gt;&lt;foreign-keys&gt;&lt;key app="EN" db-id="2xex0erf4eexr4e2dpbxpdd829xttesxxxdr" timestamp="1715075296"&gt;5&lt;/key&gt;&lt;/foreign-keys&gt;&lt;ref-type name="Journal Article"&gt;17&lt;/ref-type&gt;&lt;contributors&gt;&lt;authors&gt;&lt;author&gt;Marcus, Rudolph A.&lt;/author&gt;&lt;/authors&gt;&lt;/contributors&gt;&lt;titles&gt;&lt;title&gt;Theoretical relations among rate constants, barriers, and Broensted slopes of chemical reactions&lt;/title&gt;&lt;secondary-title&gt;Journal of Physical Chemistry&lt;/secondary-title&gt;&lt;/titles&gt;&lt;periodical&gt;&lt;full-title&gt;Journal of Physical Chemistry&lt;/full-title&gt;&lt;abbr-1&gt;J. Phys. Chem.&lt;/abbr-1&gt;&lt;abbr-2&gt;J Phys Chem&lt;/abbr-2&gt;&lt;/periodical&gt;&lt;pages&gt;891-899&lt;/pages&gt;&lt;volume&gt;72&lt;/volume&gt;&lt;number&gt;3&lt;/number&gt;&lt;dates&gt;&lt;year&gt;1968&lt;/year&gt;&lt;pub-dates&gt;&lt;date&gt;1968/03/01&lt;/date&gt;&lt;/pub-dates&gt;&lt;/dates&gt;&lt;publisher&gt;American Chemical Society&lt;/publisher&gt;&lt;isbn&gt;0022-3654&lt;/isbn&gt;&lt;urls&gt;&lt;related-urls&gt;&lt;url&gt;https://doi.org/10.1021/j100849a019&lt;/url&gt;&lt;/related-urls&gt;&lt;/urls&gt;&lt;electronic-resource-num&gt;10.1021/j100849a019&lt;/electronic-resource-num&gt;&lt;/record&gt;&lt;/Cite&gt;&lt;/EndNote&gt;</w:instrText>
      </w:r>
      <w:r>
        <w:fldChar w:fldCharType="separate"/>
      </w:r>
      <w:r w:rsidRPr="006E35D1">
        <w:rPr>
          <w:noProof/>
          <w:vertAlign w:val="superscript"/>
        </w:rPr>
        <w:t>5</w:t>
      </w:r>
      <w:r>
        <w:fldChar w:fldCharType="end"/>
      </w:r>
      <w:r>
        <w:t xml:space="preserve"> This involvement of two fundamental chemistries challenges our ability to develop mechanistic understanding of electrocatalytic reactions and leads to a reliance on phenomenology</w:t>
      </w:r>
      <w:r w:rsidR="00774BA5">
        <w:t>.</w:t>
      </w:r>
      <w:r>
        <w:fldChar w:fldCharType="begin"/>
      </w:r>
      <w:r w:rsidR="00992662">
        <w:instrText xml:space="preserve"> ADDIN EN.CITE &lt;EndNote&gt;&lt;Cite&gt;&lt;Author&gt;Dickinson&lt;/Author&gt;&lt;Year&gt;2020&lt;/Year&gt;&lt;RecNum&gt;6&lt;/RecNum&gt;&lt;DisplayText&gt;&lt;style face="superscript"&gt;6&lt;/style&gt;&lt;/DisplayText&gt;&lt;record&gt;&lt;rec-number&gt;6&lt;/rec-number&gt;&lt;foreign-keys&gt;&lt;key app="EN" db-id="2xex0erf4eexr4e2dpbxpdd829xttesxxxdr" timestamp="1715075296"&gt;6&lt;/key&gt;&lt;/foreign-keys&gt;&lt;ref-type name="Journal Article"&gt;17&lt;/ref-type&gt;&lt;contributors&gt;&lt;authors&gt;&lt;author&gt;Dickinson, Edmund J. F.&lt;/author&gt;&lt;author&gt;Wain, Andrew J.&lt;/author&gt;&lt;/authors&gt;&lt;/contributors&gt;&lt;titles&gt;&lt;title&gt;The Butler-Volmer equation in electrochemical theory: Origins, value, and practical application&lt;/title&gt;&lt;secondary-title&gt;Journal of Electroanalytical Chemistry&lt;/secondary-title&gt;&lt;/titles&gt;&lt;periodical&gt;&lt;full-title&gt;Journal of Electroanalytical Chemistry&lt;/full-title&gt;&lt;abbr-1&gt;J. Electroanal. Chem.&lt;/abbr-1&gt;&lt;abbr-2&gt;J Electroanal Chem&lt;/abbr-2&gt;&lt;/periodical&gt;&lt;pages&gt;114145&lt;/pages&gt;&lt;volume&gt;872&lt;/volume&gt;&lt;keywords&gt;&lt;keyword&gt;Butler-Volmer equation&lt;/keyword&gt;&lt;keyword&gt;Electrode kinetics&lt;/keyword&gt;&lt;keyword&gt;Overpotential&lt;/keyword&gt;&lt;keyword&gt;Overvoltage&lt;/keyword&gt;&lt;keyword&gt;Exchange current density&lt;/keyword&gt;&lt;keyword&gt;Transfer coefficient&lt;/keyword&gt;&lt;keyword&gt;Heterogeneous rate constant&lt;/keyword&gt;&lt;keyword&gt;Electron transfer&lt;/keyword&gt;&lt;keyword&gt;Cyclic voltammetry&lt;/keyword&gt;&lt;keyword&gt;Lithium-ion battery&lt;/keyword&gt;&lt;keyword&gt;Proton exchange membrane fuel cell&lt;/keyword&gt;&lt;keyword&gt;Polymer electrolyte membrane fuel cell&lt;/keyword&gt;&lt;keyword&gt;Proton exchange membrane water electrolyser&lt;/keyword&gt;&lt;keyword&gt;Polymer electrolyte membrane water electrolyser&lt;/keyword&gt;&lt;keyword&gt;PEMFC&lt;/keyword&gt;&lt;keyword&gt;PEMWE&lt;/keyword&gt;&lt;keyword&gt;Solid oxide fuel cell&lt;/keyword&gt;&lt;keyword&gt;Solid oxide water electrolyser&lt;/keyword&gt;&lt;keyword&gt;SOFC&lt;/keyword&gt;&lt;keyword&gt;Redox flow battery&lt;/keyword&gt;&lt;/keywords&gt;&lt;dates&gt;&lt;year&gt;2020&lt;/year&gt;&lt;pub-dates&gt;&lt;date&gt;2020/09/01/&lt;/date&gt;&lt;/pub-dates&gt;&lt;/dates&gt;&lt;isbn&gt;1572-6657&lt;/isbn&gt;&lt;urls&gt;&lt;related-urls&gt;&lt;url&gt;https://www.sciencedirect.com/science/article/pii/S1572665720303283&lt;/url&gt;&lt;/related-urls&gt;&lt;/urls&gt;&lt;electronic-resource-num&gt;https://doi.org/10.1016/j.jelechem.2020.114145&lt;/electronic-resource-num&gt;&lt;/record&gt;&lt;/Cite&gt;&lt;/EndNote&gt;</w:instrText>
      </w:r>
      <w:r>
        <w:fldChar w:fldCharType="separate"/>
      </w:r>
      <w:r w:rsidRPr="006E35D1">
        <w:rPr>
          <w:noProof/>
          <w:vertAlign w:val="superscript"/>
        </w:rPr>
        <w:t>6</w:t>
      </w:r>
      <w:r>
        <w:fldChar w:fldCharType="end"/>
      </w:r>
      <w:r>
        <w:t xml:space="preserve"> However, more fundamental principles of electrocatalytic reactions are being developed</w:t>
      </w:r>
      <w:r>
        <w:fldChar w:fldCharType="begin">
          <w:fldData xml:space="preserve">PEVuZE5vdGU+PENpdGU+PEF1dGhvcj5GcmFnZ2VkYWtpczwvQXV0aG9yPjxZZWFyPjIwMjE8L1ll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=
</w:fldData>
        </w:fldChar>
      </w:r>
      <w:r w:rsidR="00992662">
        <w:instrText xml:space="preserve"> ADDIN EN.CITE </w:instrText>
      </w:r>
      <w:r w:rsidR="00992662">
        <w:fldChar w:fldCharType="begin">
          <w:fldData xml:space="preserve">PEVuZE5vdGU+PENpdGU+PEF1dGhvcj5GcmFnZ2VkYWtpczwvQXV0aG9yPjxZZWFyPjIwMjE8L1ll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=
</w:fldData>
        </w:fldChar>
      </w:r>
      <w:r w:rsidR="00992662">
        <w:instrText xml:space="preserve"> ADDIN EN.CITE.DATA </w:instrText>
      </w:r>
      <w:r w:rsidR="00992662">
        <w:fldChar w:fldCharType="end"/>
      </w:r>
      <w:r>
        <w:fldChar w:fldCharType="separate"/>
      </w:r>
      <w:r w:rsidR="00304BE2" w:rsidRPr="00304BE2">
        <w:rPr>
          <w:noProof/>
          <w:vertAlign w:val="superscript"/>
        </w:rPr>
        <w:t>7-14</w:t>
      </w:r>
      <w:r>
        <w:fldChar w:fldCharType="end"/>
      </w:r>
      <w:r>
        <w:t xml:space="preserve">, much of it with the help of </w:t>
      </w:r>
      <w:r>
        <w:rPr>
          <w:i/>
          <w:iCs/>
        </w:rPr>
        <w:t xml:space="preserve">ab initio </w:t>
      </w:r>
      <w:r>
        <w:t>simulation</w:t>
      </w:r>
      <w:r w:rsidR="00774BA5">
        <w:t>.</w:t>
      </w:r>
      <w:r>
        <w:fldChar w:fldCharType="begin">
          <w:fldData xml:space="preserve">PEVuZE5vdGU+PENpdGU+PEF1dGhvcj5TYW50b3M8L0F1dGhvcj48WWVhcj4yMDI0PC9ZZWFyPjxS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</w:fldData>
        </w:fldChar>
      </w:r>
      <w:r w:rsidR="009F6662">
        <w:instrText xml:space="preserve"> ADDIN EN.CITE </w:instrText>
      </w:r>
      <w:r w:rsidR="009F6662">
        <w:fldChar w:fldCharType="begin">
          <w:fldData xml:space="preserve">PEVuZE5vdGU+PENpdGU+PEF1dGhvcj5TYW50b3M8L0F1dGhvcj48WWVhcj4yMDI0PC9ZZWFyPjxS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</w:fldData>
        </w:fldChar>
      </w:r>
      <w:r w:rsidR="009F6662">
        <w:instrText xml:space="preserve"> ADDIN EN.CITE.DATA </w:instrText>
      </w:r>
      <w:r w:rsidR="009F6662">
        <w:fldChar w:fldCharType="end"/>
      </w:r>
      <w:r>
        <w:fldChar w:fldCharType="separate"/>
      </w:r>
      <w:r w:rsidR="009F6662" w:rsidRPr="009F6662">
        <w:rPr>
          <w:noProof/>
          <w:vertAlign w:val="superscript"/>
        </w:rPr>
        <w:t>15-24</w:t>
      </w:r>
      <w:r>
        <w:fldChar w:fldCharType="end"/>
      </w:r>
      <w:r>
        <w:t xml:space="preserve"> One of the topics where such advances have had the largest impact on our mechanistic understanding is the oxygen evolution reaction, the OER.</w:t>
      </w:r>
    </w:p>
    <w:p w14:paraId="6D23AF24" w14:textId="77777777" w:rsidR="00F2418D" w:rsidRDefault="00F2418D" w:rsidP="00F2418D"/>
    <w:p w14:paraId="0D02FAE8" w14:textId="6134797D" w:rsidR="00F2418D" w:rsidRDefault="00F2418D" w:rsidP="00F2418D">
      <w:pPr>
        <w:ind w:firstLine="720"/>
      </w:pPr>
      <w:r>
        <w:t>The OER has become the topic of intense scientific inquiry and debate owing to both its prominent role in the renewable energy economy and its complex kinetics</w:t>
      </w:r>
      <w:r w:rsidR="00774BA5">
        <w:t>.</w:t>
      </w:r>
      <w:r>
        <w:fldChar w:fldCharType="begin">
          <w:fldData xml:space="preserve">PEVuZE5vdGU+PENpdGU+PEF1dGhvcj5aaGFvPC9BdXRob3I+PFllYXI+MjAyMzwvWWVhcj48UmVj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</w:fldData>
        </w:fldChar>
      </w:r>
      <w:r w:rsidR="009F6662">
        <w:instrText xml:space="preserve"> ADDIN EN.CITE </w:instrText>
      </w:r>
      <w:r w:rsidR="009F6662">
        <w:fldChar w:fldCharType="begin">
          <w:fldData xml:space="preserve">PEVuZE5vdGU+PENpdGU+PEF1dGhvcj5aaGFvPC9BdXRob3I+PFllYXI+MjAyMzwvWWVhcj48UmVj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</w:fldData>
        </w:fldChar>
      </w:r>
      <w:r w:rsidR="009F6662">
        <w:instrText xml:space="preserve"> ADDIN EN.CITE.DATA </w:instrText>
      </w:r>
      <w:r w:rsidR="009F6662">
        <w:fldChar w:fldCharType="end"/>
      </w:r>
      <w:r>
        <w:fldChar w:fldCharType="separate"/>
      </w:r>
      <w:r w:rsidR="009F6662" w:rsidRPr="009F6662">
        <w:rPr>
          <w:noProof/>
          <w:vertAlign w:val="superscript"/>
        </w:rPr>
        <w:t>25-35</w:t>
      </w:r>
      <w:r>
        <w:fldChar w:fldCharType="end"/>
      </w:r>
      <w:r>
        <w:t xml:space="preserve"> As a technology, the OER (2H</w:t>
      </w:r>
      <w:r>
        <w:rPr>
          <w:vertAlign w:val="subscript"/>
        </w:rPr>
        <w:t>2</w:t>
      </w:r>
      <w:r>
        <w:t>O</w:t>
      </w:r>
      <w:r>
        <w:sym w:font="Symbol" w:char="F0AE"/>
      </w:r>
      <w:r>
        <w:t>4H</w:t>
      </w:r>
      <w:r>
        <w:rPr>
          <w:vertAlign w:val="superscript"/>
        </w:rPr>
        <w:t>+</w:t>
      </w:r>
      <w:r>
        <w:t>+4</w:t>
      </w:r>
      <w:r>
        <w:rPr>
          <w:i/>
          <w:iCs/>
        </w:rPr>
        <w:t>e</w:t>
      </w:r>
      <w:r>
        <w:rPr>
          <w:vertAlign w:val="superscript"/>
        </w:rPr>
        <w:t>-</w:t>
      </w:r>
      <w:r>
        <w:t>+O</w:t>
      </w:r>
      <w:r>
        <w:rPr>
          <w:vertAlign w:val="subscript"/>
        </w:rPr>
        <w:t>2</w:t>
      </w:r>
      <w:r>
        <w:t>) supplies the protons and electrons needed to produce chemicals and fuels from renewable energy sources, whether these are hydrogen</w:t>
      </w:r>
      <w:r>
        <w:fldChar w:fldCharType="begin">
          <w:fldData xml:space="preserve">PEVuZE5vdGU+PENpdGU+PEF1dGhvcj5TaGFyc2hpcjwvQXV0aG9yPjxZZWFyPjIwMjQ8L1llYXI+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</w:fldData>
        </w:fldChar>
      </w:r>
      <w:r w:rsidR="009F6662">
        <w:instrText xml:space="preserve"> ADDIN EN.CITE </w:instrText>
      </w:r>
      <w:r w:rsidR="009F6662">
        <w:fldChar w:fldCharType="begin">
          <w:fldData xml:space="preserve">PEVuZE5vdGU+PENpdGU+PEF1dGhvcj5TaGFyc2hpcjwvQXV0aG9yPjxZZWFyPjIwMjQ8L1llYXI+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</w:fldData>
        </w:fldChar>
      </w:r>
      <w:r w:rsidR="009F6662">
        <w:instrText xml:space="preserve"> ADDIN EN.CITE.DATA </w:instrText>
      </w:r>
      <w:r w:rsidR="009F6662">
        <w:fldChar w:fldCharType="end"/>
      </w:r>
      <w:r>
        <w:fldChar w:fldCharType="separate"/>
      </w:r>
      <w:r w:rsidR="009F6662" w:rsidRPr="009F6662">
        <w:rPr>
          <w:noProof/>
          <w:vertAlign w:val="superscript"/>
        </w:rPr>
        <w:t>36-39</w:t>
      </w:r>
      <w:r>
        <w:fldChar w:fldCharType="end"/>
      </w:r>
      <w:r>
        <w:t>, ammonia</w:t>
      </w:r>
      <w:r>
        <w:fldChar w:fldCharType="begin">
          <w:fldData xml:space="preserve">PEVuZE5vdGU+PENpdGU+PEF1dGhvcj5TaGVuPC9BdXRob3I+PFllYXI+MjAyMTwvWWVhcj48UmVj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</w:fldData>
        </w:fldChar>
      </w:r>
      <w:r w:rsidR="009F6662">
        <w:instrText xml:space="preserve"> ADDIN EN.CITE </w:instrText>
      </w:r>
      <w:r w:rsidR="009F6662">
        <w:fldChar w:fldCharType="begin">
          <w:fldData xml:space="preserve">PEVuZE5vdGU+PENpdGU+PEF1dGhvcj5TaGVuPC9BdXRob3I+PFllYXI+MjAyMTwvWWVhcj48UmVj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</w:fldData>
        </w:fldChar>
      </w:r>
      <w:r w:rsidR="009F6662">
        <w:instrText xml:space="preserve"> ADDIN EN.CITE.DATA </w:instrText>
      </w:r>
      <w:r w:rsidR="009F6662">
        <w:fldChar w:fldCharType="end"/>
      </w:r>
      <w:r>
        <w:fldChar w:fldCharType="separate"/>
      </w:r>
      <w:r w:rsidR="009F6662" w:rsidRPr="009F6662">
        <w:rPr>
          <w:noProof/>
          <w:vertAlign w:val="superscript"/>
        </w:rPr>
        <w:t>40-43</w:t>
      </w:r>
      <w:r>
        <w:fldChar w:fldCharType="end"/>
      </w:r>
      <w:r>
        <w:t>, or carbon based</w:t>
      </w:r>
      <w:r w:rsidR="00774BA5">
        <w:t>.</w:t>
      </w:r>
      <w:r>
        <w:fldChar w:fldCharType="begin">
          <w:fldData xml:space="preserve">PEVuZE5vdGU+PENpdGU+PEF1dGhvcj5PdmVyYTwvQXV0aG9yPjxZZWFyPjIwMjI8L1llYXI+PFJl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</w:fldData>
        </w:fldChar>
      </w:r>
      <w:r w:rsidR="009F6662">
        <w:instrText xml:space="preserve"> ADDIN EN.CITE </w:instrText>
      </w:r>
      <w:r w:rsidR="009F6662">
        <w:fldChar w:fldCharType="begin">
          <w:fldData xml:space="preserve">PEVuZE5vdGU+PENpdGU+PEF1dGhvcj5PdmVyYTwvQXV0aG9yPjxZZWFyPjIwMjI8L1llYXI+PFJl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</w:fldData>
        </w:fldChar>
      </w:r>
      <w:r w:rsidR="009F6662">
        <w:instrText xml:space="preserve"> ADDIN EN.CITE.DATA </w:instrText>
      </w:r>
      <w:r w:rsidR="009F6662">
        <w:fldChar w:fldCharType="end"/>
      </w:r>
      <w:r>
        <w:fldChar w:fldCharType="separate"/>
      </w:r>
      <w:r w:rsidR="009F6662" w:rsidRPr="009F6662">
        <w:rPr>
          <w:noProof/>
          <w:vertAlign w:val="superscript"/>
        </w:rPr>
        <w:t>44-46</w:t>
      </w:r>
      <w:r>
        <w:fldChar w:fldCharType="end"/>
      </w:r>
      <w:r>
        <w:t xml:space="preserve"> As a scientific challenge, the OER is a complex reaction; at a minimum, it involves the transfer of 4 electrons across the electrode/electrolyte interface, the generation of 4 protons, breaking O-H chemical bonds, and forming an O-O chemical bond. This complexity is often considered to be the underlying reason for the kinetic sluggishness of the OER</w:t>
      </w:r>
      <w:r>
        <w:fldChar w:fldCharType="begin"/>
      </w:r>
      <w:r w:rsidR="009F6662">
        <w:instrText xml:space="preserve"> ADDIN EN.CITE &lt;EndNote&gt;&lt;Cite&gt;&lt;Author&gt;Koper&lt;/Author&gt;&lt;Year&gt;2011&lt;/Year&gt;&lt;RecNum&gt;47&lt;/RecNum&gt;&lt;DisplayText&gt;&lt;style face="superscript"&gt;47&lt;/style&gt;&lt;/DisplayText&gt;&lt;record&gt;&lt;rec-number&gt;47&lt;/rec-number&gt;&lt;foreign-keys&gt;&lt;key app="EN" db-id="2xex0erf4eexr4e2dpbxpdd829xttesxxxdr" timestamp="1715075296"&gt;47&lt;/key&gt;&lt;/foreign-keys&gt;&lt;ref-type name="Journal Article"&gt;17&lt;/ref-type&gt;&lt;contributors&gt;&lt;authors&gt;&lt;author&gt;Koper, Marc T. M.&lt;/author&gt;&lt;/authors&gt;&lt;/contributors&gt;&lt;titles&gt;&lt;title&gt;Thermodynamic theory of multi-electron transfer reactions: Implications for electrocatalysis&lt;/title&gt;&lt;secondary-title&gt;Journal of Electroanalytical Chemistry&lt;/secondary-title&gt;&lt;/titles&gt;&lt;periodical&gt;&lt;full-title&gt;Journal of Electroanalytical Chemistry&lt;/full-title&gt;&lt;abbr-1&gt;J. Electroanal. Chem.&lt;/abbr-1&gt;&lt;abbr-2&gt;J Electroanal Chem&lt;/abbr-2&gt;&lt;/periodical&gt;&lt;pages&gt;254-260&lt;/pages&gt;&lt;volume&gt;660&lt;/volume&gt;&lt;number&gt;2&lt;/number&gt;&lt;keywords&gt;&lt;keyword&gt;Electron transfer&lt;/keyword&gt;&lt;keyword&gt;Electrocatalysis&lt;/keyword&gt;&lt;keyword&gt;Thermodynamics&lt;/keyword&gt;&lt;keyword&gt;Oxygen reduction&lt;/keyword&gt;&lt;keyword&gt;Hydrogen evolution&lt;/keyword&gt;&lt;keyword&gt;Oxygen evolution&lt;/keyword&gt;&lt;/keywords&gt;&lt;dates&gt;&lt;year&gt;2011&lt;/year&gt;&lt;pub-dates&gt;&lt;date&gt;2011/09/15/&lt;/date&gt;&lt;/pub-dates&gt;&lt;/dates&gt;&lt;isbn&gt;1572-6657&lt;/isbn&gt;&lt;urls&gt;&lt;related-urls&gt;&lt;url&gt;https://www.sciencedirect.com/science/article/pii/S1572665710003917&lt;/url&gt;&lt;/related-urls&gt;&lt;/urls&gt;&lt;electronic-resource-num&gt;https://doi.org/10.1016/j.jelechem.2010.10.004&lt;/electronic-resource-num&gt;&lt;/record&gt;&lt;/Cite&gt;&lt;/EndNote&gt;</w:instrText>
      </w:r>
      <w:r>
        <w:fldChar w:fldCharType="separate"/>
      </w:r>
      <w:r w:rsidR="009F6662" w:rsidRPr="009F6662">
        <w:rPr>
          <w:noProof/>
          <w:vertAlign w:val="superscript"/>
        </w:rPr>
        <w:t>47</w:t>
      </w:r>
      <w:r>
        <w:fldChar w:fldCharType="end"/>
      </w:r>
      <w:r>
        <w:t>, which has spurred significant interest in mechanistic studies.</w:t>
      </w:r>
    </w:p>
    <w:p w14:paraId="46604F4D" w14:textId="77777777" w:rsidR="00F2418D" w:rsidRDefault="00F2418D" w:rsidP="00F2418D">
      <w:pPr>
        <w:ind w:firstLine="720"/>
      </w:pPr>
    </w:p>
    <w:p w14:paraId="5FFB4C1A" w14:textId="6ABBB220" w:rsidR="00F2418D" w:rsidRPr="00A45DD1" w:rsidRDefault="00F2418D" w:rsidP="00317CF1">
      <w:pPr>
        <w:ind w:firstLine="720"/>
      </w:pPr>
      <w:r>
        <w:t>The slow kinetics of the OER have been known</w:t>
      </w:r>
      <w:r>
        <w:fldChar w:fldCharType="begin"/>
      </w:r>
      <w:r w:rsidR="009F6662">
        <w:instrText xml:space="preserve"> ADDIN EN.CITE &lt;EndNote&gt;&lt;Cite&gt;&lt;Author&gt;Klemenc&lt;/Author&gt;&lt;Year&gt;1939&lt;/Year&gt;&lt;RecNum&gt;48&lt;/RecNum&gt;&lt;DisplayText&gt;&lt;style face="superscript"&gt;48&lt;/style&gt;&lt;/DisplayText&gt;&lt;record&gt;&lt;rec-number&gt;48&lt;/rec-number&gt;&lt;foreign-keys&gt;&lt;key app="EN" db-id="2xex0erf4eexr4e2dpbxpdd829xttesxxxdr" timestamp="1715075296"&gt;48&lt;/key&gt;&lt;/foreign-keys&gt;&lt;ref-type name="Journal Article"&gt;17&lt;/ref-type&gt;&lt;contributors&gt;&lt;authors&gt;&lt;author&gt;Klemenc, Alfons&lt;/author&gt;&lt;/authors&gt;&lt;/contributors&gt;&lt;titles&gt;&lt;title&gt;Die elektrolytischen Vorgänge an der Anode als Wirkungen des Hydroxyls&lt;/title&gt;&lt;secondary-title&gt;Zeitschrift für Physikalische Chemie&lt;/secondary-title&gt;&lt;tertiary-title&gt;Zeitschrift für Physikalische Chemie&lt;/tertiary-title&gt;&lt;/titles&gt;&lt;periodical&gt;&lt;full-title&gt;Zeitschrift fur Physikalische Chemie&lt;/full-title&gt;&lt;abbr-1&gt;Z. Phys. Chem.&lt;/abbr-1&gt;&lt;abbr-2&gt;Z Phys Chem&lt;/abbr-2&gt;&lt;/periodical&gt;&lt;pages&gt;1-36&lt;/pages&gt;&lt;volume&gt;185A&lt;/volume&gt;&lt;number&gt;1&lt;/number&gt;&lt;dates&gt;&lt;year&gt;1939&lt;/year&gt;&lt;/dates&gt;&lt;urls&gt;&lt;related-urls&gt;&lt;url&gt;https://doi.org/10.1515/zpch-1939-18502&lt;/url&gt;&lt;/related-urls&gt;&lt;/urls&gt;&lt;electronic-resource-num&gt;doi:10.1515/zpch-1939-18502&lt;/electronic-resource-num&gt;&lt;access-date&gt;2024-02-20&lt;/access-date&gt;&lt;/record&gt;&lt;/Cite&gt;&lt;/EndNote&gt;</w:instrText>
      </w:r>
      <w:r>
        <w:fldChar w:fldCharType="separate"/>
      </w:r>
      <w:r w:rsidR="009F6662" w:rsidRPr="009F6662">
        <w:rPr>
          <w:noProof/>
          <w:vertAlign w:val="superscript"/>
        </w:rPr>
        <w:t>48</w:t>
      </w:r>
      <w:r>
        <w:fldChar w:fldCharType="end"/>
      </w:r>
      <w:r>
        <w:t>, and the concept of slow kinetics can be understood by considering that, while thermodynamics sets the onset potential of the OER at 1.23 V, a higher potential is required to drive oxygen evolution</w:t>
      </w:r>
      <w:r w:rsidR="00774BA5">
        <w:t>.</w:t>
      </w:r>
      <w:r>
        <w:fldChar w:fldCharType="begin">
          <w:fldData xml:space="preserve">PEVuZE5vdGU+PENpdGU+PEF1dGhvcj5aaGFvPC9BdXRob3I+PFllYXI+MjAyMzwvWWVhcj48UmVj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</w:fldData>
        </w:fldChar>
      </w:r>
      <w:r w:rsidR="009F6662">
        <w:instrText xml:space="preserve"> ADDIN EN.CITE </w:instrText>
      </w:r>
      <w:r w:rsidR="009F6662">
        <w:fldChar w:fldCharType="begin">
          <w:fldData xml:space="preserve">PEVuZE5vdGU+PENpdGU+PEF1dGhvcj5aaGFvPC9BdXRob3I+PFllYXI+MjAyMzwvWWVhcj48UmVj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</w:fldData>
        </w:fldChar>
      </w:r>
      <w:r w:rsidR="009F6662">
        <w:instrText xml:space="preserve"> ADDIN EN.CITE.DATA </w:instrText>
      </w:r>
      <w:r w:rsidR="009F6662">
        <w:fldChar w:fldCharType="end"/>
      </w:r>
      <w:r>
        <w:fldChar w:fldCharType="separate"/>
      </w:r>
      <w:r w:rsidR="009F6662" w:rsidRPr="009F6662">
        <w:rPr>
          <w:noProof/>
          <w:vertAlign w:val="superscript"/>
        </w:rPr>
        <w:t>25-34</w:t>
      </w:r>
      <w:r>
        <w:fldChar w:fldCharType="end"/>
      </w:r>
      <w:r>
        <w:t xml:space="preserve"> The origin of this </w:t>
      </w:r>
      <w:r w:rsidRPr="00B42B05">
        <w:rPr>
          <w:i/>
          <w:iCs/>
        </w:rPr>
        <w:t>overpotential</w:t>
      </w:r>
      <w:r>
        <w:t xml:space="preserve"> lies in the mechanism(s) of the OER, understanding this overpotential has long motivated mechanistic studies of the OER, where early mechanistic suggestions</w:t>
      </w:r>
      <w:r w:rsidR="00317CF1">
        <w:t xml:space="preserve"> </w:t>
      </w:r>
      <w:r>
        <w:t>included: slow recombination of oxygen adsorbed on the electrode surface</w:t>
      </w:r>
      <w:r>
        <w:fldChar w:fldCharType="begin"/>
      </w:r>
      <w:r w:rsidR="009F6662">
        <w:instrText xml:space="preserve"> ADDIN EN.CITE &lt;EndNote&gt;&lt;Cite&gt;&lt;Author&gt;Foerster&lt;/Author&gt;&lt;Year&gt;1910&lt;/Year&gt;&lt;RecNum&gt;49&lt;/RecNum&gt;&lt;DisplayText&gt;&lt;style face="superscript"&gt;49&lt;/style&gt;&lt;/DisplayText&gt;&lt;record&gt;&lt;rec-number&gt;49&lt;/rec-number&gt;&lt;foreign-keys&gt;&lt;key app="EN" db-id="2xex0erf4eexr4e2dpbxpdd829xttesxxxdr" timestamp="1715075296"&gt;49&lt;/key&gt;&lt;/foreign-keys&gt;&lt;ref-type name="Journal Article"&gt;17&lt;/ref-type&gt;&lt;contributors&gt;&lt;authors&gt;&lt;author&gt;Foerster, F.&lt;/author&gt;&lt;author&gt;Yamasaki, J.&lt;/author&gt;&lt;/authors&gt;&lt;/contributors&gt;&lt;titles&gt;&lt;title&gt;Über die Elektrolyse der Alkalibromide und die Verzögerungserscheinungen der Anodischen Abscheidung der Halogene&lt;/title&gt;&lt;secondary-title&gt;Zeitschrift für Elektrochemie und angewandte physikalische Chemie&lt;/secondary-title&gt;&lt;/titles&gt;&lt;pages&gt;321-355&lt;/pages&gt;&lt;volume&gt;16&lt;/volume&gt;&lt;number&gt;10&lt;/number&gt;&lt;dates&gt;&lt;year&gt;1910&lt;/year&gt;&lt;/dates&gt;&lt;isbn&gt;0372-8323&lt;/isbn&gt;&lt;urls&gt;&lt;related-urls&gt;&lt;url&gt;https://onlinelibrary.wiley.com/doi/abs/10.1002/bbpc.19100161002&lt;/url&gt;&lt;/related-urls&gt;&lt;/urls&gt;&lt;electronic-resource-num&gt;https://doi.org/10.1002/bbpc.19100161002&lt;/electronic-resource-num&gt;&lt;/record&gt;&lt;/Cite&gt;&lt;/EndNote&gt;</w:instrText>
      </w:r>
      <w:r>
        <w:fldChar w:fldCharType="separate"/>
      </w:r>
      <w:r w:rsidR="009F6662" w:rsidRPr="009F6662">
        <w:rPr>
          <w:noProof/>
          <w:vertAlign w:val="superscript"/>
        </w:rPr>
        <w:t>49</w:t>
      </w:r>
      <w:r>
        <w:fldChar w:fldCharType="end"/>
      </w:r>
      <w:r>
        <w:t>, rate limiting oxidation of hydroxide to hydroxyl</w:t>
      </w:r>
      <w:r>
        <w:fldChar w:fldCharType="begin"/>
      </w:r>
      <w:r w:rsidR="009F6662">
        <w:instrText xml:space="preserve"> ADDIN EN.CITE &lt;EndNote&gt;&lt;Cite&gt;&lt;Author&gt;Gurney&lt;/Author&gt;&lt;Year&gt;1931&lt;/Year&gt;&lt;RecNum&gt;50&lt;/RecNum&gt;&lt;DisplayText&gt;&lt;style face="superscript"&gt;50, 51&lt;/style&gt;&lt;/DisplayText&gt;&lt;record&gt;&lt;rec-number&gt;50&lt;/rec-number&gt;&lt;foreign-keys&gt;&lt;key app="EN" db-id="2xex0erf4eexr4e2dpbxpdd829xttesxxxdr" timestamp="1715075296"&gt;50&lt;/key&gt;&lt;/foreign-keys&gt;&lt;ref-type name="Journal Article"&gt;17&lt;/ref-type&gt;&lt;contributors&gt;&lt;authors&gt;&lt;author&gt;Gurney, R. W.&lt;/author&gt;&lt;author&gt;Rutherford, Ernest&lt;/author&gt;&lt;/authors&gt;&lt;/contributors&gt;&lt;titles&gt;&lt;title&gt;The quantum mechanics of electrolysis&lt;/title&gt;&lt;secondary-title&gt;Proc. R. soc. Lond. Ser. A-Contain. Pap. Math. Phys. Character&lt;/secondary-title&gt;&lt;/titles&gt;&lt;periodical&gt;&lt;full-title&gt;Proc. R. soc. Lond. Ser. A-Contain. Pap. Math. Phys. Character&lt;/full-title&gt;&lt;/periodical&gt;&lt;pages&gt;137-154&lt;/pages&gt;&lt;volume&gt;134&lt;/volume&gt;&lt;number&gt;823&lt;/number&gt;&lt;dates&gt;&lt;year&gt;1931&lt;/year&gt;&lt;/dates&gt;&lt;urls&gt;&lt;related-urls&gt;&lt;url&gt;https://royalsocietypublishing.org/doi/abs/10.1098/rspa.1931.0187&lt;/url&gt;&lt;/related-urls&gt;&lt;/urls&gt;&lt;electronic-resource-num&gt;doi:10.1098/rspa.1931.0187&lt;/electronic-resource-num&gt;&lt;/record&gt;&lt;/Cite&gt;&lt;Cite&gt;&lt;Author&gt;Gurney&lt;/Author&gt;&lt;Year&gt;1932&lt;/Year&gt;&lt;RecNum&gt;51&lt;/RecNum&gt;&lt;record&gt;&lt;rec-number&gt;51&lt;/rec-number&gt;&lt;foreign-keys&gt;&lt;key app="EN" db-id="2xex0erf4eexr4e2dpbxpdd829xttesxxxdr" timestamp="1715075296"&gt;51&lt;/key&gt;&lt;/foreign-keys&gt;&lt;ref-type name="Journal Article"&gt;17&lt;/ref-type&gt;&lt;contributors&gt;&lt;authors&gt;&lt;author&gt;Gurney, R. W.&lt;/author&gt;&lt;author&gt;Fowler, Ralph Howard&lt;/author&gt;&lt;/authors&gt;&lt;/contributors&gt;&lt;titles&gt;&lt;title&gt;The quantum mechanics of electrochemistry.―II&lt;/title&gt;&lt;secondary-title&gt;Proc. R. soc. Lond. Ser. A-Contain. Pap. Math. Phys. Character&lt;/secondary-title&gt;&lt;/titles&gt;&lt;periodical&gt;&lt;full-title&gt;Proc. R. soc. Lond. Ser. A-Contain. Pap. Math. Phys. Character&lt;/full-title&gt;&lt;/periodical&gt;&lt;pages&gt;378-396&lt;/pages&gt;&lt;volume&gt;136&lt;/volume&gt;&lt;number&gt;829&lt;/number&gt;&lt;dates&gt;&lt;year&gt;1932&lt;/year&gt;&lt;/dates&gt;&lt;urls&gt;&lt;related-urls&gt;&lt;url&gt;https://royalsocietypublishing.org/doi/abs/10.1098/rspa.1932.0088&lt;/url&gt;&lt;/related-urls&gt;&lt;/urls&gt;&lt;electronic-resource-num&gt;doi:10.1098/rspa.1932.0088&lt;/electronic-resource-num&gt;&lt;/record&gt;&lt;/Cite&gt;&lt;/EndNote&gt;</w:instrText>
      </w:r>
      <w:r>
        <w:fldChar w:fldCharType="separate"/>
      </w:r>
      <w:r w:rsidR="009F6662" w:rsidRPr="009F6662">
        <w:rPr>
          <w:noProof/>
          <w:vertAlign w:val="superscript"/>
        </w:rPr>
        <w:t>50, 51</w:t>
      </w:r>
      <w:r>
        <w:fldChar w:fldCharType="end"/>
      </w:r>
      <w:r>
        <w:t>, and slow proton transfer from the electrode surface to water in the electrolyte</w:t>
      </w:r>
      <w:r w:rsidR="00774BA5">
        <w:t>.</w:t>
      </w:r>
      <w:r>
        <w:t xml:space="preserve"> </w:t>
      </w:r>
      <w:r>
        <w:fldChar w:fldCharType="begin"/>
      </w:r>
      <w:r w:rsidR="009F6662">
        <w:instrText xml:space="preserve"> ADDIN EN.CITE &lt;EndNote&gt;&lt;Cite&gt;&lt;Author&gt;Eyring&lt;/Author&gt;&lt;Year&gt;1939&lt;/Year&gt;&lt;RecNum&gt;52&lt;/RecNum&gt;&lt;DisplayText&gt;&lt;style face="superscript"&gt;52&lt;/style&gt;&lt;/DisplayText&gt;&lt;record&gt;&lt;rec-number&gt;52&lt;/rec-number&gt;&lt;foreign-keys&gt;&lt;key app="EN" db-id="2xex0erf4eexr4e2dpbxpdd829xttesxxxdr" timestamp="1715075296"&gt;52&lt;/key&gt;&lt;/foreign-keys&gt;&lt;ref-type name="Journal Article"&gt;17&lt;/ref-type&gt;&lt;contributors&gt;&lt;authors&gt;&lt;author&gt;Eyring, H.&lt;/author&gt;&lt;author&gt;Glasstone, S.&lt;/author&gt;&lt;author&gt;Laidler, K. J.&lt;/author&gt;&lt;/authors&gt;&lt;/contributors&gt;&lt;titles&gt;&lt;title&gt;Application of the Theory of Absolute Reaction Rates to Overvoltage&lt;/title&gt;&lt;secondary-title&gt;Journal of Chemical Physics&lt;/secondary-title&gt;&lt;/titles&gt;&lt;periodical&gt;&lt;full-title&gt;Journal of Chemical Physics&lt;/full-title&gt;&lt;abbr-1&gt;J. Chem. Phys.&lt;/abbr-1&gt;&lt;abbr-2&gt;J Chem Phys&lt;/abbr-2&gt;&lt;/periodical&gt;&lt;pages&gt;1053-1065&lt;/pages&gt;&lt;volume&gt;7&lt;/volume&gt;&lt;number&gt;11&lt;/number&gt;&lt;dates&gt;&lt;year&gt;1939&lt;/year&gt;&lt;/dates&gt;&lt;isbn&gt;0021-9606&lt;/isbn&gt;&lt;urls&gt;&lt;related-urls&gt;&lt;url&gt;https://doi.org/10.1063/1.1750364&lt;/url&gt;&lt;/related-urls&gt;&lt;/urls&gt;&lt;electronic-resource-num&gt;10.1063/1.1750364&lt;/electronic-resource-num&gt;&lt;access-date&gt;2/20/2024&lt;/access-date&gt;&lt;/record&gt;&lt;/Cite&gt;&lt;/EndNote&gt;</w:instrText>
      </w:r>
      <w:r>
        <w:fldChar w:fldCharType="separate"/>
      </w:r>
      <w:r w:rsidR="009F6662" w:rsidRPr="009F6662">
        <w:rPr>
          <w:noProof/>
          <w:vertAlign w:val="superscript"/>
        </w:rPr>
        <w:t>52</w:t>
      </w:r>
      <w:r>
        <w:fldChar w:fldCharType="end"/>
      </w:r>
      <w:r>
        <w:t xml:space="preserve"> And while even early experimental evidence supported a catalytic mechanism</w:t>
      </w:r>
      <w:r>
        <w:fldChar w:fldCharType="begin"/>
      </w:r>
      <w:r w:rsidR="009F6662">
        <w:instrText xml:space="preserve"> ADDIN EN.CITE &lt;EndNote&gt;&lt;Cite&gt;&lt;Author&gt;Bockris&lt;/Author&gt;&lt;Year&gt;1947&lt;/Year&gt;&lt;RecNum&gt;53&lt;/RecNum&gt;&lt;DisplayText&gt;&lt;style face="superscript"&gt;53, 54&lt;/style&gt;&lt;/DisplayText&gt;&lt;record&gt;&lt;rec-number&gt;53&lt;/rec-number&gt;&lt;foreign-keys&gt;&lt;key app="EN" db-id="2xex0erf4eexr4e2dpbxpdd829xttesxxxdr" timestamp="1715075296"&gt;53&lt;/key&gt;&lt;/foreign-keys&gt;&lt;ref-type name="Journal Article"&gt;17&lt;/ref-type&gt;&lt;contributors&gt;&lt;authors&gt;&lt;author&gt;Bockris, J. O&amp;apos;M&lt;/author&gt;&lt;/authors&gt;&lt;/contributors&gt;&lt;titles&gt;&lt;title&gt;Electrolytic polarisation: III. The effect of the solvent on the oxygen overpotential&lt;/title&gt;&lt;secondary-title&gt;Discussions of the Faraday Society&lt;/secondary-title&gt;&lt;/titles&gt;&lt;periodical&gt;&lt;full-title&gt;Discussions of the Faraday Society&lt;/full-title&gt;&lt;abbr-1&gt;Discuss. Faraday Soc.&lt;/abbr-1&gt;&lt;abbr-2&gt;Discuss Faraday Soc&lt;/abbr-2&gt;&lt;/periodical&gt;&lt;pages&gt;229-235&lt;/pages&gt;&lt;volume&gt;1&lt;/volume&gt;&lt;number&gt;0&lt;/number&gt;&lt;dates&gt;&lt;year&gt;1947&lt;/year&gt;&lt;/dates&gt;&lt;publisher&gt;The Royal Society of Chemistry&lt;/publisher&gt;&lt;isbn&gt;0366-9033&lt;/isbn&gt;&lt;work-type&gt;10.1039/DF9470100229&lt;/work-type&gt;&lt;urls&gt;&lt;related-urls&gt;&lt;url&gt;http://dx.doi.org/10.1039/DF9470100229&lt;/url&gt;&lt;/related-urls&gt;&lt;/urls&gt;&lt;electronic-resource-num&gt;10.1039/DF9470100229&lt;/electronic-resource-num&gt;&lt;/record&gt;&lt;/Cite&gt;&lt;Cite&gt;&lt;Author&gt;Bockris&lt;/Author&gt;&lt;Year&gt;1947&lt;/Year&gt;&lt;RecNum&gt;54&lt;/RecNum&gt;&lt;record&gt;&lt;rec-number&gt;54&lt;/rec-number&gt;&lt;foreign-keys&gt;&lt;key app="EN" db-id="2xex0erf4eexr4e2dpbxpdd829xttesxxxdr" timestamp="1715075296"&gt;54&lt;/key&gt;&lt;/foreign-keys&gt;&lt;ref-type name="Journal Article"&gt;17&lt;/ref-type&gt;&lt;contributors&gt;&lt;authors&gt;&lt;author&gt;Bockris, J. O&amp;apos;M&lt;/author&gt;&lt;/authors&gt;&lt;/contributors&gt;&lt;titles&gt;&lt;title&gt;Effect of the Solvent on Oxygen Overpotential&lt;/title&gt;&lt;secondary-title&gt;Nature&lt;/secondary-title&gt;&lt;/titles&gt;&lt;pages&gt;401-402&lt;/pages&gt;&lt;volume&gt;159&lt;/volume&gt;&lt;number&gt;4038&lt;/number&gt;&lt;dates&gt;&lt;year&gt;1947&lt;/year&gt;&lt;pub-dates&gt;&lt;date&gt;1947/03/01&lt;/date&gt;&lt;/pub-dates&gt;&lt;/dates&gt;&lt;isbn&gt;1476-4687&lt;/isbn&gt;&lt;urls&gt;&lt;related-urls&gt;&lt;url&gt;https://doi.org/10.1038/159401a0&lt;/url&gt;&lt;/related-urls&gt;&lt;/urls&gt;&lt;electronic-resource-num&gt;10.1038/159401a0&lt;/electronic-resource-num&gt;&lt;/record&gt;&lt;/Cite&gt;&lt;/EndNote&gt;</w:instrText>
      </w:r>
      <w:r>
        <w:fldChar w:fldCharType="separate"/>
      </w:r>
      <w:r w:rsidR="009F6662" w:rsidRPr="009F6662">
        <w:rPr>
          <w:noProof/>
          <w:vertAlign w:val="superscript"/>
        </w:rPr>
        <w:t>53, 54</w:t>
      </w:r>
      <w:r>
        <w:fldChar w:fldCharType="end"/>
      </w:r>
      <w:r>
        <w:t>, we have yet to come to a consensus about the nature of that mechanism or the nature of electrocatalytic OER. In this review we will discuss the history of our mechanistic understanding of the OER with a particular focus on how modeling has contributed to that understanding. We will also provide a critical comparison between the results of those models and experiment.</w:t>
      </w:r>
    </w:p>
    <w:p w14:paraId="46A36B78" w14:textId="77777777" w:rsidR="00F2418D" w:rsidRDefault="00F2418D" w:rsidP="00F2418D"/>
    <w:p w14:paraId="065EB543" w14:textId="61F159F1" w:rsidR="00F2418D" w:rsidRDefault="00F2418D" w:rsidP="00F2418D">
      <w:r>
        <w:tab/>
        <w:t xml:space="preserve">To help guide the reader through the history of the OER we have framed this review by organizing sections into the types of models used to gain mechanistic understanding, see </w:t>
      </w:r>
      <w:r w:rsidR="00FC0AD9" w:rsidRPr="00EA20E5">
        <w:rPr>
          <w:b/>
          <w:bCs/>
        </w:rPr>
        <w:fldChar w:fldCharType="begin"/>
      </w:r>
      <w:r w:rsidR="00FC0AD9" w:rsidRPr="00EA20E5">
        <w:rPr>
          <w:b/>
          <w:bCs/>
        </w:rPr>
        <w:instrText xml:space="preserve"> REF _Ref159503147 \h </w:instrText>
      </w:r>
      <w:r w:rsidR="00EA20E5">
        <w:rPr>
          <w:b/>
          <w:bCs/>
        </w:rPr>
        <w:instrText xml:space="preserve"> \* MERGEFORMAT </w:instrText>
      </w:r>
      <w:r w:rsidR="00FC0AD9" w:rsidRPr="00EA20E5">
        <w:rPr>
          <w:b/>
          <w:bCs/>
        </w:rPr>
      </w:r>
      <w:r w:rsidR="00FC0AD9" w:rsidRPr="00EA20E5">
        <w:rPr>
          <w:b/>
          <w:bCs/>
        </w:rPr>
        <w:fldChar w:fldCharType="separate"/>
      </w:r>
      <w:r w:rsidR="00FC0AD9" w:rsidRPr="00EA20E5">
        <w:rPr>
          <w:b/>
          <w:bCs/>
        </w:rPr>
        <w:t xml:space="preserve">Figure </w:t>
      </w:r>
      <w:r w:rsidR="00FC0AD9" w:rsidRPr="00EA20E5">
        <w:rPr>
          <w:b/>
          <w:bCs/>
          <w:noProof/>
        </w:rPr>
        <w:t>1</w:t>
      </w:r>
      <w:r w:rsidR="00FC0AD9" w:rsidRPr="00EA20E5">
        <w:rPr>
          <w:b/>
          <w:bCs/>
        </w:rPr>
        <w:fldChar w:fldCharType="end"/>
      </w:r>
      <w:r>
        <w:t xml:space="preserve">. In so doing we will not always move through the literature chronologically but rather organize the sections of the review by the complexity included in the different models of, and approaches used to simulate, the OER. By way of example, the simplest description of the OER, the first type </w:t>
      </w:r>
      <w:r w:rsidR="00FC0AD9">
        <w:t>of</w:t>
      </w:r>
      <w:r>
        <w:t xml:space="preserve"> model in </w:t>
      </w:r>
      <w:r w:rsidR="00FC0AD9" w:rsidRPr="00EA20E5">
        <w:rPr>
          <w:b/>
          <w:bCs/>
        </w:rPr>
        <w:fldChar w:fldCharType="begin"/>
      </w:r>
      <w:r w:rsidR="00FC0AD9" w:rsidRPr="00EA20E5">
        <w:rPr>
          <w:b/>
          <w:bCs/>
        </w:rPr>
        <w:instrText xml:space="preserve"> REF _Ref159503147 \h </w:instrText>
      </w:r>
      <w:r w:rsidR="00EA20E5">
        <w:rPr>
          <w:b/>
          <w:bCs/>
        </w:rPr>
        <w:instrText xml:space="preserve"> \* MERGEFORMAT </w:instrText>
      </w:r>
      <w:r w:rsidR="00FC0AD9" w:rsidRPr="00EA20E5">
        <w:rPr>
          <w:b/>
          <w:bCs/>
        </w:rPr>
      </w:r>
      <w:r w:rsidR="00FC0AD9" w:rsidRPr="00EA20E5">
        <w:rPr>
          <w:b/>
          <w:bCs/>
        </w:rPr>
        <w:fldChar w:fldCharType="separate"/>
      </w:r>
      <w:r w:rsidR="00FC0AD9" w:rsidRPr="00EA20E5">
        <w:rPr>
          <w:b/>
          <w:bCs/>
        </w:rPr>
        <w:t xml:space="preserve">Figure </w:t>
      </w:r>
      <w:r w:rsidR="00FC0AD9" w:rsidRPr="00EA20E5">
        <w:rPr>
          <w:b/>
          <w:bCs/>
          <w:noProof/>
        </w:rPr>
        <w:t>1</w:t>
      </w:r>
      <w:r w:rsidR="00FC0AD9" w:rsidRPr="00EA20E5">
        <w:rPr>
          <w:b/>
          <w:bCs/>
        </w:rPr>
        <w:fldChar w:fldCharType="end"/>
      </w:r>
      <w:r>
        <w:t>, is purely thermodynamic. In it we make no assumptions of the mechanism and simply consider that the free energy of reaction (</w:t>
      </w:r>
      <w:r>
        <w:sym w:font="Symbol" w:char="F044"/>
      </w:r>
      <w:proofErr w:type="spellStart"/>
      <w:r>
        <w:rPr>
          <w:i/>
          <w:iCs/>
        </w:rPr>
        <w:t>G</w:t>
      </w:r>
      <w:r>
        <w:rPr>
          <w:vertAlign w:val="subscript"/>
        </w:rPr>
        <w:t>rxn</w:t>
      </w:r>
      <w:proofErr w:type="spellEnd"/>
      <w:r>
        <w:t xml:space="preserve">) is the free energy of formation of liquid water. At standard conditions, 25 </w:t>
      </w:r>
      <w:r>
        <w:rPr>
          <w:rFonts w:ascii="Cambria Math" w:hAnsi="Cambria Math"/>
        </w:rPr>
        <w:sym w:font="Symbol" w:char="F0B0"/>
      </w:r>
      <w:r>
        <w:t>C and 1 atm H</w:t>
      </w:r>
      <w:r w:rsidRPr="000A7C39">
        <w:rPr>
          <w:vertAlign w:val="subscript"/>
        </w:rPr>
        <w:t xml:space="preserve">2 </w:t>
      </w:r>
      <w:r>
        <w:t xml:space="preserve">pressure, </w:t>
      </w:r>
      <w:r>
        <w:sym w:font="Symbol" w:char="F044"/>
      </w:r>
      <w:proofErr w:type="spellStart"/>
      <w:r>
        <w:rPr>
          <w:i/>
          <w:iCs/>
        </w:rPr>
        <w:t>G</w:t>
      </w:r>
      <w:r>
        <w:rPr>
          <w:vertAlign w:val="subscript"/>
        </w:rPr>
        <w:t>rxn</w:t>
      </w:r>
      <w:proofErr w:type="spellEnd"/>
      <w:r>
        <w:t xml:space="preserve"> is then 2.46 eV</w:t>
      </w:r>
      <w:r w:rsidR="00774BA5">
        <w:t>.</w:t>
      </w:r>
      <w:r>
        <w:fldChar w:fldCharType="begin"/>
      </w:r>
      <w:r w:rsidR="009F6662">
        <w:instrText xml:space="preserve"> ADDIN EN.CITE &lt;EndNote&gt;&lt;Cite&gt;&lt;Author&gt;Malcolm W. Chase&lt;/Author&gt;&lt;Year&gt;1998&lt;/Year&gt;&lt;RecNum&gt;55&lt;/RecNum&gt;&lt;DisplayText&gt;&lt;style face="superscript"&gt;55&lt;/style&gt;&lt;/DisplayText&gt;&lt;record&gt;&lt;rec-number&gt;55&lt;/rec-number&gt;&lt;foreign-keys&gt;&lt;key app="EN" db-id="2xex0erf4eexr4e2dpbxpdd829xttesxxxdr" timestamp="1715075296"&gt;55&lt;/key&gt;&lt;/foreign-keys&gt;&lt;ref-type name="Book"&gt;6&lt;/ref-type&gt;&lt;contributors&gt;&lt;authors&gt;&lt;author&gt;Malcolm W. Chase,, Jr.&lt;/author&gt;&lt;/authors&gt;&lt;/contributors&gt;&lt;titles&gt;&lt;title&gt;NIST-JANAF thermochemical tables&lt;/title&gt;&lt;/titles&gt;&lt;dates&gt;&lt;year&gt;1998&lt;/year&gt;&lt;/dates&gt;&lt;publisher&gt;Fourth edition. Washington, DC : American Chemical Society ; New York : American Institute of Physics for the National Institute of Standards and Technology, 1998.&lt;/publisher&gt;&lt;call-num&gt;QD511 N57 1998 (B142-22-C-1)&amp;#xD;QD511 .N57 1998&lt;/call-num&gt;&lt;urls&gt;&lt;related-urls&gt;&lt;url&gt;https://search.library.wisc.edu/catalog/999842910902121&lt;/url&gt;&lt;/related-urls&gt;&lt;/urls&gt;&lt;/record&gt;&lt;/Cite&gt;&lt;/EndNote&gt;</w:instrText>
      </w:r>
      <w:r>
        <w:fldChar w:fldCharType="separate"/>
      </w:r>
      <w:r w:rsidR="009F6662" w:rsidRPr="009F6662">
        <w:rPr>
          <w:noProof/>
          <w:vertAlign w:val="superscript"/>
        </w:rPr>
        <w:t>55</w:t>
      </w:r>
      <w:r>
        <w:fldChar w:fldCharType="end"/>
      </w:r>
      <w:r>
        <w:t xml:space="preserve"> Because 2 water molecules are consumed in the OER and 4 electrons liberated, the OER onset potential is then 1.23 V. This value is the reversible potential, and while identifying it </w:t>
      </w:r>
      <w:r w:rsidR="003707FF">
        <w:t xml:space="preserve">is not sufficient to </w:t>
      </w:r>
      <w:r>
        <w:t xml:space="preserve">give any insight into the reaction mechanism or the OER overpotential, knowing the reversible potential does allow us to define the overpotential, </w:t>
      </w:r>
      <w:r w:rsidRPr="00170882">
        <w:rPr>
          <w:i/>
          <w:iCs/>
        </w:rPr>
        <w:sym w:font="Symbol" w:char="F068"/>
      </w:r>
      <w:r>
        <w:t>, as the potential beyond 1.23 V required to drive O</w:t>
      </w:r>
      <w:r w:rsidRPr="007A254C">
        <w:rPr>
          <w:vertAlign w:val="subscript"/>
        </w:rPr>
        <w:t>2</w:t>
      </w:r>
      <w:r>
        <w:t xml:space="preserve"> production through the OER. </w:t>
      </w:r>
    </w:p>
    <w:p w14:paraId="7E64C534" w14:textId="77777777" w:rsidR="00FC0AD9" w:rsidRDefault="00FC0AD9" w:rsidP="00FC0AD9">
      <w:pPr>
        <w:ind w:firstLine="720"/>
      </w:pPr>
    </w:p>
    <w:p w14:paraId="2ED767DF" w14:textId="32EA7AE3" w:rsidR="00FC0AD9" w:rsidRDefault="00FC0AD9" w:rsidP="00FC0AD9">
      <w:pPr>
        <w:ind w:firstLine="720"/>
      </w:pPr>
      <w:r>
        <w:t>One can extend this thermodynamic picture by considering that the OER converts liquid water into gaseous products. By doing so, we see that producing gaseous products during the OER requires additional heat beyond the 1.23 V reversible voltage. The need for additional heat limits the steady-state OER at standard conditions to an enthalpic voltage of 1.48 V</w:t>
      </w:r>
      <w:r w:rsidR="00774BA5">
        <w:t>.</w:t>
      </w:r>
      <w:r>
        <w:fldChar w:fldCharType="begin"/>
      </w:r>
      <w:r w:rsidR="009F6662">
        <w:instrText xml:space="preserve"> ADDIN EN.CITE &lt;EndNote&gt;&lt;Cite&gt;&lt;Author&gt;LeRoy&lt;/Author&gt;&lt;Year&gt;1980&lt;/Year&gt;&lt;RecNum&gt;56&lt;/RecNum&gt;&lt;DisplayText&gt;&lt;style face="superscript"&gt;56&lt;/style&gt;&lt;/DisplayText&gt;&lt;record&gt;&lt;rec-number&gt;56&lt;/rec-number&gt;&lt;foreign-keys&gt;&lt;key app="EN" db-id="2xex0erf4eexr4e2dpbxpdd829xttesxxxdr" timestamp="1715075296"&gt;56&lt;/key&gt;&lt;/foreign-keys&gt;&lt;ref-type name="Journal Article"&gt;17&lt;/ref-type&gt;&lt;contributors&gt;&lt;authors&gt;&lt;author&gt;LeRoy, Rodney L.&lt;/author&gt;&lt;author&gt;Bowen, Christopher T.&lt;/author&gt;&lt;author&gt;LeRoy, Donald J.&lt;/author&gt;&lt;/authors&gt;&lt;/contributors&gt;&lt;titles&gt;&lt;title&gt;The Thermodynamics of Aqueous Water Electrolysis&lt;/title&gt;&lt;secondary-title&gt;Journal of The Electrochemical Society&lt;/secondary-title&gt;&lt;/titles&gt;&lt;periodical&gt;&lt;full-title&gt;Journal of the Electrochemical Society&lt;/full-title&gt;&lt;abbr-1&gt;J. Electrochem. Soc.&lt;/abbr-1&gt;&lt;abbr-2&gt;J Electrochem Soc&lt;/abbr-2&gt;&lt;/periodical&gt;&lt;pages&gt;1954&lt;/pages&gt;&lt;volume&gt;127&lt;/volume&gt;&lt;number&gt;9&lt;/number&gt;&lt;dates&gt;&lt;year&gt;1980&lt;/year&gt;&lt;pub-dates&gt;&lt;date&gt;1980/09/01&lt;/date&gt;&lt;/pub-dates&gt;&lt;/dates&gt;&lt;publisher&gt;The Electrochemical Society, Inc.&lt;/publisher&gt;&lt;isbn&gt;1945-7111&amp;#xD;0013-4651&lt;/isbn&gt;&lt;urls&gt;&lt;related-urls&gt;&lt;url&gt;https://dx.doi.org/10.1149/1.2130044&lt;/url&gt;&lt;/related-urls&gt;&lt;/urls&gt;&lt;electronic-resource-num&gt;10.1149/1.2130044&lt;/electronic-resource-num&gt;&lt;/record&gt;&lt;/Cite&gt;&lt;/EndNote&gt;</w:instrText>
      </w:r>
      <w:r>
        <w:fldChar w:fldCharType="separate"/>
      </w:r>
      <w:r w:rsidR="009F6662" w:rsidRPr="009F6662">
        <w:rPr>
          <w:noProof/>
          <w:vertAlign w:val="superscript"/>
        </w:rPr>
        <w:t>56</w:t>
      </w:r>
      <w:r>
        <w:fldChar w:fldCharType="end"/>
      </w:r>
      <w:r>
        <w:t xml:space="preserve"> Yet, while this </w:t>
      </w:r>
      <w:r>
        <w:lastRenderedPageBreak/>
        <w:t>thermodynamic requirement may be viewed as suggesting a thermodynamic potential of 1.48 V, the required heat need not come from the applied potential. It can be supplied by an external source. Thus, in the laboratory, potentials below 1.48 V are routinely observed</w:t>
      </w:r>
      <w:r>
        <w:fldChar w:fldCharType="begin">
          <w:fldData xml:space="preserve">PEVuZE5vdGU+PENpdGU+PEF1dGhvcj5MZWU8L0F1dGhvcj48WWVhcj4yMDEyPC9ZZWFyPjxSZWNO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</w:fldData>
        </w:fldChar>
      </w:r>
      <w:r w:rsidR="009F6662">
        <w:instrText xml:space="preserve"> ADDIN EN.CITE </w:instrText>
      </w:r>
      <w:r w:rsidR="009F6662">
        <w:fldChar w:fldCharType="begin">
          <w:fldData xml:space="preserve">PEVuZE5vdGU+PENpdGU+PEF1dGhvcj5MZWU8L0F1dGhvcj48WWVhcj4yMDEyPC9ZZWFyPjxSZWNO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</w:fldData>
        </w:fldChar>
      </w:r>
      <w:r w:rsidR="009F6662">
        <w:instrText xml:space="preserve"> ADDIN EN.CITE.DATA </w:instrText>
      </w:r>
      <w:r w:rsidR="009F6662">
        <w:fldChar w:fldCharType="end"/>
      </w:r>
      <w:r>
        <w:fldChar w:fldCharType="separate"/>
      </w:r>
      <w:r w:rsidR="009F6662" w:rsidRPr="009F6662">
        <w:rPr>
          <w:noProof/>
          <w:vertAlign w:val="superscript"/>
        </w:rPr>
        <w:t>57, 58</w:t>
      </w:r>
      <w:r>
        <w:fldChar w:fldCharType="end"/>
      </w:r>
      <w:r>
        <w:t>. Mechanistic studies then tend to focus on the overpotential needed to drive the reaction due to the intrinsically slow kinetics. This kinetic overpotential will be our focus.</w:t>
      </w:r>
    </w:p>
    <w:p w14:paraId="7A5C7692" w14:textId="77777777" w:rsidR="00F2418D" w:rsidRDefault="00F2418D" w:rsidP="00F2418D"/>
    <w:p w14:paraId="483DB7D3" w14:textId="5DBC7C17" w:rsidR="00F2418D" w:rsidRDefault="00F2418D" w:rsidP="00F2418D">
      <w:r w:rsidRPr="00AB2AA6">
        <w:rPr>
          <w:noProof/>
        </w:rPr>
        <w:t xml:space="preserve"> </w:t>
      </w:r>
      <w:r w:rsidR="00A66779" w:rsidRPr="00A66779">
        <w:rPr>
          <w:noProof/>
        </w:rPr>
        <w:drawing>
          <wp:inline distT="0" distB="0" distL="0" distR="0" wp14:anchorId="22F172DF" wp14:editId="374F125D">
            <wp:extent cx="5731510" cy="754380"/>
            <wp:effectExtent l="0" t="0" r="0" b="0"/>
            <wp:docPr id="12381167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8116717" name=""/>
                    <pic:cNvPicPr/>
                  </pic:nvPicPr>
                  <pic:blipFill>
                    <a:blip r:embed="rId11"/>
                    <a:stretch>
                      <a:fillRect/>
                    </a:stretch>
                  </pic:blipFill>
                  <pic:spPr>
                    <a:xfrm>
                      <a:off x="0" y="0"/>
                      <a:ext cx="5731510" cy="754380"/>
                    </a:xfrm>
                    <a:prstGeom prst="rect">
                      <a:avLst/>
                    </a:prstGeom>
                  </pic:spPr>
                </pic:pic>
              </a:graphicData>
            </a:graphic>
          </wp:inline>
        </w:drawing>
      </w:r>
    </w:p>
    <w:p w14:paraId="02C1EC01" w14:textId="77777777" w:rsidR="00F2418D" w:rsidRDefault="00F2418D" w:rsidP="00F2418D"/>
    <w:p w14:paraId="550221F6" w14:textId="521A7F5F" w:rsidR="00F2418D" w:rsidRDefault="00FC0AD9" w:rsidP="00FC0AD9">
      <w:pPr>
        <w:pStyle w:val="Caption"/>
      </w:pPr>
      <w:bookmarkStart w:id="8" w:name="_Ref159503147"/>
      <w:r w:rsidRPr="00C05449">
        <w:rPr>
          <w:b/>
          <w:bCs w:val="0"/>
          <w:sz w:val="22"/>
        </w:rPr>
        <w:t xml:space="preserve">Figure </w:t>
      </w:r>
      <w:r w:rsidRPr="00C05449">
        <w:rPr>
          <w:b/>
          <w:bCs w:val="0"/>
          <w:sz w:val="22"/>
        </w:rPr>
        <w:fldChar w:fldCharType="begin"/>
      </w:r>
      <w:r w:rsidRPr="00C05449">
        <w:rPr>
          <w:b/>
          <w:bCs w:val="0"/>
          <w:sz w:val="22"/>
        </w:rPr>
        <w:instrText xml:space="preserve"> SEQ Figure \* ARABIC </w:instrText>
      </w:r>
      <w:r w:rsidRPr="00C05449">
        <w:rPr>
          <w:b/>
          <w:bCs w:val="0"/>
          <w:sz w:val="22"/>
        </w:rPr>
        <w:fldChar w:fldCharType="separate"/>
      </w:r>
      <w:r w:rsidR="00854B25" w:rsidRPr="00C05449">
        <w:rPr>
          <w:b/>
          <w:bCs w:val="0"/>
          <w:noProof/>
          <w:sz w:val="22"/>
        </w:rPr>
        <w:t>1</w:t>
      </w:r>
      <w:r w:rsidRPr="00C05449">
        <w:rPr>
          <w:b/>
          <w:bCs w:val="0"/>
          <w:noProof/>
          <w:sz w:val="22"/>
        </w:rPr>
        <w:fldChar w:fldCharType="end"/>
      </w:r>
      <w:bookmarkEnd w:id="8"/>
      <w:r w:rsidR="00F2418D">
        <w:t xml:space="preserve"> Increasing complexity of the models used to organize the review. Each section includes additional effects in models of the OER. The first represents the simplest description of the reaction in terms of its overall thermodynamics. The second type of models include phenomenological models built using experimental data. The third type brings </w:t>
      </w:r>
      <w:r w:rsidR="00F2418D">
        <w:rPr>
          <w:i/>
          <w:iCs/>
        </w:rPr>
        <w:t>ab initio</w:t>
      </w:r>
      <w:r w:rsidR="00F2418D">
        <w:t xml:space="preserve"> simulation to bear on the OER by considering the thermodynamics of individual reaction steps through a simplified model that ignores the electrolyte and capacitive charge. The fourth type introduces both electrolyte and capacitive charge to </w:t>
      </w:r>
      <w:r w:rsidR="00F2418D">
        <w:rPr>
          <w:i/>
          <w:iCs/>
        </w:rPr>
        <w:t>ab initio</w:t>
      </w:r>
      <w:r w:rsidR="00F2418D">
        <w:t xml:space="preserve"> simulations. The fifth type introduces explicit reaction kinetics by computing activation energies using </w:t>
      </w:r>
      <w:r w:rsidR="00F2418D">
        <w:rPr>
          <w:i/>
          <w:iCs/>
        </w:rPr>
        <w:t>ab initio</w:t>
      </w:r>
      <w:r w:rsidR="00F2418D">
        <w:t xml:space="preserve"> methods. The sixth uses kinetic and thermodynamic data to produce microkinetic models beyond simple steady-state assumptions. </w:t>
      </w:r>
    </w:p>
    <w:p w14:paraId="4DDDC271" w14:textId="408330DD" w:rsidR="00F2418D" w:rsidRPr="00A66779" w:rsidRDefault="00F2418D" w:rsidP="00F2418D">
      <w:pPr>
        <w:ind w:firstLine="720"/>
      </w:pPr>
      <w:r w:rsidRPr="00A66779">
        <w:t xml:space="preserve">In the following we will examine the OER by considering five more broad classes of models, where we introduce additional effects in each new class. We will begin by reviewing kinetic </w:t>
      </w:r>
      <w:r w:rsidR="002A338C" w:rsidRPr="00A66779">
        <w:t>modeling</w:t>
      </w:r>
      <w:r w:rsidRPr="00A66779">
        <w:t xml:space="preserve"> based on experiment in </w:t>
      </w:r>
      <w:r w:rsidR="00A66779" w:rsidRPr="00A66779">
        <w:t xml:space="preserve">Section </w:t>
      </w:r>
      <w:r w:rsidR="00577291">
        <w:fldChar w:fldCharType="begin"/>
      </w:r>
      <w:r w:rsidR="00577291">
        <w:instrText xml:space="preserve"> REF _Ref159882298 \r \h </w:instrText>
      </w:r>
      <w:r w:rsidR="00577291">
        <w:fldChar w:fldCharType="separate"/>
      </w:r>
      <w:r w:rsidR="00577291">
        <w:t>2</w:t>
      </w:r>
      <w:r w:rsidR="00577291">
        <w:fldChar w:fldCharType="end"/>
      </w:r>
      <w:r w:rsidRPr="00A66779">
        <w:t xml:space="preserve">, which forms the second type of model, see </w:t>
      </w:r>
      <w:r w:rsidR="00FC0AD9" w:rsidRPr="00A66779">
        <w:fldChar w:fldCharType="begin"/>
      </w:r>
      <w:r w:rsidR="00FC0AD9" w:rsidRPr="00A66779">
        <w:instrText xml:space="preserve"> REF _Ref159503147 \h </w:instrText>
      </w:r>
      <w:r w:rsidR="00A66779">
        <w:instrText xml:space="preserve"> \* MERGEFORMAT </w:instrText>
      </w:r>
      <w:r w:rsidR="00FC0AD9" w:rsidRPr="00A66779">
        <w:fldChar w:fldCharType="separate"/>
      </w:r>
      <w:r w:rsidR="00C05449" w:rsidRPr="00A66779">
        <w:rPr>
          <w:b/>
          <w:bCs/>
          <w:szCs w:val="22"/>
        </w:rPr>
        <w:t xml:space="preserve">Figure </w:t>
      </w:r>
      <w:r w:rsidR="00C05449" w:rsidRPr="00A66779">
        <w:rPr>
          <w:b/>
          <w:bCs/>
          <w:noProof/>
          <w:szCs w:val="22"/>
        </w:rPr>
        <w:t>1</w:t>
      </w:r>
      <w:r w:rsidR="00FC0AD9" w:rsidRPr="00A66779">
        <w:fldChar w:fldCharType="end"/>
      </w:r>
      <w:r w:rsidRPr="00A66779">
        <w:t>. Such modeling forms the foundation of our knowledge of OER mechanisms, but it is largely based on phenomenology and therefor</w:t>
      </w:r>
      <w:r w:rsidR="002A338C" w:rsidRPr="00A66779">
        <w:t>e</w:t>
      </w:r>
      <w:r w:rsidRPr="00A66779">
        <w:t xml:space="preserve"> often offers questionable insights.</w:t>
      </w:r>
    </w:p>
    <w:p w14:paraId="4F794E5A" w14:textId="77777777" w:rsidR="00F2418D" w:rsidRPr="00A66779" w:rsidRDefault="00F2418D" w:rsidP="00F2418D">
      <w:pPr>
        <w:ind w:firstLine="720"/>
      </w:pPr>
    </w:p>
    <w:p w14:paraId="7BBFC2B6" w14:textId="23954C89" w:rsidR="00F2418D" w:rsidRPr="00A66779" w:rsidRDefault="00F2418D" w:rsidP="00F2418D">
      <w:pPr>
        <w:ind w:firstLine="720"/>
      </w:pPr>
      <w:r w:rsidRPr="00A66779">
        <w:t xml:space="preserve">We will then move to the introduction of </w:t>
      </w:r>
      <w:r w:rsidRPr="00A66779">
        <w:rPr>
          <w:i/>
          <w:iCs/>
        </w:rPr>
        <w:t xml:space="preserve">ab initio </w:t>
      </w:r>
      <w:r w:rsidRPr="00A66779">
        <w:t>simulations for the OER by review</w:t>
      </w:r>
      <w:r w:rsidR="002A338C" w:rsidRPr="00A66779">
        <w:t>ing</w:t>
      </w:r>
      <w:r w:rsidRPr="00A66779">
        <w:t xml:space="preserve"> techniques and models of the third class in Section </w:t>
      </w:r>
      <w:r w:rsidR="00C80B22">
        <w:fldChar w:fldCharType="begin"/>
      </w:r>
      <w:r w:rsidR="00C80B22">
        <w:instrText xml:space="preserve"> REF _Ref159882314 \r \h </w:instrText>
      </w:r>
      <w:r w:rsidR="00C80B22">
        <w:fldChar w:fldCharType="separate"/>
      </w:r>
      <w:r w:rsidR="00C80B22">
        <w:t>3</w:t>
      </w:r>
      <w:r w:rsidR="00C80B22">
        <w:fldChar w:fldCharType="end"/>
      </w:r>
      <w:r w:rsidRPr="00A66779">
        <w:t xml:space="preserve">. Here, a methodology developed to link experimental potential scales to </w:t>
      </w:r>
      <w:r w:rsidRPr="00A66779">
        <w:rPr>
          <w:i/>
          <w:iCs/>
        </w:rPr>
        <w:t>ab initio</w:t>
      </w:r>
      <w:r w:rsidRPr="00A66779">
        <w:t xml:space="preserve"> simulations will be reviewed</w:t>
      </w:r>
      <w:r w:rsidR="00774BA5" w:rsidRPr="00A66779">
        <w:t>.</w:t>
      </w:r>
      <w:r w:rsidRPr="00A66779">
        <w:fldChar w:fldCharType="begin"/>
      </w:r>
      <w:r w:rsidR="009F6662">
        <w:instrText xml:space="preserve"> ADDIN EN.CITE &lt;EndNote&gt;&lt;Cite&gt;&lt;Author&gt;Nørskov&lt;/Author&gt;&lt;Year&gt;2004&lt;/Year&gt;&lt;RecNum&gt;59&lt;/RecNum&gt;&lt;DisplayText&gt;&lt;style face="superscript"&gt;59&lt;/style&gt;&lt;/DisplayText&gt;&lt;record&gt;&lt;rec-number&gt;59&lt;/rec-number&gt;&lt;foreign-keys&gt;&lt;key app="EN" db-id="2xex0erf4eexr4e2dpbxpdd829xttesxxxdr" timestamp="1715075296"&gt;59&lt;/key&gt;&lt;/foreign-keys&gt;&lt;ref-type name="Journal Article"&gt;17&lt;/ref-type&gt;&lt;contributors&gt;&lt;authors&gt;&lt;author&gt;Nørskov, J. K.&lt;/author&gt;&lt;author&gt;Rossmeisl, J.&lt;/author&gt;&lt;author&gt;Logadottir, A.&lt;/author&gt;&lt;author&gt;Lindqvist, L.&lt;/author&gt;&lt;author&gt;Kitchin, J. R.&lt;/author&gt;&lt;author&gt;Bligaard, T.&lt;/author&gt;&lt;author&gt;Jónsson, H.&lt;/author&gt;&lt;/authors&gt;&lt;/contributors&gt;&lt;titles&gt;&lt;title&gt;Origin of the Overpotential for Oxygen Reduction at a Fuel-Cell Cathode&lt;/title&gt;&lt;secondary-title&gt;Journal of Physical Chemistry B&lt;/secondary-title&gt;&lt;/titles&gt;&lt;periodical&gt;&lt;full-title&gt;Journal of Physical Chemistry B&lt;/full-title&gt;&lt;abbr-1&gt;J. Phys. Chem. B&lt;/abbr-1&gt;&lt;abbr-2&gt;J Phys Chem B&lt;/abbr-2&gt;&lt;/periodical&gt;&lt;pages&gt;17886-17892&lt;/pages&gt;&lt;volume&gt;108&lt;/volume&gt;&lt;number&gt;46&lt;/number&gt;&lt;dates&gt;&lt;year&gt;2004&lt;/year&gt;&lt;pub-dates&gt;&lt;date&gt;2004/11/01&lt;/date&gt;&lt;/pub-dates&gt;&lt;/dates&gt;&lt;publisher&gt;American Chemical Society&lt;/publisher&gt;&lt;isbn&gt;1520-6106&lt;/isbn&gt;&lt;urls&gt;&lt;related-urls&gt;&lt;url&gt;https://doi.org/10.1021/jp047349j&lt;/url&gt;&lt;/related-urls&gt;&lt;/urls&gt;&lt;electronic-resource-num&gt;10.1021/jp047349j&lt;/electronic-resource-num&gt;&lt;/record&gt;&lt;/Cite&gt;&lt;/EndNote&gt;</w:instrText>
      </w:r>
      <w:r w:rsidRPr="00A66779">
        <w:fldChar w:fldCharType="separate"/>
      </w:r>
      <w:r w:rsidR="009F6662" w:rsidRPr="009F6662">
        <w:rPr>
          <w:noProof/>
          <w:vertAlign w:val="superscript"/>
        </w:rPr>
        <w:t>59</w:t>
      </w:r>
      <w:r w:rsidRPr="00A66779">
        <w:fldChar w:fldCharType="end"/>
      </w:r>
      <w:r w:rsidRPr="00A66779">
        <w:t xml:space="preserve"> This </w:t>
      </w:r>
      <w:r w:rsidRPr="00A66779">
        <w:rPr>
          <w:i/>
          <w:iCs/>
        </w:rPr>
        <w:t>computational hydrogen electrode</w:t>
      </w:r>
      <w:r w:rsidRPr="00A66779">
        <w:t xml:space="preserve"> underlies a thermodynamic description of possible elementary steps of the OER. It gives a means of directly incorporating of </w:t>
      </w:r>
      <w:r w:rsidRPr="00A66779">
        <w:rPr>
          <w:i/>
          <w:iCs/>
        </w:rPr>
        <w:t xml:space="preserve">ab initio </w:t>
      </w:r>
      <w:r w:rsidRPr="00A66779">
        <w:t xml:space="preserve">simulations into mechanistic studies of the OER and has become a transformative tool. However, the computational hydrogen electrode is a thermodynamic description that ignores activation energies as well as the explicit effects of electric fields in charged electrodes. While doing so can greatly reduce the computational costs of </w:t>
      </w:r>
      <w:r w:rsidRPr="00A66779">
        <w:rPr>
          <w:i/>
          <w:iCs/>
        </w:rPr>
        <w:t xml:space="preserve">ab initio </w:t>
      </w:r>
      <w:r w:rsidRPr="00A66779">
        <w:t>simulations, as it often allows electrolyte to be ignored, it is a simplification that the literature demonstrates is often not warranted.</w:t>
      </w:r>
      <w:r w:rsidR="00774BA5" w:rsidRPr="00A66779">
        <w:fldChar w:fldCharType="begin">
          <w:fldData xml:space="preserve">PEVuZE5vdGU+PENpdGU+PEF1dGhvcj5Hb25vPC9BdXRob3I+PFllYXI+MjAxOTwvWWVhcj48UmVj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</w:fldData>
        </w:fldChar>
      </w:r>
      <w:r w:rsidR="009F6662">
        <w:instrText xml:space="preserve"> ADDIN EN.CITE </w:instrText>
      </w:r>
      <w:r w:rsidR="009F6662">
        <w:fldChar w:fldCharType="begin">
          <w:fldData xml:space="preserve">PEVuZE5vdGU+PENpdGU+PEF1dGhvcj5Hb25vPC9BdXRob3I+PFllYXI+MjAxOTwvWWVhcj48UmVj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</w:fldData>
        </w:fldChar>
      </w:r>
      <w:r w:rsidR="009F6662">
        <w:instrText xml:space="preserve"> ADDIN EN.CITE.DATA </w:instrText>
      </w:r>
      <w:r w:rsidR="009F6662">
        <w:fldChar w:fldCharType="end"/>
      </w:r>
      <w:r w:rsidR="00774BA5" w:rsidRPr="00A66779">
        <w:fldChar w:fldCharType="separate"/>
      </w:r>
      <w:r w:rsidR="009F6662" w:rsidRPr="009F6662">
        <w:rPr>
          <w:noProof/>
          <w:vertAlign w:val="superscript"/>
        </w:rPr>
        <w:t>60, 61</w:t>
      </w:r>
      <w:r w:rsidR="00774BA5" w:rsidRPr="00A66779">
        <w:fldChar w:fldCharType="end"/>
      </w:r>
      <w:r w:rsidRPr="00A66779">
        <w:t xml:space="preserve"> </w:t>
      </w:r>
    </w:p>
    <w:p w14:paraId="069DAF2A" w14:textId="77777777" w:rsidR="00F2418D" w:rsidRPr="00A66779" w:rsidRDefault="00F2418D" w:rsidP="00F2418D">
      <w:pPr>
        <w:ind w:firstLine="720"/>
      </w:pPr>
    </w:p>
    <w:p w14:paraId="6A559913" w14:textId="1BB7C060" w:rsidR="00F2418D" w:rsidRDefault="00F2418D" w:rsidP="00F2418D">
      <w:pPr>
        <w:ind w:firstLine="720"/>
      </w:pPr>
      <w:r w:rsidRPr="00A66779">
        <w:t xml:space="preserve">In Section </w:t>
      </w:r>
      <w:r w:rsidR="00C80B22">
        <w:fldChar w:fldCharType="begin"/>
      </w:r>
      <w:r w:rsidR="00C80B22">
        <w:instrText xml:space="preserve"> REF _Ref159882333 \r \h </w:instrText>
      </w:r>
      <w:r w:rsidR="00C80B22">
        <w:fldChar w:fldCharType="separate"/>
      </w:r>
      <w:r w:rsidR="00C80B22">
        <w:t>4</w:t>
      </w:r>
      <w:r w:rsidR="00C80B22">
        <w:fldChar w:fldCharType="end"/>
      </w:r>
      <w:r w:rsidR="002A338C" w:rsidRPr="00A66779">
        <w:t xml:space="preserve"> we </w:t>
      </w:r>
      <w:sdt>
        <w:sdtPr>
          <w:tag w:val="goog_rdk_37"/>
          <w:id w:val="-240639673"/>
        </w:sdtPr>
        <w:sdtContent>
          <w:r w:rsidR="002A338C" w:rsidRPr="00A66779">
            <w:t>motivate the need</w:t>
          </w:r>
        </w:sdtContent>
      </w:sdt>
      <w:sdt>
        <w:sdtPr>
          <w:tag w:val="goog_rdk_38"/>
          <w:id w:val="-548691817"/>
        </w:sdtPr>
        <w:sdtContent>
          <w:r w:rsidR="002A338C" w:rsidRPr="00A66779">
            <w:t xml:space="preserve"> to include elect</w:t>
          </w:r>
        </w:sdtContent>
      </w:sdt>
      <w:sdt>
        <w:sdtPr>
          <w:tag w:val="goog_rdk_39"/>
          <w:id w:val="771908227"/>
        </w:sdtPr>
        <w:sdtContent>
          <w:r w:rsidR="002A338C" w:rsidRPr="00A66779">
            <w:t xml:space="preserve">rolyte by reviewing </w:t>
          </w:r>
        </w:sdtContent>
      </w:sdt>
      <w:sdt>
        <w:sdtPr>
          <w:tag w:val="goog_rdk_40"/>
          <w:id w:val="-1809396808"/>
        </w:sdtPr>
        <w:sdtContent>
          <w:r w:rsidR="002A338C" w:rsidRPr="00A66779">
            <w:t>its effects in experiment. Then in</w:t>
          </w:r>
        </w:sdtContent>
      </w:sdt>
      <w:r w:rsidR="002A338C" w:rsidRPr="00A66779">
        <w:t xml:space="preserve"> Section </w:t>
      </w:r>
      <w:r w:rsidR="00C80B22">
        <w:fldChar w:fldCharType="begin"/>
      </w:r>
      <w:r w:rsidR="00C80B22">
        <w:instrText xml:space="preserve"> REF _Ref159882344 \r \h </w:instrText>
      </w:r>
      <w:r w:rsidR="00C80B22">
        <w:fldChar w:fldCharType="separate"/>
      </w:r>
      <w:r w:rsidR="00C80B22">
        <w:t>5</w:t>
      </w:r>
      <w:r w:rsidR="00C80B22">
        <w:fldChar w:fldCharType="end"/>
      </w:r>
      <w:r w:rsidR="002A338C" w:rsidRPr="00A66779">
        <w:t xml:space="preserve"> </w:t>
      </w:r>
      <w:r w:rsidRPr="00A66779">
        <w:t xml:space="preserve">we define the fourth type of model to be those that incorporate capacitive charging in </w:t>
      </w:r>
      <w:r w:rsidRPr="00A66779">
        <w:rPr>
          <w:i/>
          <w:iCs/>
        </w:rPr>
        <w:t xml:space="preserve">ab initio </w:t>
      </w:r>
      <w:r w:rsidRPr="00A66779">
        <w:t>simulations, which necessarily involves electrolyte and higher computational costs. We will focus on explicit electrolyte and refer the interested reader to a recent review of implicit electrolyte</w:t>
      </w:r>
      <w:r w:rsidR="00774BA5" w:rsidRPr="00A66779">
        <w:t>.</w:t>
      </w:r>
      <w:r w:rsidRPr="00A66779">
        <w:fldChar w:fldCharType="begin"/>
      </w:r>
      <w:r w:rsidR="009F6662">
        <w:instrText xml:space="preserve"> ADDIN EN.CITE &lt;EndNote&gt;&lt;Cite&gt;&lt;Author&gt;Ringe&lt;/Author&gt;&lt;Year&gt;2022&lt;/Year&gt;&lt;RecNum&gt;62&lt;/RecNum&gt;&lt;DisplayText&gt;&lt;style face="superscript"&gt;62&lt;/style&gt;&lt;/DisplayText&gt;&lt;record&gt;&lt;rec-number&gt;62&lt;/rec-number&gt;&lt;foreign-keys&gt;&lt;key app="EN" db-id="2xex0erf4eexr4e2dpbxpdd829xttesxxxdr" timestamp="1715075296"&gt;62&lt;/key&gt;&lt;/foreign-keys&gt;&lt;ref-type name="Journal Article"&gt;17&lt;/ref-type&gt;&lt;contributors&gt;&lt;authors&gt;&lt;author&gt;Ringe, Stefan&lt;/author&gt;&lt;author&gt;Hörmann, Nicolas G.&lt;/author&gt;&lt;author&gt;Oberhofer, Harald&lt;/author&gt;&lt;author&gt;Reuter, Karsten&lt;/author&gt;&lt;/authors&gt;&lt;/contributors&gt;&lt;titles&gt;&lt;title&gt;Implicit Solvation Methods for Catalysis at Electrified Interfaces&lt;/title&gt;&lt;secondary-title&gt;Chemical Reviews&lt;/secondary-title&gt;&lt;/titles&gt;&lt;periodical&gt;&lt;full-title&gt;Chemical Reviews&lt;/full-title&gt;&lt;abbr-1&gt;Chem. Rev.&lt;/abbr-1&gt;&lt;abbr-2&gt;Chem Rev&lt;/abbr-2&gt;&lt;/periodical&gt;&lt;pages&gt;10777-10820&lt;/pages&gt;&lt;volume&gt;122&lt;/volume&gt;&lt;number&gt;12&lt;/number&gt;&lt;dates&gt;&lt;year&gt;2022&lt;/year&gt;&lt;pub-dates&gt;&lt;date&gt;2022/06/22&lt;/date&gt;&lt;/pub-dates&gt;&lt;/dates&gt;&lt;publisher&gt;American Chemical Society&lt;/publisher&gt;&lt;isbn&gt;0009-2665&lt;/isbn&gt;&lt;urls&gt;&lt;related-urls&gt;&lt;url&gt;https://doi.org/10.1021/acs.chemrev.1c00675&lt;/url&gt;&lt;/related-urls&gt;&lt;/urls&gt;&lt;electronic-resource-num&gt;10.1021/acs.chemrev.1c00675&lt;/electronic-resource-num&gt;&lt;/record&gt;&lt;/Cite&gt;&lt;/EndNote&gt;</w:instrText>
      </w:r>
      <w:r w:rsidRPr="00A66779">
        <w:fldChar w:fldCharType="separate"/>
      </w:r>
      <w:r w:rsidR="009F6662" w:rsidRPr="009F6662">
        <w:rPr>
          <w:noProof/>
          <w:vertAlign w:val="superscript"/>
        </w:rPr>
        <w:t>62</w:t>
      </w:r>
      <w:r w:rsidRPr="00A66779">
        <w:fldChar w:fldCharType="end"/>
      </w:r>
      <w:r w:rsidRPr="00A66779">
        <w:t xml:space="preserve"> While far less work has been completed in this area than the previous ones, explicit electrolyte appears to be critical in the description of surface phases and the OER mechanism</w:t>
      </w:r>
      <w:r w:rsidR="00774BA5" w:rsidRPr="00A66779">
        <w:t>.</w:t>
      </w:r>
      <w:r w:rsidRPr="00A66779">
        <w:fldChar w:fldCharType="begin"/>
      </w:r>
      <w:r w:rsidR="009F6662">
        <w:instrText xml:space="preserve"> ADDIN EN.CITE &lt;EndNote&gt;&lt;Cite&gt;&lt;Author&gt;Nong&lt;/Author&gt;&lt;Year&gt;2020&lt;/Year&gt;&lt;RecNum&gt;63&lt;/RecNum&gt;&lt;DisplayText&gt;&lt;style face="superscript"&gt;63&lt;/style&gt;&lt;/DisplayText&gt;&lt;record&gt;&lt;rec-number&gt;63&lt;/rec-number&gt;&lt;foreign-keys&gt;&lt;key app="EN" db-id="2xex0erf4eexr4e2dpbxpdd829xttesxxxdr" timestamp="1715075296"&gt;63&lt;/key&gt;&lt;/foreign-keys&gt;&lt;ref-type name="Journal Article"&gt;17&lt;/ref-type&gt;&lt;contributors&gt;&lt;authors&gt;&lt;author&gt;Nong, Hong Nhan&lt;/author&gt;&lt;author&gt;Falling, Lorenz J.&lt;/author&gt;&lt;author&gt;Bergmann, Arno&lt;/author&gt;&lt;author&gt;Klingenhof, Malte&lt;/author&gt;&lt;author&gt;Tran, Hoang Phi&lt;/author&gt;&lt;author&gt;Spöri, Camillo&lt;/author&gt;&lt;author&gt;Mom, Rik&lt;/author&gt;&lt;author&gt;Timoshenko, Janis&lt;/author&gt;&lt;author&gt;Zichittella, Guido&lt;/author&gt;&lt;author&gt;Knop-Gericke, Axel&lt;/author&gt;&lt;author&gt;Piccinin, Simone&lt;/author&gt;&lt;author&gt;Pérez-Ramírez, Javier&lt;/author&gt;&lt;author&gt;Cuenya, Beatriz Roldan&lt;/author&gt;&lt;author&gt;Schlögl, Robert&lt;/author&gt;&lt;author&gt;Strasser, Peter&lt;/author&gt;&lt;author&gt;Teschner, Detre&lt;/author&gt;&lt;author&gt;Jones, Travis E.&lt;/author&gt;&lt;/authors&gt;&lt;/contributors&gt;&lt;titles&gt;&lt;title&gt;Key role of chemistry versus bias in electrocatalytic oxygen evolution&lt;/title&gt;&lt;secondary-title&gt;Nature&lt;/secondary-title&gt;&lt;/titles&gt;&lt;pages&gt;408-413&lt;/pages&gt;&lt;volume&gt;587&lt;/volume&gt;&lt;number&gt;7834&lt;/number&gt;&lt;dates&gt;&lt;year&gt;2020&lt;/year&gt;&lt;pub-dates&gt;&lt;date&gt;2020/11/01&lt;/date&gt;&lt;/pub-dates&gt;&lt;/dates&gt;&lt;isbn&gt;1476-4687&lt;/isbn&gt;&lt;urls&gt;&lt;related-urls&gt;&lt;url&gt;https://doi.org/10.1038/s41586-020-2908-2&lt;/url&gt;&lt;/related-urls&gt;&lt;/urls&gt;&lt;electronic-resource-num&gt;10.1038/s41586-020-2908-2&lt;/electronic-resource-num&gt;&lt;/record&gt;&lt;/Cite&gt;&lt;/EndNote&gt;</w:instrText>
      </w:r>
      <w:r w:rsidRPr="00A66779">
        <w:fldChar w:fldCharType="separate"/>
      </w:r>
      <w:r w:rsidR="009F6662" w:rsidRPr="009F6662">
        <w:rPr>
          <w:noProof/>
          <w:vertAlign w:val="superscript"/>
        </w:rPr>
        <w:t>63</w:t>
      </w:r>
      <w:r w:rsidRPr="00A66779">
        <w:fldChar w:fldCharType="end"/>
      </w:r>
      <w:r w:rsidRPr="00A66779">
        <w:t xml:space="preserve"> For the fifth class of model considered in Section </w:t>
      </w:r>
      <w:r w:rsidR="00C80B22">
        <w:fldChar w:fldCharType="begin"/>
      </w:r>
      <w:r w:rsidR="00C80B22">
        <w:instrText xml:space="preserve"> REF _Ref159882359 \r \h </w:instrText>
      </w:r>
      <w:r w:rsidR="00C80B22">
        <w:fldChar w:fldCharType="separate"/>
      </w:r>
      <w:r w:rsidR="00C80B22">
        <w:t>6</w:t>
      </w:r>
      <w:r w:rsidR="00C80B22">
        <w:fldChar w:fldCharType="end"/>
      </w:r>
      <w:r w:rsidRPr="00A66779">
        <w:t>, we will review studies focused on computing activation energies to gain more insight into explicit reaction kinetics, which have strongly impacted our mechanistic understanding and have shown the critical need to go beyond a thermodynamic description of the electrocatalytic OER</w:t>
      </w:r>
      <w:r w:rsidR="00774BA5" w:rsidRPr="00A66779">
        <w:t>.</w:t>
      </w:r>
      <w:r w:rsidRPr="00A66779">
        <w:fldChar w:fldCharType="begin">
          <w:fldData xml:space="preserve">PEVuZE5vdGU+PENpdGU+PEF1dGhvcj5Ob25nPC9BdXRob3I+PFllYXI+MjAyMDwvWWVhcj48UmVj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</w:fldData>
        </w:fldChar>
      </w:r>
      <w:r w:rsidR="009F6662">
        <w:instrText xml:space="preserve"> ADDIN EN.CITE </w:instrText>
      </w:r>
      <w:r w:rsidR="009F6662">
        <w:fldChar w:fldCharType="begin">
          <w:fldData xml:space="preserve">PEVuZE5vdGU+PENpdGU+PEF1dGhvcj5Ob25nPC9BdXRob3I+PFllYXI+MjAyMDwvWWVhcj48UmVj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</w:fldData>
        </w:fldChar>
      </w:r>
      <w:r w:rsidR="009F6662">
        <w:instrText xml:space="preserve"> ADDIN EN.CITE.DATA </w:instrText>
      </w:r>
      <w:r w:rsidR="009F6662">
        <w:fldChar w:fldCharType="end"/>
      </w:r>
      <w:r w:rsidRPr="00A66779">
        <w:fldChar w:fldCharType="separate"/>
      </w:r>
      <w:r w:rsidR="009F6662" w:rsidRPr="009F6662">
        <w:rPr>
          <w:noProof/>
          <w:vertAlign w:val="superscript"/>
        </w:rPr>
        <w:t>63-65</w:t>
      </w:r>
      <w:r w:rsidRPr="00A66779">
        <w:fldChar w:fldCharType="end"/>
      </w:r>
      <w:r w:rsidRPr="00A66779">
        <w:t xml:space="preserve"> Finally, Section </w:t>
      </w:r>
      <w:r w:rsidR="00C80B22">
        <w:fldChar w:fldCharType="begin"/>
      </w:r>
      <w:r w:rsidR="00C80B22">
        <w:instrText xml:space="preserve"> REF _Ref159882369 \r \h </w:instrText>
      </w:r>
      <w:r w:rsidR="00C80B22">
        <w:fldChar w:fldCharType="separate"/>
      </w:r>
      <w:r w:rsidR="00C80B22">
        <w:t>7</w:t>
      </w:r>
      <w:r w:rsidR="00C80B22">
        <w:fldChar w:fldCharType="end"/>
      </w:r>
      <w:r w:rsidRPr="00A66779">
        <w:t xml:space="preserve"> will cover microkinetic </w:t>
      </w:r>
      <w:r w:rsidR="002A338C" w:rsidRPr="00A66779">
        <w:t>modeling</w:t>
      </w:r>
      <w:r w:rsidRPr="00A66779">
        <w:t xml:space="preserve"> and discuss the need to go beyond the quasi-equilibrium approximation when modeling the OER</w:t>
      </w:r>
      <w:r w:rsidR="00774BA5" w:rsidRPr="00A66779">
        <w:t>.</w:t>
      </w:r>
      <w:r w:rsidRPr="00A66779">
        <w:fldChar w:fldCharType="begin"/>
      </w:r>
      <w:r w:rsidR="009F6662">
        <w:instrText xml:space="preserve"> ADDIN EN.CITE &lt;EndNote&gt;&lt;Cite&gt;&lt;Author&gt;Righi&lt;/Author&gt;&lt;Year&gt;2022&lt;/Year&gt;&lt;RecNum&gt;66&lt;/RecNum&gt;&lt;DisplayText&gt;&lt;style face="superscript"&gt;66&lt;/style&gt;&lt;/DisplayText&gt;&lt;record&gt;&lt;rec-number&gt;66&lt;/rec-number&gt;&lt;foreign-keys&gt;&lt;key app="EN" db-id="2xex0erf4eexr4e2dpbxpdd829xttesxxxdr" timestamp="1715075296"&gt;66&lt;/key&gt;&lt;/foreign-keys&gt;&lt;ref-type name="Journal Article"&gt;17&lt;/ref-type&gt;&lt;contributors&gt;&lt;authors&gt;&lt;author&gt;Righi, Giulia&lt;/author&gt;&lt;author&gt;Plescher, Julius&lt;/author&gt;&lt;author&gt;Schmidt, Franz-Philipp&lt;/author&gt;&lt;author&gt;Campen, R. Kramer&lt;/author&gt;&lt;author&gt;Fabris, Stefano&lt;/author&gt;&lt;author&gt;Knop-Gericke, Axel&lt;/author&gt;&lt;author&gt;Schlögl, Robert&lt;/author&gt;&lt;author&gt;Jones, Travis E.&lt;/author&gt;&lt;author&gt;Teschner, Detre&lt;/author&gt;&lt;author&gt;Piccinin, Simone&lt;/author&gt;&lt;/authors&gt;&lt;/contributors&gt;&lt;titles&gt;&lt;title&gt;On the origin of multihole oxygen evolution in haematite photoanodes&lt;/title&gt;&lt;secondary-title&gt;Nat. Catal.&lt;/secondary-title&gt;&lt;/titles&gt;&lt;periodical&gt;&lt;full-title&gt;Nat. Catal.&lt;/full-title&gt;&lt;abbr-1&gt;Nat. Catal.&lt;/abbr-1&gt;&lt;/periodical&gt;&lt;pages&gt;888-899&lt;/pages&gt;&lt;volume&gt;5&lt;/volume&gt;&lt;number&gt;10&lt;/number&gt;&lt;dates&gt;&lt;year&gt;2022&lt;/year&gt;&lt;/dates&gt;&lt;urls&gt;&lt;related-urls&gt;&lt;url&gt;https://doi.org/10.1038/s41929-022-00845-9&lt;/url&gt;&lt;/related-urls&gt;&lt;/urls&gt;&lt;electronic-resource-num&gt;10.1038/s41929-022-00845-9&lt;/electronic-resource-num&gt;&lt;/record&gt;&lt;/Cite&gt;&lt;/EndNote&gt;</w:instrText>
      </w:r>
      <w:r w:rsidRPr="00A66779">
        <w:fldChar w:fldCharType="separate"/>
      </w:r>
      <w:r w:rsidR="009F6662" w:rsidRPr="009F6662">
        <w:rPr>
          <w:noProof/>
          <w:vertAlign w:val="superscript"/>
        </w:rPr>
        <w:t>66</w:t>
      </w:r>
      <w:r w:rsidRPr="00A66779">
        <w:fldChar w:fldCharType="end"/>
      </w:r>
      <w:r w:rsidRPr="00A66779">
        <w:t xml:space="preserve"> </w:t>
      </w:r>
      <w:r w:rsidRPr="00A66779">
        <w:fldChar w:fldCharType="begin"/>
      </w:r>
      <w:r w:rsidR="009F6662">
        <w:instrText xml:space="preserve"> ADDIN EN.CITE &lt;EndNote&gt;&lt;Cite&gt;&lt;Author&gt;Fornaciari&lt;/Author&gt;&lt;Year&gt;2022&lt;/Year&gt;&lt;RecNum&gt;67&lt;/RecNum&gt;&lt;DisplayText&gt;&lt;style face="superscript"&gt;67&lt;/style&gt;&lt;/DisplayText&gt;&lt;record&gt;&lt;rec-number&gt;67&lt;/rec-number&gt;&lt;foreign-keys&gt;&lt;key app="EN" db-id="2xex0erf4eexr4e2dpbxpdd829xttesxxxdr" timestamp="1715075296"&gt;67&lt;/key&gt;&lt;/foreign-keys&gt;&lt;ref-type name="Journal Article"&gt;17&lt;/ref-type&gt;&lt;contributors&gt;&lt;authors&gt;&lt;author&gt;Fornaciari, Julie C.&lt;/author&gt;&lt;author&gt;Weng, Lien-Chun&lt;/author&gt;&lt;author&gt;Alia, Shaun M.&lt;/author&gt;&lt;author&gt;Zhan, Cheng&lt;/author&gt;&lt;author&gt;Pham, Tuan Anh&lt;/author&gt;&lt;author&gt;Bell, Alexis T.&lt;/author&gt;&lt;author&gt;Ogitsu, Tadashi&lt;/author&gt;&lt;author&gt;Danilovic, Nemanja&lt;/author&gt;&lt;author&gt;Weber, Adam Z.&lt;/author&gt;&lt;/authors&gt;&lt;/contributors&gt;&lt;titles&gt;&lt;title&gt;Mechanistic understanding of pH effects on the oxygen evolution reaction&lt;/title&gt;&lt;secondary-title&gt;Electrochimica Acta&lt;/secondary-title&gt;&lt;/titles&gt;&lt;periodical&gt;&lt;full-title&gt;Electrochimica Acta&lt;/full-title&gt;&lt;abbr-1&gt;Electrochim. Acta&lt;/abbr-1&gt;&lt;abbr-2&gt;Electrochim Acta&lt;/abbr-2&gt;&lt;/periodical&gt;&lt;pages&gt;139810&lt;/pages&gt;&lt;volume&gt;405&lt;/volume&gt;&lt;keywords&gt;&lt;keyword&gt;Microkinetics&lt;/keyword&gt;&lt;keyword&gt;Electrochemistry&lt;/keyword&gt;&lt;keyword&gt;Oxygen evolution reaction&lt;/keyword&gt;&lt;/keywords&gt;&lt;dates&gt;&lt;year&gt;2022&lt;/year&gt;&lt;pub-dates&gt;&lt;date&gt;2022/02/10/&lt;/date&gt;&lt;/pub-dates&gt;&lt;/dates&gt;&lt;isbn&gt;0013-4686&lt;/isbn&gt;&lt;urls&gt;&lt;related-urls&gt;&lt;url&gt;https://www.sciencedirect.com/science/article/pii/S0013468621020934&lt;/url&gt;&lt;/related-urls&gt;&lt;/urls&gt;&lt;electronic-resource-num&gt;https://doi.org/10.1016/j.electacta.2021.139810&lt;/electronic-resource-num&gt;&lt;/record&gt;&lt;/Cite&gt;&lt;/EndNote&gt;</w:instrText>
      </w:r>
      <w:r w:rsidRPr="00A66779">
        <w:fldChar w:fldCharType="separate"/>
      </w:r>
      <w:r w:rsidR="009F6662" w:rsidRPr="009F6662">
        <w:rPr>
          <w:noProof/>
          <w:vertAlign w:val="superscript"/>
        </w:rPr>
        <w:t>67</w:t>
      </w:r>
      <w:r w:rsidRPr="00A66779">
        <w:fldChar w:fldCharType="end"/>
      </w:r>
      <w:r w:rsidRPr="00A66779">
        <w:t xml:space="preserve"> We will end by discussing the most critical open challenges in </w:t>
      </w:r>
      <w:r w:rsidR="002A338C" w:rsidRPr="00A66779">
        <w:t>modeling</w:t>
      </w:r>
      <w:r w:rsidRPr="00A66779">
        <w:t xml:space="preserve"> and understanding the mechanism of the OER.</w:t>
      </w:r>
    </w:p>
    <w:p w14:paraId="7DFAA11D" w14:textId="77777777" w:rsidR="00185B66" w:rsidRPr="00415598" w:rsidRDefault="00185B66" w:rsidP="00185B66"/>
    <w:p w14:paraId="14624032" w14:textId="77777777" w:rsidR="00185B66" w:rsidRPr="00185B66" w:rsidRDefault="00185B66" w:rsidP="00185B66"/>
    <w:p w14:paraId="2C10C05F" w14:textId="77777777" w:rsidR="00185B66" w:rsidRDefault="00185B66">
      <w:pPr>
        <w:rPr>
          <w:rFonts w:eastAsiaTheme="majorEastAsia" w:cstheme="majorBidi"/>
          <w:b/>
          <w:color w:val="000000" w:themeColor="text1"/>
          <w:sz w:val="24"/>
          <w:szCs w:val="32"/>
        </w:rPr>
      </w:pPr>
      <w:r>
        <w:br w:type="page"/>
      </w:r>
    </w:p>
    <w:p w14:paraId="402EA223" w14:textId="4475E798" w:rsidR="00204D0E" w:rsidRPr="00BC70A0" w:rsidRDefault="00204D0E" w:rsidP="00BC7855">
      <w:pPr>
        <w:pStyle w:val="Heading1"/>
        <w:numPr>
          <w:ilvl w:val="0"/>
          <w:numId w:val="17"/>
        </w:numPr>
      </w:pPr>
      <w:bookmarkStart w:id="9" w:name="_Ref159882298"/>
      <w:bookmarkStart w:id="10" w:name="_Toc166441725"/>
      <w:r w:rsidRPr="00BC70A0">
        <w:lastRenderedPageBreak/>
        <w:t>Kinetic theories relevant to OER before the advent of DFT</w:t>
      </w:r>
      <w:bookmarkEnd w:id="0"/>
      <w:bookmarkEnd w:id="9"/>
      <w:bookmarkEnd w:id="10"/>
      <w:r w:rsidRPr="00BC70A0">
        <w:t xml:space="preserve"> </w:t>
      </w:r>
    </w:p>
    <w:p w14:paraId="580EFEC4" w14:textId="41A5F4D9" w:rsidR="00204D0E" w:rsidRPr="001C2508" w:rsidRDefault="00204D0E" w:rsidP="00BC7855">
      <w:pPr>
        <w:pStyle w:val="Heading2"/>
      </w:pPr>
      <w:bookmarkStart w:id="11" w:name="_Toc159281596"/>
      <w:bookmarkStart w:id="12" w:name="_Toc159371022"/>
      <w:bookmarkStart w:id="13" w:name="_Ref159882562"/>
      <w:bookmarkStart w:id="14" w:name="_Ref159959654"/>
      <w:bookmarkStart w:id="15" w:name="_Ref159959666"/>
      <w:bookmarkStart w:id="16" w:name="_Toc166441726"/>
      <w:r w:rsidRPr="001C2508">
        <w:t>Fundamental electrode kinetics</w:t>
      </w:r>
      <w:bookmarkEnd w:id="11"/>
      <w:bookmarkEnd w:id="12"/>
      <w:bookmarkEnd w:id="13"/>
      <w:bookmarkEnd w:id="14"/>
      <w:bookmarkEnd w:id="15"/>
      <w:bookmarkEnd w:id="16"/>
      <w:r w:rsidRPr="001C2508">
        <w:t xml:space="preserve"> </w:t>
      </w:r>
    </w:p>
    <w:p w14:paraId="52508E2D" w14:textId="77777777" w:rsidR="00204D0E" w:rsidRDefault="00204D0E" w:rsidP="00204D0E">
      <w:pPr>
        <w:ind w:firstLine="720"/>
        <w:rPr>
          <w:bCs/>
        </w:rPr>
      </w:pPr>
    </w:p>
    <w:p w14:paraId="776B408B" w14:textId="62755FCD" w:rsidR="00204D0E" w:rsidRDefault="00204D0E" w:rsidP="00204D0E">
      <w:pPr>
        <w:ind w:firstLine="720"/>
        <w:rPr>
          <w:bCs/>
        </w:rPr>
      </w:pPr>
      <w:r w:rsidRPr="008377A9">
        <w:rPr>
          <w:bCs/>
        </w:rPr>
        <w:t>Electrochemical reaction kinetics</w:t>
      </w:r>
      <w:r>
        <w:rPr>
          <w:bCs/>
        </w:rPr>
        <w:t xml:space="preserve"> is the arena of electrochemistry that investigates the rates of electrochemical reactions.</w:t>
      </w:r>
      <w:r w:rsidRPr="008377A9">
        <w:rPr>
          <w:bCs/>
        </w:rPr>
        <w:t xml:space="preserve"> </w:t>
      </w:r>
      <w:r>
        <w:rPr>
          <w:bCs/>
        </w:rPr>
        <w:t>I</w:t>
      </w:r>
      <w:r w:rsidRPr="008377A9">
        <w:rPr>
          <w:bCs/>
        </w:rPr>
        <w:t xml:space="preserve">ndependent of the complexity of the system </w:t>
      </w:r>
      <w:r>
        <w:rPr>
          <w:bCs/>
        </w:rPr>
        <w:t>studied,</w:t>
      </w:r>
      <w:r w:rsidRPr="008377A9">
        <w:rPr>
          <w:bCs/>
        </w:rPr>
        <w:t xml:space="preserve"> </w:t>
      </w:r>
      <w:r>
        <w:rPr>
          <w:bCs/>
        </w:rPr>
        <w:t>reactions consist of</w:t>
      </w:r>
      <w:r w:rsidRPr="008377A9">
        <w:rPr>
          <w:bCs/>
        </w:rPr>
        <w:t xml:space="preserve"> at least one electron transfer step. </w:t>
      </w:r>
      <w:r>
        <w:rPr>
          <w:bCs/>
        </w:rPr>
        <w:t>When an applied potential can generate a constant current, a steady reaction rate is observed. The rate (</w:t>
      </w:r>
      <m:oMath>
        <m:r>
          <w:rPr>
            <w:rFonts w:ascii="Cambria Math" w:hAnsi="Cambria Math"/>
          </w:rPr>
          <m:t>v</m:t>
        </m:r>
      </m:oMath>
      <w:r>
        <w:rPr>
          <w:bCs/>
        </w:rPr>
        <w:t xml:space="preserve">) is proportional to the current </w:t>
      </w:r>
      <w:r w:rsidR="00A66779">
        <w:rPr>
          <w:bCs/>
        </w:rPr>
        <w:t>(</w:t>
      </w:r>
      <w:proofErr w:type="spellStart"/>
      <w:r w:rsidR="00A66779" w:rsidRPr="00A66779">
        <w:rPr>
          <w:bCs/>
          <w:i/>
          <w:iCs/>
        </w:rPr>
        <w:t>i</w:t>
      </w:r>
      <w:proofErr w:type="spellEnd"/>
      <w:r w:rsidR="00A66779">
        <w:rPr>
          <w:bCs/>
        </w:rPr>
        <w:t xml:space="preserve">) </w:t>
      </w:r>
      <w:r>
        <w:rPr>
          <w:bCs/>
        </w:rPr>
        <w:t>and the proportionality constant is related to the number of electrons (</w:t>
      </w:r>
      <m:oMath>
        <m:r>
          <w:rPr>
            <w:rFonts w:ascii="Cambria Math" w:hAnsi="Cambria Math"/>
          </w:rPr>
          <m:t>n</m:t>
        </m:r>
      </m:oMath>
      <w:r>
        <w:rPr>
          <w:bCs/>
        </w:rPr>
        <w:t xml:space="preserve">) transferred </w:t>
      </w:r>
      <w:r w:rsidR="00A2276C">
        <w:rPr>
          <w:bCs/>
        </w:rPr>
        <w:t xml:space="preserve">per </w:t>
      </w:r>
      <w:r>
        <w:rPr>
          <w:bCs/>
        </w:rPr>
        <w:t>reactant involved in the reaction and the Faraday constant (</w:t>
      </w:r>
      <m:oMath>
        <m:r>
          <w:rPr>
            <w:rFonts w:ascii="Cambria Math" w:hAnsi="Cambria Math"/>
          </w:rPr>
          <m:t>F</m:t>
        </m:r>
      </m:oMath>
      <w:r>
        <w:rPr>
          <w:bCs/>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7"/>
        <w:gridCol w:w="6132"/>
        <w:gridCol w:w="2077"/>
      </w:tblGrid>
      <w:tr w:rsidR="00204D0E" w:rsidRPr="00DE0988" w14:paraId="629EDB2E" w14:textId="77777777" w:rsidTr="00204D0E">
        <w:tc>
          <w:tcPr>
            <w:tcW w:w="845" w:type="dxa"/>
            <w:vAlign w:val="center"/>
          </w:tcPr>
          <w:p w14:paraId="6897F96C" w14:textId="77777777" w:rsidR="00204D0E" w:rsidRPr="00DE0988" w:rsidRDefault="00204D0E" w:rsidP="009360A3">
            <w:pPr>
              <w:rPr>
                <w:bCs/>
                <w:sz w:val="20"/>
                <w:szCs w:val="20"/>
              </w:rPr>
            </w:pPr>
          </w:p>
        </w:tc>
        <w:tc>
          <w:tcPr>
            <w:tcW w:w="6385" w:type="dxa"/>
            <w:vAlign w:val="center"/>
          </w:tcPr>
          <w:p w14:paraId="294897DA" w14:textId="77777777" w:rsidR="00204D0E" w:rsidRPr="00DE0988" w:rsidRDefault="00204D0E" w:rsidP="009360A3">
            <w:pPr>
              <w:spacing w:before="60" w:after="60"/>
              <w:rPr>
                <w:bCs/>
                <w:sz w:val="20"/>
                <w:szCs w:val="20"/>
              </w:rPr>
            </w:pPr>
            <m:oMathPara>
              <m:oMath>
                <m:r>
                  <w:rPr>
                    <w:rFonts w:ascii="Cambria Math" w:hAnsi="Cambria Math"/>
                    <w:sz w:val="20"/>
                    <w:szCs w:val="20"/>
                  </w:rPr>
                  <m:t xml:space="preserve">v = </m:t>
                </m:r>
                <m:f>
                  <m:fPr>
                    <m:ctrlPr>
                      <w:rPr>
                        <w:rFonts w:ascii="Cambria Math" w:hAnsi="Cambria Math"/>
                        <w:bCs/>
                        <w:i/>
                        <w:sz w:val="20"/>
                        <w:szCs w:val="20"/>
                      </w:rPr>
                    </m:ctrlPr>
                  </m:fPr>
                  <m:num>
                    <m:r>
                      <w:rPr>
                        <w:rFonts w:ascii="Cambria Math" w:hAnsi="Cambria Math"/>
                        <w:sz w:val="20"/>
                        <w:szCs w:val="20"/>
                      </w:rPr>
                      <m:t>i</m:t>
                    </m:r>
                  </m:num>
                  <m:den>
                    <m:r>
                      <w:rPr>
                        <w:rFonts w:ascii="Cambria Math" w:hAnsi="Cambria Math"/>
                        <w:sz w:val="20"/>
                        <w:szCs w:val="20"/>
                      </w:rPr>
                      <m:t>nF</m:t>
                    </m:r>
                  </m:den>
                </m:f>
              </m:oMath>
            </m:oMathPara>
          </w:p>
        </w:tc>
        <w:tc>
          <w:tcPr>
            <w:tcW w:w="2130" w:type="dxa"/>
            <w:vAlign w:val="center"/>
          </w:tcPr>
          <w:p w14:paraId="60F64416" w14:textId="3F905EF1" w:rsidR="00204D0E" w:rsidRPr="00DE0988" w:rsidRDefault="00204D0E" w:rsidP="009360A3">
            <w:pPr>
              <w:keepNext/>
              <w:jc w:val="right"/>
              <w:rPr>
                <w:bCs/>
                <w:sz w:val="20"/>
                <w:szCs w:val="20"/>
              </w:rPr>
            </w:pPr>
            <w:bookmarkStart w:id="17" w:name="_Ref159016769"/>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8C565B">
              <w:rPr>
                <w:noProof/>
                <w:sz w:val="20"/>
                <w:szCs w:val="20"/>
              </w:rPr>
              <w:t>1</w:t>
            </w:r>
            <w:r w:rsidRPr="00DE0988">
              <w:rPr>
                <w:sz w:val="20"/>
                <w:szCs w:val="20"/>
              </w:rPr>
              <w:fldChar w:fldCharType="end"/>
            </w:r>
            <w:bookmarkEnd w:id="17"/>
          </w:p>
        </w:tc>
      </w:tr>
    </w:tbl>
    <w:p w14:paraId="034B4FBA" w14:textId="0D83005E" w:rsidR="00204D0E" w:rsidRPr="008377A9" w:rsidRDefault="00204D0E" w:rsidP="00204D0E">
      <w:pPr>
        <w:rPr>
          <w:bCs/>
        </w:rPr>
      </w:pPr>
      <w:r>
        <w:rPr>
          <w:bCs/>
        </w:rPr>
        <w:t>When the current</w:t>
      </w:r>
      <w:r w:rsidR="00A2276C">
        <w:rPr>
          <w:bCs/>
        </w:rPr>
        <w:t xml:space="preserve"> </w:t>
      </w:r>
      <w:r>
        <w:rPr>
          <w:bCs/>
        </w:rPr>
        <w:t xml:space="preserve">is normalized to the surface area, </w:t>
      </w:r>
      <w:r w:rsidRPr="00D467EE">
        <w:rPr>
          <w:bCs/>
          <w:i/>
          <w:iCs/>
        </w:rPr>
        <w:t>A</w:t>
      </w:r>
      <w:r>
        <w:rPr>
          <w:bCs/>
        </w:rPr>
        <w:t xml:space="preserve">, we talk about the current density, </w:t>
      </w:r>
      <w:r w:rsidRPr="00D467EE">
        <w:rPr>
          <w:bCs/>
          <w:i/>
          <w:iCs/>
        </w:rPr>
        <w:t>j</w:t>
      </w:r>
      <w:r>
        <w:rPr>
          <w:bCs/>
        </w:rPr>
        <w:t xml:space="preserve">. </w:t>
      </w:r>
      <w:r w:rsidRPr="008377A9">
        <w:rPr>
          <w:bCs/>
        </w:rPr>
        <w:t xml:space="preserve">The magnitude of such </w:t>
      </w:r>
      <w:r w:rsidR="00A2276C">
        <w:rPr>
          <w:bCs/>
        </w:rPr>
        <w:t xml:space="preserve">a </w:t>
      </w:r>
      <w:r w:rsidRPr="008377A9">
        <w:rPr>
          <w:bCs/>
        </w:rPr>
        <w:t xml:space="preserve">current </w:t>
      </w:r>
      <w:r>
        <w:rPr>
          <w:bCs/>
        </w:rPr>
        <w:t xml:space="preserve">density (anodic or cathodic) </w:t>
      </w:r>
      <w:r w:rsidRPr="008377A9">
        <w:rPr>
          <w:bCs/>
        </w:rPr>
        <w:t xml:space="preserve">and its dependence on the potential is the topic </w:t>
      </w:r>
      <w:r>
        <w:rPr>
          <w:bCs/>
        </w:rPr>
        <w:t xml:space="preserve">of </w:t>
      </w:r>
      <w:r w:rsidRPr="008377A9">
        <w:rPr>
          <w:bCs/>
        </w:rPr>
        <w:t xml:space="preserve">electrochemical kinetics and the relevant theories to OER will be briefly </w:t>
      </w:r>
      <w:r>
        <w:rPr>
          <w:bCs/>
        </w:rPr>
        <w:t>summarized</w:t>
      </w:r>
      <w:r w:rsidRPr="008377A9">
        <w:rPr>
          <w:bCs/>
        </w:rPr>
        <w:t xml:space="preserve"> here.</w:t>
      </w:r>
    </w:p>
    <w:p w14:paraId="7B3E4824" w14:textId="77777777" w:rsidR="007D6E11" w:rsidRDefault="007D6E11" w:rsidP="00204D0E">
      <w:pPr>
        <w:ind w:firstLine="720"/>
        <w:rPr>
          <w:bCs/>
        </w:rPr>
      </w:pPr>
    </w:p>
    <w:p w14:paraId="1F62886A" w14:textId="01D7AEB3" w:rsidR="00204D0E" w:rsidRPr="004201D3" w:rsidRDefault="00204D0E" w:rsidP="007D6E11">
      <w:pPr>
        <w:ind w:firstLine="720"/>
        <w:rPr>
          <w:bCs/>
        </w:rPr>
      </w:pPr>
      <w:r w:rsidRPr="008377A9">
        <w:rPr>
          <w:bCs/>
        </w:rPr>
        <w:t>Historically, the theories of electrochemical kinetics are based on the early works of Tafel</w:t>
      </w:r>
      <w:r w:rsidRPr="008377A9">
        <w:rPr>
          <w:bCs/>
        </w:rPr>
        <w:fldChar w:fldCharType="begin"/>
      </w:r>
      <w:r w:rsidR="009F6662">
        <w:rPr>
          <w:bCs/>
        </w:rPr>
        <w:instrText xml:space="preserve"> ADDIN EN.CITE &lt;EndNote&gt;&lt;Cite&gt;&lt;Author&gt;Tafel&lt;/Author&gt;&lt;Year&gt;1905&lt;/Year&gt;&lt;RecNum&gt;68&lt;/RecNum&gt;&lt;DisplayText&gt;&lt;style face="superscript"&gt;68&lt;/style&gt;&lt;/DisplayText&gt;&lt;record&gt;&lt;rec-number&gt;68&lt;/rec-number&gt;&lt;foreign-keys&gt;&lt;key app="EN" db-id="2xex0erf4eexr4e2dpbxpdd829xttesxxxdr" timestamp="1715075296"&gt;68&lt;/key&gt;&lt;/foreign-keys&gt;&lt;ref-type name="Journal Article"&gt;17&lt;/ref-type&gt;&lt;contributors&gt;&lt;authors&gt;&lt;author&gt;Julius Tafel&lt;/author&gt;&lt;/authors&gt;&lt;/contributors&gt;&lt;titles&gt;&lt;title&gt;Über die Polarisation bei kathodischer Wasserstoffentwicklung&lt;/title&gt;&lt;secondary-title&gt;Zeitschrift für Physikalische Chemie&lt;/secondary-title&gt;&lt;/titles&gt;&lt;periodical&gt;&lt;full-title&gt;Zeitschrift fur Physikalische Chemie&lt;/full-title&gt;&lt;abbr-1&gt;Z. Phys. Chem.&lt;/abbr-1&gt;&lt;abbr-2&gt;Z Phys Chem&lt;/abbr-2&gt;&lt;/periodical&gt;&lt;pages&gt;641-712&lt;/pages&gt;&lt;volume&gt;50U&lt;/volume&gt;&lt;number&gt;1&lt;/number&gt;&lt;dates&gt;&lt;year&gt;1905&lt;/year&gt;&lt;/dates&gt;&lt;urls&gt;&lt;related-urls&gt;&lt;url&gt;https://doi.org/10.1515/zpch-1905-5043&lt;/url&gt;&lt;/related-urls&gt;&lt;/urls&gt;&lt;electronic-resource-num&gt;doi:10.1515/zpch-1905-5043&lt;/electronic-resource-num&gt;&lt;access-date&gt;2024-02-15&lt;/access-date&gt;&lt;/record&gt;&lt;/Cite&gt;&lt;/EndNote&gt;</w:instrText>
      </w:r>
      <w:r w:rsidRPr="008377A9">
        <w:rPr>
          <w:bCs/>
        </w:rPr>
        <w:fldChar w:fldCharType="separate"/>
      </w:r>
      <w:r w:rsidR="009F6662" w:rsidRPr="009F6662">
        <w:rPr>
          <w:bCs/>
          <w:noProof/>
          <w:vertAlign w:val="superscript"/>
        </w:rPr>
        <w:t>68</w:t>
      </w:r>
      <w:r w:rsidRPr="008377A9">
        <w:rPr>
          <w:bCs/>
        </w:rPr>
        <w:fldChar w:fldCharType="end"/>
      </w:r>
      <w:r w:rsidRPr="008377A9">
        <w:rPr>
          <w:bCs/>
        </w:rPr>
        <w:t xml:space="preserve">, </w:t>
      </w:r>
      <w:proofErr w:type="spellStart"/>
      <w:r w:rsidRPr="008377A9">
        <w:rPr>
          <w:bCs/>
        </w:rPr>
        <w:t>Erdey-Grúz</w:t>
      </w:r>
      <w:proofErr w:type="spellEnd"/>
      <w:r w:rsidRPr="008377A9">
        <w:rPr>
          <w:bCs/>
        </w:rPr>
        <w:t xml:space="preserve"> and Volmer</w:t>
      </w:r>
      <w:r w:rsidRPr="008377A9">
        <w:rPr>
          <w:bCs/>
        </w:rPr>
        <w:fldChar w:fldCharType="begin"/>
      </w:r>
      <w:r w:rsidR="009F6662">
        <w:rPr>
          <w:bCs/>
        </w:rPr>
        <w:instrText xml:space="preserve"> ADDIN EN.CITE &lt;EndNote&gt;&lt;Cite&gt;&lt;Author&gt;Erdey-Grúz&lt;/Author&gt;&lt;Year&gt;1930&lt;/Year&gt;&lt;RecNum&gt;69&lt;/RecNum&gt;&lt;DisplayText&gt;&lt;style face="superscript"&gt;69&lt;/style&gt;&lt;/DisplayText&gt;&lt;record&gt;&lt;rec-number&gt;69&lt;/rec-number&gt;&lt;foreign-keys&gt;&lt;key app="EN" db-id="2xex0erf4eexr4e2dpbxpdd829xttesxxxdr" timestamp="1715075296"&gt;69&lt;/key&gt;&lt;/foreign-keys&gt;&lt;ref-type name="Journal Article"&gt;17&lt;/ref-type&gt;&lt;contributors&gt;&lt;authors&gt;&lt;author&gt;T. Erdey-Grúz&lt;/author&gt;&lt;author&gt;M. Volmer&lt;/author&gt;&lt;/authors&gt;&lt;/contributors&gt;&lt;titles&gt;&lt;title&gt;Zur Theorie der Wasserstoff Überspannung&lt;/title&gt;&lt;secondary-title&gt;Zeitschrift für Physikalische Chemie&lt;/secondary-title&gt;&lt;/titles&gt;&lt;periodical&gt;&lt;full-title&gt;Zeitschrift fur Physikalische Chemie&lt;/full-title&gt;&lt;abbr-1&gt;Z. Phys. Chem.&lt;/abbr-1&gt;&lt;abbr-2&gt;Z Phys Chem&lt;/abbr-2&gt;&lt;/periodical&gt;&lt;pages&gt;203-213&lt;/pages&gt;&lt;volume&gt;150A&lt;/volume&gt;&lt;number&gt;1&lt;/number&gt;&lt;dates&gt;&lt;year&gt;1930&lt;/year&gt;&lt;/dates&gt;&lt;urls&gt;&lt;related-urls&gt;&lt;url&gt;https://doi.org/10.1515/zpch-1930-15020&lt;/url&gt;&lt;/related-urls&gt;&lt;/urls&gt;&lt;electronic-resource-num&gt;doi:10.1515/zpch-1930-15020&lt;/electronic-resource-num&gt;&lt;access-date&gt;2024-02-15&lt;/access-date&gt;&lt;/record&gt;&lt;/Cite&gt;&lt;/EndNote&gt;</w:instrText>
      </w:r>
      <w:r w:rsidRPr="008377A9">
        <w:rPr>
          <w:bCs/>
        </w:rPr>
        <w:fldChar w:fldCharType="separate"/>
      </w:r>
      <w:r w:rsidR="009F6662" w:rsidRPr="009F6662">
        <w:rPr>
          <w:bCs/>
          <w:noProof/>
          <w:vertAlign w:val="superscript"/>
        </w:rPr>
        <w:t>69</w:t>
      </w:r>
      <w:r w:rsidRPr="008377A9">
        <w:rPr>
          <w:bCs/>
        </w:rPr>
        <w:fldChar w:fldCharType="end"/>
      </w:r>
      <w:r w:rsidRPr="008377A9">
        <w:rPr>
          <w:bCs/>
        </w:rPr>
        <w:t>, Butler</w:t>
      </w:r>
      <w:r w:rsidRPr="008377A9">
        <w:rPr>
          <w:bCs/>
        </w:rPr>
        <w:fldChar w:fldCharType="begin"/>
      </w:r>
      <w:r w:rsidR="009F6662">
        <w:rPr>
          <w:bCs/>
        </w:rPr>
        <w:instrText xml:space="preserve"> ADDIN EN.CITE &lt;EndNote&gt;&lt;Cite&gt;&lt;Author&gt;Butler&lt;/Author&gt;&lt;Year&gt;1924&lt;/Year&gt;&lt;RecNum&gt;70&lt;/RecNum&gt;&lt;DisplayText&gt;&lt;style face="superscript"&gt;70&lt;/style&gt;&lt;/DisplayText&gt;&lt;record&gt;&lt;rec-number&gt;70&lt;/rec-number&gt;&lt;foreign-keys&gt;&lt;key app="EN" db-id="2xex0erf4eexr4e2dpbxpdd829xttesxxxdr" timestamp="1715075296"&gt;70&lt;/key&gt;&lt;/foreign-keys&gt;&lt;ref-type name="Journal Article"&gt;17&lt;/ref-type&gt;&lt;contributors&gt;&lt;authors&gt;&lt;author&gt;Butler, J. A. V.&lt;/author&gt;&lt;/authors&gt;&lt;/contributors&gt;&lt;titles&gt;&lt;title&gt;Studies in heterogeneous equilibria. Part II.—The kinetic interpretation of the nernst theory of electromotive force&lt;/title&gt;&lt;secondary-title&gt;Transactions of the Faraday Society&lt;/secondary-title&gt;&lt;/titles&gt;&lt;periodical&gt;&lt;full-title&gt;Transactions of the Faraday Society&lt;/full-title&gt;&lt;abbr-1&gt;Trans. Faraday Society&lt;/abbr-1&gt;&lt;abbr-2&gt;Trans Faraday Society&lt;/abbr-2&gt;&lt;/periodical&gt;&lt;pages&gt;729-733&lt;/pages&gt;&lt;volume&gt;19&lt;/volume&gt;&lt;number&gt;March&lt;/number&gt;&lt;dates&gt;&lt;year&gt;1924&lt;/year&gt;&lt;/dates&gt;&lt;publisher&gt;The Royal Society of Chemistry&lt;/publisher&gt;&lt;isbn&gt;0014-7672&lt;/isbn&gt;&lt;work-type&gt;10.1039/TF9241900729&lt;/work-type&gt;&lt;urls&gt;&lt;related-urls&gt;&lt;url&gt;http://dx.doi.org/10.1039/TF9241900729&lt;/url&gt;&lt;/related-urls&gt;&lt;/urls&gt;&lt;electronic-resource-num&gt;10.1039/TF9241900729&lt;/electronic-resource-num&gt;&lt;/record&gt;&lt;/Cite&gt;&lt;/EndNote&gt;</w:instrText>
      </w:r>
      <w:r w:rsidRPr="008377A9">
        <w:rPr>
          <w:bCs/>
        </w:rPr>
        <w:fldChar w:fldCharType="separate"/>
      </w:r>
      <w:r w:rsidR="009F6662" w:rsidRPr="009F6662">
        <w:rPr>
          <w:bCs/>
          <w:noProof/>
          <w:vertAlign w:val="superscript"/>
        </w:rPr>
        <w:t>70</w:t>
      </w:r>
      <w:r w:rsidRPr="008377A9">
        <w:rPr>
          <w:bCs/>
        </w:rPr>
        <w:fldChar w:fldCharType="end"/>
      </w:r>
      <w:r w:rsidRPr="008377A9">
        <w:rPr>
          <w:bCs/>
        </w:rPr>
        <w:t xml:space="preserve">, </w:t>
      </w:r>
      <w:proofErr w:type="spellStart"/>
      <w:r>
        <w:rPr>
          <w:bCs/>
        </w:rPr>
        <w:t>Horiuti</w:t>
      </w:r>
      <w:proofErr w:type="spellEnd"/>
      <w:r>
        <w:rPr>
          <w:bCs/>
        </w:rPr>
        <w:t xml:space="preserve"> and Polanyi</w:t>
      </w:r>
      <w:r>
        <w:rPr>
          <w:bCs/>
        </w:rPr>
        <w:fldChar w:fldCharType="begin"/>
      </w:r>
      <w:r w:rsidR="009F6662">
        <w:rPr>
          <w:bCs/>
        </w:rPr>
        <w:instrText xml:space="preserve"> ADDIN EN.CITE &lt;EndNote&gt;&lt;Cite&gt;&lt;Author&gt;Horiuti&lt;/Author&gt;&lt;Year&gt;1935&lt;/Year&gt;&lt;RecNum&gt;71&lt;/RecNum&gt;&lt;DisplayText&gt;&lt;style face="superscript"&gt;71&lt;/style&gt;&lt;/DisplayText&gt;&lt;record&gt;&lt;rec-number&gt;71&lt;/rec-number&gt;&lt;foreign-keys&gt;&lt;key app="EN" db-id="2xex0erf4eexr4e2dpbxpdd829xttesxxxdr" timestamp="1715075296"&gt;71&lt;/key&gt;&lt;/foreign-keys&gt;&lt;ref-type name="Journal Article"&gt;17&lt;/ref-type&gt;&lt;contributors&gt;&lt;authors&gt;&lt;author&gt;Horiuti, J.&lt;/author&gt;&lt;author&gt;Polanyi, M.&lt;/author&gt;&lt;/authors&gt;&lt;/contributors&gt;&lt;titles&gt;&lt;title&gt;Acta Physicochim. URSS&lt;/title&gt;&lt;secondary-title&gt;Acta Physicochim. URSS&lt;/secondary-title&gt;&lt;/titles&gt;&lt;volume&gt;2&lt;/volume&gt;&lt;dates&gt;&lt;year&gt;1935&lt;/year&gt;&lt;/dates&gt;&lt;urls&gt;&lt;/urls&gt;&lt;/record&gt;&lt;/Cite&gt;&lt;/EndNote&gt;</w:instrText>
      </w:r>
      <w:r>
        <w:rPr>
          <w:bCs/>
        </w:rPr>
        <w:fldChar w:fldCharType="separate"/>
      </w:r>
      <w:r w:rsidR="009F6662" w:rsidRPr="009F6662">
        <w:rPr>
          <w:bCs/>
          <w:noProof/>
          <w:vertAlign w:val="superscript"/>
        </w:rPr>
        <w:t>71</w:t>
      </w:r>
      <w:r>
        <w:rPr>
          <w:bCs/>
        </w:rPr>
        <w:fldChar w:fldCharType="end"/>
      </w:r>
      <w:r>
        <w:rPr>
          <w:bCs/>
        </w:rPr>
        <w:t xml:space="preserve">, </w:t>
      </w:r>
      <w:r w:rsidRPr="008377A9">
        <w:rPr>
          <w:bCs/>
        </w:rPr>
        <w:t xml:space="preserve">as well as </w:t>
      </w:r>
      <w:r>
        <w:rPr>
          <w:bCs/>
        </w:rPr>
        <w:t>classical concepts from chemical kinetics and Eyring’s transition state theory</w:t>
      </w:r>
      <w:r w:rsidR="0044363C">
        <w:rPr>
          <w:bCs/>
        </w:rPr>
        <w:fldChar w:fldCharType="begin"/>
      </w:r>
      <w:r w:rsidR="009F6662">
        <w:rPr>
          <w:bCs/>
        </w:rPr>
        <w:instrText xml:space="preserve"> ADDIN EN.CITE &lt;EndNote&gt;&lt;Cite&gt;&lt;Author&gt;Eyring&lt;/Author&gt;&lt;Year&gt;1935&lt;/Year&gt;&lt;RecNum&gt;72&lt;/RecNum&gt;&lt;DisplayText&gt;&lt;style face="superscript"&gt;72&lt;/style&gt;&lt;/DisplayText&gt;&lt;record&gt;&lt;rec-number&gt;72&lt;/rec-number&gt;&lt;foreign-keys&gt;&lt;key app="EN" db-id="2xex0erf4eexr4e2dpbxpdd829xttesxxxdr" timestamp="1715075296"&gt;72&lt;/key&gt;&lt;/foreign-keys&gt;&lt;ref-type name="Journal Article"&gt;17&lt;/ref-type&gt;&lt;contributors&gt;&lt;authors&gt;&lt;author&gt;Eyring, Henry&lt;/author&gt;&lt;/authors&gt;&lt;/contributors&gt;&lt;titles&gt;&lt;title&gt;The Activated Complex in Chemical Reactions&lt;/title&gt;&lt;secondary-title&gt;Journal of Chemical Physics&lt;/secondary-title&gt;&lt;/titles&gt;&lt;periodical&gt;&lt;full-title&gt;Journal of Chemical Physics&lt;/full-title&gt;&lt;abbr-1&gt;J. Chem. Phys.&lt;/abbr-1&gt;&lt;abbr-2&gt;J Chem Phys&lt;/abbr-2&gt;&lt;/periodical&gt;&lt;pages&gt;107-115&lt;/pages&gt;&lt;volume&gt;3&lt;/volume&gt;&lt;number&gt;2&lt;/number&gt;&lt;dates&gt;&lt;year&gt;1935&lt;/year&gt;&lt;/dates&gt;&lt;isbn&gt;0021-9606&lt;/isbn&gt;&lt;urls&gt;&lt;related-urls&gt;&lt;url&gt;https://doi.org/10.1063/1.1749604&lt;/url&gt;&lt;/related-urls&gt;&lt;/urls&gt;&lt;electronic-resource-num&gt;10.1063/1.1749604&lt;/electronic-resource-num&gt;&lt;access-date&gt;2/22/2024&lt;/access-date&gt;&lt;/record&gt;&lt;/Cite&gt;&lt;/EndNote&gt;</w:instrText>
      </w:r>
      <w:r w:rsidR="0044363C">
        <w:rPr>
          <w:bCs/>
        </w:rPr>
        <w:fldChar w:fldCharType="separate"/>
      </w:r>
      <w:r w:rsidR="009F6662" w:rsidRPr="009F6662">
        <w:rPr>
          <w:bCs/>
          <w:noProof/>
          <w:vertAlign w:val="superscript"/>
        </w:rPr>
        <w:t>72</w:t>
      </w:r>
      <w:r w:rsidR="0044363C">
        <w:rPr>
          <w:bCs/>
        </w:rPr>
        <w:fldChar w:fldCharType="end"/>
      </w:r>
      <w:r>
        <w:rPr>
          <w:bCs/>
        </w:rPr>
        <w:t>. These earlier phenomenological works were later expanded by microscopic theories of charge transfer, by Marcus,</w:t>
      </w:r>
      <w:r>
        <w:rPr>
          <w:bCs/>
        </w:rPr>
        <w:fldChar w:fldCharType="begin"/>
      </w:r>
      <w:r w:rsidR="009F6662">
        <w:rPr>
          <w:bCs/>
        </w:rPr>
        <w:instrText xml:space="preserve"> ADDIN EN.CITE &lt;EndNote&gt;&lt;Cite&gt;&lt;Author&gt;Marcus&lt;/Author&gt;&lt;Year&gt;1956&lt;/Year&gt;&lt;RecNum&gt;73&lt;/RecNum&gt;&lt;DisplayText&gt;&lt;style face="superscript"&gt;73&lt;/style&gt;&lt;/DisplayText&gt;&lt;record&gt;&lt;rec-number&gt;73&lt;/rec-number&gt;&lt;foreign-keys&gt;&lt;key app="EN" db-id="2xex0erf4eexr4e2dpbxpdd829xttesxxxdr" timestamp="1715075296"&gt;73&lt;/key&gt;&lt;/foreign-keys&gt;&lt;ref-type name="Journal Article"&gt;17&lt;/ref-type&gt;&lt;contributors&gt;&lt;authors&gt;&lt;author&gt;Marcus, R. A.&lt;/author&gt;&lt;/authors&gt;&lt;/contributors&gt;&lt;titles&gt;&lt;title&gt;On the Theory of Oxidation‐Reduction Reactions Involving Electron Transfer. I&lt;/title&gt;&lt;secondary-title&gt;Journal of Chemical Physics&lt;/secondary-title&gt;&lt;/titles&gt;&lt;periodical&gt;&lt;full-title&gt;Journal of Chemical Physics&lt;/full-title&gt;&lt;abbr-1&gt;J. Chem. Phys.&lt;/abbr-1&gt;&lt;abbr-2&gt;J Chem Phys&lt;/abbr-2&gt;&lt;/periodical&gt;&lt;pages&gt;966-978&lt;/pages&gt;&lt;volume&gt;24&lt;/volume&gt;&lt;number&gt;5&lt;/number&gt;&lt;dates&gt;&lt;year&gt;1956&lt;/year&gt;&lt;/dates&gt;&lt;isbn&gt;0021-9606&lt;/isbn&gt;&lt;urls&gt;&lt;related-urls&gt;&lt;url&gt;https://doi.org/10.1063/1.1742723&lt;/url&gt;&lt;/related-urls&gt;&lt;/urls&gt;&lt;electronic-resource-num&gt;10.1063/1.1742723&lt;/electronic-resource-num&gt;&lt;access-date&gt;2/15/2024&lt;/access-date&gt;&lt;/record&gt;&lt;/Cite&gt;&lt;/EndNote&gt;</w:instrText>
      </w:r>
      <w:r>
        <w:rPr>
          <w:bCs/>
        </w:rPr>
        <w:fldChar w:fldCharType="separate"/>
      </w:r>
      <w:r w:rsidR="009F6662" w:rsidRPr="009F6662">
        <w:rPr>
          <w:bCs/>
          <w:noProof/>
          <w:vertAlign w:val="superscript"/>
        </w:rPr>
        <w:t>73</w:t>
      </w:r>
      <w:r>
        <w:rPr>
          <w:bCs/>
        </w:rPr>
        <w:fldChar w:fldCharType="end"/>
      </w:r>
      <w:r>
        <w:rPr>
          <w:bCs/>
        </w:rPr>
        <w:t xml:space="preserve"> Hush</w:t>
      </w:r>
      <w:r w:rsidR="00CF44DF">
        <w:rPr>
          <w:bCs/>
        </w:rPr>
        <w:t>,</w:t>
      </w:r>
      <w:r>
        <w:rPr>
          <w:bCs/>
        </w:rPr>
        <w:fldChar w:fldCharType="begin"/>
      </w:r>
      <w:r w:rsidR="009F6662">
        <w:rPr>
          <w:bCs/>
        </w:rPr>
        <w:instrText xml:space="preserve"> ADDIN EN.CITE &lt;EndNote&gt;&lt;Cite&gt;&lt;Author&gt;Hush&lt;/Author&gt;&lt;Year&gt;1958&lt;/Year&gt;&lt;RecNum&gt;74&lt;/RecNum&gt;&lt;DisplayText&gt;&lt;style face="superscript"&gt;74&lt;/style&gt;&lt;/DisplayText&gt;&lt;record&gt;&lt;rec-number&gt;74&lt;/rec-number&gt;&lt;foreign-keys&gt;&lt;key app="EN" db-id="2xex0erf4eexr4e2dpbxpdd829xttesxxxdr" timestamp="1715075296"&gt;74&lt;/key&gt;&lt;/foreign-keys&gt;&lt;ref-type name="Journal Article"&gt;17&lt;/ref-type&gt;&lt;contributors&gt;&lt;authors&gt;&lt;author&gt;Hush, N. S.&lt;/author&gt;&lt;/authors&gt;&lt;/contributors&gt;&lt;titles&gt;&lt;title&gt;Adiabatic Rate Processes at Electrodes. I. Energy‐Charge Relationships&lt;/title&gt;&lt;secondary-title&gt;Journal of Chemical Physics&lt;/secondary-title&gt;&lt;/titles&gt;&lt;periodical&gt;&lt;full-title&gt;Journal of Chemical Physics&lt;/full-title&gt;&lt;abbr-1&gt;J. Chem. Phys.&lt;/abbr-1&gt;&lt;abbr-2&gt;J Chem Phys&lt;/abbr-2&gt;&lt;/periodical&gt;&lt;pages&gt;962-972&lt;/pages&gt;&lt;volume&gt;28&lt;/volume&gt;&lt;number&gt;5&lt;/number&gt;&lt;dates&gt;&lt;year&gt;1958&lt;/year&gt;&lt;/dates&gt;&lt;isbn&gt;0021-9606&lt;/isbn&gt;&lt;urls&gt;&lt;related-urls&gt;&lt;url&gt;https://doi.org/10.1063/1.1744305&lt;/url&gt;&lt;/related-urls&gt;&lt;/urls&gt;&lt;electronic-resource-num&gt;10.1063/1.1744305&lt;/electronic-resource-num&gt;&lt;access-date&gt;2/15/2024&lt;/access-date&gt;&lt;/record&gt;&lt;/Cite&gt;&lt;/EndNote&gt;</w:instrText>
      </w:r>
      <w:r>
        <w:rPr>
          <w:bCs/>
        </w:rPr>
        <w:fldChar w:fldCharType="separate"/>
      </w:r>
      <w:r w:rsidR="009F6662" w:rsidRPr="009F6662">
        <w:rPr>
          <w:bCs/>
          <w:noProof/>
          <w:vertAlign w:val="superscript"/>
        </w:rPr>
        <w:t>74</w:t>
      </w:r>
      <w:r>
        <w:rPr>
          <w:bCs/>
        </w:rPr>
        <w:fldChar w:fldCharType="end"/>
      </w:r>
      <w:r>
        <w:rPr>
          <w:bCs/>
        </w:rPr>
        <w:t xml:space="preserve"> Gerischer</w:t>
      </w:r>
      <w:r>
        <w:rPr>
          <w:bCs/>
        </w:rPr>
        <w:fldChar w:fldCharType="begin"/>
      </w:r>
      <w:r w:rsidR="009F6662">
        <w:rPr>
          <w:bCs/>
        </w:rPr>
        <w:instrText xml:space="preserve"> ADDIN EN.CITE &lt;EndNote&gt;&lt;Cite&gt;&lt;Author&gt;Gerischer&lt;/Author&gt;&lt;Year&gt;1960&lt;/Year&gt;&lt;RecNum&gt;75&lt;/RecNum&gt;&lt;DisplayText&gt;&lt;style face="superscript"&gt;75&lt;/style&gt;&lt;/DisplayText&gt;&lt;record&gt;&lt;rec-number&gt;75&lt;/rec-number&gt;&lt;foreign-keys&gt;&lt;key app="EN" db-id="2xex0erf4eexr4e2dpbxpdd829xttesxxxdr" timestamp="1715075296"&gt;75&lt;/key&gt;&lt;/foreign-keys&gt;&lt;ref-type name="Journal Article"&gt;17&lt;/ref-type&gt;&lt;contributors&gt;&lt;authors&gt;&lt;author&gt;Gerischer, H.&lt;/author&gt;&lt;/authors&gt;&lt;/contributors&gt;&lt;titles&gt;&lt;title&gt;Über den Ablauf von Redoxreaktionen an Metallen und an Halbleitern&lt;/title&gt;&lt;secondary-title&gt;Zeitschrift für Physikalische Chemie&lt;/secondary-title&gt;&lt;/titles&gt;&lt;periodical&gt;&lt;full-title&gt;Zeitschrift fur Physikalische Chemie&lt;/full-title&gt;&lt;abbr-1&gt;Z. Phys. Chem.&lt;/abbr-1&gt;&lt;abbr-2&gt;Z Phys Chem&lt;/abbr-2&gt;&lt;/periodical&gt;&lt;pages&gt;223-247&lt;/pages&gt;&lt;volume&gt;26&lt;/volume&gt;&lt;number&gt;3_4&lt;/number&gt;&lt;dates&gt;&lt;year&gt;1960&lt;/year&gt;&lt;/dates&gt;&lt;urls&gt;&lt;related-urls&gt;&lt;url&gt;https://doi.org/10.1524/zpch.1960.26.3_4.223&lt;/url&gt;&lt;/related-urls&gt;&lt;/urls&gt;&lt;electronic-resource-num&gt;doi:10.1524/zpch.1960.26.3_4.223&lt;/electronic-resource-num&gt;&lt;access-date&gt;2024-02-15&lt;/access-date&gt;&lt;/record&gt;&lt;/Cite&gt;&lt;/EndNote&gt;</w:instrText>
      </w:r>
      <w:r>
        <w:rPr>
          <w:bCs/>
        </w:rPr>
        <w:fldChar w:fldCharType="separate"/>
      </w:r>
      <w:r w:rsidR="009F6662" w:rsidRPr="009F6662">
        <w:rPr>
          <w:bCs/>
          <w:noProof/>
          <w:vertAlign w:val="superscript"/>
        </w:rPr>
        <w:t>75</w:t>
      </w:r>
      <w:r>
        <w:rPr>
          <w:bCs/>
        </w:rPr>
        <w:fldChar w:fldCharType="end"/>
      </w:r>
      <w:r>
        <w:rPr>
          <w:bCs/>
        </w:rPr>
        <w:t xml:space="preserve"> </w:t>
      </w:r>
      <w:r w:rsidR="00CF44DF">
        <w:rPr>
          <w:bCs/>
        </w:rPr>
        <w:t>and Dogonadze</w:t>
      </w:r>
      <w:r w:rsidR="00CF44DF">
        <w:rPr>
          <w:bCs/>
        </w:rPr>
        <w:fldChar w:fldCharType="begin"/>
      </w:r>
      <w:r w:rsidR="00FC5BEB">
        <w:rPr>
          <w:bCs/>
        </w:rPr>
        <w:instrText xml:space="preserve"> ADDIN EN.CITE &lt;EndNote&gt;&lt;Cite&gt;&lt;Author&gt;Dogonadze&lt;/Author&gt;&lt;Year&gt;1975&lt;/Year&gt;&lt;RecNum&gt;547&lt;/RecNum&gt;&lt;DisplayText&gt;&lt;style face="superscript"&gt;76&lt;/style&gt;&lt;/DisplayText&gt;&lt;record&gt;&lt;rec-number&gt;547&lt;/rec-number&gt;&lt;foreign-keys&gt;&lt;key app="EN" db-id="2xex0erf4eexr4e2dpbxpdd829xttesxxxdr" timestamp="1715533009"&gt;547&lt;/key&gt;&lt;/foreign-keys&gt;&lt;ref-type name="Journal Article"&gt;17&lt;/ref-type&gt;&lt;contributors&gt;&lt;authors&gt;&lt;author&gt;Dogonadze, R. R.&lt;/author&gt;&lt;author&gt;Kuznetsov, A. M.&lt;/author&gt;&lt;/authors&gt;&lt;/contributors&gt;&lt;titles&gt;&lt;title&gt;Theory of charge transfer kinetics at solid-polar liquid interfaces&lt;/title&gt;&lt;secondary-title&gt;Progress in Surface Science&lt;/secondary-title&gt;&lt;/titles&gt;&lt;periodical&gt;&lt;full-title&gt;Progress in Surface Science&lt;/full-title&gt;&lt;abbr-1&gt;Prog. Surf. Sci.&lt;/abbr-1&gt;&lt;abbr-2&gt;Prog Surf Sci&lt;/abbr-2&gt;&lt;/periodical&gt;&lt;pages&gt;1-41&lt;/pages&gt;&lt;volume&gt;6&lt;/volume&gt;&lt;number&gt;1&lt;/number&gt;&lt;dates&gt;&lt;year&gt;1975&lt;/year&gt;&lt;pub-dates&gt;&lt;date&gt;1975/02/01/&lt;/date&gt;&lt;/pub-dates&gt;&lt;/dates&gt;&lt;isbn&gt;0079-6816&lt;/isbn&gt;&lt;urls&gt;&lt;related-urls&gt;&lt;url&gt;https://www.sciencedirect.com/science/article/pii/0079681675900088&lt;/url&gt;&lt;/related-urls&gt;&lt;/urls&gt;&lt;electronic-resource-num&gt;https://doi.org/10.1016/0079-6816(75)90008-8&lt;/electronic-resource-num&gt;&lt;/record&gt;&lt;/Cite&gt;&lt;/EndNote&gt;</w:instrText>
      </w:r>
      <w:r w:rsidR="00CF44DF">
        <w:rPr>
          <w:bCs/>
        </w:rPr>
        <w:fldChar w:fldCharType="separate"/>
      </w:r>
      <w:r w:rsidR="00FC5BEB" w:rsidRPr="00FC5BEB">
        <w:rPr>
          <w:bCs/>
          <w:noProof/>
          <w:vertAlign w:val="superscript"/>
        </w:rPr>
        <w:t>76</w:t>
      </w:r>
      <w:r w:rsidR="00CF44DF">
        <w:rPr>
          <w:bCs/>
        </w:rPr>
        <w:fldChar w:fldCharType="end"/>
      </w:r>
      <w:r w:rsidR="00CF44DF">
        <w:rPr>
          <w:bCs/>
        </w:rPr>
        <w:t xml:space="preserve"> </w:t>
      </w:r>
      <w:r>
        <w:rPr>
          <w:bCs/>
        </w:rPr>
        <w:t xml:space="preserve">to name but a few. Detailed derivation of these theories can be found in </w:t>
      </w:r>
      <w:r w:rsidR="00A2276C">
        <w:rPr>
          <w:bCs/>
        </w:rPr>
        <w:t>textbooks</w:t>
      </w:r>
      <w:r w:rsidR="00A2276C">
        <w:rPr>
          <w:bCs/>
        </w:rPr>
        <w:fldChar w:fldCharType="begin"/>
      </w:r>
      <w:r w:rsidR="00FC5BEB">
        <w:rPr>
          <w:bCs/>
        </w:rPr>
        <w:instrText xml:space="preserve"> ADDIN EN.CITE &lt;EndNote&gt;&lt;Cite&gt;&lt;Author&gt;Bard&lt;/Author&gt;&lt;Year&gt;2022&lt;/Year&gt;&lt;RecNum&gt;76&lt;/RecNum&gt;&lt;DisplayText&gt;&lt;style face="superscript"&gt;77-79&lt;/style&gt;&lt;/DisplayText&gt;&lt;record&gt;&lt;rec-number&gt;76&lt;/rec-number&gt;&lt;foreign-keys&gt;&lt;key app="EN" db-id="2xex0erf4eexr4e2dpbxpdd829xttesxxxdr" timestamp="1715075296"&gt;76&lt;/key&gt;&lt;/foreign-keys&gt;&lt;ref-type name="Book"&gt;6&lt;/ref-type&gt;&lt;contributors&gt;&lt;authors&gt;&lt;author&gt;Bard, Allen J.&lt;/author&gt;&lt;author&gt;Faulkner, Larry R.&lt;/author&gt;&lt;author&gt;White, Henry S.&lt;/author&gt;&lt;/authors&gt;&lt;/contributors&gt;&lt;titles&gt;&lt;title&gt;Interfacial Electrochemistry Electrochemical Methods: Fundamentals and Applications, 3rd Edition&lt;/title&gt;&lt;/titles&gt;&lt;dates&gt;&lt;year&gt;2022&lt;/year&gt;&lt;/dates&gt;&lt;publisher&gt;Wiley&lt;/publisher&gt;&lt;isbn&gt;978-1-119-33405-7&lt;/isbn&gt;&lt;urls&gt;&lt;/urls&gt;&lt;/record&gt;&lt;/Cite&gt;&lt;Cite&gt;&lt;Author&gt;Schmickler&lt;/Author&gt;&lt;Year&gt;2010&lt;/Year&gt;&lt;RecNum&gt;77&lt;/RecNum&gt;&lt;record&gt;&lt;rec-number&gt;77&lt;/rec-number&gt;&lt;foreign-keys&gt;&lt;key app="EN" db-id="2xex0erf4eexr4e2dpbxpdd829xttesxxxdr" timestamp="1715075296"&gt;77&lt;/key&gt;&lt;/foreign-keys&gt;&lt;ref-type name="Book"&gt;6&lt;/ref-type&gt;&lt;contributors&gt;&lt;authors&gt;&lt;author&gt;Schmickler, Wolfgang&lt;/author&gt;&lt;author&gt;Santos, Elizabeth&lt;/author&gt;&lt;/authors&gt;&lt;/contributors&gt;&lt;titles&gt;&lt;title&gt;Interfacial Electrochemistry&lt;/title&gt;&lt;/titles&gt;&lt;dates&gt;&lt;year&gt;2010&lt;/year&gt;&lt;/dates&gt;&lt;publisher&gt;Springer Berlin, Heidelberg&lt;/publisher&gt;&lt;isbn&gt;978-3-642-04936-1&lt;/isbn&gt;&lt;urls&gt;&lt;/urls&gt;&lt;electronic-resource-num&gt;https://doi.org/10.1007/978-3-642-04937-8&lt;/electronic-resource-num&gt;&lt;/record&gt;&lt;/Cite&gt;&lt;Cite&gt;&lt;Author&gt;Vetter&lt;/Author&gt;&lt;Year&gt;1961&lt;/Year&gt;&lt;RecNum&gt;546&lt;/RecNum&gt;&lt;record&gt;&lt;rec-number&gt;546&lt;/rec-number&gt;&lt;foreign-keys&gt;&lt;key app="EN" db-id="2xex0erf4eexr4e2dpbxpdd829xttesxxxdr" timestamp="1715458869"&gt;546&lt;/key&gt;&lt;/foreign-keys&gt;&lt;ref-type name="Book"&gt;6&lt;/ref-type&gt;&lt;contributors&gt;&lt;authors&gt;&lt;author&gt;Klaus J. Vetter&lt;/author&gt;&lt;/authors&gt;&lt;/contributors&gt;&lt;titles&gt;&lt;title&gt;Elektrochemische Kinetik&lt;/title&gt;&lt;/titles&gt;&lt;section&gt;1-698&lt;/section&gt;&lt;dates&gt;&lt;year&gt;1961&lt;/year&gt;&lt;/dates&gt;&lt;publisher&gt;Springer Berlin, Heidelberg&lt;/publisher&gt;&lt;urls&gt;&lt;/urls&gt;&lt;electronic-resource-num&gt;https://doi.org/10.1007/978-3-642-86547-3&lt;/electronic-resource-num&gt;&lt;/record&gt;&lt;/Cite&gt;&lt;/EndNote&gt;</w:instrText>
      </w:r>
      <w:r w:rsidR="00A2276C">
        <w:rPr>
          <w:bCs/>
        </w:rPr>
        <w:fldChar w:fldCharType="separate"/>
      </w:r>
      <w:r w:rsidR="00FC5BEB" w:rsidRPr="00FC5BEB">
        <w:rPr>
          <w:bCs/>
          <w:noProof/>
          <w:vertAlign w:val="superscript"/>
        </w:rPr>
        <w:t>77-79</w:t>
      </w:r>
      <w:r w:rsidR="00A2276C">
        <w:rPr>
          <w:bCs/>
        </w:rPr>
        <w:fldChar w:fldCharType="end"/>
      </w:r>
      <w:r>
        <w:rPr>
          <w:bCs/>
        </w:rPr>
        <w:t xml:space="preserve"> and we only focus on some key concepts here. At the core of these theories, we find the following ingredients. First,</w:t>
      </w:r>
      <w:r w:rsidRPr="004201D3">
        <w:rPr>
          <w:bCs/>
        </w:rPr>
        <w:t xml:space="preserve"> a simple (unimolecular) one-electron chemical step</w:t>
      </w:r>
      <w:r>
        <w:rPr>
          <w:bCs/>
        </w:rPr>
        <w:t xml:space="preserve"> is considered</w:t>
      </w:r>
      <w:r w:rsidR="00A2276C">
        <w:rPr>
          <w:bCs/>
        </w:rPr>
        <w:t xml:space="preserve"> to transform a reduced species (</w:t>
      </w:r>
      <w:r w:rsidR="00A2276C" w:rsidRPr="0044363C">
        <w:rPr>
          <w:bCs/>
          <w:i/>
          <w:iCs/>
        </w:rPr>
        <w:t>Red</w:t>
      </w:r>
      <w:r w:rsidR="00A2276C">
        <w:rPr>
          <w:bCs/>
        </w:rPr>
        <w:t>) to an oxidized one (</w:t>
      </w:r>
      <w:r w:rsidR="00A2276C" w:rsidRPr="0044363C">
        <w:rPr>
          <w:bCs/>
          <w:i/>
          <w:iCs/>
        </w:rPr>
        <w:t>Ox</w:t>
      </w:r>
      <w:r w:rsidR="00A2276C">
        <w:rPr>
          <w:bCs/>
        </w:rPr>
        <w:t xml:space="preserve">) by liberating an electron, and </w:t>
      </w:r>
      <w:r w:rsidR="00A2276C">
        <w:rPr>
          <w:bCs/>
          <w:i/>
          <w:iCs/>
        </w:rPr>
        <w:t>vice versa</w:t>
      </w:r>
      <w:r w:rsidRPr="004201D3">
        <w:rPr>
          <w:bCs/>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5"/>
        <w:gridCol w:w="6138"/>
        <w:gridCol w:w="2073"/>
      </w:tblGrid>
      <w:tr w:rsidR="00204D0E" w:rsidRPr="00DE0988" w14:paraId="3C9B6DF2" w14:textId="77777777" w:rsidTr="000A5154">
        <w:tc>
          <w:tcPr>
            <w:tcW w:w="845" w:type="dxa"/>
            <w:vAlign w:val="center"/>
          </w:tcPr>
          <w:p w14:paraId="22181450" w14:textId="77777777" w:rsidR="00204D0E" w:rsidRPr="00DE0988" w:rsidRDefault="00204D0E" w:rsidP="009360A3">
            <w:pPr>
              <w:rPr>
                <w:bCs/>
                <w:sz w:val="20"/>
                <w:szCs w:val="20"/>
              </w:rPr>
            </w:pPr>
          </w:p>
        </w:tc>
        <w:tc>
          <w:tcPr>
            <w:tcW w:w="6385" w:type="dxa"/>
            <w:vAlign w:val="center"/>
          </w:tcPr>
          <w:p w14:paraId="10D017AF" w14:textId="77777777" w:rsidR="00204D0E" w:rsidRPr="00DE0988" w:rsidRDefault="00204D0E" w:rsidP="009360A3">
            <w:pPr>
              <w:spacing w:before="60" w:after="60"/>
              <w:rPr>
                <w:bCs/>
                <w:sz w:val="20"/>
                <w:szCs w:val="20"/>
              </w:rPr>
            </w:pPr>
            <m:oMathPara>
              <m:oMath>
                <m:r>
                  <w:rPr>
                    <w:rFonts w:ascii="Cambria Math" w:hAnsi="Cambria Math"/>
                    <w:sz w:val="20"/>
                    <w:szCs w:val="20"/>
                  </w:rPr>
                  <m:t xml:space="preserve">Red  </m:t>
                </m:r>
                <m:eqArr>
                  <m:eqArrPr>
                    <m:ctrlPr>
                      <w:rPr>
                        <w:rFonts w:ascii="Cambria Math" w:hAnsi="Cambria Math"/>
                        <w:bCs/>
                        <w:i/>
                        <w:sz w:val="20"/>
                        <w:szCs w:val="20"/>
                      </w:rPr>
                    </m:ctrlPr>
                  </m:eqArrPr>
                  <m:e>
                    <m:sSub>
                      <m:sSubPr>
                        <m:ctrlPr>
                          <w:rPr>
                            <w:rFonts w:ascii="Cambria Math" w:hAnsi="Cambria Math"/>
                            <w:bCs/>
                            <w:i/>
                            <w:sz w:val="20"/>
                            <w:szCs w:val="20"/>
                          </w:rPr>
                        </m:ctrlPr>
                      </m:sSubPr>
                      <m:e>
                        <m:r>
                          <w:rPr>
                            <w:rFonts w:ascii="Cambria Math" w:hAnsi="Cambria Math"/>
                            <w:sz w:val="20"/>
                            <w:szCs w:val="20"/>
                          </w:rPr>
                          <m:t>k</m:t>
                        </m:r>
                      </m:e>
                      <m:sub>
                        <m:r>
                          <w:rPr>
                            <w:rFonts w:ascii="Cambria Math" w:hAnsi="Cambria Math"/>
                            <w:sz w:val="20"/>
                            <w:szCs w:val="20"/>
                          </w:rPr>
                          <m:t>f</m:t>
                        </m:r>
                      </m:sub>
                    </m:sSub>
                  </m:e>
                  <m:e>
                    <m:r>
                      <w:rPr>
                        <w:rFonts w:ascii="Cambria Math" w:hAnsi="Cambria Math"/>
                        <w:sz w:val="20"/>
                        <w:szCs w:val="20"/>
                      </w:rPr>
                      <m:t>⇋</m:t>
                    </m:r>
                  </m:e>
                  <m:e>
                    <m:sSub>
                      <m:sSubPr>
                        <m:ctrlPr>
                          <w:rPr>
                            <w:rFonts w:ascii="Cambria Math" w:hAnsi="Cambria Math"/>
                            <w:bCs/>
                            <w:i/>
                            <w:sz w:val="20"/>
                            <w:szCs w:val="20"/>
                          </w:rPr>
                        </m:ctrlPr>
                      </m:sSubPr>
                      <m:e>
                        <m:r>
                          <w:rPr>
                            <w:rFonts w:ascii="Cambria Math" w:hAnsi="Cambria Math"/>
                            <w:sz w:val="20"/>
                            <w:szCs w:val="20"/>
                          </w:rPr>
                          <m:t>k</m:t>
                        </m:r>
                      </m:e>
                      <m:sub>
                        <m:r>
                          <w:rPr>
                            <w:rFonts w:ascii="Cambria Math" w:hAnsi="Cambria Math"/>
                            <w:sz w:val="20"/>
                            <w:szCs w:val="20"/>
                          </w:rPr>
                          <m:t>b</m:t>
                        </m:r>
                      </m:sub>
                    </m:sSub>
                  </m:e>
                </m:eqArr>
                <m:r>
                  <w:rPr>
                    <w:rFonts w:ascii="Cambria Math" w:hAnsi="Cambria Math"/>
                    <w:sz w:val="20"/>
                    <w:szCs w:val="20"/>
                  </w:rPr>
                  <m:t xml:space="preserve">  Ox+(1</m:t>
                </m:r>
                <m:sSup>
                  <m:sSupPr>
                    <m:ctrlPr>
                      <w:rPr>
                        <w:rFonts w:ascii="Cambria Math" w:hAnsi="Cambria Math"/>
                        <w:bCs/>
                        <w:i/>
                        <w:sz w:val="20"/>
                        <w:szCs w:val="20"/>
                      </w:rPr>
                    </m:ctrlPr>
                  </m:sSupPr>
                  <m:e>
                    <m:r>
                      <w:rPr>
                        <w:rFonts w:ascii="Cambria Math" w:hAnsi="Cambria Math"/>
                        <w:sz w:val="20"/>
                        <w:szCs w:val="20"/>
                      </w:rPr>
                      <m:t>e</m:t>
                    </m:r>
                  </m:e>
                  <m:sup>
                    <m:r>
                      <w:rPr>
                        <w:rFonts w:ascii="Cambria Math" w:hAnsi="Cambria Math"/>
                        <w:sz w:val="20"/>
                        <w:szCs w:val="20"/>
                      </w:rPr>
                      <m:t>-</m:t>
                    </m:r>
                  </m:sup>
                </m:sSup>
                <m:r>
                  <w:rPr>
                    <w:rFonts w:ascii="Cambria Math" w:hAnsi="Cambria Math"/>
                    <w:sz w:val="20"/>
                    <w:szCs w:val="20"/>
                  </w:rPr>
                  <m:t>)</m:t>
                </m:r>
              </m:oMath>
            </m:oMathPara>
          </w:p>
        </w:tc>
        <w:tc>
          <w:tcPr>
            <w:tcW w:w="2130" w:type="dxa"/>
            <w:vAlign w:val="center"/>
          </w:tcPr>
          <w:p w14:paraId="1A294727" w14:textId="5C47A4D9" w:rsidR="00204D0E" w:rsidRPr="00DE0988" w:rsidRDefault="00204D0E" w:rsidP="009360A3">
            <w:pPr>
              <w:keepNext/>
              <w:jc w:val="right"/>
              <w:rPr>
                <w:bCs/>
                <w:sz w:val="20"/>
                <w:szCs w:val="20"/>
              </w:rPr>
            </w:pPr>
            <w:bookmarkStart w:id="18" w:name="_Ref158932288"/>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8C565B">
              <w:rPr>
                <w:noProof/>
                <w:sz w:val="20"/>
                <w:szCs w:val="20"/>
              </w:rPr>
              <w:t>2</w:t>
            </w:r>
            <w:r w:rsidRPr="00DE0988">
              <w:rPr>
                <w:sz w:val="20"/>
                <w:szCs w:val="20"/>
              </w:rPr>
              <w:fldChar w:fldCharType="end"/>
            </w:r>
            <w:bookmarkEnd w:id="18"/>
          </w:p>
        </w:tc>
      </w:tr>
    </w:tbl>
    <w:p w14:paraId="31D5C165" w14:textId="1B5789CD" w:rsidR="00204D0E" w:rsidRDefault="00204D0E" w:rsidP="00204D0E">
      <w:pPr>
        <w:rPr>
          <w:bCs/>
        </w:rPr>
      </w:pPr>
      <w:r w:rsidRPr="00A86F0E">
        <w:rPr>
          <w:bCs/>
        </w:rPr>
        <w:t>Complex reactions are assumed to be a network of simple one-electron elementary steps, sometimes in combination with purely chemical steps.</w:t>
      </w:r>
      <w:r>
        <w:rPr>
          <w:bCs/>
        </w:rPr>
        <w:t xml:space="preserve"> Based on fundamental chemical kinetics, the rate of such one-electron elementary step</w:t>
      </w:r>
      <w:r w:rsidR="00DF15B6">
        <w:rPr>
          <w:bCs/>
        </w:rPr>
        <w:t>s</w:t>
      </w:r>
      <w:r>
        <w:rPr>
          <w:bCs/>
        </w:rPr>
        <w:t xml:space="preserve"> is given by the difference between the forward and backward rates: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6"/>
        <w:gridCol w:w="6135"/>
        <w:gridCol w:w="2075"/>
      </w:tblGrid>
      <w:tr w:rsidR="00204D0E" w:rsidRPr="00DE0988" w14:paraId="4A307F88" w14:textId="77777777" w:rsidTr="000A5154">
        <w:tc>
          <w:tcPr>
            <w:tcW w:w="845" w:type="dxa"/>
            <w:vAlign w:val="center"/>
          </w:tcPr>
          <w:p w14:paraId="7069096B" w14:textId="77777777" w:rsidR="00204D0E" w:rsidRPr="00DE0988" w:rsidRDefault="00204D0E" w:rsidP="009360A3">
            <w:pPr>
              <w:rPr>
                <w:bCs/>
                <w:sz w:val="20"/>
                <w:szCs w:val="20"/>
              </w:rPr>
            </w:pPr>
          </w:p>
        </w:tc>
        <w:tc>
          <w:tcPr>
            <w:tcW w:w="6385" w:type="dxa"/>
            <w:vAlign w:val="center"/>
          </w:tcPr>
          <w:p w14:paraId="089B43E3" w14:textId="77777777" w:rsidR="00204D0E" w:rsidRPr="00DE0988" w:rsidRDefault="00204D0E" w:rsidP="009360A3">
            <w:pPr>
              <w:spacing w:before="60" w:after="60"/>
              <w:rPr>
                <w:bCs/>
                <w:sz w:val="20"/>
                <w:szCs w:val="20"/>
              </w:rPr>
            </w:pPr>
            <m:oMathPara>
              <m:oMath>
                <m:r>
                  <w:rPr>
                    <w:rFonts w:ascii="Cambria Math" w:hAnsi="Cambria Math"/>
                    <w:sz w:val="20"/>
                    <w:szCs w:val="20"/>
                  </w:rPr>
                  <m:t xml:space="preserve">v = </m:t>
                </m:r>
                <m:sSub>
                  <m:sSubPr>
                    <m:ctrlPr>
                      <w:rPr>
                        <w:rFonts w:ascii="Cambria Math" w:hAnsi="Cambria Math"/>
                        <w:bCs/>
                        <w:i/>
                        <w:sz w:val="20"/>
                        <w:szCs w:val="20"/>
                      </w:rPr>
                    </m:ctrlPr>
                  </m:sSubPr>
                  <m:e>
                    <m:r>
                      <w:rPr>
                        <w:rFonts w:ascii="Cambria Math" w:hAnsi="Cambria Math"/>
                        <w:sz w:val="20"/>
                        <w:szCs w:val="20"/>
                      </w:rPr>
                      <m:t>k</m:t>
                    </m:r>
                  </m:e>
                  <m:sub>
                    <m:r>
                      <w:rPr>
                        <w:rFonts w:ascii="Cambria Math" w:hAnsi="Cambria Math"/>
                        <w:sz w:val="20"/>
                        <w:szCs w:val="20"/>
                      </w:rPr>
                      <m:t>f</m:t>
                    </m:r>
                  </m:sub>
                </m:sSub>
                <m:sSub>
                  <m:sSubPr>
                    <m:ctrlPr>
                      <w:rPr>
                        <w:rFonts w:ascii="Cambria Math" w:hAnsi="Cambria Math"/>
                        <w:bCs/>
                        <w:i/>
                        <w:sz w:val="20"/>
                        <w:szCs w:val="20"/>
                      </w:rPr>
                    </m:ctrlPr>
                  </m:sSubPr>
                  <m:e>
                    <m:r>
                      <w:rPr>
                        <w:rFonts w:ascii="Cambria Math" w:hAnsi="Cambria Math"/>
                        <w:sz w:val="20"/>
                        <w:szCs w:val="20"/>
                      </w:rPr>
                      <m:t>c</m:t>
                    </m:r>
                  </m:e>
                  <m:sub>
                    <m:r>
                      <w:rPr>
                        <w:rFonts w:ascii="Cambria Math" w:hAnsi="Cambria Math"/>
                        <w:sz w:val="20"/>
                        <w:szCs w:val="20"/>
                      </w:rPr>
                      <m:t>Red</m:t>
                    </m:r>
                  </m:sub>
                </m:sSub>
                <m:r>
                  <w:rPr>
                    <w:rFonts w:ascii="Cambria Math" w:hAnsi="Cambria Math"/>
                    <w:sz w:val="20"/>
                    <w:szCs w:val="20"/>
                  </w:rPr>
                  <m:t>-</m:t>
                </m:r>
                <m:sSub>
                  <m:sSubPr>
                    <m:ctrlPr>
                      <w:rPr>
                        <w:rFonts w:ascii="Cambria Math" w:hAnsi="Cambria Math"/>
                        <w:bCs/>
                        <w:i/>
                        <w:sz w:val="20"/>
                        <w:szCs w:val="20"/>
                      </w:rPr>
                    </m:ctrlPr>
                  </m:sSubPr>
                  <m:e>
                    <m:r>
                      <w:rPr>
                        <w:rFonts w:ascii="Cambria Math" w:hAnsi="Cambria Math"/>
                        <w:sz w:val="20"/>
                        <w:szCs w:val="20"/>
                      </w:rPr>
                      <m:t>k</m:t>
                    </m:r>
                  </m:e>
                  <m:sub>
                    <m:r>
                      <w:rPr>
                        <w:rFonts w:ascii="Cambria Math" w:hAnsi="Cambria Math"/>
                        <w:sz w:val="20"/>
                        <w:szCs w:val="20"/>
                      </w:rPr>
                      <m:t>b</m:t>
                    </m:r>
                  </m:sub>
                </m:sSub>
                <m:sSub>
                  <m:sSubPr>
                    <m:ctrlPr>
                      <w:rPr>
                        <w:rFonts w:ascii="Cambria Math" w:hAnsi="Cambria Math"/>
                        <w:bCs/>
                        <w:i/>
                        <w:sz w:val="20"/>
                        <w:szCs w:val="20"/>
                      </w:rPr>
                    </m:ctrlPr>
                  </m:sSubPr>
                  <m:e>
                    <m:r>
                      <w:rPr>
                        <w:rFonts w:ascii="Cambria Math" w:hAnsi="Cambria Math"/>
                        <w:sz w:val="20"/>
                        <w:szCs w:val="20"/>
                      </w:rPr>
                      <m:t>c</m:t>
                    </m:r>
                  </m:e>
                  <m:sub>
                    <m:r>
                      <w:rPr>
                        <w:rFonts w:ascii="Cambria Math" w:hAnsi="Cambria Math"/>
                        <w:sz w:val="20"/>
                        <w:szCs w:val="20"/>
                      </w:rPr>
                      <m:t>Ox</m:t>
                    </m:r>
                  </m:sub>
                </m:sSub>
              </m:oMath>
            </m:oMathPara>
          </w:p>
        </w:tc>
        <w:tc>
          <w:tcPr>
            <w:tcW w:w="2130" w:type="dxa"/>
            <w:vAlign w:val="center"/>
          </w:tcPr>
          <w:p w14:paraId="4788123D" w14:textId="4850E21B" w:rsidR="00204D0E" w:rsidRPr="00DE0988" w:rsidRDefault="00204D0E" w:rsidP="009360A3">
            <w:pPr>
              <w:keepNext/>
              <w:jc w:val="right"/>
              <w:rPr>
                <w:bCs/>
                <w:sz w:val="20"/>
                <w:szCs w:val="20"/>
              </w:rPr>
            </w:pPr>
            <w:bookmarkStart w:id="19" w:name="_Ref158932952"/>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8C565B">
              <w:rPr>
                <w:noProof/>
                <w:sz w:val="20"/>
                <w:szCs w:val="20"/>
              </w:rPr>
              <w:t>3</w:t>
            </w:r>
            <w:r w:rsidRPr="00DE0988">
              <w:rPr>
                <w:sz w:val="20"/>
                <w:szCs w:val="20"/>
              </w:rPr>
              <w:fldChar w:fldCharType="end"/>
            </w:r>
            <w:bookmarkEnd w:id="19"/>
          </w:p>
        </w:tc>
      </w:tr>
    </w:tbl>
    <w:p w14:paraId="41996849" w14:textId="77777777" w:rsidR="00204D0E" w:rsidRDefault="00204D0E" w:rsidP="00204D0E">
      <w:pPr>
        <w:rPr>
          <w:bCs/>
        </w:rPr>
      </w:pPr>
      <w:r>
        <w:rPr>
          <w:bCs/>
        </w:rPr>
        <w:t xml:space="preserve">where </w:t>
      </w:r>
      <m:oMath>
        <m:sSub>
          <m:sSubPr>
            <m:ctrlPr>
              <w:rPr>
                <w:rFonts w:ascii="Cambria Math" w:hAnsi="Cambria Math"/>
                <w:bCs/>
                <w:i/>
                <w:sz w:val="24"/>
              </w:rPr>
            </m:ctrlPr>
          </m:sSubPr>
          <m:e>
            <m:r>
              <w:rPr>
                <w:rFonts w:ascii="Cambria Math" w:hAnsi="Cambria Math"/>
              </w:rPr>
              <m:t>c</m:t>
            </m:r>
          </m:e>
          <m:sub>
            <m:r>
              <w:rPr>
                <w:rFonts w:ascii="Cambria Math" w:hAnsi="Cambria Math"/>
              </w:rPr>
              <m:t>Red</m:t>
            </m:r>
          </m:sub>
        </m:sSub>
      </m:oMath>
      <w:r>
        <w:rPr>
          <w:bCs/>
        </w:rPr>
        <w:t xml:space="preserve">and </w:t>
      </w:r>
      <m:oMath>
        <m:sSub>
          <m:sSubPr>
            <m:ctrlPr>
              <w:rPr>
                <w:rFonts w:ascii="Cambria Math" w:hAnsi="Cambria Math"/>
                <w:bCs/>
                <w:i/>
                <w:sz w:val="24"/>
              </w:rPr>
            </m:ctrlPr>
          </m:sSubPr>
          <m:e>
            <m:r>
              <w:rPr>
                <w:rFonts w:ascii="Cambria Math" w:hAnsi="Cambria Math"/>
              </w:rPr>
              <m:t>c</m:t>
            </m:r>
          </m:e>
          <m:sub>
            <m:r>
              <w:rPr>
                <w:rFonts w:ascii="Cambria Math" w:hAnsi="Cambria Math"/>
              </w:rPr>
              <m:t>Ox</m:t>
            </m:r>
          </m:sub>
        </m:sSub>
      </m:oMath>
      <w:r>
        <w:rPr>
          <w:bCs/>
        </w:rPr>
        <w:t xml:space="preserve"> denote concentrations, and in particular surface concentrations for heterogeneous electrocatalytic reactions. By definition, the forward and backward rates are equal at equilibrium. Then, transition state theory is invoked to describe the rate constants, </w:t>
      </w:r>
      <w:proofErr w:type="spellStart"/>
      <w:r w:rsidRPr="0096148E">
        <w:rPr>
          <w:bCs/>
          <w:i/>
          <w:iCs/>
        </w:rPr>
        <w:t>k</w:t>
      </w:r>
      <w:r w:rsidRPr="0096148E">
        <w:rPr>
          <w:bCs/>
          <w:i/>
          <w:iCs/>
          <w:vertAlign w:val="subscript"/>
        </w:rPr>
        <w:t>f</w:t>
      </w:r>
      <w:proofErr w:type="spellEnd"/>
      <w:r>
        <w:rPr>
          <w:bCs/>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4"/>
        <w:gridCol w:w="6143"/>
        <w:gridCol w:w="2069"/>
      </w:tblGrid>
      <w:tr w:rsidR="00204D0E" w:rsidRPr="00DE0988" w14:paraId="2B065494" w14:textId="77777777" w:rsidTr="000A5154">
        <w:tc>
          <w:tcPr>
            <w:tcW w:w="845" w:type="dxa"/>
            <w:vAlign w:val="center"/>
          </w:tcPr>
          <w:p w14:paraId="3542973B" w14:textId="77777777" w:rsidR="00204D0E" w:rsidRPr="00DE0988" w:rsidRDefault="00204D0E" w:rsidP="009360A3">
            <w:pPr>
              <w:rPr>
                <w:bCs/>
                <w:sz w:val="20"/>
                <w:szCs w:val="20"/>
              </w:rPr>
            </w:pPr>
          </w:p>
        </w:tc>
        <w:tc>
          <w:tcPr>
            <w:tcW w:w="6385" w:type="dxa"/>
            <w:vAlign w:val="center"/>
          </w:tcPr>
          <w:p w14:paraId="56B07CB0" w14:textId="72C29423" w:rsidR="00204D0E" w:rsidRPr="00DE0988" w:rsidRDefault="00000000" w:rsidP="009360A3">
            <w:pPr>
              <w:spacing w:before="60" w:after="60"/>
              <w:rPr>
                <w:bCs/>
                <w:sz w:val="20"/>
                <w:szCs w:val="20"/>
              </w:rPr>
            </w:pPr>
            <m:oMathPara>
              <m:oMath>
                <m:sSub>
                  <m:sSubPr>
                    <m:ctrlPr>
                      <w:rPr>
                        <w:rFonts w:ascii="Cambria Math" w:hAnsi="Cambria Math"/>
                        <w:bCs/>
                        <w:i/>
                        <w:sz w:val="20"/>
                        <w:szCs w:val="20"/>
                      </w:rPr>
                    </m:ctrlPr>
                  </m:sSubPr>
                  <m:e>
                    <m:r>
                      <w:rPr>
                        <w:rFonts w:ascii="Cambria Math" w:hAnsi="Cambria Math"/>
                        <w:sz w:val="20"/>
                        <w:szCs w:val="20"/>
                      </w:rPr>
                      <m:t>k</m:t>
                    </m:r>
                  </m:e>
                  <m:sub>
                    <m:r>
                      <w:rPr>
                        <w:rFonts w:ascii="Cambria Math" w:hAnsi="Cambria Math"/>
                        <w:sz w:val="20"/>
                        <w:szCs w:val="20"/>
                      </w:rPr>
                      <m:t>f</m:t>
                    </m:r>
                  </m:sub>
                </m:sSub>
                <m:r>
                  <w:rPr>
                    <w:rFonts w:ascii="Cambria Math" w:hAnsi="Cambria Math"/>
                    <w:sz w:val="20"/>
                    <w:szCs w:val="20"/>
                  </w:rPr>
                  <m:t>=</m:t>
                </m:r>
                <m:f>
                  <m:fPr>
                    <m:ctrlPr>
                      <w:rPr>
                        <w:rFonts w:ascii="Cambria Math" w:hAnsi="Cambria Math"/>
                        <w:bCs/>
                        <w:i/>
                        <w:iCs/>
                        <w:sz w:val="20"/>
                        <w:szCs w:val="20"/>
                      </w:rPr>
                    </m:ctrlPr>
                  </m:fPr>
                  <m:num>
                    <m:r>
                      <w:rPr>
                        <w:rFonts w:ascii="Cambria Math" w:hAnsi="Cambria Math"/>
                        <w:sz w:val="20"/>
                        <w:szCs w:val="20"/>
                      </w:rPr>
                      <m:t>κ</m:t>
                    </m:r>
                    <m:sSub>
                      <m:sSubPr>
                        <m:ctrlPr>
                          <w:rPr>
                            <w:rFonts w:ascii="Cambria Math" w:hAnsi="Cambria Math"/>
                            <w:bCs/>
                            <w:i/>
                            <w:iCs/>
                            <w:sz w:val="20"/>
                            <w:szCs w:val="20"/>
                          </w:rPr>
                        </m:ctrlPr>
                      </m:sSubPr>
                      <m:e>
                        <m:r>
                          <w:rPr>
                            <w:rFonts w:ascii="Cambria Math" w:hAnsi="Cambria Math"/>
                            <w:sz w:val="20"/>
                            <w:szCs w:val="20"/>
                          </w:rPr>
                          <m:t>k</m:t>
                        </m:r>
                      </m:e>
                      <m:sub>
                        <m:r>
                          <w:rPr>
                            <w:rFonts w:ascii="Cambria Math" w:hAnsi="Cambria Math"/>
                            <w:sz w:val="20"/>
                            <w:szCs w:val="20"/>
                          </w:rPr>
                          <m:t>B</m:t>
                        </m:r>
                      </m:sub>
                    </m:sSub>
                    <m:r>
                      <w:rPr>
                        <w:rFonts w:ascii="Cambria Math" w:hAnsi="Cambria Math"/>
                        <w:sz w:val="20"/>
                        <w:szCs w:val="20"/>
                      </w:rPr>
                      <m:t>T</m:t>
                    </m:r>
                  </m:num>
                  <m:den>
                    <m:r>
                      <w:rPr>
                        <w:rFonts w:ascii="Cambria Math" w:hAnsi="Cambria Math"/>
                        <w:sz w:val="20"/>
                        <w:szCs w:val="20"/>
                      </w:rPr>
                      <m:t>h</m:t>
                    </m:r>
                  </m:den>
                </m:f>
                <m:sSup>
                  <m:sSupPr>
                    <m:ctrlPr>
                      <w:rPr>
                        <w:rFonts w:ascii="Cambria Math" w:hAnsi="Cambria Math"/>
                        <w:bCs/>
                        <w:i/>
                        <w:iCs/>
                        <w:sz w:val="20"/>
                        <w:szCs w:val="20"/>
                      </w:rPr>
                    </m:ctrlPr>
                  </m:sSupPr>
                  <m:e>
                    <m:r>
                      <m:rPr>
                        <m:sty m:val="p"/>
                      </m:rPr>
                      <w:rPr>
                        <w:rFonts w:ascii="Cambria Math" w:hAnsi="Cambria Math"/>
                        <w:sz w:val="20"/>
                        <w:szCs w:val="20"/>
                      </w:rPr>
                      <m:t>e</m:t>
                    </m:r>
                  </m:e>
                  <m:sup>
                    <m:r>
                      <w:rPr>
                        <w:rFonts w:ascii="Cambria Math" w:hAnsi="Cambria Math"/>
                        <w:sz w:val="20"/>
                        <w:szCs w:val="20"/>
                      </w:rPr>
                      <m:t>-</m:t>
                    </m:r>
                    <m:r>
                      <m:rPr>
                        <m:sty m:val="p"/>
                      </m:rPr>
                      <w:rPr>
                        <w:rFonts w:ascii="Cambria Math" w:hAnsi="Cambria Math"/>
                        <w:sz w:val="20"/>
                        <w:szCs w:val="20"/>
                      </w:rPr>
                      <m:t>Δ</m:t>
                    </m:r>
                    <m:sSubSup>
                      <m:sSubSupPr>
                        <m:ctrlPr>
                          <w:rPr>
                            <w:rFonts w:ascii="Cambria Math" w:hAnsi="Cambria Math"/>
                            <w:bCs/>
                            <w:iCs/>
                            <w:sz w:val="20"/>
                            <w:szCs w:val="20"/>
                          </w:rPr>
                        </m:ctrlPr>
                      </m:sSubSupPr>
                      <m:e>
                        <m:r>
                          <w:rPr>
                            <w:rFonts w:ascii="Cambria Math" w:hAnsi="Cambria Math"/>
                            <w:sz w:val="20"/>
                            <w:szCs w:val="20"/>
                          </w:rPr>
                          <m:t>G</m:t>
                        </m:r>
                      </m:e>
                      <m:sub>
                        <m:r>
                          <w:rPr>
                            <w:rFonts w:ascii="Cambria Math" w:hAnsi="Cambria Math"/>
                            <w:sz w:val="20"/>
                            <w:szCs w:val="20"/>
                          </w:rPr>
                          <m:t>f</m:t>
                        </m:r>
                      </m:sub>
                      <m:sup>
                        <m:r>
                          <w:rPr>
                            <w:rFonts w:ascii="Cambria Math" w:hAnsi="Cambria Math"/>
                            <w:sz w:val="20"/>
                            <w:szCs w:val="20"/>
                          </w:rPr>
                          <m:t>‡</m:t>
                        </m:r>
                      </m:sup>
                    </m:sSubSup>
                    <m:r>
                      <w:rPr>
                        <w:rFonts w:ascii="Cambria Math" w:hAnsi="Cambria Math"/>
                        <w:sz w:val="20"/>
                        <w:szCs w:val="20"/>
                      </w:rPr>
                      <m:t>/RT</m:t>
                    </m:r>
                  </m:sup>
                </m:sSup>
              </m:oMath>
            </m:oMathPara>
          </w:p>
        </w:tc>
        <w:tc>
          <w:tcPr>
            <w:tcW w:w="2130" w:type="dxa"/>
            <w:vAlign w:val="center"/>
          </w:tcPr>
          <w:p w14:paraId="4BAC4600" w14:textId="1A0952CB" w:rsidR="00204D0E" w:rsidRPr="00DE0988" w:rsidRDefault="00204D0E" w:rsidP="009360A3">
            <w:pPr>
              <w:keepNext/>
              <w:jc w:val="right"/>
              <w:rPr>
                <w:bCs/>
                <w:sz w:val="20"/>
                <w:szCs w:val="20"/>
              </w:rPr>
            </w:pPr>
            <w:bookmarkStart w:id="20" w:name="_Ref159096580"/>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8C565B">
              <w:rPr>
                <w:noProof/>
                <w:sz w:val="20"/>
                <w:szCs w:val="20"/>
              </w:rPr>
              <w:t>4</w:t>
            </w:r>
            <w:r w:rsidRPr="00DE0988">
              <w:rPr>
                <w:sz w:val="20"/>
                <w:szCs w:val="20"/>
              </w:rPr>
              <w:fldChar w:fldCharType="end"/>
            </w:r>
            <w:bookmarkEnd w:id="20"/>
          </w:p>
        </w:tc>
      </w:tr>
    </w:tbl>
    <w:p w14:paraId="2CE77ECB" w14:textId="69A8E00C" w:rsidR="007D6E11" w:rsidRDefault="00204D0E" w:rsidP="007D6E11">
      <w:pPr>
        <w:rPr>
          <w:bCs/>
        </w:rPr>
      </w:pPr>
      <w:r>
        <w:rPr>
          <w:bCs/>
        </w:rPr>
        <w:t xml:space="preserve">where </w:t>
      </w:r>
      <m:oMath>
        <m:r>
          <w:rPr>
            <w:rFonts w:ascii="Cambria Math" w:hAnsi="Cambria Math"/>
          </w:rPr>
          <m:t>κ</m:t>
        </m:r>
      </m:oMath>
      <w:r>
        <w:rPr>
          <w:bCs/>
        </w:rPr>
        <w:t xml:space="preserve"> is the transmission coefficient, related to the tunneling probability in electron-transfer theory (</w:t>
      </w:r>
      <m:oMath>
        <m:r>
          <w:rPr>
            <w:rFonts w:ascii="Cambria Math" w:hAnsi="Cambria Math"/>
          </w:rPr>
          <m:t>κ</m:t>
        </m:r>
      </m:oMath>
      <w:r>
        <w:rPr>
          <w:bCs/>
        </w:rPr>
        <w:t xml:space="preserve"> being dependent on the distance from the electrode; at small distances it equals 1), </w:t>
      </w:r>
      <m:oMath>
        <m:sSub>
          <m:sSubPr>
            <m:ctrlPr>
              <w:rPr>
                <w:rFonts w:ascii="Cambria Math" w:hAnsi="Cambria Math"/>
                <w:bCs/>
                <w:i/>
                <w:iCs/>
                <w:sz w:val="24"/>
              </w:rPr>
            </m:ctrlPr>
          </m:sSubPr>
          <m:e>
            <m:r>
              <w:rPr>
                <w:rFonts w:ascii="Cambria Math" w:hAnsi="Cambria Math"/>
              </w:rPr>
              <m:t>k</m:t>
            </m:r>
          </m:e>
          <m:sub>
            <m:r>
              <w:rPr>
                <w:rFonts w:ascii="Cambria Math" w:hAnsi="Cambria Math"/>
              </w:rPr>
              <m:t>B</m:t>
            </m:r>
          </m:sub>
        </m:sSub>
      </m:oMath>
      <w:r>
        <w:rPr>
          <w:bCs/>
          <w:iCs/>
        </w:rPr>
        <w:t xml:space="preserve"> and </w:t>
      </w:r>
      <m:oMath>
        <m:r>
          <w:rPr>
            <w:rFonts w:ascii="Cambria Math" w:hAnsi="Cambria Math"/>
          </w:rPr>
          <m:t>h</m:t>
        </m:r>
      </m:oMath>
      <w:r>
        <w:rPr>
          <w:bCs/>
          <w:iCs/>
        </w:rPr>
        <w:t xml:space="preserve"> are the Boltzmann and Planck constants, </w:t>
      </w:r>
      <w:r w:rsidR="00367929">
        <w:rPr>
          <w:bCs/>
          <w:iCs/>
        </w:rPr>
        <w:t>respectively</w:t>
      </w:r>
      <w:r>
        <w:rPr>
          <w:bCs/>
          <w:iCs/>
        </w:rPr>
        <w:t xml:space="preserve">, and </w:t>
      </w:r>
      <m:oMath>
        <m:r>
          <m:rPr>
            <m:sty m:val="p"/>
          </m:rPr>
          <w:rPr>
            <w:rFonts w:ascii="Cambria Math" w:hAnsi="Cambria Math"/>
          </w:rPr>
          <m:t>Δ</m:t>
        </m:r>
        <m:sSubSup>
          <m:sSubSupPr>
            <m:ctrlPr>
              <w:rPr>
                <w:rFonts w:ascii="Cambria Math" w:hAnsi="Cambria Math"/>
                <w:bCs/>
                <w:iCs/>
                <w:sz w:val="24"/>
              </w:rPr>
            </m:ctrlPr>
          </m:sSubSupPr>
          <m:e>
            <m:r>
              <w:rPr>
                <w:rFonts w:ascii="Cambria Math" w:hAnsi="Cambria Math"/>
              </w:rPr>
              <m:t>G</m:t>
            </m:r>
          </m:e>
          <m:sub>
            <m:r>
              <w:rPr>
                <w:rFonts w:ascii="Cambria Math" w:hAnsi="Cambria Math"/>
              </w:rPr>
              <m:t>f</m:t>
            </m:r>
          </m:sub>
          <m:sup>
            <m:r>
              <w:rPr>
                <w:rFonts w:ascii="Cambria Math" w:hAnsi="Cambria Math"/>
              </w:rPr>
              <m:t>‡</m:t>
            </m:r>
          </m:sup>
        </m:sSubSup>
      </m:oMath>
      <w:r>
        <w:rPr>
          <w:bCs/>
          <w:iCs/>
        </w:rPr>
        <w:t xml:space="preserve"> is the Gibbs free energy of activation for the </w:t>
      </w:r>
      <w:r w:rsidR="00367929">
        <w:rPr>
          <w:bCs/>
          <w:iCs/>
        </w:rPr>
        <w:t>forward</w:t>
      </w:r>
      <w:r>
        <w:rPr>
          <w:bCs/>
          <w:iCs/>
        </w:rPr>
        <w:t xml:space="preserve"> reaction. </w:t>
      </w:r>
      <m:oMath>
        <m:r>
          <m:rPr>
            <m:sty m:val="p"/>
          </m:rPr>
          <w:rPr>
            <w:rFonts w:ascii="Cambria Math" w:hAnsi="Cambria Math"/>
          </w:rPr>
          <m:t>Δ</m:t>
        </m:r>
        <m:sSubSup>
          <m:sSubSupPr>
            <m:ctrlPr>
              <w:rPr>
                <w:rFonts w:ascii="Cambria Math" w:hAnsi="Cambria Math"/>
                <w:bCs/>
                <w:iCs/>
                <w:sz w:val="24"/>
              </w:rPr>
            </m:ctrlPr>
          </m:sSubSupPr>
          <m:e>
            <m:r>
              <w:rPr>
                <w:rFonts w:ascii="Cambria Math" w:hAnsi="Cambria Math"/>
              </w:rPr>
              <m:t>G</m:t>
            </m:r>
          </m:e>
          <m:sub>
            <m:r>
              <w:rPr>
                <w:rFonts w:ascii="Cambria Math" w:hAnsi="Cambria Math"/>
              </w:rPr>
              <m:t>f</m:t>
            </m:r>
          </m:sub>
          <m:sup>
            <m:r>
              <w:rPr>
                <w:rFonts w:ascii="Cambria Math" w:hAnsi="Cambria Math"/>
              </w:rPr>
              <m:t>‡</m:t>
            </m:r>
          </m:sup>
        </m:sSubSup>
      </m:oMath>
      <w:r>
        <w:rPr>
          <w:bCs/>
          <w:iCs/>
        </w:rPr>
        <w:t xml:space="preserve"> is the energy required for the educt </w:t>
      </w:r>
      <m:oMath>
        <m:r>
          <w:rPr>
            <w:rFonts w:ascii="Cambria Math" w:hAnsi="Cambria Math"/>
            <w:szCs w:val="22"/>
          </w:rPr>
          <m:t>Red</m:t>
        </m:r>
      </m:oMath>
      <w:r>
        <w:rPr>
          <w:bCs/>
          <w:iCs/>
        </w:rPr>
        <w:t xml:space="preserve"> to overcome the activation barrier at the transition state by moving on the potential energy surface along the reaction coordinate and form the product </w:t>
      </w:r>
      <m:oMath>
        <m:r>
          <w:rPr>
            <w:rFonts w:ascii="Cambria Math" w:hAnsi="Cambria Math"/>
            <w:szCs w:val="22"/>
          </w:rPr>
          <m:t>Ox;</m:t>
        </m:r>
      </m:oMath>
      <w:r>
        <w:rPr>
          <w:bCs/>
          <w:iCs/>
        </w:rPr>
        <w:t xml:space="preserve"> </w:t>
      </w:r>
      <w:r>
        <w:rPr>
          <w:bCs/>
          <w:iCs/>
        </w:rPr>
        <w:fldChar w:fldCharType="begin"/>
      </w:r>
      <w:r>
        <w:rPr>
          <w:bCs/>
          <w:iCs/>
        </w:rPr>
        <w:instrText xml:space="preserve"> REF _Ref158932909 \h </w:instrText>
      </w:r>
      <w:r>
        <w:rPr>
          <w:bCs/>
          <w:iCs/>
        </w:rPr>
      </w:r>
      <w:r>
        <w:rPr>
          <w:bCs/>
          <w:iCs/>
        </w:rPr>
        <w:fldChar w:fldCharType="separate"/>
      </w:r>
      <w:r w:rsidR="008C565B" w:rsidRPr="00C05449">
        <w:rPr>
          <w:b/>
        </w:rPr>
        <w:t xml:space="preserve">Figure </w:t>
      </w:r>
      <w:r w:rsidR="008C565B">
        <w:rPr>
          <w:b/>
          <w:bCs/>
          <w:noProof/>
        </w:rPr>
        <w:t>2</w:t>
      </w:r>
      <w:r>
        <w:rPr>
          <w:bCs/>
          <w:iCs/>
        </w:rPr>
        <w:fldChar w:fldCharType="end"/>
      </w:r>
      <w:r>
        <w:rPr>
          <w:bCs/>
          <w:iCs/>
        </w:rPr>
        <w:t xml:space="preserve">. </w:t>
      </w:r>
      <w:r w:rsidRPr="008377A9">
        <w:rPr>
          <w:bCs/>
        </w:rPr>
        <w:t xml:space="preserve">More often than not, the application of a potential bias </w:t>
      </w:r>
      <w:r>
        <w:rPr>
          <w:bCs/>
        </w:rPr>
        <w:t>(</w:t>
      </w:r>
      <m:oMath>
        <m:r>
          <m:rPr>
            <m:sty m:val="p"/>
          </m:rPr>
          <w:rPr>
            <w:rFonts w:ascii="Cambria Math" w:hAnsi="Cambria Math"/>
          </w:rPr>
          <m:t>Δ</m:t>
        </m:r>
        <m:r>
          <w:rPr>
            <w:rFonts w:ascii="Cambria Math" w:hAnsi="Cambria Math"/>
            <w:lang w:val="de-DE"/>
          </w:rPr>
          <m:t>E</m:t>
        </m:r>
      </m:oMath>
      <w:r>
        <w:rPr>
          <w:bCs/>
        </w:rPr>
        <w:t xml:space="preserve">) </w:t>
      </w:r>
      <w:r w:rsidRPr="008377A9">
        <w:rPr>
          <w:bCs/>
        </w:rPr>
        <w:t>is assumed to act o</w:t>
      </w:r>
      <w:r>
        <w:rPr>
          <w:bCs/>
        </w:rPr>
        <w:t>n</w:t>
      </w:r>
      <w:r w:rsidRPr="008377A9">
        <w:rPr>
          <w:bCs/>
        </w:rPr>
        <w:t xml:space="preserve"> the reaction coordinate and </w:t>
      </w:r>
      <w:r>
        <w:rPr>
          <w:bCs/>
        </w:rPr>
        <w:t xml:space="preserve">thus </w:t>
      </w:r>
      <w:r w:rsidRPr="008377A9">
        <w:rPr>
          <w:bCs/>
        </w:rPr>
        <w:t xml:space="preserve">shift the free energy of educt or product states. When the reaction is a sole electron transfer and the electrode is a </w:t>
      </w:r>
      <w:r w:rsidR="000A5154" w:rsidRPr="008377A9">
        <w:rPr>
          <w:bCs/>
        </w:rPr>
        <w:t xml:space="preserve">metal, driving the potential of the electrode to more positive/negative values (in V) is equivalent to decreasing/increasing </w:t>
      </w:r>
      <w:r w:rsidR="000A5154">
        <w:rPr>
          <w:bCs/>
        </w:rPr>
        <w:t xml:space="preserve">the </w:t>
      </w:r>
      <w:r w:rsidR="000A5154" w:rsidRPr="008377A9">
        <w:rPr>
          <w:bCs/>
        </w:rPr>
        <w:t xml:space="preserve">energy of the electrons by a corresponding magnitude (in eV). </w:t>
      </w:r>
      <w:r w:rsidR="000A5154">
        <w:rPr>
          <w:bCs/>
        </w:rPr>
        <w:t xml:space="preserve">In our example in </w:t>
      </w:r>
      <w:r w:rsidR="000A5154">
        <w:rPr>
          <w:bCs/>
        </w:rPr>
        <w:fldChar w:fldCharType="begin"/>
      </w:r>
      <w:r w:rsidR="000A5154">
        <w:rPr>
          <w:bCs/>
        </w:rPr>
        <w:instrText xml:space="preserve"> REF _Ref158932909 \h </w:instrText>
      </w:r>
      <w:r w:rsidR="000A5154">
        <w:rPr>
          <w:bCs/>
        </w:rPr>
      </w:r>
      <w:r w:rsidR="000A5154">
        <w:rPr>
          <w:bCs/>
        </w:rPr>
        <w:fldChar w:fldCharType="separate"/>
      </w:r>
      <w:r w:rsidR="008C565B" w:rsidRPr="00C05449">
        <w:rPr>
          <w:b/>
        </w:rPr>
        <w:t xml:space="preserve">Figure </w:t>
      </w:r>
      <w:r w:rsidR="008C565B">
        <w:rPr>
          <w:b/>
          <w:bCs/>
          <w:noProof/>
        </w:rPr>
        <w:t>2</w:t>
      </w:r>
      <w:r w:rsidR="000A5154">
        <w:rPr>
          <w:bCs/>
        </w:rPr>
        <w:fldChar w:fldCharType="end"/>
      </w:r>
      <w:r w:rsidR="000A5154">
        <w:rPr>
          <w:bCs/>
        </w:rPr>
        <w:t xml:space="preserve">, this gives rise to </w:t>
      </w:r>
      <w:r w:rsidR="007D6E11">
        <w:rPr>
          <w:bCs/>
        </w:rPr>
        <w:t xml:space="preserve">a decrease of the Gibbs free energy of activation by a portion </w:t>
      </w:r>
      <m:oMath>
        <m:r>
          <w:rPr>
            <w:rFonts w:ascii="Cambria Math" w:hAnsi="Cambria Math"/>
          </w:rPr>
          <m:t>β</m:t>
        </m:r>
        <m:r>
          <w:rPr>
            <w:rFonts w:ascii="Cambria Math" w:hAnsi="Cambria Math"/>
            <w:lang w:val="de-DE"/>
          </w:rPr>
          <m:t>F</m:t>
        </m:r>
        <m:r>
          <m:rPr>
            <m:sty m:val="p"/>
          </m:rPr>
          <w:rPr>
            <w:rFonts w:ascii="Cambria Math" w:hAnsi="Cambria Math"/>
          </w:rPr>
          <m:t>Δ</m:t>
        </m:r>
        <m:r>
          <w:rPr>
            <w:rFonts w:ascii="Cambria Math" w:hAnsi="Cambria Math"/>
            <w:lang w:val="de-DE"/>
          </w:rPr>
          <m:t>E</m:t>
        </m:r>
      </m:oMath>
      <w:r w:rsidR="007D6E11" w:rsidRPr="00287816">
        <w:rPr>
          <w:bCs/>
          <w:iCs/>
        </w:rPr>
        <w:t>,</w:t>
      </w:r>
      <w:r w:rsidR="007D6E11">
        <w:rPr>
          <w:bCs/>
          <w:iCs/>
        </w:rPr>
        <w:t xml:space="preserve"> </w:t>
      </w:r>
      <m:oMath>
        <m:r>
          <w:rPr>
            <w:rFonts w:ascii="Cambria Math" w:hAnsi="Cambria Math"/>
          </w:rPr>
          <m:t>β</m:t>
        </m:r>
      </m:oMath>
      <w:r w:rsidR="007D6E11">
        <w:rPr>
          <w:bCs/>
        </w:rPr>
        <w:t xml:space="preserve"> being the symmetry factor. Hence, the symmetry factor can be defined as</w:t>
      </w:r>
      <w:r w:rsidR="00DF15B6">
        <w:rPr>
          <w:bCs/>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5"/>
        <w:gridCol w:w="6134"/>
        <w:gridCol w:w="2077"/>
      </w:tblGrid>
      <w:tr w:rsidR="007D6E11" w:rsidRPr="00DE0988" w14:paraId="4DF8C924" w14:textId="77777777" w:rsidTr="007D6E11">
        <w:tc>
          <w:tcPr>
            <w:tcW w:w="815" w:type="dxa"/>
            <w:vAlign w:val="center"/>
          </w:tcPr>
          <w:p w14:paraId="47F80118" w14:textId="77777777" w:rsidR="007D6E11" w:rsidRPr="00DE0988" w:rsidRDefault="007D6E11" w:rsidP="009360A3">
            <w:pPr>
              <w:rPr>
                <w:bCs/>
                <w:sz w:val="20"/>
                <w:szCs w:val="20"/>
              </w:rPr>
            </w:pPr>
          </w:p>
        </w:tc>
        <w:tc>
          <w:tcPr>
            <w:tcW w:w="6134" w:type="dxa"/>
            <w:vAlign w:val="center"/>
          </w:tcPr>
          <w:p w14:paraId="104EDD46" w14:textId="5ED4FD5F" w:rsidR="007D6E11" w:rsidRPr="00DE0988" w:rsidRDefault="007D6E11" w:rsidP="009360A3">
            <w:pPr>
              <w:spacing w:before="60" w:after="60"/>
              <w:rPr>
                <w:bCs/>
                <w:sz w:val="20"/>
                <w:szCs w:val="20"/>
              </w:rPr>
            </w:pPr>
            <m:oMathPara>
              <m:oMath>
                <m:r>
                  <w:rPr>
                    <w:rFonts w:ascii="Cambria Math" w:hAnsi="Cambria Math"/>
                    <w:sz w:val="20"/>
                    <w:szCs w:val="20"/>
                  </w:rPr>
                  <m:t>β≡</m:t>
                </m:r>
                <m:r>
                  <m:rPr>
                    <m:sty m:val="p"/>
                  </m:rPr>
                  <w:rPr>
                    <w:rFonts w:ascii="Cambria Math" w:hAnsi="Cambria Math"/>
                    <w:sz w:val="20"/>
                    <w:szCs w:val="20"/>
                  </w:rPr>
                  <m:t>d</m:t>
                </m:r>
                <m:r>
                  <w:rPr>
                    <w:rFonts w:ascii="Cambria Math" w:hAnsi="Cambria Math"/>
                    <w:sz w:val="20"/>
                    <w:szCs w:val="20"/>
                  </w:rPr>
                  <m:t>(</m:t>
                </m:r>
                <m:r>
                  <m:rPr>
                    <m:sty m:val="p"/>
                  </m:rPr>
                  <w:rPr>
                    <w:rFonts w:ascii="Cambria Math" w:hAnsi="Cambria Math"/>
                    <w:sz w:val="20"/>
                    <w:szCs w:val="20"/>
                  </w:rPr>
                  <m:t>Δ</m:t>
                </m:r>
                <m:sSubSup>
                  <m:sSubSupPr>
                    <m:ctrlPr>
                      <w:rPr>
                        <w:rFonts w:ascii="Cambria Math" w:hAnsi="Cambria Math"/>
                        <w:bCs/>
                        <w:iCs/>
                        <w:sz w:val="20"/>
                        <w:szCs w:val="20"/>
                      </w:rPr>
                    </m:ctrlPr>
                  </m:sSubSupPr>
                  <m:e>
                    <m:r>
                      <w:rPr>
                        <w:rFonts w:ascii="Cambria Math" w:hAnsi="Cambria Math"/>
                        <w:sz w:val="20"/>
                        <w:szCs w:val="20"/>
                      </w:rPr>
                      <m:t>G</m:t>
                    </m:r>
                  </m:e>
                  <m:sub>
                    <m:r>
                      <w:rPr>
                        <w:rFonts w:ascii="Cambria Math" w:hAnsi="Cambria Math"/>
                        <w:sz w:val="20"/>
                        <w:szCs w:val="20"/>
                      </w:rPr>
                      <m:t>f</m:t>
                    </m:r>
                  </m:sub>
                  <m:sup>
                    <m:r>
                      <w:rPr>
                        <w:rFonts w:ascii="Cambria Math" w:hAnsi="Cambria Math"/>
                        <w:sz w:val="20"/>
                        <w:szCs w:val="20"/>
                      </w:rPr>
                      <m:t>‡</m:t>
                    </m:r>
                  </m:sup>
                </m:sSubSup>
                <m:r>
                  <w:rPr>
                    <w:rFonts w:ascii="Cambria Math" w:hAnsi="Cambria Math"/>
                    <w:sz w:val="20"/>
                    <w:szCs w:val="20"/>
                  </w:rPr>
                  <m:t xml:space="preserve">)/ </m:t>
                </m:r>
                <m:r>
                  <m:rPr>
                    <m:sty m:val="p"/>
                  </m:rPr>
                  <w:rPr>
                    <w:rFonts w:ascii="Cambria Math" w:hAnsi="Cambria Math"/>
                    <w:sz w:val="20"/>
                    <w:szCs w:val="20"/>
                  </w:rPr>
                  <m:t>d</m:t>
                </m:r>
                <m:r>
                  <w:rPr>
                    <w:rFonts w:ascii="Cambria Math" w:hAnsi="Cambria Math"/>
                    <w:sz w:val="20"/>
                    <w:szCs w:val="20"/>
                  </w:rPr>
                  <m:t>(</m:t>
                </m:r>
                <m:r>
                  <w:rPr>
                    <w:rFonts w:ascii="Cambria Math" w:hAnsi="Cambria Math"/>
                    <w:sz w:val="20"/>
                    <w:szCs w:val="20"/>
                    <w:lang w:val="de-DE"/>
                  </w:rPr>
                  <m:t>F</m:t>
                </m:r>
                <m:r>
                  <m:rPr>
                    <m:sty m:val="p"/>
                  </m:rPr>
                  <w:rPr>
                    <w:rFonts w:ascii="Cambria Math" w:hAnsi="Cambria Math"/>
                    <w:sz w:val="20"/>
                    <w:szCs w:val="20"/>
                  </w:rPr>
                  <m:t>Δ</m:t>
                </m:r>
                <m:r>
                  <w:rPr>
                    <w:rFonts w:ascii="Cambria Math" w:hAnsi="Cambria Math"/>
                    <w:sz w:val="20"/>
                    <w:szCs w:val="20"/>
                    <w:lang w:val="de-DE"/>
                  </w:rPr>
                  <m:t>E)</m:t>
                </m:r>
              </m:oMath>
            </m:oMathPara>
          </w:p>
        </w:tc>
        <w:tc>
          <w:tcPr>
            <w:tcW w:w="2077" w:type="dxa"/>
            <w:vAlign w:val="center"/>
          </w:tcPr>
          <w:p w14:paraId="3C8B7AF4" w14:textId="0340CE0E" w:rsidR="007D6E11" w:rsidRPr="00DE0988" w:rsidRDefault="007D6E11" w:rsidP="009360A3">
            <w:pPr>
              <w:keepNext/>
              <w:jc w:val="right"/>
              <w:rPr>
                <w:bCs/>
                <w:sz w:val="20"/>
                <w:szCs w:val="20"/>
              </w:rPr>
            </w:pPr>
            <w:bookmarkStart w:id="21" w:name="_Ref159245687"/>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8C565B">
              <w:rPr>
                <w:noProof/>
                <w:sz w:val="20"/>
                <w:szCs w:val="20"/>
              </w:rPr>
              <w:t>5</w:t>
            </w:r>
            <w:r w:rsidRPr="00DE0988">
              <w:rPr>
                <w:sz w:val="20"/>
                <w:szCs w:val="20"/>
              </w:rPr>
              <w:fldChar w:fldCharType="end"/>
            </w:r>
            <w:bookmarkEnd w:id="21"/>
          </w:p>
        </w:tc>
      </w:tr>
    </w:tbl>
    <w:p w14:paraId="5C49567F" w14:textId="7F2566E0" w:rsidR="00204D0E" w:rsidRDefault="007D6E11" w:rsidP="00204D0E">
      <w:pPr>
        <w:rPr>
          <w:bCs/>
        </w:rPr>
      </w:pPr>
      <w:r>
        <w:rPr>
          <w:bCs/>
        </w:rPr>
        <w:t xml:space="preserve">Consequently, </w:t>
      </w:r>
      <m:oMath>
        <m:r>
          <m:rPr>
            <m:sty m:val="p"/>
          </m:rPr>
          <w:rPr>
            <w:rFonts w:ascii="Cambria Math" w:hAnsi="Cambria Math"/>
          </w:rPr>
          <m:t>Δ</m:t>
        </m:r>
        <m:sSubSup>
          <m:sSubSupPr>
            <m:ctrlPr>
              <w:rPr>
                <w:rFonts w:ascii="Cambria Math" w:hAnsi="Cambria Math"/>
                <w:bCs/>
                <w:iCs/>
                <w:sz w:val="24"/>
              </w:rPr>
            </m:ctrlPr>
          </m:sSubSupPr>
          <m:e>
            <m:r>
              <w:rPr>
                <w:rFonts w:ascii="Cambria Math" w:hAnsi="Cambria Math"/>
              </w:rPr>
              <m:t>G</m:t>
            </m:r>
          </m:e>
          <m:sub>
            <m:r>
              <w:rPr>
                <w:rFonts w:ascii="Cambria Math" w:hAnsi="Cambria Math"/>
              </w:rPr>
              <m:t>f</m:t>
            </m:r>
          </m:sub>
          <m:sup>
            <m:r>
              <w:rPr>
                <w:rFonts w:ascii="Cambria Math" w:hAnsi="Cambria Math"/>
              </w:rPr>
              <m:t>‡</m:t>
            </m:r>
          </m:sup>
        </m:sSubSup>
      </m:oMath>
      <w:r>
        <w:rPr>
          <w:bCs/>
        </w:rPr>
        <w:t xml:space="preserve"> is a function of the electrode potential. Then, for</w:t>
      </w:r>
      <w:r w:rsidRPr="008377A9">
        <w:rPr>
          <w:bCs/>
        </w:rPr>
        <w:t xml:space="preserve"> an anodic process, </w:t>
      </w:r>
      <w:r>
        <w:rPr>
          <w:bCs/>
        </w:rPr>
        <w:t>such as</w:t>
      </w:r>
      <w:r w:rsidRPr="008377A9">
        <w:rPr>
          <w:bCs/>
        </w:rPr>
        <w:t xml:space="preserve"> the </w:t>
      </w:r>
      <w:r w:rsidR="002A338C">
        <w:rPr>
          <w:bCs/>
        </w:rPr>
        <w:t>OER</w:t>
      </w:r>
      <w:r w:rsidRPr="008377A9">
        <w:rPr>
          <w:bCs/>
        </w:rPr>
        <w:t>, the energy of electrons can be lowered enough by an anodic potential that</w:t>
      </w:r>
    </w:p>
    <w:p w14:paraId="1F305A2D" w14:textId="77777777" w:rsidR="006925EF" w:rsidRDefault="006925EF" w:rsidP="00204D0E">
      <w:pPr>
        <w:rPr>
          <w:bCs/>
        </w:rPr>
      </w:pPr>
    </w:p>
    <w:p w14:paraId="04883FF9" w14:textId="77777777" w:rsidR="00204D0E" w:rsidRDefault="00204D0E" w:rsidP="00605198">
      <w:pPr>
        <w:jc w:val="center"/>
        <w:rPr>
          <w:bCs/>
        </w:rPr>
      </w:pPr>
      <w:r>
        <w:rPr>
          <w:bCs/>
          <w:noProof/>
        </w:rPr>
        <w:drawing>
          <wp:inline distT="0" distB="0" distL="0" distR="0" wp14:anchorId="63549273" wp14:editId="1AE76A24">
            <wp:extent cx="4815623" cy="3226879"/>
            <wp:effectExtent l="0" t="0" r="0" b="0"/>
            <wp:docPr id="110989224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9892249" name="Picture 1109892249"/>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876570" cy="3267719"/>
                    </a:xfrm>
                    <a:prstGeom prst="rect">
                      <a:avLst/>
                    </a:prstGeom>
                  </pic:spPr>
                </pic:pic>
              </a:graphicData>
            </a:graphic>
          </wp:inline>
        </w:drawing>
      </w:r>
    </w:p>
    <w:p w14:paraId="7A0AF444" w14:textId="24626909" w:rsidR="00204D0E" w:rsidRDefault="00204D0E" w:rsidP="00FC0AD9">
      <w:pPr>
        <w:pStyle w:val="Caption"/>
      </w:pPr>
      <w:bookmarkStart w:id="22" w:name="_Ref158932909"/>
      <w:bookmarkStart w:id="23" w:name="_Ref158932733"/>
      <w:bookmarkStart w:id="24" w:name="_Ref158969395"/>
      <w:r w:rsidRPr="00C05449">
        <w:rPr>
          <w:b/>
          <w:bCs w:val="0"/>
          <w:sz w:val="22"/>
        </w:rPr>
        <w:t xml:space="preserve">Figure </w:t>
      </w:r>
      <w:r w:rsidRPr="00C05449">
        <w:rPr>
          <w:b/>
          <w:bCs w:val="0"/>
          <w:sz w:val="22"/>
        </w:rPr>
        <w:fldChar w:fldCharType="begin"/>
      </w:r>
      <w:r w:rsidRPr="00C05449">
        <w:rPr>
          <w:b/>
          <w:bCs w:val="0"/>
          <w:sz w:val="22"/>
        </w:rPr>
        <w:instrText xml:space="preserve"> SEQ Figure \* ARABIC </w:instrText>
      </w:r>
      <w:r w:rsidRPr="00C05449">
        <w:rPr>
          <w:b/>
          <w:bCs w:val="0"/>
          <w:sz w:val="22"/>
        </w:rPr>
        <w:fldChar w:fldCharType="separate"/>
      </w:r>
      <w:r w:rsidR="008C565B">
        <w:rPr>
          <w:b/>
          <w:bCs w:val="0"/>
          <w:noProof/>
          <w:sz w:val="22"/>
        </w:rPr>
        <w:t>2</w:t>
      </w:r>
      <w:r w:rsidRPr="00C05449">
        <w:rPr>
          <w:b/>
          <w:bCs w:val="0"/>
          <w:noProof/>
          <w:sz w:val="22"/>
        </w:rPr>
        <w:fldChar w:fldCharType="end"/>
      </w:r>
      <w:bookmarkEnd w:id="22"/>
      <w:r>
        <w:t xml:space="preserve"> </w:t>
      </w:r>
      <w:bookmarkEnd w:id="23"/>
      <w:r w:rsidRPr="00367929">
        <w:t xml:space="preserve">A </w:t>
      </w:r>
      <w:r w:rsidRPr="00FC0AD9">
        <w:t>schematic potential</w:t>
      </w:r>
      <w:r w:rsidRPr="00367929">
        <w:t xml:space="preserve"> energy surface illustrating the effect of a potential change on the free energy of activation.</w:t>
      </w:r>
      <w:bookmarkEnd w:id="24"/>
    </w:p>
    <w:p w14:paraId="1149D97B" w14:textId="7BAA6D64" w:rsidR="00204D0E" w:rsidRPr="00F6177C" w:rsidRDefault="00204D0E" w:rsidP="00204D0E">
      <w:pPr>
        <w:rPr>
          <w:bCs/>
        </w:rPr>
      </w:pPr>
      <w:r w:rsidRPr="008377A9">
        <w:rPr>
          <w:bCs/>
        </w:rPr>
        <w:t>the species to be oxidized will be able to transfer an electron and hence we observe an oxidation current.</w:t>
      </w:r>
      <w:r>
        <w:rPr>
          <w:bCs/>
        </w:rPr>
        <w:t xml:space="preserve"> When the free energy curves near the transition states are assumed to be locally linear, the symmetry factor itself will be independent of the potential applied. In case the barrier is symmetric, as in </w:t>
      </w:r>
      <w:r>
        <w:rPr>
          <w:bCs/>
        </w:rPr>
        <w:fldChar w:fldCharType="begin"/>
      </w:r>
      <w:r>
        <w:rPr>
          <w:bCs/>
        </w:rPr>
        <w:instrText xml:space="preserve"> REF _Ref158932909 \h </w:instrText>
      </w:r>
      <w:r>
        <w:rPr>
          <w:bCs/>
        </w:rPr>
      </w:r>
      <w:r>
        <w:rPr>
          <w:bCs/>
        </w:rPr>
        <w:fldChar w:fldCharType="separate"/>
      </w:r>
      <w:r w:rsidR="008C565B" w:rsidRPr="00C05449">
        <w:rPr>
          <w:b/>
        </w:rPr>
        <w:t xml:space="preserve">Figure </w:t>
      </w:r>
      <w:r w:rsidR="008C565B">
        <w:rPr>
          <w:b/>
          <w:bCs/>
          <w:noProof/>
        </w:rPr>
        <w:t>2</w:t>
      </w:r>
      <w:r>
        <w:rPr>
          <w:bCs/>
        </w:rPr>
        <w:fldChar w:fldCharType="end"/>
      </w:r>
      <w:r>
        <w:rPr>
          <w:bCs/>
        </w:rPr>
        <w:t xml:space="preserve">, </w:t>
      </w:r>
      <m:oMath>
        <m:r>
          <w:rPr>
            <w:rFonts w:ascii="Cambria Math" w:hAnsi="Cambria Math"/>
          </w:rPr>
          <m:t>β</m:t>
        </m:r>
      </m:oMath>
      <w:r>
        <w:rPr>
          <w:bCs/>
          <w:iCs/>
        </w:rPr>
        <w:t xml:space="preserve"> = 0.5, which is a frequent assumption in the literature. </w:t>
      </w:r>
    </w:p>
    <w:p w14:paraId="5928F210" w14:textId="77777777" w:rsidR="00204D0E" w:rsidRDefault="00204D0E" w:rsidP="00204D0E">
      <w:pPr>
        <w:rPr>
          <w:bCs/>
        </w:rPr>
      </w:pPr>
      <w:r>
        <w:rPr>
          <w:bCs/>
        </w:rPr>
        <w:t xml:space="preserve">Combining our above equations, using the Nernst equation and defining the overpotential, </w:t>
      </w:r>
      <m:oMath>
        <m:r>
          <w:rPr>
            <w:rFonts w:ascii="Cambria Math" w:hAnsi="Cambria Math"/>
            <w:lang w:val="de-DE"/>
          </w:rPr>
          <m:t>η</m:t>
        </m:r>
      </m:oMath>
      <w:r w:rsidRPr="009A4B3A">
        <w:rPr>
          <w:bCs/>
          <w:iCs/>
        </w:rPr>
        <w:t>,</w:t>
      </w:r>
      <w:r>
        <w:rPr>
          <w:bCs/>
        </w:rPr>
        <w:t xml:space="preserve"> as </w:t>
      </w:r>
      <m:oMath>
        <m:r>
          <w:rPr>
            <w:rFonts w:ascii="Cambria Math" w:hAnsi="Cambria Math"/>
          </w:rPr>
          <m:t>Δ</m:t>
        </m:r>
        <m:r>
          <w:rPr>
            <w:rFonts w:ascii="Cambria Math" w:hAnsi="Cambria Math"/>
            <w:lang w:val="de-DE"/>
          </w:rPr>
          <m:t>E</m:t>
        </m:r>
      </m:oMath>
      <w:r>
        <w:rPr>
          <w:bCs/>
          <w:iCs/>
        </w:rPr>
        <w:t xml:space="preserve"> with respect to the equilib</w:t>
      </w:r>
      <w:r w:rsidR="002B49B3">
        <w:rPr>
          <w:bCs/>
          <w:iCs/>
        </w:rPr>
        <w:t>rium</w:t>
      </w:r>
      <w:r>
        <w:rPr>
          <w:bCs/>
          <w:iCs/>
        </w:rPr>
        <w:t xml:space="preserve"> potential, </w:t>
      </w:r>
      <w:r>
        <w:rPr>
          <w:bCs/>
        </w:rPr>
        <w:t>we can arrive at the Butler-Volmer equation: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4"/>
        <w:gridCol w:w="6142"/>
        <w:gridCol w:w="2070"/>
      </w:tblGrid>
      <w:tr w:rsidR="00204D0E" w:rsidRPr="00DE0988" w14:paraId="751E6113" w14:textId="77777777" w:rsidTr="000A5154">
        <w:tc>
          <w:tcPr>
            <w:tcW w:w="845" w:type="dxa"/>
            <w:vAlign w:val="center"/>
          </w:tcPr>
          <w:p w14:paraId="12DB3A5D" w14:textId="77777777" w:rsidR="00204D0E" w:rsidRPr="00DE0988" w:rsidRDefault="00204D0E" w:rsidP="009360A3">
            <w:pPr>
              <w:rPr>
                <w:bCs/>
                <w:sz w:val="20"/>
                <w:szCs w:val="20"/>
              </w:rPr>
            </w:pPr>
          </w:p>
        </w:tc>
        <w:tc>
          <w:tcPr>
            <w:tcW w:w="6385" w:type="dxa"/>
            <w:vAlign w:val="center"/>
          </w:tcPr>
          <w:p w14:paraId="7F5AC07F" w14:textId="7EEFEE11" w:rsidR="00204D0E" w:rsidRPr="00DE0988" w:rsidRDefault="00204D0E" w:rsidP="009360A3">
            <w:pPr>
              <w:spacing w:before="60" w:after="60"/>
              <w:rPr>
                <w:bCs/>
                <w:sz w:val="20"/>
                <w:szCs w:val="20"/>
              </w:rPr>
            </w:pPr>
            <m:oMathPara>
              <m:oMath>
                <m:r>
                  <w:rPr>
                    <w:rFonts w:ascii="Cambria Math" w:hAnsi="Cambria Math"/>
                    <w:sz w:val="20"/>
                    <w:szCs w:val="20"/>
                  </w:rPr>
                  <m:t>j=</m:t>
                </m:r>
                <m:sSub>
                  <m:sSubPr>
                    <m:ctrlPr>
                      <w:rPr>
                        <w:rFonts w:ascii="Cambria Math" w:hAnsi="Cambria Math"/>
                        <w:bCs/>
                        <w:i/>
                        <w:iCs/>
                        <w:sz w:val="20"/>
                        <w:szCs w:val="20"/>
                      </w:rPr>
                    </m:ctrlPr>
                  </m:sSubPr>
                  <m:e>
                    <m:r>
                      <w:rPr>
                        <w:rFonts w:ascii="Cambria Math" w:hAnsi="Cambria Math"/>
                        <w:sz w:val="20"/>
                        <w:szCs w:val="20"/>
                      </w:rPr>
                      <m:t>j</m:t>
                    </m:r>
                  </m:e>
                  <m:sub>
                    <m:r>
                      <w:rPr>
                        <w:rFonts w:ascii="Cambria Math" w:hAnsi="Cambria Math"/>
                        <w:sz w:val="20"/>
                        <w:szCs w:val="20"/>
                      </w:rPr>
                      <m:t>0</m:t>
                    </m:r>
                  </m:sub>
                </m:sSub>
                <m:d>
                  <m:dPr>
                    <m:begChr m:val="["/>
                    <m:endChr m:val="]"/>
                    <m:ctrlPr>
                      <w:rPr>
                        <w:rFonts w:ascii="Cambria Math" w:hAnsi="Cambria Math"/>
                        <w:bCs/>
                        <w:i/>
                        <w:iCs/>
                        <w:sz w:val="20"/>
                        <w:szCs w:val="20"/>
                      </w:rPr>
                    </m:ctrlPr>
                  </m:dPr>
                  <m:e>
                    <m:sSup>
                      <m:sSupPr>
                        <m:ctrlPr>
                          <w:rPr>
                            <w:rFonts w:ascii="Cambria Math" w:hAnsi="Cambria Math"/>
                            <w:bCs/>
                            <w:i/>
                            <w:iCs/>
                            <w:sz w:val="20"/>
                            <w:szCs w:val="20"/>
                          </w:rPr>
                        </m:ctrlPr>
                      </m:sSupPr>
                      <m:e>
                        <m:r>
                          <m:rPr>
                            <m:sty m:val="p"/>
                          </m:rPr>
                          <w:rPr>
                            <w:rFonts w:ascii="Cambria Math" w:hAnsi="Cambria Math"/>
                            <w:sz w:val="20"/>
                            <w:szCs w:val="20"/>
                          </w:rPr>
                          <m:t>e</m:t>
                        </m:r>
                      </m:e>
                      <m:sup>
                        <m:r>
                          <w:rPr>
                            <w:rFonts w:ascii="Cambria Math" w:hAnsi="Cambria Math"/>
                            <w:sz w:val="20"/>
                            <w:szCs w:val="20"/>
                          </w:rPr>
                          <m:t>β</m:t>
                        </m:r>
                        <m:r>
                          <w:rPr>
                            <w:rFonts w:ascii="Cambria Math" w:hAnsi="Cambria Math"/>
                            <w:sz w:val="20"/>
                            <w:szCs w:val="20"/>
                            <w:lang w:val="de-DE"/>
                          </w:rPr>
                          <m:t>Fη</m:t>
                        </m:r>
                        <m:r>
                          <w:rPr>
                            <w:rFonts w:ascii="Cambria Math" w:hAnsi="Cambria Math"/>
                            <w:sz w:val="20"/>
                            <w:szCs w:val="20"/>
                          </w:rPr>
                          <m:t>/RT</m:t>
                        </m:r>
                      </m:sup>
                    </m:sSup>
                    <m:r>
                      <w:rPr>
                        <w:rFonts w:ascii="Cambria Math" w:hAnsi="Cambria Math"/>
                        <w:sz w:val="20"/>
                        <w:szCs w:val="20"/>
                      </w:rPr>
                      <m:t>-</m:t>
                    </m:r>
                    <m:sSup>
                      <m:sSupPr>
                        <m:ctrlPr>
                          <w:rPr>
                            <w:rFonts w:ascii="Cambria Math" w:hAnsi="Cambria Math"/>
                            <w:bCs/>
                            <w:i/>
                            <w:iCs/>
                            <w:sz w:val="20"/>
                            <w:szCs w:val="20"/>
                          </w:rPr>
                        </m:ctrlPr>
                      </m:sSupPr>
                      <m:e>
                        <m:r>
                          <m:rPr>
                            <m:sty m:val="p"/>
                          </m:rPr>
                          <w:rPr>
                            <w:rFonts w:ascii="Cambria Math" w:hAnsi="Cambria Math"/>
                            <w:sz w:val="20"/>
                            <w:szCs w:val="20"/>
                          </w:rPr>
                          <m:t>e</m:t>
                        </m:r>
                      </m:e>
                      <m:sup>
                        <m:r>
                          <w:rPr>
                            <w:rFonts w:ascii="Cambria Math" w:hAnsi="Cambria Math"/>
                            <w:sz w:val="20"/>
                            <w:szCs w:val="20"/>
                          </w:rPr>
                          <m:t>-(1-β)</m:t>
                        </m:r>
                        <m:r>
                          <w:rPr>
                            <w:rFonts w:ascii="Cambria Math" w:hAnsi="Cambria Math"/>
                            <w:sz w:val="20"/>
                            <w:szCs w:val="20"/>
                            <w:lang w:val="de-DE"/>
                          </w:rPr>
                          <m:t>Fη</m:t>
                        </m:r>
                        <m:r>
                          <w:rPr>
                            <w:rFonts w:ascii="Cambria Math" w:hAnsi="Cambria Math"/>
                            <w:sz w:val="20"/>
                            <w:szCs w:val="20"/>
                          </w:rPr>
                          <m:t>/RT</m:t>
                        </m:r>
                      </m:sup>
                    </m:sSup>
                  </m:e>
                </m:d>
              </m:oMath>
            </m:oMathPara>
          </w:p>
        </w:tc>
        <w:tc>
          <w:tcPr>
            <w:tcW w:w="2130" w:type="dxa"/>
            <w:vAlign w:val="center"/>
          </w:tcPr>
          <w:p w14:paraId="5797C99D" w14:textId="6D11CFC0" w:rsidR="00204D0E" w:rsidRPr="00DE0988" w:rsidRDefault="00204D0E" w:rsidP="009360A3">
            <w:pPr>
              <w:keepNext/>
              <w:jc w:val="right"/>
              <w:rPr>
                <w:bCs/>
                <w:sz w:val="20"/>
                <w:szCs w:val="20"/>
              </w:rPr>
            </w:pPr>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8C565B">
              <w:rPr>
                <w:noProof/>
                <w:sz w:val="20"/>
                <w:szCs w:val="20"/>
              </w:rPr>
              <w:t>6</w:t>
            </w:r>
            <w:r w:rsidRPr="00DE0988">
              <w:rPr>
                <w:sz w:val="20"/>
                <w:szCs w:val="20"/>
              </w:rPr>
              <w:fldChar w:fldCharType="end"/>
            </w:r>
          </w:p>
        </w:tc>
      </w:tr>
    </w:tbl>
    <w:p w14:paraId="297F1C53" w14:textId="77777777" w:rsidR="00204D0E" w:rsidRDefault="00204D0E" w:rsidP="00204D0E">
      <w:pPr>
        <w:rPr>
          <w:bCs/>
        </w:rPr>
      </w:pPr>
      <w:proofErr w:type="gramStart"/>
      <w:r>
        <w:rPr>
          <w:bCs/>
        </w:rPr>
        <w:t>where</w:t>
      </w:r>
      <w:proofErr w:type="gramEnd"/>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0"/>
        <w:gridCol w:w="6153"/>
        <w:gridCol w:w="2063"/>
      </w:tblGrid>
      <w:tr w:rsidR="00204D0E" w:rsidRPr="00DE0988" w14:paraId="2898ABC6" w14:textId="77777777" w:rsidTr="000A5154">
        <w:tc>
          <w:tcPr>
            <w:tcW w:w="845" w:type="dxa"/>
            <w:vAlign w:val="center"/>
          </w:tcPr>
          <w:p w14:paraId="0C6E70E6" w14:textId="77777777" w:rsidR="00204D0E" w:rsidRPr="00DE0988" w:rsidRDefault="00204D0E" w:rsidP="009360A3">
            <w:pPr>
              <w:rPr>
                <w:bCs/>
                <w:sz w:val="20"/>
                <w:szCs w:val="20"/>
              </w:rPr>
            </w:pPr>
          </w:p>
        </w:tc>
        <w:tc>
          <w:tcPr>
            <w:tcW w:w="6385" w:type="dxa"/>
            <w:vAlign w:val="center"/>
          </w:tcPr>
          <w:p w14:paraId="03EDEBBE" w14:textId="77777777" w:rsidR="00204D0E" w:rsidRPr="00DE0988" w:rsidRDefault="00000000" w:rsidP="009360A3">
            <w:pPr>
              <w:spacing w:before="60" w:after="60"/>
              <w:rPr>
                <w:bCs/>
                <w:sz w:val="20"/>
                <w:szCs w:val="20"/>
              </w:rPr>
            </w:pPr>
            <m:oMathPara>
              <m:oMath>
                <m:sSub>
                  <m:sSubPr>
                    <m:ctrlPr>
                      <w:rPr>
                        <w:rFonts w:ascii="Cambria Math" w:hAnsi="Cambria Math"/>
                        <w:bCs/>
                        <w:i/>
                        <w:iCs/>
                        <w:sz w:val="20"/>
                        <w:szCs w:val="20"/>
                      </w:rPr>
                    </m:ctrlPr>
                  </m:sSubPr>
                  <m:e>
                    <m:r>
                      <w:rPr>
                        <w:rFonts w:ascii="Cambria Math" w:hAnsi="Cambria Math"/>
                        <w:sz w:val="20"/>
                        <w:szCs w:val="20"/>
                      </w:rPr>
                      <m:t>j</m:t>
                    </m:r>
                  </m:e>
                  <m:sub>
                    <m:r>
                      <w:rPr>
                        <w:rFonts w:ascii="Cambria Math" w:hAnsi="Cambria Math"/>
                        <w:sz w:val="20"/>
                        <w:szCs w:val="20"/>
                      </w:rPr>
                      <m:t>0</m:t>
                    </m:r>
                  </m:sub>
                </m:sSub>
                <m:r>
                  <w:rPr>
                    <w:rFonts w:ascii="Cambria Math" w:hAnsi="Cambria Math"/>
                    <w:sz w:val="20"/>
                    <w:szCs w:val="20"/>
                  </w:rPr>
                  <m:t>=F</m:t>
                </m:r>
                <m:sSub>
                  <m:sSubPr>
                    <m:ctrlPr>
                      <w:rPr>
                        <w:rFonts w:ascii="Cambria Math" w:hAnsi="Cambria Math"/>
                        <w:bCs/>
                        <w:i/>
                        <w:sz w:val="20"/>
                        <w:szCs w:val="20"/>
                      </w:rPr>
                    </m:ctrlPr>
                  </m:sSubPr>
                  <m:e>
                    <m:r>
                      <w:rPr>
                        <w:rFonts w:ascii="Cambria Math" w:hAnsi="Cambria Math"/>
                        <w:sz w:val="20"/>
                        <w:szCs w:val="20"/>
                      </w:rPr>
                      <m:t>k</m:t>
                    </m:r>
                  </m:e>
                  <m:sub>
                    <m:r>
                      <w:rPr>
                        <w:rFonts w:ascii="Cambria Math" w:hAnsi="Cambria Math"/>
                        <w:sz w:val="20"/>
                        <w:szCs w:val="20"/>
                      </w:rPr>
                      <m:t>0</m:t>
                    </m:r>
                  </m:sub>
                </m:sSub>
                <m:r>
                  <w:rPr>
                    <w:rFonts w:ascii="Cambria Math" w:hAnsi="Cambria Math"/>
                    <w:sz w:val="20"/>
                    <w:szCs w:val="20"/>
                  </w:rPr>
                  <m:t>(</m:t>
                </m:r>
                <m:sSup>
                  <m:sSupPr>
                    <m:ctrlPr>
                      <w:rPr>
                        <w:rFonts w:ascii="Cambria Math" w:hAnsi="Cambria Math"/>
                        <w:bCs/>
                        <w:i/>
                        <w:sz w:val="20"/>
                        <w:szCs w:val="20"/>
                      </w:rPr>
                    </m:ctrlPr>
                  </m:sSupPr>
                  <m:e>
                    <m:sSub>
                      <m:sSubPr>
                        <m:ctrlPr>
                          <w:rPr>
                            <w:rFonts w:ascii="Cambria Math" w:hAnsi="Cambria Math"/>
                            <w:bCs/>
                            <w:i/>
                            <w:sz w:val="20"/>
                            <w:szCs w:val="20"/>
                          </w:rPr>
                        </m:ctrlPr>
                      </m:sSubPr>
                      <m:e>
                        <m:r>
                          <w:rPr>
                            <w:rFonts w:ascii="Cambria Math" w:hAnsi="Cambria Math"/>
                            <w:sz w:val="20"/>
                            <w:szCs w:val="20"/>
                          </w:rPr>
                          <m:t>c</m:t>
                        </m:r>
                      </m:e>
                      <m:sub>
                        <m:r>
                          <w:rPr>
                            <w:rFonts w:ascii="Cambria Math" w:hAnsi="Cambria Math"/>
                            <w:sz w:val="20"/>
                            <w:szCs w:val="20"/>
                          </w:rPr>
                          <m:t>Red</m:t>
                        </m:r>
                      </m:sub>
                    </m:sSub>
                    <m:r>
                      <w:rPr>
                        <w:rFonts w:ascii="Cambria Math" w:hAnsi="Cambria Math"/>
                        <w:sz w:val="20"/>
                        <w:szCs w:val="20"/>
                      </w:rPr>
                      <m:t>)</m:t>
                    </m:r>
                  </m:e>
                  <m:sup>
                    <m:d>
                      <m:dPr>
                        <m:ctrlPr>
                          <w:rPr>
                            <w:rFonts w:ascii="Cambria Math" w:hAnsi="Cambria Math"/>
                            <w:bCs/>
                            <w:i/>
                            <w:sz w:val="20"/>
                            <w:szCs w:val="20"/>
                          </w:rPr>
                        </m:ctrlPr>
                      </m:dPr>
                      <m:e>
                        <m:r>
                          <w:rPr>
                            <w:rFonts w:ascii="Cambria Math" w:hAnsi="Cambria Math"/>
                            <w:sz w:val="20"/>
                            <w:szCs w:val="20"/>
                          </w:rPr>
                          <m:t>1-β</m:t>
                        </m:r>
                        <m:ctrlPr>
                          <w:rPr>
                            <w:rFonts w:ascii="Cambria Math" w:hAnsi="Cambria Math"/>
                            <w:bCs/>
                            <w:i/>
                            <w:iCs/>
                            <w:sz w:val="20"/>
                            <w:szCs w:val="20"/>
                          </w:rPr>
                        </m:ctrlPr>
                      </m:e>
                    </m:d>
                  </m:sup>
                </m:sSup>
                <m:sSup>
                  <m:sSupPr>
                    <m:ctrlPr>
                      <w:rPr>
                        <w:rFonts w:ascii="Cambria Math" w:hAnsi="Cambria Math"/>
                        <w:bCs/>
                        <w:i/>
                        <w:sz w:val="20"/>
                        <w:szCs w:val="20"/>
                      </w:rPr>
                    </m:ctrlPr>
                  </m:sSupPr>
                  <m:e>
                    <m:r>
                      <w:rPr>
                        <w:rFonts w:ascii="Cambria Math" w:hAnsi="Cambria Math"/>
                        <w:sz w:val="20"/>
                        <w:szCs w:val="20"/>
                      </w:rPr>
                      <m:t>(</m:t>
                    </m:r>
                    <m:sSub>
                      <m:sSubPr>
                        <m:ctrlPr>
                          <w:rPr>
                            <w:rFonts w:ascii="Cambria Math" w:hAnsi="Cambria Math"/>
                            <w:bCs/>
                            <w:i/>
                            <w:sz w:val="20"/>
                            <w:szCs w:val="20"/>
                          </w:rPr>
                        </m:ctrlPr>
                      </m:sSubPr>
                      <m:e>
                        <m:r>
                          <w:rPr>
                            <w:rFonts w:ascii="Cambria Math" w:hAnsi="Cambria Math"/>
                            <w:sz w:val="20"/>
                            <w:szCs w:val="20"/>
                          </w:rPr>
                          <m:t>c</m:t>
                        </m:r>
                      </m:e>
                      <m:sub>
                        <m:r>
                          <w:rPr>
                            <w:rFonts w:ascii="Cambria Math" w:hAnsi="Cambria Math"/>
                            <w:sz w:val="20"/>
                            <w:szCs w:val="20"/>
                          </w:rPr>
                          <m:t>Ox</m:t>
                        </m:r>
                      </m:sub>
                    </m:sSub>
                    <m:r>
                      <w:rPr>
                        <w:rFonts w:ascii="Cambria Math" w:hAnsi="Cambria Math"/>
                        <w:sz w:val="20"/>
                        <w:szCs w:val="20"/>
                      </w:rPr>
                      <m:t>)</m:t>
                    </m:r>
                  </m:e>
                  <m:sup>
                    <m:r>
                      <w:rPr>
                        <w:rFonts w:ascii="Cambria Math" w:hAnsi="Cambria Math"/>
                        <w:sz w:val="20"/>
                        <w:szCs w:val="20"/>
                      </w:rPr>
                      <m:t>β</m:t>
                    </m:r>
                  </m:sup>
                </m:sSup>
              </m:oMath>
            </m:oMathPara>
          </w:p>
        </w:tc>
        <w:tc>
          <w:tcPr>
            <w:tcW w:w="2130" w:type="dxa"/>
            <w:vAlign w:val="center"/>
          </w:tcPr>
          <w:p w14:paraId="597996BD" w14:textId="600C6B68" w:rsidR="00204D0E" w:rsidRPr="00DE0988" w:rsidRDefault="00204D0E" w:rsidP="009360A3">
            <w:pPr>
              <w:keepNext/>
              <w:jc w:val="right"/>
              <w:rPr>
                <w:bCs/>
                <w:sz w:val="20"/>
                <w:szCs w:val="20"/>
              </w:rPr>
            </w:pPr>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8C565B">
              <w:rPr>
                <w:noProof/>
                <w:sz w:val="20"/>
                <w:szCs w:val="20"/>
              </w:rPr>
              <w:t>7</w:t>
            </w:r>
            <w:r w:rsidRPr="00DE0988">
              <w:rPr>
                <w:sz w:val="20"/>
                <w:szCs w:val="20"/>
              </w:rPr>
              <w:fldChar w:fldCharType="end"/>
            </w:r>
          </w:p>
        </w:tc>
      </w:tr>
    </w:tbl>
    <w:p w14:paraId="04029FFA" w14:textId="3134BEF3" w:rsidR="00204D0E" w:rsidRDefault="00204D0E" w:rsidP="00204D0E">
      <w:pPr>
        <w:rPr>
          <w:bCs/>
        </w:rPr>
      </w:pPr>
      <w:r>
        <w:rPr>
          <w:bCs/>
        </w:rPr>
        <w:t xml:space="preserve">is the exchange current density; </w:t>
      </w:r>
      <m:oMath>
        <m:sSub>
          <m:sSubPr>
            <m:ctrlPr>
              <w:rPr>
                <w:rFonts w:ascii="Cambria Math" w:hAnsi="Cambria Math"/>
                <w:bCs/>
                <w:i/>
                <w:sz w:val="24"/>
              </w:rPr>
            </m:ctrlPr>
          </m:sSubPr>
          <m:e>
            <m:r>
              <w:rPr>
                <w:rFonts w:ascii="Cambria Math" w:hAnsi="Cambria Math"/>
              </w:rPr>
              <m:t>k</m:t>
            </m:r>
          </m:e>
          <m:sub>
            <m:r>
              <w:rPr>
                <w:rFonts w:ascii="Cambria Math" w:hAnsi="Cambria Math"/>
              </w:rPr>
              <m:t>0</m:t>
            </m:r>
          </m:sub>
        </m:sSub>
      </m:oMath>
      <w:r>
        <w:rPr>
          <w:bCs/>
        </w:rPr>
        <w:t xml:space="preserve"> the rate constant at equilibrium. At large enough overpotentials, 100 mV or more at </w:t>
      </w:r>
      <w:r w:rsidRPr="0044363C">
        <w:rPr>
          <w:bCs/>
          <w:i/>
          <w:iCs/>
        </w:rPr>
        <w:t>RT</w:t>
      </w:r>
      <w:r>
        <w:rPr>
          <w:bCs/>
        </w:rPr>
        <w:t>, the cathodic current density in our oxidation reaction (</w:t>
      </w:r>
      <w:r w:rsidRPr="00705F6E">
        <w:rPr>
          <w:bCs/>
          <w:szCs w:val="22"/>
        </w:rPr>
        <w:fldChar w:fldCharType="begin"/>
      </w:r>
      <w:r w:rsidRPr="00705F6E">
        <w:rPr>
          <w:bCs/>
          <w:szCs w:val="22"/>
        </w:rPr>
        <w:instrText xml:space="preserve"> REF _Ref158932288 \h </w:instrText>
      </w:r>
      <w:r w:rsidR="00705F6E">
        <w:rPr>
          <w:bCs/>
          <w:szCs w:val="22"/>
        </w:rPr>
        <w:instrText xml:space="preserve"> \* MERGEFORMAT </w:instrText>
      </w:r>
      <w:r w:rsidRPr="00705F6E">
        <w:rPr>
          <w:bCs/>
          <w:szCs w:val="22"/>
        </w:rPr>
      </w:r>
      <w:r w:rsidRPr="00705F6E">
        <w:rPr>
          <w:bCs/>
          <w:szCs w:val="22"/>
        </w:rPr>
        <w:fldChar w:fldCharType="separate"/>
      </w:r>
      <w:r w:rsidR="008C565B" w:rsidRPr="008C565B">
        <w:rPr>
          <w:szCs w:val="22"/>
        </w:rPr>
        <w:t xml:space="preserve">Equation </w:t>
      </w:r>
      <w:r w:rsidR="008C565B" w:rsidRPr="008C565B">
        <w:rPr>
          <w:noProof/>
          <w:szCs w:val="22"/>
        </w:rPr>
        <w:t>2</w:t>
      </w:r>
      <w:r w:rsidRPr="00705F6E">
        <w:rPr>
          <w:bCs/>
          <w:szCs w:val="22"/>
        </w:rPr>
        <w:fldChar w:fldCharType="end"/>
      </w:r>
      <w:r>
        <w:rPr>
          <w:bCs/>
        </w:rPr>
        <w:t xml:space="preserve">) becomes small enough to be neglected and hence the Butler-Volmer equation takes the form of the Tafel equation: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1"/>
        <w:gridCol w:w="6151"/>
        <w:gridCol w:w="2064"/>
      </w:tblGrid>
      <w:tr w:rsidR="00204D0E" w:rsidRPr="00DE0988" w14:paraId="41B51EC9" w14:textId="77777777" w:rsidTr="000A5154">
        <w:tc>
          <w:tcPr>
            <w:tcW w:w="845" w:type="dxa"/>
            <w:vAlign w:val="center"/>
          </w:tcPr>
          <w:p w14:paraId="73BFF383" w14:textId="77777777" w:rsidR="00204D0E" w:rsidRPr="00DE0988" w:rsidRDefault="00204D0E" w:rsidP="009360A3">
            <w:pPr>
              <w:rPr>
                <w:bCs/>
                <w:sz w:val="20"/>
                <w:szCs w:val="20"/>
              </w:rPr>
            </w:pPr>
          </w:p>
        </w:tc>
        <w:tc>
          <w:tcPr>
            <w:tcW w:w="6385" w:type="dxa"/>
            <w:vAlign w:val="center"/>
          </w:tcPr>
          <w:p w14:paraId="25EDE38D" w14:textId="1EF165C8" w:rsidR="00204D0E" w:rsidRPr="00DE0988" w:rsidRDefault="00204D0E" w:rsidP="009360A3">
            <w:pPr>
              <w:spacing w:before="60" w:after="60"/>
              <w:rPr>
                <w:bCs/>
                <w:sz w:val="20"/>
                <w:szCs w:val="20"/>
              </w:rPr>
            </w:pPr>
            <m:oMathPara>
              <m:oMath>
                <m:r>
                  <w:rPr>
                    <w:rFonts w:ascii="Cambria Math" w:hAnsi="Cambria Math"/>
                    <w:sz w:val="20"/>
                    <w:szCs w:val="20"/>
                  </w:rPr>
                  <m:t>j=</m:t>
                </m:r>
                <m:sSub>
                  <m:sSubPr>
                    <m:ctrlPr>
                      <w:rPr>
                        <w:rFonts w:ascii="Cambria Math" w:hAnsi="Cambria Math"/>
                        <w:bCs/>
                        <w:i/>
                        <w:iCs/>
                        <w:sz w:val="20"/>
                        <w:szCs w:val="20"/>
                      </w:rPr>
                    </m:ctrlPr>
                  </m:sSubPr>
                  <m:e>
                    <m:r>
                      <w:rPr>
                        <w:rFonts w:ascii="Cambria Math" w:hAnsi="Cambria Math"/>
                        <w:sz w:val="20"/>
                        <w:szCs w:val="20"/>
                      </w:rPr>
                      <m:t>j</m:t>
                    </m:r>
                  </m:e>
                  <m:sub>
                    <m:r>
                      <w:rPr>
                        <w:rFonts w:ascii="Cambria Math" w:hAnsi="Cambria Math"/>
                        <w:sz w:val="20"/>
                        <w:szCs w:val="20"/>
                      </w:rPr>
                      <m:t>0</m:t>
                    </m:r>
                  </m:sub>
                </m:sSub>
                <m:sSup>
                  <m:sSupPr>
                    <m:ctrlPr>
                      <w:rPr>
                        <w:rFonts w:ascii="Cambria Math" w:hAnsi="Cambria Math"/>
                        <w:bCs/>
                        <w:i/>
                        <w:iCs/>
                        <w:sz w:val="20"/>
                        <w:szCs w:val="20"/>
                      </w:rPr>
                    </m:ctrlPr>
                  </m:sSupPr>
                  <m:e>
                    <m:r>
                      <m:rPr>
                        <m:sty m:val="p"/>
                      </m:rPr>
                      <w:rPr>
                        <w:rFonts w:ascii="Cambria Math" w:hAnsi="Cambria Math"/>
                        <w:sz w:val="20"/>
                        <w:szCs w:val="20"/>
                      </w:rPr>
                      <m:t>e</m:t>
                    </m:r>
                  </m:e>
                  <m:sup>
                    <m:r>
                      <w:rPr>
                        <w:rFonts w:ascii="Cambria Math" w:hAnsi="Cambria Math"/>
                        <w:sz w:val="20"/>
                        <w:szCs w:val="20"/>
                      </w:rPr>
                      <m:t>β</m:t>
                    </m:r>
                    <m:r>
                      <w:rPr>
                        <w:rFonts w:ascii="Cambria Math" w:hAnsi="Cambria Math"/>
                        <w:sz w:val="20"/>
                        <w:szCs w:val="20"/>
                        <w:lang w:val="de-DE"/>
                      </w:rPr>
                      <m:t>Fη</m:t>
                    </m:r>
                    <m:r>
                      <w:rPr>
                        <w:rFonts w:ascii="Cambria Math" w:hAnsi="Cambria Math"/>
                        <w:sz w:val="20"/>
                        <w:szCs w:val="20"/>
                      </w:rPr>
                      <m:t>/RT</m:t>
                    </m:r>
                  </m:sup>
                </m:sSup>
                <m:r>
                  <w:rPr>
                    <w:rFonts w:ascii="Cambria Math" w:hAnsi="Cambria Math"/>
                    <w:sz w:val="20"/>
                    <w:szCs w:val="20"/>
                  </w:rPr>
                  <m:t xml:space="preserve">       or       </m:t>
                </m:r>
                <m:r>
                  <w:rPr>
                    <w:rFonts w:ascii="Cambria Math" w:hAnsi="Cambria Math"/>
                    <w:sz w:val="20"/>
                    <w:szCs w:val="20"/>
                    <w:lang w:val="de-DE"/>
                  </w:rPr>
                  <m:t>η=</m:t>
                </m:r>
                <m:f>
                  <m:fPr>
                    <m:ctrlPr>
                      <w:rPr>
                        <w:rFonts w:ascii="Cambria Math" w:hAnsi="Cambria Math"/>
                        <w:bCs/>
                        <w:i/>
                        <w:iCs/>
                        <w:sz w:val="20"/>
                        <w:szCs w:val="20"/>
                        <w:lang w:val="de-DE"/>
                      </w:rPr>
                    </m:ctrlPr>
                  </m:fPr>
                  <m:num>
                    <m:r>
                      <w:rPr>
                        <w:rFonts w:ascii="Cambria Math" w:hAnsi="Cambria Math"/>
                        <w:sz w:val="20"/>
                        <w:szCs w:val="20"/>
                        <w:lang w:val="de-DE"/>
                      </w:rPr>
                      <m:t>RT</m:t>
                    </m:r>
                  </m:num>
                  <m:den>
                    <m:r>
                      <w:rPr>
                        <w:rFonts w:ascii="Cambria Math" w:hAnsi="Cambria Math"/>
                        <w:sz w:val="20"/>
                        <w:szCs w:val="20"/>
                      </w:rPr>
                      <m:t>β</m:t>
                    </m:r>
                    <m:r>
                      <w:rPr>
                        <w:rFonts w:ascii="Cambria Math" w:hAnsi="Cambria Math"/>
                        <w:sz w:val="20"/>
                        <w:szCs w:val="20"/>
                        <w:lang w:val="de-DE"/>
                      </w:rPr>
                      <m:t>F</m:t>
                    </m:r>
                  </m:den>
                </m:f>
                <m:r>
                  <m:rPr>
                    <m:sty m:val="p"/>
                  </m:rPr>
                  <w:rPr>
                    <w:rFonts w:ascii="Cambria Math" w:hAnsi="Cambria Math"/>
                    <w:sz w:val="20"/>
                    <w:szCs w:val="20"/>
                    <w:lang w:val="de-DE"/>
                  </w:rPr>
                  <m:t>ln</m:t>
                </m:r>
                <m:sSub>
                  <m:sSubPr>
                    <m:ctrlPr>
                      <w:rPr>
                        <w:rFonts w:ascii="Cambria Math" w:hAnsi="Cambria Math"/>
                        <w:bCs/>
                        <w:i/>
                        <w:iCs/>
                        <w:sz w:val="20"/>
                        <w:szCs w:val="20"/>
                      </w:rPr>
                    </m:ctrlPr>
                  </m:sSubPr>
                  <m:e>
                    <m:r>
                      <w:rPr>
                        <w:rFonts w:ascii="Cambria Math" w:hAnsi="Cambria Math"/>
                        <w:sz w:val="20"/>
                        <w:szCs w:val="20"/>
                      </w:rPr>
                      <m:t>j</m:t>
                    </m:r>
                  </m:e>
                  <m:sub>
                    <m:r>
                      <w:rPr>
                        <w:rFonts w:ascii="Cambria Math" w:hAnsi="Cambria Math"/>
                        <w:sz w:val="20"/>
                        <w:szCs w:val="20"/>
                      </w:rPr>
                      <m:t>0</m:t>
                    </m:r>
                  </m:sub>
                </m:sSub>
                <m:r>
                  <w:rPr>
                    <w:rFonts w:ascii="Cambria Math" w:hAnsi="Cambria Math"/>
                    <w:sz w:val="20"/>
                    <w:szCs w:val="20"/>
                    <w:lang w:val="de-DE"/>
                  </w:rPr>
                  <m:t>-</m:t>
                </m:r>
                <m:f>
                  <m:fPr>
                    <m:ctrlPr>
                      <w:rPr>
                        <w:rFonts w:ascii="Cambria Math" w:hAnsi="Cambria Math"/>
                        <w:bCs/>
                        <w:i/>
                        <w:iCs/>
                        <w:sz w:val="20"/>
                        <w:szCs w:val="20"/>
                        <w:lang w:val="de-DE"/>
                      </w:rPr>
                    </m:ctrlPr>
                  </m:fPr>
                  <m:num>
                    <m:r>
                      <w:rPr>
                        <w:rFonts w:ascii="Cambria Math" w:hAnsi="Cambria Math"/>
                        <w:sz w:val="20"/>
                        <w:szCs w:val="20"/>
                        <w:lang w:val="de-DE"/>
                      </w:rPr>
                      <m:t>RT</m:t>
                    </m:r>
                  </m:num>
                  <m:den>
                    <m:r>
                      <w:rPr>
                        <w:rFonts w:ascii="Cambria Math" w:hAnsi="Cambria Math"/>
                        <w:sz w:val="20"/>
                        <w:szCs w:val="20"/>
                      </w:rPr>
                      <m:t>β</m:t>
                    </m:r>
                    <m:r>
                      <w:rPr>
                        <w:rFonts w:ascii="Cambria Math" w:hAnsi="Cambria Math"/>
                        <w:sz w:val="20"/>
                        <w:szCs w:val="20"/>
                        <w:lang w:val="de-DE"/>
                      </w:rPr>
                      <m:t>F</m:t>
                    </m:r>
                  </m:den>
                </m:f>
                <m:r>
                  <m:rPr>
                    <m:sty m:val="p"/>
                  </m:rPr>
                  <w:rPr>
                    <w:rFonts w:ascii="Cambria Math" w:hAnsi="Cambria Math"/>
                    <w:sz w:val="20"/>
                    <w:szCs w:val="20"/>
                    <w:lang w:val="de-DE"/>
                  </w:rPr>
                  <m:t>ln</m:t>
                </m:r>
                <m:r>
                  <w:rPr>
                    <w:rFonts w:ascii="Cambria Math" w:hAnsi="Cambria Math"/>
                    <w:sz w:val="20"/>
                    <w:szCs w:val="20"/>
                    <w:lang w:val="de-DE"/>
                  </w:rPr>
                  <m:t>j</m:t>
                </m:r>
              </m:oMath>
            </m:oMathPara>
          </w:p>
        </w:tc>
        <w:tc>
          <w:tcPr>
            <w:tcW w:w="2130" w:type="dxa"/>
            <w:vAlign w:val="center"/>
          </w:tcPr>
          <w:p w14:paraId="323F4E8C" w14:textId="7963A3FC" w:rsidR="00204D0E" w:rsidRPr="00DE0988" w:rsidRDefault="00204D0E" w:rsidP="009360A3">
            <w:pPr>
              <w:keepNext/>
              <w:jc w:val="right"/>
              <w:rPr>
                <w:bCs/>
                <w:sz w:val="20"/>
                <w:szCs w:val="20"/>
              </w:rPr>
            </w:pPr>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8C565B">
              <w:rPr>
                <w:noProof/>
                <w:sz w:val="20"/>
                <w:szCs w:val="20"/>
              </w:rPr>
              <w:t>8</w:t>
            </w:r>
            <w:r w:rsidRPr="00DE0988">
              <w:rPr>
                <w:sz w:val="20"/>
                <w:szCs w:val="20"/>
              </w:rPr>
              <w:fldChar w:fldCharType="end"/>
            </w:r>
          </w:p>
        </w:tc>
      </w:tr>
    </w:tbl>
    <w:p w14:paraId="5C6ADB43" w14:textId="77777777" w:rsidR="00204D0E" w:rsidRDefault="00204D0E" w:rsidP="00204D0E">
      <w:pPr>
        <w:rPr>
          <w:bCs/>
        </w:rPr>
      </w:pPr>
      <w:r>
        <w:rPr>
          <w:bCs/>
        </w:rPr>
        <w:tab/>
        <w:t>In a less phenomenological model, Marcus and Hush considered a microscopic picture</w:t>
      </w:r>
      <w:r w:rsidR="00367929">
        <w:rPr>
          <w:bCs/>
        </w:rPr>
        <w:t>,</w:t>
      </w:r>
      <w:r>
        <w:rPr>
          <w:bCs/>
        </w:rPr>
        <w:t xml:space="preserve"> equivalent to a quadratic potential energy surface, as opposed to the simplified linearized form presented above. They show that</w:t>
      </w:r>
      <w:r w:rsidRPr="0098341A">
        <w:rPr>
          <w:bCs/>
          <w:iCs/>
        </w:rPr>
        <w:t xml:space="preserve"> </w:t>
      </w:r>
      <w:r>
        <w:rPr>
          <w:bCs/>
          <w:iCs/>
        </w:rPr>
        <w:t>the Gibbs free energy of activation is</w:t>
      </w:r>
      <w:r w:rsidR="00367929">
        <w:rPr>
          <w:bCs/>
          <w:iCs/>
        </w:rPr>
        <w:t xml:space="preserve"> then</w:t>
      </w:r>
      <w:r>
        <w:rPr>
          <w:bCs/>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6"/>
        <w:gridCol w:w="6135"/>
        <w:gridCol w:w="2075"/>
      </w:tblGrid>
      <w:tr w:rsidR="00204D0E" w:rsidRPr="00DE0988" w14:paraId="3E966299" w14:textId="77777777" w:rsidTr="000A5154">
        <w:tc>
          <w:tcPr>
            <w:tcW w:w="845" w:type="dxa"/>
            <w:vAlign w:val="center"/>
          </w:tcPr>
          <w:p w14:paraId="0A6A75CE" w14:textId="77777777" w:rsidR="00204D0E" w:rsidRPr="00DE0988" w:rsidRDefault="00204D0E" w:rsidP="009360A3">
            <w:pPr>
              <w:rPr>
                <w:bCs/>
                <w:sz w:val="20"/>
                <w:szCs w:val="20"/>
              </w:rPr>
            </w:pPr>
          </w:p>
        </w:tc>
        <w:tc>
          <w:tcPr>
            <w:tcW w:w="6385" w:type="dxa"/>
            <w:vAlign w:val="center"/>
          </w:tcPr>
          <w:p w14:paraId="313618DC" w14:textId="10E3F75C" w:rsidR="00204D0E" w:rsidRPr="00DE0988" w:rsidRDefault="00204D0E" w:rsidP="009360A3">
            <w:pPr>
              <w:spacing w:before="60" w:after="60"/>
              <w:rPr>
                <w:bCs/>
                <w:sz w:val="20"/>
                <w:szCs w:val="20"/>
              </w:rPr>
            </w:pPr>
            <m:oMathPara>
              <m:oMath>
                <m:r>
                  <m:rPr>
                    <m:sty m:val="p"/>
                  </m:rPr>
                  <w:rPr>
                    <w:rFonts w:ascii="Cambria Math" w:hAnsi="Cambria Math"/>
                    <w:sz w:val="20"/>
                    <w:szCs w:val="20"/>
                  </w:rPr>
                  <m:t>Δ</m:t>
                </m:r>
                <m:sSubSup>
                  <m:sSubSupPr>
                    <m:ctrlPr>
                      <w:rPr>
                        <w:rFonts w:ascii="Cambria Math" w:hAnsi="Cambria Math"/>
                        <w:bCs/>
                        <w:iCs/>
                        <w:sz w:val="20"/>
                        <w:szCs w:val="20"/>
                      </w:rPr>
                    </m:ctrlPr>
                  </m:sSubSupPr>
                  <m:e>
                    <m:r>
                      <w:rPr>
                        <w:rFonts w:ascii="Cambria Math" w:hAnsi="Cambria Math"/>
                        <w:sz w:val="20"/>
                        <w:szCs w:val="20"/>
                      </w:rPr>
                      <m:t>G</m:t>
                    </m:r>
                  </m:e>
                  <m:sub>
                    <m:r>
                      <w:rPr>
                        <w:rFonts w:ascii="Cambria Math" w:hAnsi="Cambria Math"/>
                        <w:sz w:val="20"/>
                        <w:szCs w:val="20"/>
                      </w:rPr>
                      <m:t>f</m:t>
                    </m:r>
                  </m:sub>
                  <m:sup>
                    <m:r>
                      <w:rPr>
                        <w:rFonts w:ascii="Cambria Math" w:hAnsi="Cambria Math"/>
                        <w:sz w:val="20"/>
                        <w:szCs w:val="20"/>
                      </w:rPr>
                      <m:t>‡</m:t>
                    </m:r>
                  </m:sup>
                </m:sSubSup>
                <m:r>
                  <w:rPr>
                    <w:rFonts w:ascii="Cambria Math" w:hAnsi="Cambria Math"/>
                    <w:sz w:val="20"/>
                    <w:szCs w:val="20"/>
                  </w:rPr>
                  <m:t>=</m:t>
                </m:r>
                <m:sSup>
                  <m:sSupPr>
                    <m:ctrlPr>
                      <w:rPr>
                        <w:rFonts w:ascii="Cambria Math" w:hAnsi="Cambria Math"/>
                        <w:bCs/>
                        <w:i/>
                        <w:iCs/>
                        <w:sz w:val="20"/>
                        <w:szCs w:val="20"/>
                      </w:rPr>
                    </m:ctrlPr>
                  </m:sSupPr>
                  <m:e>
                    <m:r>
                      <w:rPr>
                        <w:rFonts w:ascii="Cambria Math" w:hAnsi="Cambria Math"/>
                        <w:sz w:val="20"/>
                        <w:szCs w:val="20"/>
                      </w:rPr>
                      <m:t>(λ-F</m:t>
                    </m:r>
                    <m:r>
                      <m:rPr>
                        <m:sty m:val="p"/>
                      </m:rPr>
                      <w:rPr>
                        <w:rFonts w:ascii="Cambria Math" w:hAnsi="Cambria Math"/>
                        <w:sz w:val="20"/>
                        <w:szCs w:val="20"/>
                      </w:rPr>
                      <m:t>Δ</m:t>
                    </m:r>
                    <m:r>
                      <w:rPr>
                        <w:rFonts w:ascii="Cambria Math" w:hAnsi="Cambria Math"/>
                        <w:sz w:val="20"/>
                        <w:szCs w:val="20"/>
                      </w:rPr>
                      <m:t>E)</m:t>
                    </m:r>
                  </m:e>
                  <m:sup>
                    <m:r>
                      <w:rPr>
                        <w:rFonts w:ascii="Cambria Math" w:hAnsi="Cambria Math"/>
                        <w:sz w:val="20"/>
                        <w:szCs w:val="20"/>
                      </w:rPr>
                      <m:t>2</m:t>
                    </m:r>
                  </m:sup>
                </m:sSup>
                <m:r>
                  <w:rPr>
                    <w:rFonts w:ascii="Cambria Math" w:hAnsi="Cambria Math"/>
                    <w:sz w:val="20"/>
                    <w:szCs w:val="20"/>
                  </w:rPr>
                  <m:t>/4λ</m:t>
                </m:r>
              </m:oMath>
            </m:oMathPara>
          </w:p>
        </w:tc>
        <w:tc>
          <w:tcPr>
            <w:tcW w:w="2130" w:type="dxa"/>
            <w:vAlign w:val="center"/>
          </w:tcPr>
          <w:p w14:paraId="03646C2B" w14:textId="1A544C99" w:rsidR="00204D0E" w:rsidRPr="00DE0988" w:rsidRDefault="00204D0E" w:rsidP="009360A3">
            <w:pPr>
              <w:keepNext/>
              <w:jc w:val="right"/>
              <w:rPr>
                <w:bCs/>
                <w:sz w:val="20"/>
                <w:szCs w:val="20"/>
              </w:rPr>
            </w:pPr>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8C565B">
              <w:rPr>
                <w:noProof/>
                <w:sz w:val="20"/>
                <w:szCs w:val="20"/>
              </w:rPr>
              <w:t>9</w:t>
            </w:r>
            <w:r w:rsidRPr="00DE0988">
              <w:rPr>
                <w:sz w:val="20"/>
                <w:szCs w:val="20"/>
              </w:rPr>
              <w:fldChar w:fldCharType="end"/>
            </w:r>
          </w:p>
        </w:tc>
      </w:tr>
    </w:tbl>
    <w:p w14:paraId="0BBD8452" w14:textId="16195150" w:rsidR="007D6E11" w:rsidRDefault="00204D0E" w:rsidP="006E7C22">
      <w:pPr>
        <w:rPr>
          <w:bCs/>
        </w:rPr>
      </w:pPr>
      <w:r>
        <w:rPr>
          <w:bCs/>
        </w:rPr>
        <w:t xml:space="preserve">where, </w:t>
      </w:r>
      <m:oMath>
        <m:r>
          <w:rPr>
            <w:rFonts w:ascii="Cambria Math" w:hAnsi="Cambria Math"/>
          </w:rPr>
          <m:t>λ</m:t>
        </m:r>
      </m:oMath>
      <w:r>
        <w:rPr>
          <w:bCs/>
          <w:iCs/>
        </w:rPr>
        <w:t>,</w:t>
      </w:r>
      <w:r>
        <w:rPr>
          <w:bCs/>
        </w:rPr>
        <w:t xml:space="preserve"> the reorganization energy, is a hypothetical energy requirement to reorganize the initial to the final state in case no charge transfer occurred. Hence,</w:t>
      </w:r>
      <w:r w:rsidR="00DF15B6">
        <w:rPr>
          <w:bCs/>
        </w:rPr>
        <w:t xml:space="preserve"> in this case,</w:t>
      </w:r>
      <w:r>
        <w:rPr>
          <w:bCs/>
        </w:rPr>
        <w:t xml:space="preserve"> </w:t>
      </w:r>
      <m:oMath>
        <m:r>
          <m:rPr>
            <m:sty m:val="p"/>
          </m:rPr>
          <w:rPr>
            <w:rFonts w:ascii="Cambria Math" w:hAnsi="Cambria Math"/>
          </w:rPr>
          <m:t>Δ</m:t>
        </m:r>
        <m:sSubSup>
          <m:sSubSupPr>
            <m:ctrlPr>
              <w:rPr>
                <w:rFonts w:ascii="Cambria Math" w:hAnsi="Cambria Math"/>
                <w:bCs/>
                <w:iCs/>
                <w:sz w:val="24"/>
              </w:rPr>
            </m:ctrlPr>
          </m:sSubSupPr>
          <m:e>
            <m:r>
              <w:rPr>
                <w:rFonts w:ascii="Cambria Math" w:hAnsi="Cambria Math"/>
              </w:rPr>
              <m:t>G</m:t>
            </m:r>
          </m:e>
          <m:sub>
            <m:r>
              <w:rPr>
                <w:rFonts w:ascii="Cambria Math" w:hAnsi="Cambria Math"/>
              </w:rPr>
              <m:t>f</m:t>
            </m:r>
          </m:sub>
          <m:sup>
            <m:r>
              <w:rPr>
                <w:rFonts w:ascii="Cambria Math" w:hAnsi="Cambria Math"/>
              </w:rPr>
              <m:t>‡</m:t>
            </m:r>
          </m:sup>
        </m:sSubSup>
      </m:oMath>
      <w:r>
        <w:rPr>
          <w:bCs/>
        </w:rPr>
        <w:t xml:space="preserve"> is not a linear but a quadratic function of the applied potential. Current density potential equations based on the models of Marcus and Hush will only take the form of the Butler-Volmer equation when the symmetry factor is redefined to include the reorganization energy</w:t>
      </w:r>
      <w:r w:rsidR="0044363C">
        <w:rPr>
          <w:bCs/>
        </w:rPr>
        <w:t>.</w:t>
      </w:r>
      <w:r>
        <w:rPr>
          <w:bCs/>
        </w:rPr>
        <w:t xml:space="preserve"> </w:t>
      </w:r>
      <w:r w:rsidR="0044363C">
        <w:rPr>
          <w:bCs/>
        </w:rPr>
        <w:t>And, the symmetry factor</w:t>
      </w:r>
      <w:r>
        <w:rPr>
          <w:bCs/>
        </w:rPr>
        <w:t xml:space="preserve"> </w:t>
      </w:r>
      <w:r w:rsidR="0044363C">
        <w:rPr>
          <w:bCs/>
        </w:rPr>
        <w:t xml:space="preserve">in Marcus and Hush </w:t>
      </w:r>
      <w:r>
        <w:rPr>
          <w:bCs/>
        </w:rPr>
        <w:t xml:space="preserve">is potential dependent. At small overpotentials the deviation from the Butler-Volmer picture will be small but at higher overpotentials the linearity of the </w:t>
      </w:r>
      <m:oMath>
        <m:r>
          <w:rPr>
            <w:rFonts w:ascii="Cambria Math" w:hAnsi="Cambria Math"/>
            <w:lang w:val="de-DE"/>
          </w:rPr>
          <m:t>η</m:t>
        </m:r>
        <m:r>
          <w:rPr>
            <w:rFonts w:ascii="Cambria Math" w:hAnsi="Cambria Math"/>
          </w:rPr>
          <m:t>≈</m:t>
        </m:r>
        <m:r>
          <m:rPr>
            <m:sty m:val="p"/>
          </m:rPr>
          <w:rPr>
            <w:rFonts w:ascii="Cambria Math" w:hAnsi="Cambria Math"/>
          </w:rPr>
          <m:t>ln</m:t>
        </m:r>
        <m:r>
          <w:rPr>
            <w:rFonts w:ascii="Cambria Math" w:hAnsi="Cambria Math"/>
            <w:lang w:val="de-DE"/>
          </w:rPr>
          <m:t>j</m:t>
        </m:r>
      </m:oMath>
      <w:r>
        <w:rPr>
          <w:bCs/>
        </w:rPr>
        <w:t xml:space="preserve"> dependence is distorted by the potential dependence of the symmetry factor and hence the Tafel slope is expected to bend. </w:t>
      </w:r>
    </w:p>
    <w:p w14:paraId="0089ED26" w14:textId="24B87F54" w:rsidR="00204D0E" w:rsidRPr="00114C80" w:rsidRDefault="00204D0E" w:rsidP="00204D0E">
      <w:pPr>
        <w:ind w:firstLine="720"/>
        <w:rPr>
          <w:lang w:val="en-GB"/>
        </w:rPr>
      </w:pPr>
      <w:r>
        <w:rPr>
          <w:bCs/>
        </w:rPr>
        <w:lastRenderedPageBreak/>
        <w:t xml:space="preserve">These theories describe outer-sphere electron-transfer reactions, in which no chemical bonds are broken and no new bonds are made. </w:t>
      </w:r>
      <w:r>
        <w:rPr>
          <w:lang w:val="en-GB"/>
        </w:rPr>
        <w:t xml:space="preserve">The electrochemical electron transfer reactions can be classified based on the electronic interaction strength between the electrode surface and the reactant. Because of this electronic coupling, the potential energy surfaces, as opposed to the schematic representation in </w:t>
      </w:r>
      <w:r>
        <w:rPr>
          <w:lang w:val="en-GB"/>
        </w:rPr>
        <w:fldChar w:fldCharType="begin"/>
      </w:r>
      <w:r>
        <w:rPr>
          <w:lang w:val="en-GB"/>
        </w:rPr>
        <w:instrText xml:space="preserve"> REF _Ref158932909 \h </w:instrText>
      </w:r>
      <w:r>
        <w:rPr>
          <w:lang w:val="en-GB"/>
        </w:rPr>
      </w:r>
      <w:r>
        <w:rPr>
          <w:lang w:val="en-GB"/>
        </w:rPr>
        <w:fldChar w:fldCharType="separate"/>
      </w:r>
      <w:r w:rsidR="008C565B" w:rsidRPr="00C05449">
        <w:rPr>
          <w:b/>
        </w:rPr>
        <w:t xml:space="preserve">Figure </w:t>
      </w:r>
      <w:r w:rsidR="008C565B">
        <w:rPr>
          <w:b/>
          <w:bCs/>
          <w:noProof/>
        </w:rPr>
        <w:t>2</w:t>
      </w:r>
      <w:r>
        <w:rPr>
          <w:lang w:val="en-GB"/>
        </w:rPr>
        <w:fldChar w:fldCharType="end"/>
      </w:r>
      <w:r>
        <w:rPr>
          <w:lang w:val="en-GB"/>
        </w:rPr>
        <w:t xml:space="preserve">, do not intersect, rather they avoid crossing and separate. This splitting is related to the interaction strength. At very low interaction strength, </w:t>
      </w:r>
      <w:r w:rsidRPr="00886594">
        <w:rPr>
          <w:lang w:val="en-GB"/>
        </w:rPr>
        <w:t>the system can pass the saddle point without an electron transfer</w:t>
      </w:r>
      <w:r>
        <w:rPr>
          <w:lang w:val="en-GB"/>
        </w:rPr>
        <w:t xml:space="preserve"> and </w:t>
      </w:r>
      <w:r w:rsidRPr="00886594">
        <w:rPr>
          <w:lang w:val="en-GB"/>
        </w:rPr>
        <w:t>return to its initial state</w:t>
      </w:r>
      <w:r>
        <w:rPr>
          <w:lang w:val="en-GB"/>
        </w:rPr>
        <w:t xml:space="preserve">. These reactions (and their rate constants) will depend on the </w:t>
      </w:r>
      <w:r w:rsidRPr="009E2A2E">
        <w:rPr>
          <w:lang w:val="en-GB"/>
        </w:rPr>
        <w:t>strength of the interaction</w:t>
      </w:r>
      <w:r>
        <w:rPr>
          <w:lang w:val="en-GB"/>
        </w:rPr>
        <w:t>, mostly linearly. At larger interaction strength, the electron transfer takes place every time when the transition state is reached. We can refer to these two types of electron transfer reaction as nonadiabatic and adiabatic, respectively. They</w:t>
      </w:r>
      <w:r w:rsidRPr="009E2A2E">
        <w:rPr>
          <w:lang w:val="en-GB"/>
        </w:rPr>
        <w:t xml:space="preserve"> di</w:t>
      </w:r>
      <w:r>
        <w:rPr>
          <w:rFonts w:ascii="Cambria Math" w:hAnsi="Cambria Math" w:cs="Cambria Math"/>
          <w:lang w:val="en-GB"/>
        </w:rPr>
        <w:t>ff</w:t>
      </w:r>
      <w:r w:rsidRPr="009E2A2E">
        <w:rPr>
          <w:lang w:val="en-GB"/>
        </w:rPr>
        <w:t>er primarily in the pre-exponential factors, which for adiabatic reaction</w:t>
      </w:r>
      <w:r>
        <w:rPr>
          <w:lang w:val="en-GB"/>
        </w:rPr>
        <w:t>s</w:t>
      </w:r>
      <w:r w:rsidRPr="009E2A2E">
        <w:rPr>
          <w:lang w:val="en-GB"/>
        </w:rPr>
        <w:t xml:space="preserve"> are independent of the electrode material and </w:t>
      </w:r>
      <w:r>
        <w:rPr>
          <w:lang w:val="en-GB"/>
        </w:rPr>
        <w:t xml:space="preserve">the rate of adiabatic reactions will be governed by dynamics of solvent reorganization. These are outer-sphere </w:t>
      </w:r>
      <w:r>
        <w:rPr>
          <w:bCs/>
        </w:rPr>
        <w:t xml:space="preserve">electron-transfer reactions, where </w:t>
      </w:r>
      <w:r w:rsidR="00DF15B6">
        <w:rPr>
          <w:bCs/>
        </w:rPr>
        <w:t xml:space="preserve">the </w:t>
      </w:r>
      <w:r>
        <w:rPr>
          <w:bCs/>
        </w:rPr>
        <w:t xml:space="preserve">theories of Marcus and Hush hold and the </w:t>
      </w:r>
      <w:r w:rsidRPr="00357F16">
        <w:rPr>
          <w:bCs/>
        </w:rPr>
        <w:t>nature of</w:t>
      </w:r>
      <w:r>
        <w:rPr>
          <w:bCs/>
        </w:rPr>
        <w:t xml:space="preserve"> </w:t>
      </w:r>
      <w:r w:rsidRPr="00357F16">
        <w:rPr>
          <w:bCs/>
        </w:rPr>
        <w:t xml:space="preserve">the electrode material is </w:t>
      </w:r>
      <w:r w:rsidR="00DF15B6">
        <w:rPr>
          <w:bCs/>
        </w:rPr>
        <w:t>un</w:t>
      </w:r>
      <w:r w:rsidRPr="00357F16">
        <w:rPr>
          <w:bCs/>
        </w:rPr>
        <w:t>important</w:t>
      </w:r>
      <w:r w:rsidR="00DF15B6">
        <w:rPr>
          <w:bCs/>
        </w:rPr>
        <w:t>, hence these are not catalytic reactions.</w:t>
      </w:r>
      <w:r>
        <w:rPr>
          <w:bCs/>
        </w:rPr>
        <w:t xml:space="preserve"> At even higher interaction strength, specific adsorption of reactant</w:t>
      </w:r>
      <w:r w:rsidR="002A338C">
        <w:rPr>
          <w:bCs/>
        </w:rPr>
        <w:t>s</w:t>
      </w:r>
      <w:r>
        <w:rPr>
          <w:bCs/>
        </w:rPr>
        <w:t xml:space="preserve"> and products takes place at the electrode surface</w:t>
      </w:r>
      <w:r w:rsidR="00DF15B6">
        <w:rPr>
          <w:bCs/>
        </w:rPr>
        <w:t>;</w:t>
      </w:r>
      <w:r>
        <w:rPr>
          <w:bCs/>
        </w:rPr>
        <w:t xml:space="preserve"> this is the realm where catalytic effects can dominate reaction</w:t>
      </w:r>
      <w:r w:rsidR="00DF15B6">
        <w:rPr>
          <w:bCs/>
        </w:rPr>
        <w:t xml:space="preserve"> mechanisms </w:t>
      </w:r>
      <w:r w:rsidR="0044363C">
        <w:rPr>
          <w:bCs/>
        </w:rPr>
        <w:t>and</w:t>
      </w:r>
      <w:r w:rsidR="00DF15B6">
        <w:rPr>
          <w:bCs/>
        </w:rPr>
        <w:t xml:space="preserve"> rates</w:t>
      </w:r>
      <w:r>
        <w:rPr>
          <w:bCs/>
        </w:rPr>
        <w:t xml:space="preserve">. </w:t>
      </w:r>
    </w:p>
    <w:p w14:paraId="465B767D" w14:textId="72DBDD9C" w:rsidR="00204D0E" w:rsidRDefault="00204D0E" w:rsidP="00204D0E">
      <w:pPr>
        <w:ind w:firstLine="720"/>
      </w:pPr>
    </w:p>
    <w:p w14:paraId="3DDD6F48" w14:textId="0F01AF89" w:rsidR="00204D0E" w:rsidRPr="003E13CF" w:rsidRDefault="00204D0E" w:rsidP="00204D0E">
      <w:pPr>
        <w:ind w:firstLine="720"/>
        <w:rPr>
          <w:bCs/>
        </w:rPr>
      </w:pPr>
      <w:r>
        <w:t xml:space="preserve">To treat multi-step reactions </w:t>
      </w:r>
      <w:r w:rsidR="00DF15B6">
        <w:t xml:space="preserve">where </w:t>
      </w:r>
      <w:r w:rsidRPr="00354ECD">
        <w:rPr>
          <w:i/>
          <w:iCs/>
        </w:rPr>
        <w:t>n</w:t>
      </w:r>
      <w:r>
        <w:t xml:space="preserve"> electrons </w:t>
      </w:r>
      <w:r w:rsidR="00DF15B6">
        <w:t>are</w:t>
      </w:r>
      <w:r>
        <w:t xml:space="preserve"> transferred, a number of simplifications and assumptions are typically made. It can be assumed that there is one irreversible rate-determining step (</w:t>
      </w:r>
      <w:r w:rsidR="00DF15B6">
        <w:t>RDS</w:t>
      </w:r>
      <w:r>
        <w:t xml:space="preserve">) and all other steps are in equilibrium. The number of electrons transferred prior to the </w:t>
      </w:r>
      <w:r w:rsidR="00DF15B6">
        <w:t xml:space="preserve">RDS </w:t>
      </w:r>
      <w:r>
        <w:t xml:space="preserve">is </w:t>
      </w:r>
      <w:r w:rsidRPr="004E5CAC">
        <w:rPr>
          <w:i/>
          <w:iCs/>
        </w:rPr>
        <w:t>n</w:t>
      </w:r>
      <w:r w:rsidRPr="004E5CAC">
        <w:rPr>
          <w:i/>
          <w:iCs/>
          <w:vertAlign w:val="subscript"/>
        </w:rPr>
        <w:t>p</w:t>
      </w:r>
      <w:r>
        <w:t xml:space="preserve">, the number of electrons transferred after the </w:t>
      </w:r>
      <w:r w:rsidR="00DF15B6">
        <w:t xml:space="preserve">RDS </w:t>
      </w:r>
      <w:r>
        <w:t xml:space="preserve">is </w:t>
      </w:r>
      <w:proofErr w:type="spellStart"/>
      <w:r w:rsidRPr="004E5CAC">
        <w:rPr>
          <w:i/>
          <w:iCs/>
        </w:rPr>
        <w:t>n</w:t>
      </w:r>
      <w:r w:rsidRPr="004E5CAC">
        <w:rPr>
          <w:i/>
          <w:iCs/>
          <w:vertAlign w:val="subscript"/>
        </w:rPr>
        <w:t>a</w:t>
      </w:r>
      <w:r>
        <w:t>.</w:t>
      </w:r>
      <w:proofErr w:type="spellEnd"/>
      <w:r>
        <w:t xml:space="preserve"> The number of electrons transferred during </w:t>
      </w:r>
      <w:r w:rsidR="00DF15B6">
        <w:t>RDS</w:t>
      </w:r>
      <w:r>
        <w:t xml:space="preserve">, </w:t>
      </w:r>
      <w:proofErr w:type="spellStart"/>
      <w:r w:rsidRPr="004E5CAC">
        <w:rPr>
          <w:i/>
          <w:iCs/>
        </w:rPr>
        <w:t>n</w:t>
      </w:r>
      <w:r w:rsidRPr="004E5CAC">
        <w:rPr>
          <w:i/>
          <w:iCs/>
          <w:vertAlign w:val="subscript"/>
        </w:rPr>
        <w:t>rds</w:t>
      </w:r>
      <w:proofErr w:type="spellEnd"/>
      <w:r>
        <w:t>, is either zero (chemical step) or one (electron transfer)</w:t>
      </w:r>
      <w:r w:rsidR="00524C22">
        <w:t xml:space="preserve">, though the validity of </w:t>
      </w:r>
      <w:r w:rsidR="001E6C1E">
        <w:t>only</w:t>
      </w:r>
      <w:r w:rsidR="00524C22">
        <w:t xml:space="preserve"> </w:t>
      </w:r>
      <w:r w:rsidR="00091C49">
        <w:t xml:space="preserve">single </w:t>
      </w:r>
      <w:r w:rsidR="00524C22">
        <w:t xml:space="preserve">electron transfer </w:t>
      </w:r>
      <w:r w:rsidR="001E6C1E">
        <w:t xml:space="preserve">steps </w:t>
      </w:r>
      <w:r w:rsidR="00524C22">
        <w:t>was questioned by Gileadi.</w:t>
      </w:r>
      <w:r w:rsidR="00524C22">
        <w:fldChar w:fldCharType="begin"/>
      </w:r>
      <w:r w:rsidR="00FC5BEB">
        <w:instrText xml:space="preserve"> ADDIN EN.CITE &lt;EndNote&gt;&lt;Cite&gt;&lt;Author&gt;Gileadi&lt;/Author&gt;&lt;Year&gt;2002&lt;/Year&gt;&lt;RecNum&gt;78&lt;/RecNum&gt;&lt;DisplayText&gt;&lt;style face="superscript"&gt;80&lt;/style&gt;&lt;/DisplayText&gt;&lt;record&gt;&lt;rec-number&gt;78&lt;/rec-number&gt;&lt;foreign-keys&gt;&lt;key app="EN" db-id="2xex0erf4eexr4e2dpbxpdd829xttesxxxdr" timestamp="1715075296"&gt;78&lt;/key&gt;&lt;/foreign-keys&gt;&lt;ref-type name="Journal Article"&gt;17&lt;/ref-type&gt;&lt;contributors&gt;&lt;authors&gt;&lt;author&gt;Gileadi, E.&lt;/author&gt;&lt;/authors&gt;&lt;/contributors&gt;&lt;titles&gt;&lt;title&gt;Simultaneous two-electron transfer in electrode kinetics&lt;/title&gt;&lt;secondary-title&gt;Journal of Electroanalytical Chemistry&lt;/secondary-title&gt;&lt;/titles&gt;&lt;periodical&gt;&lt;full-title&gt;Journal of Electroanalytical Chemistry&lt;/full-title&gt;&lt;abbr-1&gt;J. Electroanal. Chem.&lt;/abbr-1&gt;&lt;abbr-2&gt;J Electroanal Chem&lt;/abbr-2&gt;&lt;/periodical&gt;&lt;pages&gt;181-189&lt;/pages&gt;&lt;volume&gt;532&lt;/volume&gt;&lt;number&gt;1&lt;/number&gt;&lt;keywords&gt;&lt;keyword&gt;Simultaneous 2-electron transfer&lt;/keyword&gt;&lt;keyword&gt;Electrode kinetics&lt;/keyword&gt;&lt;keyword&gt;Charge transfer&lt;/keyword&gt;&lt;keyword&gt;Metal</w:instrText>
      </w:r>
      <w:r w:rsidR="00FC5BEB">
        <w:rPr>
          <w:rFonts w:ascii="Cambria Math" w:hAnsi="Cambria Math" w:cs="Cambria Math"/>
        </w:rPr>
        <w:instrText>∣</w:instrText>
      </w:r>
      <w:r w:rsidR="00FC5BEB">
        <w:instrText>solution interface&lt;/keyword&gt;&lt;/keywords&gt;&lt;dates&gt;&lt;year&gt;2002&lt;/year&gt;&lt;pub-dates&gt;&lt;date&gt;2002/09/06/&lt;/date&gt;&lt;/pub-dates&gt;&lt;/dates&gt;&lt;isbn&gt;1572-6657&lt;/isbn&gt;&lt;urls&gt;&lt;related-urls&gt;&lt;url&gt;https://www.sciencedirect.com/science/article/pii/S0022072802007660&lt;/url&gt;&lt;/related-urls&gt;&lt;/urls&gt;&lt;electronic-resource-num&gt;https://doi.org/10.1016/S0022-0728(02)00766-0&lt;/electronic-resource-num&gt;&lt;/record&gt;&lt;/Cite&gt;&lt;/EndNote&gt;</w:instrText>
      </w:r>
      <w:r w:rsidR="00524C22">
        <w:fldChar w:fldCharType="separate"/>
      </w:r>
      <w:r w:rsidR="00FC5BEB" w:rsidRPr="00FC5BEB">
        <w:rPr>
          <w:noProof/>
          <w:vertAlign w:val="superscript"/>
        </w:rPr>
        <w:t>80</w:t>
      </w:r>
      <w:r w:rsidR="00524C22">
        <w:fldChar w:fldCharType="end"/>
      </w:r>
      <w:r>
        <w:t xml:space="preserve"> Hence,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7"/>
        <w:gridCol w:w="6133"/>
        <w:gridCol w:w="2076"/>
      </w:tblGrid>
      <w:tr w:rsidR="00204D0E" w:rsidRPr="00DE0988" w14:paraId="5CD05E49" w14:textId="77777777" w:rsidTr="000A5154">
        <w:tc>
          <w:tcPr>
            <w:tcW w:w="845" w:type="dxa"/>
            <w:vAlign w:val="center"/>
          </w:tcPr>
          <w:p w14:paraId="7302E23D" w14:textId="77777777" w:rsidR="00204D0E" w:rsidRPr="00DE0988" w:rsidRDefault="00204D0E" w:rsidP="009360A3">
            <w:pPr>
              <w:rPr>
                <w:bCs/>
                <w:sz w:val="20"/>
                <w:szCs w:val="20"/>
              </w:rPr>
            </w:pPr>
          </w:p>
        </w:tc>
        <w:tc>
          <w:tcPr>
            <w:tcW w:w="6385" w:type="dxa"/>
            <w:vAlign w:val="center"/>
          </w:tcPr>
          <w:p w14:paraId="50AE2A22" w14:textId="77777777" w:rsidR="00204D0E" w:rsidRPr="00DE0988" w:rsidRDefault="002D428E" w:rsidP="009360A3">
            <w:pPr>
              <w:spacing w:before="60" w:after="60"/>
              <w:rPr>
                <w:bCs/>
                <w:sz w:val="20"/>
                <w:szCs w:val="20"/>
              </w:rPr>
            </w:pPr>
            <m:oMathPara>
              <m:oMath>
                <m:r>
                  <w:rPr>
                    <w:rFonts w:ascii="Cambria Math" w:hAnsi="Cambria Math"/>
                    <w:sz w:val="20"/>
                    <w:szCs w:val="20"/>
                  </w:rPr>
                  <m:t>n=</m:t>
                </m:r>
                <m:sSub>
                  <m:sSubPr>
                    <m:ctrlPr>
                      <w:rPr>
                        <w:rFonts w:ascii="Cambria Math" w:hAnsi="Cambria Math"/>
                        <w:bCs/>
                        <w:i/>
                        <w:iCs/>
                        <w:sz w:val="20"/>
                        <w:szCs w:val="20"/>
                      </w:rPr>
                    </m:ctrlPr>
                  </m:sSubPr>
                  <m:e>
                    <m:r>
                      <w:rPr>
                        <w:rFonts w:ascii="Cambria Math" w:hAnsi="Cambria Math"/>
                        <w:sz w:val="20"/>
                        <w:szCs w:val="20"/>
                      </w:rPr>
                      <m:t>n</m:t>
                    </m:r>
                  </m:e>
                  <m:sub>
                    <m:r>
                      <w:rPr>
                        <w:rFonts w:ascii="Cambria Math" w:hAnsi="Cambria Math"/>
                        <w:sz w:val="20"/>
                        <w:szCs w:val="20"/>
                      </w:rPr>
                      <m:t>p</m:t>
                    </m:r>
                  </m:sub>
                </m:sSub>
                <m:r>
                  <w:rPr>
                    <w:rFonts w:ascii="Cambria Math" w:hAnsi="Cambria Math"/>
                    <w:sz w:val="20"/>
                    <w:szCs w:val="20"/>
                  </w:rPr>
                  <m:t>+</m:t>
                </m:r>
                <m:sSub>
                  <m:sSubPr>
                    <m:ctrlPr>
                      <w:rPr>
                        <w:rFonts w:ascii="Cambria Math" w:hAnsi="Cambria Math"/>
                        <w:bCs/>
                        <w:i/>
                        <w:iCs/>
                        <w:sz w:val="20"/>
                        <w:szCs w:val="20"/>
                      </w:rPr>
                    </m:ctrlPr>
                  </m:sSubPr>
                  <m:e>
                    <m:r>
                      <w:rPr>
                        <w:rFonts w:ascii="Cambria Math" w:hAnsi="Cambria Math"/>
                        <w:sz w:val="20"/>
                        <w:szCs w:val="20"/>
                      </w:rPr>
                      <m:t>n</m:t>
                    </m:r>
                  </m:e>
                  <m:sub>
                    <m:r>
                      <w:rPr>
                        <w:rFonts w:ascii="Cambria Math" w:hAnsi="Cambria Math"/>
                        <w:sz w:val="20"/>
                        <w:szCs w:val="20"/>
                      </w:rPr>
                      <m:t>rds</m:t>
                    </m:r>
                  </m:sub>
                </m:sSub>
                <m:r>
                  <w:rPr>
                    <w:rFonts w:ascii="Cambria Math" w:hAnsi="Cambria Math"/>
                    <w:sz w:val="20"/>
                    <w:szCs w:val="20"/>
                  </w:rPr>
                  <m:t>+</m:t>
                </m:r>
                <m:sSub>
                  <m:sSubPr>
                    <m:ctrlPr>
                      <w:rPr>
                        <w:rFonts w:ascii="Cambria Math" w:hAnsi="Cambria Math"/>
                        <w:bCs/>
                        <w:i/>
                        <w:iCs/>
                        <w:sz w:val="20"/>
                        <w:szCs w:val="20"/>
                      </w:rPr>
                    </m:ctrlPr>
                  </m:sSubPr>
                  <m:e>
                    <m:r>
                      <w:rPr>
                        <w:rFonts w:ascii="Cambria Math" w:hAnsi="Cambria Math"/>
                        <w:sz w:val="20"/>
                        <w:szCs w:val="20"/>
                      </w:rPr>
                      <m:t>n</m:t>
                    </m:r>
                  </m:e>
                  <m:sub>
                    <m:r>
                      <w:rPr>
                        <w:rFonts w:ascii="Cambria Math" w:hAnsi="Cambria Math"/>
                        <w:sz w:val="20"/>
                        <w:szCs w:val="20"/>
                      </w:rPr>
                      <m:t>a</m:t>
                    </m:r>
                  </m:sub>
                </m:sSub>
              </m:oMath>
            </m:oMathPara>
          </w:p>
        </w:tc>
        <w:tc>
          <w:tcPr>
            <w:tcW w:w="2130" w:type="dxa"/>
            <w:vAlign w:val="center"/>
          </w:tcPr>
          <w:p w14:paraId="44932A73" w14:textId="79D21A59" w:rsidR="00204D0E" w:rsidRPr="00DE0988" w:rsidRDefault="00204D0E" w:rsidP="009360A3">
            <w:pPr>
              <w:keepNext/>
              <w:jc w:val="right"/>
              <w:rPr>
                <w:bCs/>
                <w:sz w:val="20"/>
                <w:szCs w:val="20"/>
              </w:rPr>
            </w:pPr>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8C565B">
              <w:rPr>
                <w:noProof/>
                <w:sz w:val="20"/>
                <w:szCs w:val="20"/>
              </w:rPr>
              <w:t>10</w:t>
            </w:r>
            <w:r w:rsidRPr="00DE0988">
              <w:rPr>
                <w:sz w:val="20"/>
                <w:szCs w:val="20"/>
              </w:rPr>
              <w:fldChar w:fldCharType="end"/>
            </w:r>
          </w:p>
        </w:tc>
      </w:tr>
    </w:tbl>
    <w:p w14:paraId="40BDEE90" w14:textId="0094C9E3" w:rsidR="00204D0E" w:rsidRDefault="00204D0E" w:rsidP="00204D0E">
      <w:pPr>
        <w:widowControl w:val="0"/>
        <w:autoSpaceDE w:val="0"/>
        <w:autoSpaceDN w:val="0"/>
        <w:adjustRightInd w:val="0"/>
        <w:rPr>
          <w:bCs/>
          <w:iCs/>
        </w:rPr>
      </w:pPr>
      <w:r>
        <w:t xml:space="preserve">Assuming steady state, no transport limitations, </w:t>
      </w:r>
      <m:oMath>
        <m:sSub>
          <m:sSubPr>
            <m:ctrlPr>
              <w:rPr>
                <w:rFonts w:ascii="Cambria Math" w:hAnsi="Cambria Math"/>
                <w:bCs/>
                <w:i/>
                <w:iCs/>
                <w:sz w:val="24"/>
              </w:rPr>
            </m:ctrlPr>
          </m:sSubPr>
          <m:e>
            <m:r>
              <w:rPr>
                <w:rFonts w:ascii="Cambria Math" w:hAnsi="Cambria Math"/>
              </w:rPr>
              <m:t>j</m:t>
            </m:r>
          </m:e>
          <m:sub>
            <m:r>
              <w:rPr>
                <w:rFonts w:ascii="Cambria Math" w:hAnsi="Cambria Math"/>
              </w:rPr>
              <m:t>0</m:t>
            </m:r>
          </m:sub>
        </m:sSub>
      </m:oMath>
      <w:r>
        <w:rPr>
          <w:bCs/>
          <w:iCs/>
        </w:rPr>
        <w:t xml:space="preserve"> of the </w:t>
      </w:r>
      <w:r w:rsidR="00DF15B6">
        <w:rPr>
          <w:bCs/>
          <w:iCs/>
        </w:rPr>
        <w:t xml:space="preserve">RDS </w:t>
      </w:r>
      <w:r>
        <w:rPr>
          <w:bCs/>
          <w:iCs/>
        </w:rPr>
        <w:t xml:space="preserve">being much smaller than that of the other steps, and the same </w:t>
      </w:r>
      <w:r w:rsidR="00DF15B6">
        <w:rPr>
          <w:bCs/>
          <w:iCs/>
        </w:rPr>
        <w:t xml:space="preserve">RDS </w:t>
      </w:r>
      <w:r>
        <w:rPr>
          <w:bCs/>
          <w:iCs/>
        </w:rPr>
        <w:t>of the reaction for both cathodic and anodic direction one can derive a Butler-Volmer type current density voltage equation with the symmetry factor (</w:t>
      </w:r>
      <m:oMath>
        <m:r>
          <w:rPr>
            <w:rFonts w:ascii="Cambria Math" w:hAnsi="Cambria Math"/>
          </w:rPr>
          <m:t>β</m:t>
        </m:r>
      </m:oMath>
      <w:r>
        <w:rPr>
          <w:bCs/>
          <w:iCs/>
        </w:rPr>
        <w:t xml:space="preserve"> and 1-</w:t>
      </w:r>
      <m:oMath>
        <m:r>
          <w:rPr>
            <w:rFonts w:ascii="Cambria Math" w:hAnsi="Cambria Math"/>
          </w:rPr>
          <m:t>β</m:t>
        </m:r>
      </m:oMath>
      <w:r>
        <w:rPr>
          <w:bCs/>
          <w:iCs/>
        </w:rPr>
        <w:t xml:space="preserve">) exchanged to </w:t>
      </w:r>
      <m:oMath>
        <m:sSub>
          <m:sSubPr>
            <m:ctrlPr>
              <w:rPr>
                <w:rFonts w:ascii="Cambria Math" w:hAnsi="Cambria Math"/>
                <w:bCs/>
                <w:i/>
                <w:iCs/>
                <w:sz w:val="24"/>
              </w:rPr>
            </m:ctrlPr>
          </m:sSubPr>
          <m:e>
            <m:r>
              <w:rPr>
                <w:rFonts w:ascii="Cambria Math" w:hAnsi="Cambria Math"/>
              </w:rPr>
              <m:t>α</m:t>
            </m:r>
          </m:e>
          <m:sub>
            <m:r>
              <w:rPr>
                <w:rFonts w:ascii="Cambria Math" w:hAnsi="Cambria Math"/>
              </w:rPr>
              <m:t>f</m:t>
            </m:r>
          </m:sub>
        </m:sSub>
      </m:oMath>
      <w:r>
        <w:rPr>
          <w:bCs/>
          <w:iCs/>
        </w:rPr>
        <w:t xml:space="preserve"> and </w:t>
      </w:r>
      <m:oMath>
        <m:sSub>
          <m:sSubPr>
            <m:ctrlPr>
              <w:rPr>
                <w:rFonts w:ascii="Cambria Math" w:hAnsi="Cambria Math"/>
                <w:bCs/>
                <w:i/>
                <w:iCs/>
                <w:sz w:val="24"/>
              </w:rPr>
            </m:ctrlPr>
          </m:sSubPr>
          <m:e>
            <m:r>
              <w:rPr>
                <w:rFonts w:ascii="Cambria Math" w:hAnsi="Cambria Math"/>
              </w:rPr>
              <m:t>α</m:t>
            </m:r>
          </m:e>
          <m:sub>
            <m:r>
              <w:rPr>
                <w:rFonts w:ascii="Cambria Math" w:hAnsi="Cambria Math"/>
              </w:rPr>
              <m:t>b</m:t>
            </m:r>
          </m:sub>
        </m:sSub>
      </m:oMath>
      <w:r>
        <w:rPr>
          <w:bCs/>
          <w:iCs/>
        </w:rPr>
        <w:t>, the transfer coefficients of the forward and backward reaction, respectively</w:t>
      </w:r>
      <w:r w:rsidR="00DF15B6">
        <w:rPr>
          <w:bCs/>
          <w:iCs/>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7"/>
        <w:gridCol w:w="6133"/>
        <w:gridCol w:w="2076"/>
      </w:tblGrid>
      <w:tr w:rsidR="00204D0E" w:rsidRPr="00DE0988" w14:paraId="21865CF4" w14:textId="77777777" w:rsidTr="000A5154">
        <w:tc>
          <w:tcPr>
            <w:tcW w:w="845" w:type="dxa"/>
            <w:vAlign w:val="center"/>
          </w:tcPr>
          <w:p w14:paraId="5175CE32" w14:textId="77777777" w:rsidR="00204D0E" w:rsidRPr="00DE0988" w:rsidRDefault="00204D0E" w:rsidP="009360A3">
            <w:pPr>
              <w:rPr>
                <w:bCs/>
                <w:sz w:val="20"/>
                <w:szCs w:val="20"/>
              </w:rPr>
            </w:pPr>
          </w:p>
        </w:tc>
        <w:tc>
          <w:tcPr>
            <w:tcW w:w="6385" w:type="dxa"/>
            <w:vAlign w:val="center"/>
          </w:tcPr>
          <w:p w14:paraId="2F7443BC" w14:textId="77777777" w:rsidR="00204D0E" w:rsidRPr="00DE0988" w:rsidRDefault="00000000" w:rsidP="009360A3">
            <w:pPr>
              <w:spacing w:before="60" w:after="60"/>
              <w:rPr>
                <w:bCs/>
                <w:sz w:val="20"/>
                <w:szCs w:val="20"/>
              </w:rPr>
            </w:pPr>
            <m:oMathPara>
              <m:oMath>
                <m:sSub>
                  <m:sSubPr>
                    <m:ctrlPr>
                      <w:rPr>
                        <w:rFonts w:ascii="Cambria Math" w:hAnsi="Cambria Math"/>
                        <w:bCs/>
                        <w:i/>
                        <w:iCs/>
                        <w:sz w:val="20"/>
                        <w:szCs w:val="20"/>
                      </w:rPr>
                    </m:ctrlPr>
                  </m:sSubPr>
                  <m:e>
                    <m:r>
                      <w:rPr>
                        <w:rFonts w:ascii="Cambria Math" w:hAnsi="Cambria Math"/>
                        <w:sz w:val="20"/>
                        <w:szCs w:val="20"/>
                      </w:rPr>
                      <m:t>α</m:t>
                    </m:r>
                  </m:e>
                  <m:sub>
                    <m:r>
                      <w:rPr>
                        <w:rFonts w:ascii="Cambria Math" w:hAnsi="Cambria Math"/>
                        <w:sz w:val="20"/>
                        <w:szCs w:val="20"/>
                      </w:rPr>
                      <m:t>f</m:t>
                    </m:r>
                  </m:sub>
                </m:sSub>
                <m:r>
                  <w:rPr>
                    <w:rFonts w:ascii="Cambria Math" w:hAnsi="Cambria Math"/>
                    <w:sz w:val="20"/>
                    <w:szCs w:val="20"/>
                  </w:rPr>
                  <m:t>=</m:t>
                </m:r>
                <m:sSub>
                  <m:sSubPr>
                    <m:ctrlPr>
                      <w:rPr>
                        <w:rFonts w:ascii="Cambria Math" w:hAnsi="Cambria Math"/>
                        <w:bCs/>
                        <w:i/>
                        <w:iCs/>
                        <w:sz w:val="20"/>
                        <w:szCs w:val="20"/>
                      </w:rPr>
                    </m:ctrlPr>
                  </m:sSubPr>
                  <m:e>
                    <m:r>
                      <w:rPr>
                        <w:rFonts w:ascii="Cambria Math" w:hAnsi="Cambria Math"/>
                        <w:sz w:val="20"/>
                        <w:szCs w:val="20"/>
                      </w:rPr>
                      <m:t>n</m:t>
                    </m:r>
                  </m:e>
                  <m:sub>
                    <m:r>
                      <w:rPr>
                        <w:rFonts w:ascii="Cambria Math" w:hAnsi="Cambria Math"/>
                        <w:sz w:val="20"/>
                        <w:szCs w:val="20"/>
                      </w:rPr>
                      <m:t>p</m:t>
                    </m:r>
                  </m:sub>
                </m:sSub>
                <m:r>
                  <w:rPr>
                    <w:rFonts w:ascii="Cambria Math" w:hAnsi="Cambria Math"/>
                    <w:sz w:val="20"/>
                    <w:szCs w:val="20"/>
                  </w:rPr>
                  <m:t>+</m:t>
                </m:r>
                <m:sSub>
                  <m:sSubPr>
                    <m:ctrlPr>
                      <w:rPr>
                        <w:rFonts w:ascii="Cambria Math" w:hAnsi="Cambria Math"/>
                        <w:bCs/>
                        <w:i/>
                        <w:iCs/>
                        <w:sz w:val="20"/>
                        <w:szCs w:val="20"/>
                      </w:rPr>
                    </m:ctrlPr>
                  </m:sSubPr>
                  <m:e>
                    <m:r>
                      <w:rPr>
                        <w:rFonts w:ascii="Cambria Math" w:hAnsi="Cambria Math"/>
                        <w:sz w:val="20"/>
                        <w:szCs w:val="20"/>
                      </w:rPr>
                      <m:t>n</m:t>
                    </m:r>
                  </m:e>
                  <m:sub>
                    <m:r>
                      <w:rPr>
                        <w:rFonts w:ascii="Cambria Math" w:hAnsi="Cambria Math"/>
                        <w:sz w:val="20"/>
                        <w:szCs w:val="20"/>
                      </w:rPr>
                      <m:t>rds</m:t>
                    </m:r>
                  </m:sub>
                </m:sSub>
                <m:r>
                  <w:rPr>
                    <w:rFonts w:ascii="Cambria Math" w:hAnsi="Cambria Math"/>
                    <w:sz w:val="20"/>
                    <w:szCs w:val="20"/>
                  </w:rPr>
                  <m:t>*</m:t>
                </m:r>
                <m:sSub>
                  <m:sSubPr>
                    <m:ctrlPr>
                      <w:rPr>
                        <w:rFonts w:ascii="Cambria Math" w:hAnsi="Cambria Math"/>
                        <w:bCs/>
                        <w:i/>
                        <w:iCs/>
                        <w:sz w:val="20"/>
                        <w:szCs w:val="20"/>
                      </w:rPr>
                    </m:ctrlPr>
                  </m:sSubPr>
                  <m:e>
                    <m:r>
                      <w:rPr>
                        <w:rFonts w:ascii="Cambria Math" w:hAnsi="Cambria Math"/>
                        <w:sz w:val="20"/>
                        <w:szCs w:val="20"/>
                      </w:rPr>
                      <m:t>β</m:t>
                    </m:r>
                  </m:e>
                  <m:sub>
                    <m:r>
                      <w:rPr>
                        <w:rFonts w:ascii="Cambria Math" w:hAnsi="Cambria Math"/>
                        <w:sz w:val="20"/>
                        <w:szCs w:val="20"/>
                      </w:rPr>
                      <m:t>f</m:t>
                    </m:r>
                  </m:sub>
                </m:sSub>
              </m:oMath>
            </m:oMathPara>
          </w:p>
        </w:tc>
        <w:tc>
          <w:tcPr>
            <w:tcW w:w="2130" w:type="dxa"/>
            <w:vAlign w:val="center"/>
          </w:tcPr>
          <w:p w14:paraId="1A574889" w14:textId="60CE5E09" w:rsidR="00204D0E" w:rsidRPr="00DE0988" w:rsidRDefault="00204D0E" w:rsidP="009360A3">
            <w:pPr>
              <w:keepNext/>
              <w:jc w:val="right"/>
              <w:rPr>
                <w:bCs/>
                <w:sz w:val="20"/>
                <w:szCs w:val="20"/>
              </w:rPr>
            </w:pPr>
            <w:bookmarkStart w:id="25" w:name="_Ref159143144"/>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8C565B">
              <w:rPr>
                <w:noProof/>
                <w:sz w:val="20"/>
                <w:szCs w:val="20"/>
              </w:rPr>
              <w:t>11</w:t>
            </w:r>
            <w:r w:rsidRPr="00DE0988">
              <w:rPr>
                <w:sz w:val="20"/>
                <w:szCs w:val="20"/>
              </w:rPr>
              <w:fldChar w:fldCharType="end"/>
            </w:r>
            <w:bookmarkEnd w:id="25"/>
          </w:p>
        </w:tc>
      </w:tr>
    </w:tbl>
    <w:p w14:paraId="3AA8C46C" w14:textId="77777777" w:rsidR="00204D0E" w:rsidRDefault="00204D0E" w:rsidP="00204D0E">
      <w:pPr>
        <w:widowControl w:val="0"/>
        <w:autoSpaceDE w:val="0"/>
        <w:autoSpaceDN w:val="0"/>
        <w:adjustRightInd w:val="0"/>
      </w:pPr>
      <w:r>
        <w:t>and</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7"/>
        <w:gridCol w:w="6133"/>
        <w:gridCol w:w="2076"/>
      </w:tblGrid>
      <w:tr w:rsidR="00204D0E" w:rsidRPr="00DE0988" w14:paraId="49EC2630" w14:textId="77777777" w:rsidTr="000A5154">
        <w:tc>
          <w:tcPr>
            <w:tcW w:w="845" w:type="dxa"/>
            <w:vAlign w:val="center"/>
          </w:tcPr>
          <w:p w14:paraId="77843D85" w14:textId="77777777" w:rsidR="00204D0E" w:rsidRPr="00DE0988" w:rsidRDefault="00204D0E" w:rsidP="009360A3">
            <w:pPr>
              <w:rPr>
                <w:bCs/>
                <w:sz w:val="20"/>
                <w:szCs w:val="20"/>
              </w:rPr>
            </w:pPr>
          </w:p>
        </w:tc>
        <w:tc>
          <w:tcPr>
            <w:tcW w:w="6385" w:type="dxa"/>
            <w:vAlign w:val="center"/>
          </w:tcPr>
          <w:p w14:paraId="273912CD" w14:textId="77777777" w:rsidR="00204D0E" w:rsidRPr="00DE0988" w:rsidRDefault="00000000" w:rsidP="009360A3">
            <w:pPr>
              <w:spacing w:before="60" w:after="60"/>
              <w:rPr>
                <w:bCs/>
                <w:sz w:val="20"/>
                <w:szCs w:val="20"/>
              </w:rPr>
            </w:pPr>
            <m:oMathPara>
              <m:oMath>
                <m:sSub>
                  <m:sSubPr>
                    <m:ctrlPr>
                      <w:rPr>
                        <w:rFonts w:ascii="Cambria Math" w:hAnsi="Cambria Math"/>
                        <w:bCs/>
                        <w:i/>
                        <w:iCs/>
                        <w:sz w:val="20"/>
                        <w:szCs w:val="20"/>
                      </w:rPr>
                    </m:ctrlPr>
                  </m:sSubPr>
                  <m:e>
                    <m:r>
                      <w:rPr>
                        <w:rFonts w:ascii="Cambria Math" w:hAnsi="Cambria Math"/>
                        <w:sz w:val="20"/>
                        <w:szCs w:val="20"/>
                      </w:rPr>
                      <m:t>α</m:t>
                    </m:r>
                  </m:e>
                  <m:sub>
                    <m:r>
                      <w:rPr>
                        <w:rFonts w:ascii="Cambria Math" w:hAnsi="Cambria Math"/>
                        <w:sz w:val="20"/>
                        <w:szCs w:val="20"/>
                      </w:rPr>
                      <m:t>b</m:t>
                    </m:r>
                  </m:sub>
                </m:sSub>
                <m:r>
                  <w:rPr>
                    <w:rFonts w:ascii="Cambria Math" w:hAnsi="Cambria Math"/>
                    <w:sz w:val="20"/>
                    <w:szCs w:val="20"/>
                  </w:rPr>
                  <m:t>=</m:t>
                </m:r>
                <m:sSub>
                  <m:sSubPr>
                    <m:ctrlPr>
                      <w:rPr>
                        <w:rFonts w:ascii="Cambria Math" w:hAnsi="Cambria Math"/>
                        <w:bCs/>
                        <w:i/>
                        <w:iCs/>
                        <w:sz w:val="20"/>
                        <w:szCs w:val="20"/>
                      </w:rPr>
                    </m:ctrlPr>
                  </m:sSubPr>
                  <m:e>
                    <m:r>
                      <w:rPr>
                        <w:rFonts w:ascii="Cambria Math" w:hAnsi="Cambria Math"/>
                        <w:sz w:val="20"/>
                        <w:szCs w:val="20"/>
                      </w:rPr>
                      <m:t>n</m:t>
                    </m:r>
                  </m:e>
                  <m:sub>
                    <m:r>
                      <w:rPr>
                        <w:rFonts w:ascii="Cambria Math" w:hAnsi="Cambria Math"/>
                        <w:sz w:val="20"/>
                        <w:szCs w:val="20"/>
                      </w:rPr>
                      <m:t>a</m:t>
                    </m:r>
                  </m:sub>
                </m:sSub>
                <m:r>
                  <w:rPr>
                    <w:rFonts w:ascii="Cambria Math" w:hAnsi="Cambria Math"/>
                    <w:sz w:val="20"/>
                    <w:szCs w:val="20"/>
                  </w:rPr>
                  <m:t>+</m:t>
                </m:r>
                <m:sSub>
                  <m:sSubPr>
                    <m:ctrlPr>
                      <w:rPr>
                        <w:rFonts w:ascii="Cambria Math" w:hAnsi="Cambria Math"/>
                        <w:bCs/>
                        <w:i/>
                        <w:iCs/>
                        <w:sz w:val="20"/>
                        <w:szCs w:val="20"/>
                      </w:rPr>
                    </m:ctrlPr>
                  </m:sSubPr>
                  <m:e>
                    <m:r>
                      <w:rPr>
                        <w:rFonts w:ascii="Cambria Math" w:hAnsi="Cambria Math"/>
                        <w:sz w:val="20"/>
                        <w:szCs w:val="20"/>
                      </w:rPr>
                      <m:t>n</m:t>
                    </m:r>
                  </m:e>
                  <m:sub>
                    <m:r>
                      <w:rPr>
                        <w:rFonts w:ascii="Cambria Math" w:hAnsi="Cambria Math"/>
                        <w:sz w:val="20"/>
                        <w:szCs w:val="20"/>
                      </w:rPr>
                      <m:t>rds</m:t>
                    </m:r>
                  </m:sub>
                </m:sSub>
                <m:r>
                  <w:rPr>
                    <w:rFonts w:ascii="Cambria Math" w:hAnsi="Cambria Math"/>
                    <w:sz w:val="20"/>
                    <w:szCs w:val="20"/>
                  </w:rPr>
                  <m:t>*</m:t>
                </m:r>
                <m:sSub>
                  <m:sSubPr>
                    <m:ctrlPr>
                      <w:rPr>
                        <w:rFonts w:ascii="Cambria Math" w:hAnsi="Cambria Math"/>
                        <w:bCs/>
                        <w:i/>
                        <w:iCs/>
                        <w:sz w:val="20"/>
                        <w:szCs w:val="20"/>
                      </w:rPr>
                    </m:ctrlPr>
                  </m:sSubPr>
                  <m:e>
                    <m:r>
                      <w:rPr>
                        <w:rFonts w:ascii="Cambria Math" w:hAnsi="Cambria Math"/>
                        <w:sz w:val="20"/>
                        <w:szCs w:val="20"/>
                      </w:rPr>
                      <m:t>β</m:t>
                    </m:r>
                  </m:e>
                  <m:sub>
                    <m:r>
                      <w:rPr>
                        <w:rFonts w:ascii="Cambria Math" w:hAnsi="Cambria Math"/>
                        <w:sz w:val="20"/>
                        <w:szCs w:val="20"/>
                      </w:rPr>
                      <m:t>b</m:t>
                    </m:r>
                  </m:sub>
                </m:sSub>
              </m:oMath>
            </m:oMathPara>
          </w:p>
        </w:tc>
        <w:tc>
          <w:tcPr>
            <w:tcW w:w="2130" w:type="dxa"/>
            <w:vAlign w:val="center"/>
          </w:tcPr>
          <w:p w14:paraId="53930323" w14:textId="7B2328B4" w:rsidR="00204D0E" w:rsidRPr="00DE0988" w:rsidRDefault="00204D0E" w:rsidP="009360A3">
            <w:pPr>
              <w:keepNext/>
              <w:jc w:val="right"/>
              <w:rPr>
                <w:bCs/>
                <w:sz w:val="20"/>
                <w:szCs w:val="20"/>
              </w:rPr>
            </w:pPr>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8C565B">
              <w:rPr>
                <w:noProof/>
                <w:sz w:val="20"/>
                <w:szCs w:val="20"/>
              </w:rPr>
              <w:t>12</w:t>
            </w:r>
            <w:r w:rsidRPr="00DE0988">
              <w:rPr>
                <w:sz w:val="20"/>
                <w:szCs w:val="20"/>
              </w:rPr>
              <w:fldChar w:fldCharType="end"/>
            </w:r>
          </w:p>
        </w:tc>
      </w:tr>
    </w:tbl>
    <w:p w14:paraId="0381DC6D" w14:textId="77777777" w:rsidR="00204D0E" w:rsidRDefault="00204D0E" w:rsidP="00204D0E">
      <w:pPr>
        <w:widowControl w:val="0"/>
        <w:autoSpaceDE w:val="0"/>
        <w:autoSpaceDN w:val="0"/>
        <w:adjustRightInd w:val="0"/>
      </w:pPr>
      <w:r>
        <w:t xml:space="preserve">The sum of the forward and backward symmetry factors is 1, whereas the sum of the forward and backward transfer coefficients equal </w:t>
      </w:r>
      <w:r w:rsidRPr="0041396E">
        <w:rPr>
          <w:i/>
          <w:iCs/>
        </w:rPr>
        <w:t>n</w:t>
      </w:r>
      <w:r>
        <w:t xml:space="preserve">. The Tafel slope, </w:t>
      </w:r>
      <w:r w:rsidRPr="003351E1">
        <w:rPr>
          <w:i/>
          <w:iCs/>
        </w:rPr>
        <w:t>b</w:t>
      </w:r>
      <w:r>
        <w:t>, is then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5"/>
        <w:gridCol w:w="6137"/>
        <w:gridCol w:w="2074"/>
      </w:tblGrid>
      <w:tr w:rsidR="00204D0E" w:rsidRPr="00DE0988" w14:paraId="46859829" w14:textId="77777777" w:rsidTr="000A5154">
        <w:tc>
          <w:tcPr>
            <w:tcW w:w="845" w:type="dxa"/>
            <w:vAlign w:val="center"/>
          </w:tcPr>
          <w:p w14:paraId="27F20509" w14:textId="77777777" w:rsidR="00204D0E" w:rsidRPr="00DE0988" w:rsidRDefault="00204D0E" w:rsidP="009360A3">
            <w:pPr>
              <w:rPr>
                <w:bCs/>
                <w:sz w:val="20"/>
                <w:szCs w:val="20"/>
              </w:rPr>
            </w:pPr>
          </w:p>
        </w:tc>
        <w:tc>
          <w:tcPr>
            <w:tcW w:w="6385" w:type="dxa"/>
            <w:vAlign w:val="center"/>
          </w:tcPr>
          <w:p w14:paraId="0AB7F008" w14:textId="0CC189AA" w:rsidR="00204D0E" w:rsidRPr="00DE0988" w:rsidRDefault="00204D0E" w:rsidP="009360A3">
            <w:pPr>
              <w:spacing w:before="60" w:after="60"/>
              <w:rPr>
                <w:rFonts w:ascii="Cambria Math" w:hAnsi="Cambria Math"/>
                <w:bCs/>
                <w:i/>
                <w:sz w:val="20"/>
                <w:szCs w:val="20"/>
              </w:rPr>
            </w:pPr>
            <m:oMathPara>
              <m:oMath>
                <m:r>
                  <w:rPr>
                    <w:rFonts w:ascii="Cambria Math" w:hAnsi="Cambria Math"/>
                    <w:sz w:val="20"/>
                    <w:szCs w:val="20"/>
                  </w:rPr>
                  <m:t>b=</m:t>
                </m:r>
                <m:d>
                  <m:dPr>
                    <m:ctrlPr>
                      <w:rPr>
                        <w:rFonts w:ascii="Cambria Math" w:hAnsi="Cambria Math"/>
                        <w:i/>
                        <w:sz w:val="20"/>
                        <w:szCs w:val="20"/>
                      </w:rPr>
                    </m:ctrlPr>
                  </m:dPr>
                  <m:e>
                    <m:f>
                      <m:fPr>
                        <m:ctrlPr>
                          <w:rPr>
                            <w:rFonts w:ascii="Cambria Math" w:hAnsi="Cambria Math"/>
                            <w:i/>
                            <w:sz w:val="20"/>
                            <w:szCs w:val="20"/>
                          </w:rPr>
                        </m:ctrlPr>
                      </m:fPr>
                      <m:num>
                        <m:r>
                          <m:rPr>
                            <m:sty m:val="p"/>
                          </m:rPr>
                          <w:rPr>
                            <w:rFonts w:ascii="Cambria Math" w:hAnsi="Cambria Math"/>
                            <w:sz w:val="20"/>
                            <w:szCs w:val="20"/>
                          </w:rPr>
                          <m:t>∂</m:t>
                        </m:r>
                        <m:r>
                          <w:rPr>
                            <w:rFonts w:ascii="Cambria Math" w:hAnsi="Cambria Math"/>
                            <w:sz w:val="20"/>
                            <w:szCs w:val="20"/>
                          </w:rPr>
                          <m:t>η</m:t>
                        </m:r>
                      </m:num>
                      <m:den>
                        <m:r>
                          <m:rPr>
                            <m:sty m:val="p"/>
                          </m:rPr>
                          <w:rPr>
                            <w:rFonts w:ascii="Cambria Math" w:hAnsi="Cambria Math"/>
                            <w:sz w:val="20"/>
                            <w:szCs w:val="20"/>
                          </w:rPr>
                          <m:t>∂log</m:t>
                        </m:r>
                        <m:r>
                          <w:rPr>
                            <w:rFonts w:ascii="Cambria Math" w:hAnsi="Cambria Math"/>
                            <w:sz w:val="20"/>
                            <w:szCs w:val="20"/>
                          </w:rPr>
                          <m:t>j</m:t>
                        </m:r>
                      </m:den>
                    </m:f>
                  </m:e>
                </m:d>
                <m:r>
                  <w:rPr>
                    <w:rFonts w:ascii="Cambria Math" w:hAnsi="Cambria Math"/>
                    <w:sz w:val="20"/>
                    <w:szCs w:val="20"/>
                  </w:rPr>
                  <m:t>=2.303RT/F</m:t>
                </m:r>
                <m:sSub>
                  <m:sSubPr>
                    <m:ctrlPr>
                      <w:rPr>
                        <w:rFonts w:ascii="Cambria Math" w:hAnsi="Cambria Math"/>
                        <w:bCs/>
                        <w:i/>
                        <w:iCs/>
                        <w:sz w:val="20"/>
                        <w:szCs w:val="20"/>
                      </w:rPr>
                    </m:ctrlPr>
                  </m:sSubPr>
                  <m:e>
                    <m:r>
                      <w:rPr>
                        <w:rFonts w:ascii="Cambria Math" w:hAnsi="Cambria Math"/>
                        <w:sz w:val="20"/>
                        <w:szCs w:val="20"/>
                      </w:rPr>
                      <m:t>α</m:t>
                    </m:r>
                  </m:e>
                  <m:sub>
                    <m:r>
                      <w:rPr>
                        <w:rFonts w:ascii="Cambria Math" w:hAnsi="Cambria Math"/>
                        <w:sz w:val="20"/>
                        <w:szCs w:val="20"/>
                      </w:rPr>
                      <m:t>f</m:t>
                    </m:r>
                  </m:sub>
                </m:sSub>
              </m:oMath>
            </m:oMathPara>
          </w:p>
        </w:tc>
        <w:tc>
          <w:tcPr>
            <w:tcW w:w="2130" w:type="dxa"/>
            <w:vAlign w:val="center"/>
          </w:tcPr>
          <w:p w14:paraId="4D801A81" w14:textId="04707286" w:rsidR="00204D0E" w:rsidRPr="00DE0988" w:rsidRDefault="00204D0E" w:rsidP="009360A3">
            <w:pPr>
              <w:keepNext/>
              <w:jc w:val="right"/>
              <w:rPr>
                <w:bCs/>
                <w:sz w:val="20"/>
                <w:szCs w:val="20"/>
              </w:rPr>
            </w:pPr>
            <w:bookmarkStart w:id="26" w:name="_Ref159080025"/>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8C565B">
              <w:rPr>
                <w:noProof/>
                <w:sz w:val="20"/>
                <w:szCs w:val="20"/>
              </w:rPr>
              <w:t>13</w:t>
            </w:r>
            <w:r w:rsidRPr="00DE0988">
              <w:rPr>
                <w:sz w:val="20"/>
                <w:szCs w:val="20"/>
              </w:rPr>
              <w:fldChar w:fldCharType="end"/>
            </w:r>
            <w:bookmarkEnd w:id="26"/>
          </w:p>
        </w:tc>
      </w:tr>
    </w:tbl>
    <w:p w14:paraId="0E2B39CF" w14:textId="77777777" w:rsidR="00204D0E" w:rsidRDefault="00204D0E" w:rsidP="00204D0E">
      <w:pPr>
        <w:rPr>
          <w:bCs/>
        </w:rPr>
      </w:pPr>
      <w:r>
        <w:rPr>
          <w:bCs/>
        </w:rPr>
        <w:t xml:space="preserve">where, </w:t>
      </w:r>
      <m:oMath>
        <m:r>
          <w:rPr>
            <w:rFonts w:ascii="Cambria Math" w:hAnsi="Cambria Math"/>
          </w:rPr>
          <m:t>2.303RT/F</m:t>
        </m:r>
      </m:oMath>
      <w:r>
        <w:rPr>
          <w:bCs/>
        </w:rPr>
        <w:t xml:space="preserve"> = 59.2 mV.</w:t>
      </w:r>
    </w:p>
    <w:p w14:paraId="2B5576AB" w14:textId="26A81A91" w:rsidR="00204D0E" w:rsidRDefault="00204D0E" w:rsidP="00204D0E">
      <w:pPr>
        <w:rPr>
          <w:bCs/>
        </w:rPr>
      </w:pPr>
      <w:r>
        <w:rPr>
          <w:bCs/>
        </w:rPr>
        <w:t>The definition of the anodic (forward) and cathodic (backward) transfer coefficients is hence:</w:t>
      </w:r>
      <w:r>
        <w:rPr>
          <w:bCs/>
        </w:rPr>
        <w:fldChar w:fldCharType="begin"/>
      </w:r>
      <w:r w:rsidR="00FC5BEB">
        <w:rPr>
          <w:bCs/>
        </w:rPr>
        <w:instrText xml:space="preserve"> ADDIN EN.CITE &lt;EndNote&gt;&lt;Cite&gt;&lt;Author&gt;Guidelli&lt;/Author&gt;&lt;Year&gt;2014&lt;/Year&gt;&lt;RecNum&gt;79&lt;/RecNum&gt;&lt;DisplayText&gt;&lt;style face="superscript"&gt;81&lt;/style&gt;&lt;/DisplayText&gt;&lt;record&gt;&lt;rec-number&gt;79&lt;/rec-number&gt;&lt;foreign-keys&gt;&lt;key app="EN" db-id="2xex0erf4eexr4e2dpbxpdd829xttesxxxdr" timestamp="1715075296"&gt;79&lt;/key&gt;&lt;/foreign-keys&gt;&lt;ref-type name="Journal Article"&gt;17&lt;/ref-type&gt;&lt;contributors&gt;&lt;authors&gt;&lt;author&gt;Rolando Guidelli&lt;/author&gt;&lt;author&gt;Richard G. Compton&lt;/author&gt;&lt;author&gt;Juan M. Feliu&lt;/author&gt;&lt;author&gt;Eliezer Gileadi&lt;/author&gt;&lt;author&gt;Jacek Lipkowski&lt;/author&gt;&lt;author&gt;Wolfgang Schmickler&lt;/author&gt;&lt;author&gt;Sergio Trasatti&lt;/author&gt;&lt;/authors&gt;&lt;/contributors&gt;&lt;titles&gt;&lt;title&gt;Defining the transfer coefficient in electrochemistry: An assessment (IUPAC Technical Report)&lt;/title&gt;&lt;secondary-title&gt;Pure and Applied Chemistry&lt;/secondary-title&gt;&lt;/titles&gt;&lt;periodical&gt;&lt;full-title&gt;Pure and Applied Chemistry&lt;/full-title&gt;&lt;abbr-1&gt;Pure Appl. Chem.&lt;/abbr-1&gt;&lt;abbr-2&gt;Pure Appl Chem&lt;/abbr-2&gt;&lt;/periodical&gt;&lt;pages&gt;245-258&lt;/pages&gt;&lt;volume&gt;86&lt;/volume&gt;&lt;number&gt;2&lt;/number&gt;&lt;dates&gt;&lt;year&gt;2014&lt;/year&gt;&lt;/dates&gt;&lt;urls&gt;&lt;related-urls&gt;&lt;url&gt;https://doi.org/10.1515/pac-2014-5026&lt;/url&gt;&lt;/related-urls&gt;&lt;/urls&gt;&lt;electronic-resource-num&gt;doi:10.1515/pac-2014-5026&lt;/electronic-resource-num&gt;&lt;access-date&gt;2023-11-15&lt;/access-date&gt;&lt;/record&gt;&lt;/Cite&gt;&lt;/EndNote&gt;</w:instrText>
      </w:r>
      <w:r>
        <w:rPr>
          <w:bCs/>
        </w:rPr>
        <w:fldChar w:fldCharType="separate"/>
      </w:r>
      <w:r w:rsidR="00FC5BEB" w:rsidRPr="00FC5BEB">
        <w:rPr>
          <w:bCs/>
          <w:noProof/>
          <w:vertAlign w:val="superscript"/>
        </w:rPr>
        <w:t>81</w:t>
      </w:r>
      <w:r>
        <w:rPr>
          <w:bCs/>
        </w:rPr>
        <w:fldChar w:fldCharType="end"/>
      </w:r>
      <w:r>
        <w:rPr>
          <w:bCs/>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08"/>
        <w:gridCol w:w="6159"/>
        <w:gridCol w:w="2059"/>
      </w:tblGrid>
      <w:tr w:rsidR="00204D0E" w:rsidRPr="00DE0988" w14:paraId="3FB86837" w14:textId="77777777" w:rsidTr="000A5154">
        <w:tc>
          <w:tcPr>
            <w:tcW w:w="845" w:type="dxa"/>
            <w:vAlign w:val="center"/>
          </w:tcPr>
          <w:p w14:paraId="08B64801" w14:textId="77777777" w:rsidR="00204D0E" w:rsidRPr="00DE0988" w:rsidRDefault="00204D0E" w:rsidP="009360A3">
            <w:pPr>
              <w:rPr>
                <w:bCs/>
                <w:sz w:val="20"/>
                <w:szCs w:val="20"/>
              </w:rPr>
            </w:pPr>
          </w:p>
        </w:tc>
        <w:tc>
          <w:tcPr>
            <w:tcW w:w="6385" w:type="dxa"/>
            <w:vAlign w:val="center"/>
          </w:tcPr>
          <w:p w14:paraId="53F50596" w14:textId="0649E689" w:rsidR="00204D0E" w:rsidRPr="00DE0988" w:rsidRDefault="00000000" w:rsidP="009360A3">
            <w:pPr>
              <w:spacing w:before="60" w:after="60"/>
              <w:rPr>
                <w:rFonts w:ascii="Cambria Math" w:hAnsi="Cambria Math"/>
                <w:bCs/>
                <w:i/>
                <w:sz w:val="20"/>
                <w:szCs w:val="20"/>
              </w:rPr>
            </w:pPr>
            <m:oMathPara>
              <m:oMath>
                <m:sSub>
                  <m:sSubPr>
                    <m:ctrlPr>
                      <w:rPr>
                        <w:rFonts w:ascii="Cambria Math" w:hAnsi="Cambria Math"/>
                        <w:bCs/>
                        <w:i/>
                        <w:iCs/>
                        <w:sz w:val="20"/>
                        <w:szCs w:val="20"/>
                      </w:rPr>
                    </m:ctrlPr>
                  </m:sSubPr>
                  <m:e>
                    <m:r>
                      <w:rPr>
                        <w:rFonts w:ascii="Cambria Math" w:hAnsi="Cambria Math"/>
                        <w:sz w:val="20"/>
                        <w:szCs w:val="20"/>
                      </w:rPr>
                      <m:t>α</m:t>
                    </m:r>
                  </m:e>
                  <m:sub>
                    <m:r>
                      <w:rPr>
                        <w:rFonts w:ascii="Cambria Math" w:hAnsi="Cambria Math"/>
                        <w:sz w:val="20"/>
                        <w:szCs w:val="20"/>
                      </w:rPr>
                      <m:t>f</m:t>
                    </m:r>
                  </m:sub>
                </m:sSub>
                <m:r>
                  <w:rPr>
                    <w:rFonts w:ascii="Cambria Math" w:hAnsi="Cambria Math"/>
                    <w:sz w:val="20"/>
                    <w:szCs w:val="20"/>
                  </w:rPr>
                  <m:t>=</m:t>
                </m:r>
                <m:f>
                  <m:fPr>
                    <m:ctrlPr>
                      <w:rPr>
                        <w:rFonts w:ascii="Cambria Math" w:hAnsi="Cambria Math"/>
                        <w:bCs/>
                        <w:i/>
                        <w:sz w:val="20"/>
                        <w:szCs w:val="20"/>
                      </w:rPr>
                    </m:ctrlPr>
                  </m:fPr>
                  <m:num>
                    <m:r>
                      <w:rPr>
                        <w:rFonts w:ascii="Cambria Math" w:hAnsi="Cambria Math"/>
                        <w:sz w:val="20"/>
                        <w:szCs w:val="20"/>
                      </w:rPr>
                      <m:t>2.303RT</m:t>
                    </m:r>
                  </m:num>
                  <m:den>
                    <m:r>
                      <w:rPr>
                        <w:rFonts w:ascii="Cambria Math" w:hAnsi="Cambria Math"/>
                        <w:sz w:val="20"/>
                        <w:szCs w:val="20"/>
                      </w:rPr>
                      <m:t>F</m:t>
                    </m:r>
                    <m:d>
                      <m:dPr>
                        <m:ctrlPr>
                          <w:rPr>
                            <w:rFonts w:ascii="Cambria Math" w:hAnsi="Cambria Math"/>
                            <w:i/>
                            <w:sz w:val="20"/>
                            <w:szCs w:val="20"/>
                          </w:rPr>
                        </m:ctrlPr>
                      </m:dPr>
                      <m:e>
                        <m:f>
                          <m:fPr>
                            <m:ctrlPr>
                              <w:rPr>
                                <w:rFonts w:ascii="Cambria Math" w:hAnsi="Cambria Math"/>
                                <w:i/>
                                <w:sz w:val="20"/>
                                <w:szCs w:val="20"/>
                              </w:rPr>
                            </m:ctrlPr>
                          </m:fPr>
                          <m:num>
                            <m:r>
                              <m:rPr>
                                <m:sty m:val="p"/>
                              </m:rPr>
                              <w:rPr>
                                <w:rFonts w:ascii="Cambria Math" w:hAnsi="Cambria Math"/>
                                <w:sz w:val="20"/>
                                <w:szCs w:val="20"/>
                              </w:rPr>
                              <m:t>∂</m:t>
                            </m:r>
                            <m:r>
                              <w:rPr>
                                <w:rFonts w:ascii="Cambria Math" w:hAnsi="Cambria Math"/>
                                <w:sz w:val="20"/>
                                <w:szCs w:val="20"/>
                              </w:rPr>
                              <m:t>η</m:t>
                            </m:r>
                          </m:num>
                          <m:den>
                            <m:r>
                              <m:rPr>
                                <m:sty m:val="p"/>
                              </m:rPr>
                              <w:rPr>
                                <w:rFonts w:ascii="Cambria Math" w:hAnsi="Cambria Math"/>
                                <w:sz w:val="20"/>
                                <w:szCs w:val="20"/>
                              </w:rPr>
                              <m:t>∂log</m:t>
                            </m:r>
                            <m:sSub>
                              <m:sSubPr>
                                <m:ctrlPr>
                                  <w:rPr>
                                    <w:rFonts w:ascii="Cambria Math" w:hAnsi="Cambria Math"/>
                                    <w:i/>
                                    <w:sz w:val="20"/>
                                    <w:szCs w:val="20"/>
                                  </w:rPr>
                                </m:ctrlPr>
                              </m:sSubPr>
                              <m:e>
                                <m:r>
                                  <w:rPr>
                                    <w:rFonts w:ascii="Cambria Math" w:hAnsi="Cambria Math"/>
                                    <w:sz w:val="20"/>
                                    <w:szCs w:val="20"/>
                                  </w:rPr>
                                  <m:t>j</m:t>
                                </m:r>
                              </m:e>
                              <m:sub>
                                <m:r>
                                  <w:rPr>
                                    <w:rFonts w:ascii="Cambria Math" w:hAnsi="Cambria Math"/>
                                    <w:sz w:val="20"/>
                                    <w:szCs w:val="20"/>
                                  </w:rPr>
                                  <m:t>a</m:t>
                                </m:r>
                              </m:sub>
                            </m:sSub>
                          </m:den>
                        </m:f>
                      </m:e>
                    </m:d>
                  </m:den>
                </m:f>
                <m:r>
                  <w:rPr>
                    <w:rFonts w:ascii="Cambria Math" w:hAnsi="Cambria Math"/>
                    <w:sz w:val="20"/>
                    <w:szCs w:val="20"/>
                  </w:rPr>
                  <m:t xml:space="preserve">        and       </m:t>
                </m:r>
                <m:sSub>
                  <m:sSubPr>
                    <m:ctrlPr>
                      <w:rPr>
                        <w:rFonts w:ascii="Cambria Math" w:hAnsi="Cambria Math"/>
                        <w:bCs/>
                        <w:i/>
                        <w:iCs/>
                        <w:sz w:val="20"/>
                        <w:szCs w:val="20"/>
                      </w:rPr>
                    </m:ctrlPr>
                  </m:sSubPr>
                  <m:e>
                    <m:r>
                      <w:rPr>
                        <w:rFonts w:ascii="Cambria Math" w:hAnsi="Cambria Math"/>
                        <w:sz w:val="20"/>
                        <w:szCs w:val="20"/>
                      </w:rPr>
                      <m:t>α</m:t>
                    </m:r>
                  </m:e>
                  <m:sub>
                    <m:r>
                      <w:rPr>
                        <w:rFonts w:ascii="Cambria Math" w:hAnsi="Cambria Math"/>
                        <w:sz w:val="20"/>
                        <w:szCs w:val="20"/>
                      </w:rPr>
                      <m:t>b</m:t>
                    </m:r>
                  </m:sub>
                </m:sSub>
                <m:r>
                  <w:rPr>
                    <w:rFonts w:ascii="Cambria Math" w:hAnsi="Cambria Math"/>
                    <w:sz w:val="20"/>
                    <w:szCs w:val="20"/>
                  </w:rPr>
                  <m:t>=-</m:t>
                </m:r>
                <m:f>
                  <m:fPr>
                    <m:ctrlPr>
                      <w:rPr>
                        <w:rFonts w:ascii="Cambria Math" w:hAnsi="Cambria Math"/>
                        <w:bCs/>
                        <w:i/>
                        <w:sz w:val="20"/>
                        <w:szCs w:val="20"/>
                      </w:rPr>
                    </m:ctrlPr>
                  </m:fPr>
                  <m:num>
                    <m:r>
                      <w:rPr>
                        <w:rFonts w:ascii="Cambria Math" w:hAnsi="Cambria Math"/>
                        <w:sz w:val="20"/>
                        <w:szCs w:val="20"/>
                      </w:rPr>
                      <m:t>2.303RT</m:t>
                    </m:r>
                  </m:num>
                  <m:den>
                    <m:r>
                      <w:rPr>
                        <w:rFonts w:ascii="Cambria Math" w:hAnsi="Cambria Math"/>
                        <w:sz w:val="20"/>
                        <w:szCs w:val="20"/>
                      </w:rPr>
                      <m:t>F</m:t>
                    </m:r>
                    <m:d>
                      <m:dPr>
                        <m:ctrlPr>
                          <w:rPr>
                            <w:rFonts w:ascii="Cambria Math" w:hAnsi="Cambria Math"/>
                            <w:i/>
                            <w:sz w:val="20"/>
                            <w:szCs w:val="20"/>
                          </w:rPr>
                        </m:ctrlPr>
                      </m:dPr>
                      <m:e>
                        <m:f>
                          <m:fPr>
                            <m:ctrlPr>
                              <w:rPr>
                                <w:rFonts w:ascii="Cambria Math" w:hAnsi="Cambria Math"/>
                                <w:i/>
                                <w:sz w:val="20"/>
                                <w:szCs w:val="20"/>
                              </w:rPr>
                            </m:ctrlPr>
                          </m:fPr>
                          <m:num>
                            <m:r>
                              <m:rPr>
                                <m:sty m:val="p"/>
                              </m:rPr>
                              <w:rPr>
                                <w:rFonts w:ascii="Cambria Math" w:hAnsi="Cambria Math"/>
                                <w:sz w:val="20"/>
                                <w:szCs w:val="20"/>
                              </w:rPr>
                              <m:t>∂</m:t>
                            </m:r>
                            <m:r>
                              <w:rPr>
                                <w:rFonts w:ascii="Cambria Math" w:hAnsi="Cambria Math"/>
                                <w:sz w:val="20"/>
                                <w:szCs w:val="20"/>
                              </w:rPr>
                              <m:t>η</m:t>
                            </m:r>
                          </m:num>
                          <m:den>
                            <m:r>
                              <m:rPr>
                                <m:sty m:val="p"/>
                              </m:rPr>
                              <w:rPr>
                                <w:rFonts w:ascii="Cambria Math" w:hAnsi="Cambria Math"/>
                                <w:sz w:val="20"/>
                                <w:szCs w:val="20"/>
                              </w:rPr>
                              <m:t>∂log</m:t>
                            </m:r>
                            <m:sSub>
                              <m:sSubPr>
                                <m:ctrlPr>
                                  <w:rPr>
                                    <w:rFonts w:ascii="Cambria Math" w:hAnsi="Cambria Math"/>
                                    <w:i/>
                                    <w:sz w:val="20"/>
                                    <w:szCs w:val="20"/>
                                  </w:rPr>
                                </m:ctrlPr>
                              </m:sSubPr>
                              <m:e>
                                <m:r>
                                  <w:rPr>
                                    <w:rFonts w:ascii="Cambria Math" w:hAnsi="Cambria Math"/>
                                    <w:sz w:val="20"/>
                                    <w:szCs w:val="20"/>
                                  </w:rPr>
                                  <m:t>j</m:t>
                                </m:r>
                              </m:e>
                              <m:sub>
                                <m:r>
                                  <w:rPr>
                                    <w:rFonts w:ascii="Cambria Math" w:hAnsi="Cambria Math"/>
                                    <w:sz w:val="20"/>
                                    <w:szCs w:val="20"/>
                                  </w:rPr>
                                  <m:t>c</m:t>
                                </m:r>
                              </m:sub>
                            </m:sSub>
                          </m:den>
                        </m:f>
                      </m:e>
                    </m:d>
                  </m:den>
                </m:f>
              </m:oMath>
            </m:oMathPara>
          </w:p>
        </w:tc>
        <w:tc>
          <w:tcPr>
            <w:tcW w:w="2130" w:type="dxa"/>
            <w:vAlign w:val="center"/>
          </w:tcPr>
          <w:p w14:paraId="79E4204F" w14:textId="5723CE55" w:rsidR="00204D0E" w:rsidRPr="00DE0988" w:rsidRDefault="00204D0E" w:rsidP="009360A3">
            <w:pPr>
              <w:keepNext/>
              <w:jc w:val="right"/>
              <w:rPr>
                <w:bCs/>
                <w:sz w:val="20"/>
                <w:szCs w:val="20"/>
              </w:rPr>
            </w:pPr>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8C565B">
              <w:rPr>
                <w:noProof/>
                <w:sz w:val="20"/>
                <w:szCs w:val="20"/>
              </w:rPr>
              <w:t>14</w:t>
            </w:r>
            <w:r w:rsidRPr="00DE0988">
              <w:rPr>
                <w:sz w:val="20"/>
                <w:szCs w:val="20"/>
              </w:rPr>
              <w:fldChar w:fldCharType="end"/>
            </w:r>
          </w:p>
        </w:tc>
      </w:tr>
    </w:tbl>
    <w:p w14:paraId="2082E704" w14:textId="6FF71207" w:rsidR="007D6E11" w:rsidRDefault="00204D0E" w:rsidP="00204D0E">
      <w:pPr>
        <w:rPr>
          <w:bCs/>
          <w:iCs/>
        </w:rPr>
      </w:pPr>
      <w:r w:rsidRPr="00705F6E">
        <w:rPr>
          <w:bCs/>
          <w:szCs w:val="22"/>
        </w:rPr>
        <w:fldChar w:fldCharType="begin"/>
      </w:r>
      <w:r w:rsidRPr="00705F6E">
        <w:rPr>
          <w:bCs/>
          <w:szCs w:val="22"/>
        </w:rPr>
        <w:instrText xml:space="preserve"> REF _Ref159080025 \h </w:instrText>
      </w:r>
      <w:r w:rsidR="00705F6E">
        <w:rPr>
          <w:bCs/>
          <w:szCs w:val="22"/>
        </w:rPr>
        <w:instrText xml:space="preserve"> \* MERGEFORMAT </w:instrText>
      </w:r>
      <w:r w:rsidRPr="00705F6E">
        <w:rPr>
          <w:bCs/>
          <w:szCs w:val="22"/>
        </w:rPr>
      </w:r>
      <w:r w:rsidRPr="00705F6E">
        <w:rPr>
          <w:bCs/>
          <w:szCs w:val="22"/>
        </w:rPr>
        <w:fldChar w:fldCharType="separate"/>
      </w:r>
      <w:r w:rsidR="008C565B" w:rsidRPr="008C565B">
        <w:rPr>
          <w:szCs w:val="22"/>
        </w:rPr>
        <w:t xml:space="preserve">Equation </w:t>
      </w:r>
      <w:r w:rsidR="008C565B" w:rsidRPr="008C565B">
        <w:rPr>
          <w:noProof/>
          <w:szCs w:val="22"/>
        </w:rPr>
        <w:t>13</w:t>
      </w:r>
      <w:r w:rsidRPr="00705F6E">
        <w:rPr>
          <w:bCs/>
          <w:szCs w:val="22"/>
        </w:rPr>
        <w:fldChar w:fldCharType="end"/>
      </w:r>
      <w:r>
        <w:rPr>
          <w:bCs/>
        </w:rPr>
        <w:t xml:space="preserve"> is regularly used as a diagnostic tool to derive mechanistic information from analyzing experimental Tafel slopes, see also our next section</w:t>
      </w:r>
      <w:r w:rsidR="00C80B22">
        <w:rPr>
          <w:bCs/>
        </w:rPr>
        <w:t xml:space="preserve"> </w:t>
      </w:r>
      <w:r w:rsidR="00C80B22">
        <w:rPr>
          <w:bCs/>
        </w:rPr>
        <w:fldChar w:fldCharType="begin"/>
      </w:r>
      <w:r w:rsidR="00C80B22">
        <w:rPr>
          <w:bCs/>
        </w:rPr>
        <w:instrText xml:space="preserve"> REF _Ref159882418 \r \h </w:instrText>
      </w:r>
      <w:r w:rsidR="00C80B22">
        <w:rPr>
          <w:bCs/>
        </w:rPr>
      </w:r>
      <w:r w:rsidR="00C80B22">
        <w:rPr>
          <w:bCs/>
        </w:rPr>
        <w:fldChar w:fldCharType="separate"/>
      </w:r>
      <w:r w:rsidR="00C80B22">
        <w:rPr>
          <w:bCs/>
        </w:rPr>
        <w:t>2.2</w:t>
      </w:r>
      <w:r w:rsidR="00C80B22">
        <w:rPr>
          <w:bCs/>
        </w:rPr>
        <w:fldChar w:fldCharType="end"/>
      </w:r>
      <w:r>
        <w:rPr>
          <w:bCs/>
        </w:rPr>
        <w:t xml:space="preserve">. A simple one electron transfer reaction, such as </w:t>
      </w:r>
      <w:r w:rsidRPr="00705F6E">
        <w:rPr>
          <w:bCs/>
          <w:szCs w:val="22"/>
        </w:rPr>
        <w:fldChar w:fldCharType="begin"/>
      </w:r>
      <w:r w:rsidRPr="00705F6E">
        <w:rPr>
          <w:bCs/>
          <w:szCs w:val="22"/>
        </w:rPr>
        <w:instrText xml:space="preserve"> REF _Ref158932288 \h </w:instrText>
      </w:r>
      <w:r w:rsidR="00705F6E">
        <w:rPr>
          <w:bCs/>
          <w:szCs w:val="22"/>
        </w:rPr>
        <w:instrText xml:space="preserve"> \* MERGEFORMAT </w:instrText>
      </w:r>
      <w:r w:rsidRPr="00705F6E">
        <w:rPr>
          <w:bCs/>
          <w:szCs w:val="22"/>
        </w:rPr>
      </w:r>
      <w:r w:rsidRPr="00705F6E">
        <w:rPr>
          <w:bCs/>
          <w:szCs w:val="22"/>
        </w:rPr>
        <w:fldChar w:fldCharType="separate"/>
      </w:r>
      <w:r w:rsidR="008C565B" w:rsidRPr="008C565B">
        <w:rPr>
          <w:szCs w:val="22"/>
        </w:rPr>
        <w:t xml:space="preserve">Equation </w:t>
      </w:r>
      <w:r w:rsidR="008C565B" w:rsidRPr="008C565B">
        <w:rPr>
          <w:noProof/>
          <w:szCs w:val="22"/>
        </w:rPr>
        <w:t>2</w:t>
      </w:r>
      <w:r w:rsidRPr="00705F6E">
        <w:rPr>
          <w:bCs/>
          <w:szCs w:val="22"/>
        </w:rPr>
        <w:fldChar w:fldCharType="end"/>
      </w:r>
      <w:r>
        <w:rPr>
          <w:bCs/>
        </w:rPr>
        <w:t xml:space="preserve">, with </w:t>
      </w:r>
      <m:oMath>
        <m:sSub>
          <m:sSubPr>
            <m:ctrlPr>
              <w:rPr>
                <w:rFonts w:ascii="Cambria Math" w:hAnsi="Cambria Math"/>
                <w:bCs/>
                <w:i/>
                <w:iCs/>
                <w:sz w:val="24"/>
              </w:rPr>
            </m:ctrlPr>
          </m:sSubPr>
          <m:e>
            <m:r>
              <w:rPr>
                <w:rFonts w:ascii="Cambria Math" w:hAnsi="Cambria Math"/>
              </w:rPr>
              <m:t>n</m:t>
            </m:r>
          </m:e>
          <m:sub>
            <m:r>
              <w:rPr>
                <w:rFonts w:ascii="Cambria Math" w:hAnsi="Cambria Math"/>
              </w:rPr>
              <m:t>p</m:t>
            </m:r>
          </m:sub>
        </m:sSub>
      </m:oMath>
      <w:r>
        <w:rPr>
          <w:bCs/>
          <w:iCs/>
        </w:rPr>
        <w:t xml:space="preserve"> and </w:t>
      </w:r>
      <m:oMath>
        <m:sSub>
          <m:sSubPr>
            <m:ctrlPr>
              <w:rPr>
                <w:rFonts w:ascii="Cambria Math" w:hAnsi="Cambria Math"/>
                <w:bCs/>
                <w:i/>
                <w:iCs/>
                <w:sz w:val="24"/>
              </w:rPr>
            </m:ctrlPr>
          </m:sSubPr>
          <m:e>
            <m:r>
              <w:rPr>
                <w:rFonts w:ascii="Cambria Math" w:hAnsi="Cambria Math"/>
              </w:rPr>
              <m:t>n</m:t>
            </m:r>
          </m:e>
          <m:sub>
            <m:r>
              <w:rPr>
                <w:rFonts w:ascii="Cambria Math" w:hAnsi="Cambria Math"/>
              </w:rPr>
              <m:t>a</m:t>
            </m:r>
          </m:sub>
        </m:sSub>
      </m:oMath>
      <w:r>
        <w:rPr>
          <w:bCs/>
        </w:rPr>
        <w:t xml:space="preserve"> being 0 and </w:t>
      </w:r>
      <m:oMath>
        <m:sSub>
          <m:sSubPr>
            <m:ctrlPr>
              <w:rPr>
                <w:rFonts w:ascii="Cambria Math" w:hAnsi="Cambria Math"/>
                <w:bCs/>
                <w:i/>
                <w:iCs/>
                <w:sz w:val="24"/>
              </w:rPr>
            </m:ctrlPr>
          </m:sSubPr>
          <m:e>
            <m:r>
              <w:rPr>
                <w:rFonts w:ascii="Cambria Math" w:hAnsi="Cambria Math"/>
              </w:rPr>
              <m:t>n</m:t>
            </m:r>
          </m:e>
          <m:sub>
            <m:r>
              <w:rPr>
                <w:rFonts w:ascii="Cambria Math" w:hAnsi="Cambria Math"/>
              </w:rPr>
              <m:t>rds</m:t>
            </m:r>
          </m:sub>
        </m:sSub>
      </m:oMath>
      <w:r>
        <w:rPr>
          <w:bCs/>
          <w:iCs/>
        </w:rPr>
        <w:t xml:space="preserve"> being 1 gives rise to a Tafel slope of </w:t>
      </w:r>
      <m:oMath>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β</m:t>
                </m:r>
              </m:e>
              <m:sub>
                <m:r>
                  <w:rPr>
                    <w:rFonts w:ascii="Cambria Math" w:hAnsi="Cambria Math"/>
                  </w:rPr>
                  <m:t>f</m:t>
                </m:r>
              </m:sub>
            </m:sSub>
          </m:den>
        </m:f>
      </m:oMath>
      <w:r w:rsidR="001E6C1E">
        <w:t xml:space="preserve"> </w:t>
      </w:r>
      <w:r w:rsidRPr="00F65CBF">
        <w:rPr>
          <w:bCs/>
          <w:iCs/>
        </w:rPr>
        <w:t>59.2 mV/dec</w:t>
      </w:r>
      <w:r>
        <w:rPr>
          <w:bCs/>
          <w:iCs/>
        </w:rPr>
        <w:t>.</w:t>
      </w:r>
      <w:r w:rsidR="006925EF">
        <w:rPr>
          <w:bCs/>
          <w:iCs/>
        </w:rPr>
        <w:t xml:space="preserve"> </w:t>
      </w:r>
      <w:r>
        <w:rPr>
          <w:bCs/>
          <w:iCs/>
        </w:rPr>
        <w:t xml:space="preserve">Hence, if </w:t>
      </w:r>
      <m:oMath>
        <m:sSub>
          <m:sSubPr>
            <m:ctrlPr>
              <w:rPr>
                <w:rFonts w:ascii="Cambria Math" w:hAnsi="Cambria Math"/>
                <w:bCs/>
                <w:i/>
                <w:iCs/>
                <w:sz w:val="24"/>
              </w:rPr>
            </m:ctrlPr>
          </m:sSubPr>
          <m:e>
            <m:r>
              <w:rPr>
                <w:rFonts w:ascii="Cambria Math" w:hAnsi="Cambria Math"/>
              </w:rPr>
              <m:t>β</m:t>
            </m:r>
          </m:e>
          <m:sub>
            <m:r>
              <w:rPr>
                <w:rFonts w:ascii="Cambria Math" w:hAnsi="Cambria Math"/>
              </w:rPr>
              <m:t>f</m:t>
            </m:r>
          </m:sub>
        </m:sSub>
      </m:oMath>
      <w:r>
        <w:rPr>
          <w:bCs/>
          <w:iCs/>
        </w:rPr>
        <w:t xml:space="preserve"> is 0.5, as often assumed, we end up with the classical Tafel slope of 118.4 mV/dec. A two-step two electron transfer process, with the second step being </w:t>
      </w:r>
      <w:r w:rsidR="00DF15B6">
        <w:rPr>
          <w:bCs/>
          <w:iCs/>
        </w:rPr>
        <w:t xml:space="preserve">RDS then </w:t>
      </w:r>
      <w:r>
        <w:rPr>
          <w:bCs/>
          <w:iCs/>
        </w:rPr>
        <w:t xml:space="preserve">yields a Tafel slope of 39.5 mV/dec. As the number of electrons transferred after the </w:t>
      </w:r>
      <w:r w:rsidR="00DF15B6">
        <w:rPr>
          <w:bCs/>
          <w:iCs/>
        </w:rPr>
        <w:t xml:space="preserve">RDS </w:t>
      </w:r>
      <w:r>
        <w:rPr>
          <w:bCs/>
          <w:iCs/>
        </w:rPr>
        <w:t xml:space="preserve">does not enter </w:t>
      </w:r>
      <w:r w:rsidRPr="00705F6E">
        <w:rPr>
          <w:bCs/>
          <w:iCs/>
          <w:szCs w:val="22"/>
        </w:rPr>
        <w:fldChar w:fldCharType="begin"/>
      </w:r>
      <w:r w:rsidRPr="00705F6E">
        <w:rPr>
          <w:bCs/>
          <w:iCs/>
          <w:szCs w:val="22"/>
        </w:rPr>
        <w:instrText xml:space="preserve"> REF _Ref159143144 \h </w:instrText>
      </w:r>
      <w:r w:rsidR="00705F6E">
        <w:rPr>
          <w:bCs/>
          <w:iCs/>
          <w:szCs w:val="22"/>
        </w:rPr>
        <w:instrText xml:space="preserve"> \* MERGEFORMAT </w:instrText>
      </w:r>
      <w:r w:rsidRPr="00705F6E">
        <w:rPr>
          <w:bCs/>
          <w:iCs/>
          <w:szCs w:val="22"/>
        </w:rPr>
      </w:r>
      <w:r w:rsidRPr="00705F6E">
        <w:rPr>
          <w:bCs/>
          <w:iCs/>
          <w:szCs w:val="22"/>
        </w:rPr>
        <w:fldChar w:fldCharType="separate"/>
      </w:r>
      <w:r w:rsidR="008C565B" w:rsidRPr="008C565B">
        <w:rPr>
          <w:szCs w:val="22"/>
        </w:rPr>
        <w:t xml:space="preserve">Equation </w:t>
      </w:r>
      <w:r w:rsidR="008C565B" w:rsidRPr="008C565B">
        <w:rPr>
          <w:noProof/>
          <w:szCs w:val="22"/>
        </w:rPr>
        <w:t>11</w:t>
      </w:r>
      <w:r w:rsidRPr="00705F6E">
        <w:rPr>
          <w:bCs/>
          <w:iCs/>
          <w:szCs w:val="22"/>
        </w:rPr>
        <w:fldChar w:fldCharType="end"/>
      </w:r>
      <w:r>
        <w:rPr>
          <w:bCs/>
          <w:iCs/>
        </w:rPr>
        <w:t xml:space="preserve">, a four-step four electron transfer process with the second step being </w:t>
      </w:r>
      <w:r w:rsidR="00DF15B6">
        <w:rPr>
          <w:bCs/>
          <w:iCs/>
        </w:rPr>
        <w:t xml:space="preserve">RDS </w:t>
      </w:r>
      <w:r>
        <w:rPr>
          <w:bCs/>
          <w:iCs/>
        </w:rPr>
        <w:t xml:space="preserve">gives the same 39.5 mV/dec Tafel slope. </w:t>
      </w:r>
    </w:p>
    <w:p w14:paraId="58E5408B" w14:textId="1BC028FF" w:rsidR="00204D0E" w:rsidRDefault="00204D0E" w:rsidP="007D6E11">
      <w:pPr>
        <w:ind w:firstLine="720"/>
        <w:rPr>
          <w:bCs/>
        </w:rPr>
      </w:pPr>
      <w:r>
        <w:rPr>
          <w:bCs/>
          <w:iCs/>
        </w:rPr>
        <w:t>Although it is enticing to derive mechanistic information from Tafel analysis for electrocatalytic processes, such analys</w:t>
      </w:r>
      <w:r w:rsidR="00DF15B6">
        <w:rPr>
          <w:bCs/>
          <w:iCs/>
        </w:rPr>
        <w:t>e</w:t>
      </w:r>
      <w:r>
        <w:rPr>
          <w:bCs/>
          <w:iCs/>
        </w:rPr>
        <w:t xml:space="preserve">s should be treated with great caution. To start with, </w:t>
      </w:r>
      <w:r>
        <w:rPr>
          <w:bCs/>
        </w:rPr>
        <w:t xml:space="preserve">the above </w:t>
      </w:r>
      <w:r>
        <w:rPr>
          <w:bCs/>
        </w:rPr>
        <w:lastRenderedPageBreak/>
        <w:t>sketched kinetic theories were either phenomenological in nature or were derived for outer-sphere electron transfer reactions. Although Fletcher</w:t>
      </w:r>
      <w:r>
        <w:rPr>
          <w:bCs/>
        </w:rPr>
        <w:fldChar w:fldCharType="begin"/>
      </w:r>
      <w:r w:rsidR="00FC5BEB">
        <w:rPr>
          <w:bCs/>
        </w:rPr>
        <w:instrText xml:space="preserve"> ADDIN EN.CITE &lt;EndNote&gt;&lt;Cite&gt;&lt;Author&gt;Fletcher&lt;/Author&gt;&lt;Year&gt;2009&lt;/Year&gt;&lt;RecNum&gt;80&lt;/RecNum&gt;&lt;DisplayText&gt;&lt;style face="superscript"&gt;82&lt;/style&gt;&lt;/DisplayText&gt;&lt;record&gt;&lt;rec-number&gt;80&lt;/rec-number&gt;&lt;foreign-keys&gt;&lt;key app="EN" db-id="2xex0erf4eexr4e2dpbxpdd829xttesxxxdr" timestamp="1715075296"&gt;80&lt;/key&gt;&lt;/foreign-keys&gt;&lt;ref-type name="Journal Article"&gt;17&lt;/ref-type&gt;&lt;contributors&gt;&lt;authors&gt;&lt;author&gt;Fletcher, Stephen&lt;/author&gt;&lt;/authors&gt;&lt;/contributors&gt;&lt;titles&gt;&lt;title&gt;Tafel slopes from first principles&lt;/title&gt;&lt;secondary-title&gt;Journal of Solid State Electrochemistry&lt;/secondary-title&gt;&lt;/titles&gt;&lt;periodical&gt;&lt;full-title&gt;Journal of Solid State Electrochemistry&lt;/full-title&gt;&lt;abbr-1&gt;J. Solid State Electrochem.&lt;/abbr-1&gt;&lt;abbr-2&gt;J Solid State Electrochem&lt;/abbr-2&gt;&lt;/periodical&gt;&lt;pages&gt;537-549&lt;/pages&gt;&lt;volume&gt;13&lt;/volume&gt;&lt;number&gt;4&lt;/number&gt;&lt;dates&gt;&lt;year&gt;2009&lt;/year&gt;&lt;pub-dates&gt;&lt;date&gt;2009/04/01&lt;/date&gt;&lt;/pub-dates&gt;&lt;/dates&gt;&lt;isbn&gt;1433-0768&lt;/isbn&gt;&lt;urls&gt;&lt;related-urls&gt;&lt;url&gt;https://doi.org/10.1007/s10008-008-0670-8&lt;/url&gt;&lt;/related-urls&gt;&lt;/urls&gt;&lt;electronic-resource-num&gt;10.1007/s10008-008-0670-8&lt;/electronic-resource-num&gt;&lt;/record&gt;&lt;/Cite&gt;&lt;/EndNote&gt;</w:instrText>
      </w:r>
      <w:r>
        <w:rPr>
          <w:bCs/>
        </w:rPr>
        <w:fldChar w:fldCharType="separate"/>
      </w:r>
      <w:r w:rsidR="00FC5BEB" w:rsidRPr="00FC5BEB">
        <w:rPr>
          <w:bCs/>
          <w:noProof/>
          <w:vertAlign w:val="superscript"/>
        </w:rPr>
        <w:t>82</w:t>
      </w:r>
      <w:r>
        <w:rPr>
          <w:bCs/>
        </w:rPr>
        <w:fldChar w:fldCharType="end"/>
      </w:r>
      <w:r>
        <w:rPr>
          <w:bCs/>
        </w:rPr>
        <w:t xml:space="preserve"> derived Tafel slopes for multi-step electrochemical reactions from first principles, weak orbital overlap between reactants and electrodes </w:t>
      </w:r>
      <w:r w:rsidR="00091C49">
        <w:rPr>
          <w:bCs/>
        </w:rPr>
        <w:t xml:space="preserve">was </w:t>
      </w:r>
      <w:r>
        <w:rPr>
          <w:bCs/>
        </w:rPr>
        <w:t xml:space="preserve">assumed in the derivation. That is, catalytic effects were not considered. Hence, it is </w:t>
      </w:r>
      <w:r w:rsidR="00FE64CB">
        <w:rPr>
          <w:bCs/>
          <w:i/>
          <w:iCs/>
        </w:rPr>
        <w:t>a priori</w:t>
      </w:r>
      <w:r>
        <w:rPr>
          <w:bCs/>
        </w:rPr>
        <w:t xml:space="preserve"> not a given that these models are appropriate for electrocatalytic reactions. As we have seen, the shape of the potential energy surface can give rise to potential dependent symmetry factors and hence the Tafel slope can intrinsically change with potential. </w:t>
      </w:r>
      <w:r w:rsidR="00DF15B6">
        <w:rPr>
          <w:bCs/>
        </w:rPr>
        <w:t>Assuming</w:t>
      </w:r>
      <w:r>
        <w:rPr>
          <w:bCs/>
        </w:rPr>
        <w:t xml:space="preserve"> quasi-equilibrium in multi-step reactions and the same </w:t>
      </w:r>
      <w:r w:rsidR="00DF15B6">
        <w:rPr>
          <w:bCs/>
        </w:rPr>
        <w:t xml:space="preserve">RDS </w:t>
      </w:r>
      <w:r>
        <w:rPr>
          <w:bCs/>
        </w:rPr>
        <w:t xml:space="preserve">for the forward and backward reaction </w:t>
      </w:r>
      <w:r w:rsidR="00DF15B6">
        <w:rPr>
          <w:bCs/>
        </w:rPr>
        <w:t xml:space="preserve">is </w:t>
      </w:r>
      <w:r>
        <w:rPr>
          <w:bCs/>
        </w:rPr>
        <w:t>also sometimes not justified. Moreover, numerous reaction schemes can produce the very same theoretical Tafel slope</w:t>
      </w:r>
      <w:r w:rsidR="003A7544">
        <w:rPr>
          <w:bCs/>
        </w:rPr>
        <w:t>,</w:t>
      </w:r>
      <w:r>
        <w:rPr>
          <w:bCs/>
        </w:rPr>
        <w:t xml:space="preserve"> and their differentiation based solely on kinetic experiments is often not possible. To make matter worse, transport limitations can also skew the experimental observations. To aid electrochemical kinetic investigations, some potentially useful diagnostic experiments may include the temperature and pH dependence of the Tafel slope, and hence of the transfer coefficient. </w:t>
      </w:r>
    </w:p>
    <w:p w14:paraId="6DEA0842" w14:textId="77777777" w:rsidR="00204D0E" w:rsidRDefault="00204D0E" w:rsidP="00204D0E">
      <w:pPr>
        <w:rPr>
          <w:bCs/>
        </w:rPr>
      </w:pPr>
    </w:p>
    <w:p w14:paraId="464BBE2B" w14:textId="6238A99D" w:rsidR="00204D0E" w:rsidRDefault="00204D0E" w:rsidP="00204D0E">
      <w:pPr>
        <w:ind w:firstLine="720"/>
        <w:rPr>
          <w:bCs/>
        </w:rPr>
      </w:pPr>
      <w:r>
        <w:rPr>
          <w:bCs/>
        </w:rPr>
        <w:t xml:space="preserve">Before we close this section, let us briefly consider the quasi-equilibrium and steady-state approximations often invoked in </w:t>
      </w:r>
      <w:r w:rsidR="002A338C">
        <w:rPr>
          <w:bCs/>
        </w:rPr>
        <w:t>modeling</w:t>
      </w:r>
      <w:r>
        <w:rPr>
          <w:bCs/>
        </w:rPr>
        <w:t xml:space="preserve"> the kinetics of </w:t>
      </w:r>
      <w:r w:rsidR="00DF15B6">
        <w:rPr>
          <w:bCs/>
        </w:rPr>
        <w:t xml:space="preserve">the </w:t>
      </w:r>
      <w:r>
        <w:rPr>
          <w:bCs/>
        </w:rPr>
        <w:t xml:space="preserve">OER. As was mentioned above, in the quasi-equilibrium approximation a specific reaction model is built, one elementary step is assumed to be </w:t>
      </w:r>
      <w:r w:rsidR="00DF15B6">
        <w:rPr>
          <w:bCs/>
        </w:rPr>
        <w:t xml:space="preserve">the RDS </w:t>
      </w:r>
      <w:r>
        <w:rPr>
          <w:bCs/>
        </w:rPr>
        <w:t xml:space="preserve">and all other steps are taken </w:t>
      </w:r>
      <w:r w:rsidR="00DF15B6">
        <w:rPr>
          <w:bCs/>
        </w:rPr>
        <w:t xml:space="preserve">to be </w:t>
      </w:r>
      <w:r>
        <w:rPr>
          <w:bCs/>
        </w:rPr>
        <w:t xml:space="preserve">equilibrated. Since all steps prior to the </w:t>
      </w:r>
      <w:r w:rsidR="00DF15B6">
        <w:rPr>
          <w:bCs/>
        </w:rPr>
        <w:t xml:space="preserve">RDS </w:t>
      </w:r>
      <w:r>
        <w:rPr>
          <w:bCs/>
        </w:rPr>
        <w:t xml:space="preserve">are pre-equilibrated, the resting state of the catalyst is </w:t>
      </w:r>
      <w:r w:rsidR="006925EF">
        <w:rPr>
          <w:bCs/>
        </w:rPr>
        <w:t>defined by the equilibrium constants of the steps prior to the RDS.</w:t>
      </w:r>
      <w:r>
        <w:rPr>
          <w:bCs/>
        </w:rPr>
        <w:t xml:space="preserve"> Then, rates for </w:t>
      </w:r>
      <w:r w:rsidR="00DF15B6">
        <w:rPr>
          <w:bCs/>
        </w:rPr>
        <w:t xml:space="preserve">the RDS </w:t>
      </w:r>
      <w:r>
        <w:rPr>
          <w:bCs/>
        </w:rPr>
        <w:t xml:space="preserve">can be expressed with the help of the rate constant of the </w:t>
      </w:r>
      <w:r w:rsidR="00DF15B6">
        <w:rPr>
          <w:bCs/>
        </w:rPr>
        <w:t xml:space="preserve">RDS </w:t>
      </w:r>
      <w:r>
        <w:rPr>
          <w:bCs/>
        </w:rPr>
        <w:t xml:space="preserve">and the unknown intermediate concentration is replaced using the equilibrium constants and potential dependence of the preceding steps as well as the educt concentrations. The advantage (and danger) of the quasi-equilibrium approach is that it may be used phenomenologically, without the </w:t>
      </w:r>
      <w:r w:rsidR="00040A97">
        <w:rPr>
          <w:bCs/>
        </w:rPr>
        <w:t>necessity</w:t>
      </w:r>
      <w:r>
        <w:rPr>
          <w:bCs/>
        </w:rPr>
        <w:t xml:space="preserve"> </w:t>
      </w:r>
      <w:r w:rsidR="00DF15B6">
        <w:rPr>
          <w:bCs/>
        </w:rPr>
        <w:t>of knowing</w:t>
      </w:r>
      <w:r>
        <w:rPr>
          <w:bCs/>
        </w:rPr>
        <w:t xml:space="preserve"> catalyst</w:t>
      </w:r>
      <w:r w:rsidR="00040A97">
        <w:rPr>
          <w:bCs/>
        </w:rPr>
        <w:t>-</w:t>
      </w:r>
      <w:r>
        <w:rPr>
          <w:bCs/>
        </w:rPr>
        <w:t xml:space="preserve">specific rate constants and hence by comparing predicted and observed Tafel slopes (or transfer coefficients) a certain mechanistic model can be proposed or ruled out. In the steady-state approximation surface coverages of intermediates, </w:t>
      </w:r>
      <m:oMath>
        <m:sSub>
          <m:sSubPr>
            <m:ctrlPr>
              <w:rPr>
                <w:rFonts w:ascii="Cambria Math" w:hAnsi="Cambria Math"/>
                <w:bCs/>
                <w:i/>
                <w:sz w:val="24"/>
              </w:rPr>
            </m:ctrlPr>
          </m:sSubPr>
          <m:e>
            <m:r>
              <w:rPr>
                <w:rFonts w:ascii="Cambria Math" w:hAnsi="Cambria Math"/>
              </w:rPr>
              <m:t>θ</m:t>
            </m:r>
          </m:e>
          <m:sub>
            <m:r>
              <w:rPr>
                <w:rFonts w:ascii="Cambria Math" w:hAnsi="Cambria Math"/>
              </w:rPr>
              <m:t>i</m:t>
            </m:r>
          </m:sub>
        </m:sSub>
      </m:oMath>
      <w:r>
        <w:rPr>
          <w:bCs/>
        </w:rPr>
        <w:t xml:space="preserve">, do not change </w:t>
      </w:r>
      <w:r w:rsidR="00DF15B6">
        <w:rPr>
          <w:bCs/>
        </w:rPr>
        <w:t xml:space="preserve">with </w:t>
      </w:r>
      <w:r>
        <w:rPr>
          <w:bCs/>
        </w:rPr>
        <w:t>time, that is,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8"/>
        <w:gridCol w:w="6130"/>
        <w:gridCol w:w="2078"/>
      </w:tblGrid>
      <w:tr w:rsidR="00204D0E" w:rsidRPr="00DE0988" w14:paraId="189F3041" w14:textId="77777777" w:rsidTr="000A5154">
        <w:tc>
          <w:tcPr>
            <w:tcW w:w="845" w:type="dxa"/>
            <w:vAlign w:val="center"/>
          </w:tcPr>
          <w:p w14:paraId="62CB4A91" w14:textId="77777777" w:rsidR="00204D0E" w:rsidRPr="00DE0988" w:rsidRDefault="00204D0E" w:rsidP="009360A3">
            <w:pPr>
              <w:rPr>
                <w:bCs/>
                <w:sz w:val="20"/>
                <w:szCs w:val="20"/>
              </w:rPr>
            </w:pPr>
          </w:p>
        </w:tc>
        <w:tc>
          <w:tcPr>
            <w:tcW w:w="6385" w:type="dxa"/>
            <w:vAlign w:val="center"/>
          </w:tcPr>
          <w:p w14:paraId="2BF87970" w14:textId="7E3E898C" w:rsidR="00204D0E" w:rsidRPr="00DE0988" w:rsidRDefault="00000000" w:rsidP="009360A3">
            <w:pPr>
              <w:spacing w:before="60" w:after="60"/>
              <w:rPr>
                <w:bCs/>
                <w:sz w:val="20"/>
                <w:szCs w:val="20"/>
              </w:rPr>
            </w:pPr>
            <m:oMathPara>
              <m:oMath>
                <m:f>
                  <m:fPr>
                    <m:ctrlPr>
                      <w:rPr>
                        <w:rFonts w:ascii="Cambria Math" w:hAnsi="Cambria Math"/>
                        <w:i/>
                        <w:sz w:val="20"/>
                        <w:szCs w:val="20"/>
                      </w:rPr>
                    </m:ctrlPr>
                  </m:fPr>
                  <m:num>
                    <m:r>
                      <m:rPr>
                        <m:sty m:val="p"/>
                      </m:rP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θ</m:t>
                        </m:r>
                      </m:e>
                      <m:sub>
                        <m:r>
                          <w:rPr>
                            <w:rFonts w:ascii="Cambria Math" w:hAnsi="Cambria Math"/>
                            <w:sz w:val="20"/>
                            <w:szCs w:val="20"/>
                          </w:rPr>
                          <m:t>i</m:t>
                        </m:r>
                      </m:sub>
                    </m:sSub>
                  </m:num>
                  <m:den>
                    <m:r>
                      <m:rPr>
                        <m:sty m:val="p"/>
                      </m:rPr>
                      <w:rPr>
                        <w:rFonts w:ascii="Cambria Math" w:hAnsi="Cambria Math"/>
                        <w:sz w:val="20"/>
                        <w:szCs w:val="20"/>
                      </w:rPr>
                      <m:t>∂</m:t>
                    </m:r>
                    <m:r>
                      <w:rPr>
                        <w:rFonts w:ascii="Cambria Math" w:hAnsi="Cambria Math"/>
                        <w:sz w:val="20"/>
                        <w:szCs w:val="20"/>
                      </w:rPr>
                      <m:t>t</m:t>
                    </m:r>
                  </m:den>
                </m:f>
                <m:r>
                  <w:rPr>
                    <w:rFonts w:ascii="Cambria Math" w:hAnsi="Cambria Math"/>
                    <w:sz w:val="20"/>
                    <w:szCs w:val="20"/>
                  </w:rPr>
                  <m:t>=0</m:t>
                </m:r>
              </m:oMath>
            </m:oMathPara>
          </w:p>
        </w:tc>
        <w:tc>
          <w:tcPr>
            <w:tcW w:w="2130" w:type="dxa"/>
            <w:vAlign w:val="center"/>
          </w:tcPr>
          <w:p w14:paraId="76579294" w14:textId="44B2B43C" w:rsidR="00204D0E" w:rsidRPr="00DE0988" w:rsidRDefault="00204D0E" w:rsidP="009360A3">
            <w:pPr>
              <w:keepNext/>
              <w:jc w:val="right"/>
              <w:rPr>
                <w:bCs/>
                <w:sz w:val="20"/>
                <w:szCs w:val="20"/>
              </w:rPr>
            </w:pPr>
            <w:bookmarkStart w:id="27" w:name="_Ref159096341"/>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8C565B">
              <w:rPr>
                <w:noProof/>
                <w:sz w:val="20"/>
                <w:szCs w:val="20"/>
              </w:rPr>
              <w:t>15</w:t>
            </w:r>
            <w:r w:rsidRPr="00DE0988">
              <w:rPr>
                <w:sz w:val="20"/>
                <w:szCs w:val="20"/>
              </w:rPr>
              <w:fldChar w:fldCharType="end"/>
            </w:r>
            <w:bookmarkEnd w:id="27"/>
          </w:p>
        </w:tc>
      </w:tr>
    </w:tbl>
    <w:p w14:paraId="2E0AE416" w14:textId="60AA4C2D" w:rsidR="00204D0E" w:rsidRDefault="00204D0E" w:rsidP="00204D0E">
      <w:pPr>
        <w:rPr>
          <w:bCs/>
        </w:rPr>
      </w:pPr>
      <w:r>
        <w:rPr>
          <w:bCs/>
        </w:rPr>
        <w:t xml:space="preserve">Then, the rates of </w:t>
      </w:r>
      <w:r w:rsidR="00DF15B6">
        <w:rPr>
          <w:bCs/>
        </w:rPr>
        <w:t xml:space="preserve">the </w:t>
      </w:r>
      <w:r>
        <w:rPr>
          <w:bCs/>
        </w:rPr>
        <w:t xml:space="preserve">forward and backward reaction steps, such as in </w:t>
      </w:r>
      <w:r w:rsidRPr="00705F6E">
        <w:rPr>
          <w:bCs/>
          <w:szCs w:val="22"/>
        </w:rPr>
        <w:fldChar w:fldCharType="begin"/>
      </w:r>
      <w:r w:rsidRPr="00705F6E">
        <w:rPr>
          <w:bCs/>
          <w:szCs w:val="22"/>
        </w:rPr>
        <w:instrText xml:space="preserve"> REF _Ref158932952 \h </w:instrText>
      </w:r>
      <w:r w:rsidR="00705F6E">
        <w:rPr>
          <w:bCs/>
          <w:szCs w:val="22"/>
        </w:rPr>
        <w:instrText xml:space="preserve"> \* MERGEFORMAT </w:instrText>
      </w:r>
      <w:r w:rsidRPr="00705F6E">
        <w:rPr>
          <w:bCs/>
          <w:szCs w:val="22"/>
        </w:rPr>
      </w:r>
      <w:r w:rsidRPr="00705F6E">
        <w:rPr>
          <w:bCs/>
          <w:szCs w:val="22"/>
        </w:rPr>
        <w:fldChar w:fldCharType="separate"/>
      </w:r>
      <w:r w:rsidR="008C565B" w:rsidRPr="008C565B">
        <w:rPr>
          <w:szCs w:val="22"/>
        </w:rPr>
        <w:t xml:space="preserve">Equation </w:t>
      </w:r>
      <w:r w:rsidR="008C565B" w:rsidRPr="008C565B">
        <w:rPr>
          <w:noProof/>
          <w:szCs w:val="22"/>
        </w:rPr>
        <w:t>3</w:t>
      </w:r>
      <w:r w:rsidRPr="00705F6E">
        <w:rPr>
          <w:bCs/>
          <w:szCs w:val="22"/>
        </w:rPr>
        <w:fldChar w:fldCharType="end"/>
      </w:r>
      <w:r>
        <w:rPr>
          <w:bCs/>
        </w:rPr>
        <w:t xml:space="preserve"> are inserted in </w:t>
      </w:r>
      <w:r w:rsidRPr="00705F6E">
        <w:rPr>
          <w:bCs/>
          <w:szCs w:val="22"/>
        </w:rPr>
        <w:fldChar w:fldCharType="begin"/>
      </w:r>
      <w:r w:rsidRPr="00705F6E">
        <w:rPr>
          <w:bCs/>
          <w:szCs w:val="22"/>
        </w:rPr>
        <w:instrText xml:space="preserve"> REF _Ref159096341 \h </w:instrText>
      </w:r>
      <w:r w:rsidR="00705F6E">
        <w:rPr>
          <w:bCs/>
          <w:szCs w:val="22"/>
        </w:rPr>
        <w:instrText xml:space="preserve"> \* MERGEFORMAT </w:instrText>
      </w:r>
      <w:r w:rsidRPr="00705F6E">
        <w:rPr>
          <w:bCs/>
          <w:szCs w:val="22"/>
        </w:rPr>
      </w:r>
      <w:r w:rsidRPr="00705F6E">
        <w:rPr>
          <w:bCs/>
          <w:szCs w:val="22"/>
        </w:rPr>
        <w:fldChar w:fldCharType="separate"/>
      </w:r>
      <w:r w:rsidR="008C565B" w:rsidRPr="008C565B">
        <w:rPr>
          <w:szCs w:val="22"/>
        </w:rPr>
        <w:t xml:space="preserve">Equation </w:t>
      </w:r>
      <w:r w:rsidR="008C565B" w:rsidRPr="008C565B">
        <w:rPr>
          <w:noProof/>
          <w:szCs w:val="22"/>
        </w:rPr>
        <w:t>15</w:t>
      </w:r>
      <w:r w:rsidRPr="00705F6E">
        <w:rPr>
          <w:bCs/>
          <w:szCs w:val="22"/>
        </w:rPr>
        <w:fldChar w:fldCharType="end"/>
      </w:r>
      <w:r>
        <w:rPr>
          <w:bCs/>
        </w:rPr>
        <w:t xml:space="preserve">. </w:t>
      </w:r>
      <w:r w:rsidR="00DF15B6">
        <w:rPr>
          <w:bCs/>
        </w:rPr>
        <w:t>The r</w:t>
      </w:r>
      <w:r>
        <w:rPr>
          <w:bCs/>
        </w:rPr>
        <w:t xml:space="preserve">ate constants, </w:t>
      </w:r>
      <w:r w:rsidRPr="00705F6E">
        <w:rPr>
          <w:bCs/>
          <w:szCs w:val="22"/>
        </w:rPr>
        <w:fldChar w:fldCharType="begin"/>
      </w:r>
      <w:r w:rsidRPr="00705F6E">
        <w:rPr>
          <w:bCs/>
          <w:szCs w:val="22"/>
        </w:rPr>
        <w:instrText xml:space="preserve"> REF _Ref159096580 \h </w:instrText>
      </w:r>
      <w:r w:rsidR="00705F6E">
        <w:rPr>
          <w:bCs/>
          <w:szCs w:val="22"/>
        </w:rPr>
        <w:instrText xml:space="preserve"> \* MERGEFORMAT </w:instrText>
      </w:r>
      <w:r w:rsidRPr="00705F6E">
        <w:rPr>
          <w:bCs/>
          <w:szCs w:val="22"/>
        </w:rPr>
      </w:r>
      <w:r w:rsidRPr="00705F6E">
        <w:rPr>
          <w:bCs/>
          <w:szCs w:val="22"/>
        </w:rPr>
        <w:fldChar w:fldCharType="separate"/>
      </w:r>
      <w:r w:rsidR="008C565B" w:rsidRPr="008C565B">
        <w:rPr>
          <w:szCs w:val="22"/>
        </w:rPr>
        <w:t xml:space="preserve">Equation </w:t>
      </w:r>
      <w:r w:rsidR="008C565B" w:rsidRPr="008C565B">
        <w:rPr>
          <w:noProof/>
          <w:szCs w:val="22"/>
        </w:rPr>
        <w:t>4</w:t>
      </w:r>
      <w:r w:rsidRPr="00705F6E">
        <w:rPr>
          <w:bCs/>
          <w:szCs w:val="22"/>
        </w:rPr>
        <w:fldChar w:fldCharType="end"/>
      </w:r>
      <w:r>
        <w:rPr>
          <w:bCs/>
        </w:rPr>
        <w:t xml:space="preserve">, are assumed to be overpotential dependent, either in linear or quadratic form. As we will see later, rate constants are often calculated from </w:t>
      </w:r>
      <w:r w:rsidR="00091C49">
        <w:rPr>
          <w:bCs/>
        </w:rPr>
        <w:t>density functional theory (</w:t>
      </w:r>
      <w:r>
        <w:rPr>
          <w:bCs/>
        </w:rPr>
        <w:t>DFT</w:t>
      </w:r>
      <w:r w:rsidR="00091C49">
        <w:rPr>
          <w:bCs/>
        </w:rPr>
        <w:t>)</w:t>
      </w:r>
      <w:r>
        <w:rPr>
          <w:bCs/>
        </w:rPr>
        <w:t xml:space="preserve">-based free energy calculations of intermediates. When a Langmuir adsorption model is used, which is frequently the case, the sum of all surface coverages, including those of empty sites, </w:t>
      </w:r>
      <w:r w:rsidR="00DF15B6">
        <w:rPr>
          <w:bCs/>
        </w:rPr>
        <w:t xml:space="preserve">is </w:t>
      </w:r>
      <w:r>
        <w:rPr>
          <w:bCs/>
        </w:rPr>
        <w:t xml:space="preserve">equal to 1. Then, the set of equations are solved to get surface coverages and reaction rates as a function of </w:t>
      </w:r>
      <w:r w:rsidR="00DF15B6">
        <w:rPr>
          <w:bCs/>
        </w:rPr>
        <w:t xml:space="preserve">the </w:t>
      </w:r>
      <w:r>
        <w:rPr>
          <w:bCs/>
        </w:rPr>
        <w:t xml:space="preserve">overpotential, the </w:t>
      </w:r>
      <w:r w:rsidR="00DF15B6">
        <w:rPr>
          <w:bCs/>
        </w:rPr>
        <w:t xml:space="preserve">reaction rates </w:t>
      </w:r>
      <w:r>
        <w:rPr>
          <w:bCs/>
        </w:rPr>
        <w:t xml:space="preserve">can </w:t>
      </w:r>
      <w:r w:rsidR="00DF15B6">
        <w:rPr>
          <w:bCs/>
        </w:rPr>
        <w:t xml:space="preserve">then </w:t>
      </w:r>
      <w:r>
        <w:rPr>
          <w:bCs/>
        </w:rPr>
        <w:t xml:space="preserve">finally be converted into current densities. Since the solution provides the surface coverages, no prior assumption is needed as to the </w:t>
      </w:r>
      <w:r w:rsidR="00DF15B6">
        <w:rPr>
          <w:bCs/>
        </w:rPr>
        <w:t>RDS</w:t>
      </w:r>
      <w:r>
        <w:rPr>
          <w:bCs/>
        </w:rPr>
        <w:t>. Recently, Exner</w:t>
      </w:r>
      <w:r>
        <w:rPr>
          <w:bCs/>
        </w:rPr>
        <w:fldChar w:fldCharType="begin"/>
      </w:r>
      <w:r w:rsidR="00FC5BEB">
        <w:rPr>
          <w:bCs/>
        </w:rPr>
        <w:instrText xml:space="preserve"> ADDIN EN.CITE &lt;EndNote&gt;&lt;Cite&gt;&lt;Author&gt;Exner&lt;/Author&gt;&lt;Year&gt;2022&lt;/Year&gt;&lt;RecNum&gt;81&lt;/RecNum&gt;&lt;DisplayText&gt;&lt;style face="superscript"&gt;83&lt;/style&gt;&lt;/DisplayText&gt;&lt;record&gt;&lt;rec-number&gt;81&lt;/rec-number&gt;&lt;foreign-keys&gt;&lt;key app="EN" db-id="2xex0erf4eexr4e2dpbxpdd829xttesxxxdr" timestamp="1715075296"&gt;81&lt;/key&gt;&lt;/foreign-keys&gt;&lt;ref-type name="Journal Article"&gt;17&lt;/ref-type&gt;&lt;contributors&gt;&lt;authors&gt;&lt;author&gt;Exner, Kai S.&lt;/author&gt;&lt;/authors&gt;&lt;/contributors&gt;&lt;titles&gt;&lt;title&gt;Why the microkinetic modeling of experimental tafel plots requires knowledge of the reaction intermediate&amp;apos;s binding energy&lt;/title&gt;&lt;secondary-title&gt;Electrochem. Sci. Adv.&lt;/secondary-title&gt;&lt;/titles&gt;&lt;periodical&gt;&lt;full-title&gt;Electrochem. Sci. Adv.&lt;/full-title&gt;&lt;/periodical&gt;&lt;pages&gt;e2100037&lt;/pages&gt;&lt;volume&gt;2&lt;/volume&gt;&lt;number&gt;4&lt;/number&gt;&lt;dates&gt;&lt;year&gt;2022&lt;/year&gt;&lt;/dates&gt;&lt;isbn&gt;2698-5977&lt;/isbn&gt;&lt;urls&gt;&lt;related-urls&gt;&lt;url&gt;https://chemistry-europe.onlinelibrary.wiley.com/doi/abs/10.1002/elsa.202100037&lt;/url&gt;&lt;/related-urls&gt;&lt;/urls&gt;&lt;electronic-resource-num&gt;https://doi.org/10.1002/elsa.202100037&lt;/electronic-resource-num&gt;&lt;/record&gt;&lt;/Cite&gt;&lt;/EndNote&gt;</w:instrText>
      </w:r>
      <w:r>
        <w:rPr>
          <w:bCs/>
        </w:rPr>
        <w:fldChar w:fldCharType="separate"/>
      </w:r>
      <w:r w:rsidR="00FC5BEB" w:rsidRPr="00FC5BEB">
        <w:rPr>
          <w:bCs/>
          <w:noProof/>
          <w:vertAlign w:val="superscript"/>
        </w:rPr>
        <w:t>83</w:t>
      </w:r>
      <w:r>
        <w:rPr>
          <w:bCs/>
        </w:rPr>
        <w:fldChar w:fldCharType="end"/>
      </w:r>
      <w:r>
        <w:rPr>
          <w:bCs/>
        </w:rPr>
        <w:t xml:space="preserve"> compared the applicability of the two approximations, especially for cases where experimentally two or more Tafel slopes are observed and concluded that the quasi-equilibrium approximation </w:t>
      </w:r>
      <w:r w:rsidRPr="009B09C3">
        <w:rPr>
          <w:bCs/>
        </w:rPr>
        <w:t>may fail in the evaluation of a Tafel plot</w:t>
      </w:r>
      <w:r>
        <w:rPr>
          <w:bCs/>
        </w:rPr>
        <w:t xml:space="preserve"> in the transition zone.</w:t>
      </w:r>
    </w:p>
    <w:p w14:paraId="72DCFBDA" w14:textId="77777777" w:rsidR="00204D0E" w:rsidRDefault="00204D0E" w:rsidP="00204D0E">
      <w:pPr>
        <w:widowControl w:val="0"/>
        <w:autoSpaceDE w:val="0"/>
        <w:autoSpaceDN w:val="0"/>
        <w:adjustRightInd w:val="0"/>
      </w:pPr>
    </w:p>
    <w:p w14:paraId="22B6CE90" w14:textId="6D27A1E6" w:rsidR="00204D0E" w:rsidRPr="001C2508" w:rsidRDefault="00204D0E" w:rsidP="00BC7855">
      <w:pPr>
        <w:pStyle w:val="Heading2"/>
      </w:pPr>
      <w:bookmarkStart w:id="28" w:name="_Toc159281597"/>
      <w:bookmarkStart w:id="29" w:name="_Toc159371023"/>
      <w:bookmarkStart w:id="30" w:name="_Ref159882418"/>
      <w:bookmarkStart w:id="31" w:name="_Ref159928684"/>
      <w:bookmarkStart w:id="32" w:name="_Toc166441727"/>
      <w:r w:rsidRPr="001C2508">
        <w:t>Kinetics of multistep OER mechanisms</w:t>
      </w:r>
      <w:bookmarkEnd w:id="28"/>
      <w:bookmarkEnd w:id="29"/>
      <w:bookmarkEnd w:id="30"/>
      <w:bookmarkEnd w:id="31"/>
      <w:bookmarkEnd w:id="32"/>
    </w:p>
    <w:p w14:paraId="5A1F213C" w14:textId="77777777" w:rsidR="00204D0E" w:rsidRDefault="00204D0E" w:rsidP="00204D0E"/>
    <w:p w14:paraId="774ADA1A" w14:textId="1932510C" w:rsidR="00204D0E" w:rsidRDefault="00204D0E" w:rsidP="00204D0E">
      <w:pPr>
        <w:ind w:firstLine="720"/>
      </w:pPr>
      <w:r>
        <w:t xml:space="preserve">There exists a vast </w:t>
      </w:r>
      <w:r w:rsidR="00DF15B6">
        <w:t>body</w:t>
      </w:r>
      <w:r w:rsidR="00091C49">
        <w:t xml:space="preserve"> of</w:t>
      </w:r>
      <w:r w:rsidR="00DF15B6">
        <w:t xml:space="preserve"> </w:t>
      </w:r>
      <w:r>
        <w:t xml:space="preserve">literature of proposed OER mechanisms based on kinetic experiments with electrocatalysts of various kinds. Since the topic of our review is not to recite and re-analyze a half a </w:t>
      </w:r>
      <w:r w:rsidR="00C33518">
        <w:t>century</w:t>
      </w:r>
      <w:r>
        <w:t xml:space="preserve"> or more </w:t>
      </w:r>
      <w:r w:rsidR="00091C49">
        <w:t xml:space="preserve">of </w:t>
      </w:r>
      <w:r w:rsidR="00DF15B6">
        <w:t>experimental work</w:t>
      </w:r>
      <w:r>
        <w:t xml:space="preserve"> done </w:t>
      </w:r>
      <w:r w:rsidR="00DF15B6">
        <w:t>on the</w:t>
      </w:r>
      <w:r>
        <w:t xml:space="preserve"> OER, we arbitrarily selected two publications to illustrate mechanistic evaluations of </w:t>
      </w:r>
      <w:r w:rsidR="00DF15B6">
        <w:t xml:space="preserve">the </w:t>
      </w:r>
      <w:r>
        <w:t xml:space="preserve">OER based on kinetic estimates. One is </w:t>
      </w:r>
      <w:r w:rsidR="0027230E">
        <w:t xml:space="preserve">a seminal work </w:t>
      </w:r>
      <w:r>
        <w:t xml:space="preserve">by </w:t>
      </w:r>
      <w:proofErr w:type="spellStart"/>
      <w:r>
        <w:t>Bockris</w:t>
      </w:r>
      <w:proofErr w:type="spellEnd"/>
      <w:r>
        <w:t xml:space="preserve"> and Otagawa</w:t>
      </w:r>
      <w:r>
        <w:fldChar w:fldCharType="begin"/>
      </w:r>
      <w:r w:rsidR="00FC5BEB">
        <w:instrText xml:space="preserve"> ADDIN EN.CITE &lt;EndNote&gt;&lt;Cite&gt;&lt;Author&gt;Bockris&lt;/Author&gt;&lt;Year&gt;1983&lt;/Year&gt;&lt;RecNum&gt;82&lt;/RecNum&gt;&lt;DisplayText&gt;&lt;style face="superscript"&gt;84&lt;/style&gt;&lt;/DisplayText&gt;&lt;record&gt;&lt;rec-number&gt;82&lt;/rec-number&gt;&lt;foreign-keys&gt;&lt;key app="EN" db-id="2xex0erf4eexr4e2dpbxpdd829xttesxxxdr" timestamp="1715075296"&gt;82&lt;/key&gt;&lt;/foreign-keys&gt;&lt;ref-type name="Journal Article"&gt;17&lt;/ref-type&gt;&lt;contributors&gt;&lt;authors&gt;&lt;author&gt;Bockris, John O&amp;apos;M&lt;/author&gt;&lt;author&gt;Otagawa, Takaaki&lt;/author&gt;&lt;/authors&gt;&lt;/contributors&gt;&lt;titles&gt;&lt;title&gt;Mechanism of oxygen evolution on perovskites&lt;/title&gt;&lt;secondary-title&gt;Journal of Physical Chemistry&lt;/secondary-title&gt;&lt;/titles&gt;&lt;periodical&gt;&lt;full-title&gt;Journal of Physical Chemistry&lt;/full-title&gt;&lt;abbr-1&gt;J. Phys. Chem.&lt;/abbr-1&gt;&lt;abbr-2&gt;J Phys Chem&lt;/abbr-2&gt;&lt;/periodical&gt;&lt;pages&gt;2960-2971&lt;/pages&gt;&lt;volume&gt;87&lt;/volume&gt;&lt;number&gt;15&lt;/number&gt;&lt;dates&gt;&lt;year&gt;1983&lt;/year&gt;&lt;pub-dates&gt;&lt;date&gt;1983/07/01&lt;/date&gt;&lt;/pub-dates&gt;&lt;/dates&gt;&lt;publisher&gt;American Chemical Society&lt;/publisher&gt;&lt;isbn&gt;0022-3654&lt;/isbn&gt;&lt;urls&gt;&lt;related-urls&gt;&lt;url&gt;https://doi.org/10.1021/j100238a048&lt;/url&gt;&lt;/related-urls&gt;&lt;/urls&gt;&lt;electronic-resource-num&gt;10.1021/j100238a048&lt;/electronic-resource-num&gt;&lt;/record&gt;&lt;/Cite&gt;&lt;/EndNote&gt;</w:instrText>
      </w:r>
      <w:r>
        <w:fldChar w:fldCharType="separate"/>
      </w:r>
      <w:r w:rsidR="00FC5BEB" w:rsidRPr="00FC5BEB">
        <w:rPr>
          <w:noProof/>
          <w:vertAlign w:val="superscript"/>
        </w:rPr>
        <w:t>84</w:t>
      </w:r>
      <w:r>
        <w:fldChar w:fldCharType="end"/>
      </w:r>
      <w:r>
        <w:t xml:space="preserve">, who analyzed perovskite-type oxides and compared their kinetic results with the contemporary common OER pathways of the time. The work is from 1983, hence prior to the advent of DFT studies </w:t>
      </w:r>
      <w:r w:rsidR="00DF15B6">
        <w:t xml:space="preserve">of the </w:t>
      </w:r>
      <w:r>
        <w:t xml:space="preserve">OER. The second is a perspective article by Doyle </w:t>
      </w:r>
      <w:r w:rsidR="00DF15B6">
        <w:t>e</w:t>
      </w:r>
      <w:r>
        <w:t>t al.,</w:t>
      </w:r>
      <w:r>
        <w:fldChar w:fldCharType="begin"/>
      </w:r>
      <w:r w:rsidR="00FC5BEB">
        <w:instrText xml:space="preserve"> ADDIN EN.CITE &lt;EndNote&gt;&lt;Cite&gt;&lt;Author&gt;Doyle&lt;/Author&gt;&lt;Year&gt;2013&lt;/Year&gt;&lt;RecNum&gt;83&lt;/RecNum&gt;&lt;DisplayText&gt;&lt;style face="superscript"&gt;85&lt;/style&gt;&lt;/DisplayText&gt;&lt;record&gt;&lt;rec-number&gt;83&lt;/rec-number&gt;&lt;foreign-keys&gt;&lt;key app="EN" db-id="2xex0erf4eexr4e2dpbxpdd829xttesxxxdr" timestamp="1715075296"&gt;83&lt;/key&gt;&lt;/foreign-keys&gt;&lt;ref-type name="Journal Article"&gt;17&lt;/ref-type&gt;&lt;contributors&gt;&lt;authors&gt;&lt;author&gt;Doyle, Richard L.&lt;/author&gt;&lt;author&gt;Godwin, Ian J.&lt;/author&gt;&lt;author&gt;Brandon, Michael P.&lt;/author&gt;&lt;author&gt;Lyons, Michael E. G.&lt;/author&gt;&lt;/authors&gt;&lt;/contributors&gt;&lt;titles&gt;&lt;title&gt;Redox and electrochemical water splitting catalytic properties of hydrated metal oxide modified electrodes&lt;/title&gt;&lt;secondary-title&gt;Physical Chemistry Chemical Physics&lt;/secondary-title&gt;&lt;/titles&gt;&lt;periodical&gt;&lt;full-title&gt;Physical Chemistry Chemical Physics&lt;/full-title&gt;&lt;abbr-1&gt;Phys. Chem. Chem. Phys.&lt;/abbr-1&gt;&lt;abbr-2&gt;Phys Chem Chem Phys&lt;/abbr-2&gt;&lt;/periodical&gt;&lt;pages&gt;13737-13783&lt;/pages&gt;&lt;volume&gt;15&lt;/volume&gt;&lt;number&gt;33&lt;/number&gt;&lt;dates&gt;&lt;year&gt;2013&lt;/year&gt;&lt;/dates&gt;&lt;publisher&gt;The Royal Society of Chemistry&lt;/publisher&gt;&lt;isbn&gt;1463-9076&lt;/isbn&gt;&lt;work-type&gt;10.1039/C3CP51213D&lt;/work-type&gt;&lt;urls&gt;&lt;related-urls&gt;&lt;url&gt;http://dx.doi.org/10.1039/C3CP51213D&lt;/url&gt;&lt;/related-urls&gt;&lt;/urls&gt;&lt;electronic-resource-num&gt;10.1039/C3CP51213D&lt;/electronic-resource-num&gt;&lt;/record&gt;&lt;/Cite&gt;&lt;/EndNote&gt;</w:instrText>
      </w:r>
      <w:r>
        <w:fldChar w:fldCharType="separate"/>
      </w:r>
      <w:r w:rsidR="00FC5BEB" w:rsidRPr="00FC5BEB">
        <w:rPr>
          <w:noProof/>
          <w:vertAlign w:val="superscript"/>
        </w:rPr>
        <w:t>85</w:t>
      </w:r>
      <w:r>
        <w:fldChar w:fldCharType="end"/>
      </w:r>
      <w:r>
        <w:t xml:space="preserve"> who reviewed the field of hydrous transition metal oxide/oxyhydroxide from their experimentalist perspective 30 years later. Our choice is motivated by the fact that while nowadays all reviews on OER focus heavily on progress made by DFT calculations, Doyle </w:t>
      </w:r>
      <w:r w:rsidR="00D72296">
        <w:t>et al.</w:t>
      </w:r>
      <w:r>
        <w:t xml:space="preserve"> acknowledged the strength of DFT-based theories, nevertheless their views reflected their strong </w:t>
      </w:r>
      <w:r w:rsidR="00DF15B6">
        <w:t xml:space="preserve">experimental </w:t>
      </w:r>
      <w:r>
        <w:lastRenderedPageBreak/>
        <w:t>electrochemistry background. Hence, we have here two articles</w:t>
      </w:r>
      <w:r w:rsidR="00091C49">
        <w:t>,</w:t>
      </w:r>
      <w:r>
        <w:t xml:space="preserve"> one without any influence by DFT and a second with only a minor “bias” towards D</w:t>
      </w:r>
      <w:r w:rsidR="00DF15B6">
        <w:t>FT</w:t>
      </w:r>
      <w:r>
        <w:t xml:space="preserve">, which is useful at this </w:t>
      </w:r>
      <w:r w:rsidR="007D7D67">
        <w:t>junction</w:t>
      </w:r>
      <w:r>
        <w:t xml:space="preserve"> of our review. </w:t>
      </w:r>
    </w:p>
    <w:p w14:paraId="0B22E5C3" w14:textId="51033BD3" w:rsidR="006925EF" w:rsidRDefault="006925EF" w:rsidP="006925EF"/>
    <w:p w14:paraId="4B9538AB" w14:textId="1FE46AB4" w:rsidR="006925EF" w:rsidRPr="00704C0E" w:rsidRDefault="006925EF" w:rsidP="00FC0AD9">
      <w:pPr>
        <w:pStyle w:val="Caption"/>
        <w:rPr>
          <w:lang w:val="en-US"/>
        </w:rPr>
      </w:pPr>
      <w:bookmarkStart w:id="33" w:name="_Ref159162214"/>
      <w:r w:rsidRPr="00C05449">
        <w:rPr>
          <w:b/>
          <w:bCs w:val="0"/>
          <w:sz w:val="22"/>
        </w:rPr>
        <w:t xml:space="preserve">Table </w:t>
      </w:r>
      <w:r w:rsidRPr="00C05449">
        <w:rPr>
          <w:b/>
          <w:bCs w:val="0"/>
          <w:sz w:val="22"/>
        </w:rPr>
        <w:fldChar w:fldCharType="begin"/>
      </w:r>
      <w:r w:rsidRPr="00C05449">
        <w:rPr>
          <w:b/>
          <w:bCs w:val="0"/>
          <w:sz w:val="22"/>
        </w:rPr>
        <w:instrText xml:space="preserve"> SEQ Table \* ARABIC </w:instrText>
      </w:r>
      <w:r w:rsidRPr="00C05449">
        <w:rPr>
          <w:b/>
          <w:bCs w:val="0"/>
          <w:sz w:val="22"/>
        </w:rPr>
        <w:fldChar w:fldCharType="separate"/>
      </w:r>
      <w:r w:rsidR="008C565B">
        <w:rPr>
          <w:b/>
          <w:bCs w:val="0"/>
          <w:noProof/>
          <w:sz w:val="22"/>
        </w:rPr>
        <w:t>1</w:t>
      </w:r>
      <w:r w:rsidRPr="00C05449">
        <w:rPr>
          <w:b/>
          <w:bCs w:val="0"/>
          <w:sz w:val="22"/>
        </w:rPr>
        <w:fldChar w:fldCharType="end"/>
      </w:r>
      <w:bookmarkEnd w:id="33"/>
      <w:r>
        <w:t xml:space="preserve"> </w:t>
      </w:r>
      <w:r w:rsidRPr="005074D9">
        <w:t xml:space="preserve">Kinetic parameters </w:t>
      </w:r>
      <w:r w:rsidR="000F380B">
        <w:t xml:space="preserve">observed </w:t>
      </w:r>
      <w:r w:rsidR="008F695C">
        <w:t xml:space="preserve">experimentally </w:t>
      </w:r>
      <w:r w:rsidR="000F380B">
        <w:t xml:space="preserve">for selected perovskites and </w:t>
      </w:r>
      <w:r w:rsidR="008F695C">
        <w:t xml:space="preserve">theoretically </w:t>
      </w:r>
      <w:r w:rsidRPr="005074D9">
        <w:t>derived for common OER mechanistic pathways</w:t>
      </w:r>
      <w:r w:rsidR="000F380B">
        <w:t>. Adapted with permission</w:t>
      </w:r>
      <w:r>
        <w:t xml:space="preserve"> from</w:t>
      </w:r>
      <w:r w:rsidR="000F380B">
        <w:t xml:space="preserve"> Ref. </w:t>
      </w:r>
      <w:r>
        <w:fldChar w:fldCharType="begin"/>
      </w:r>
      <w:r w:rsidR="00FC5BEB">
        <w:instrText xml:space="preserve"> ADDIN EN.CITE &lt;EndNote&gt;&lt;Cite&gt;&lt;Author&gt;Bockris&lt;/Author&gt;&lt;Year&gt;1983&lt;/Year&gt;&lt;RecNum&gt;82&lt;/RecNum&gt;&lt;DisplayText&gt;&lt;style face="superscript"&gt;84&lt;/style&gt;&lt;/DisplayText&gt;&lt;record&gt;&lt;rec-number&gt;82&lt;/rec-number&gt;&lt;foreign-keys&gt;&lt;key app="EN" db-id="2xex0erf4eexr4e2dpbxpdd829xttesxxxdr" timestamp="1715075296"&gt;82&lt;/key&gt;&lt;/foreign-keys&gt;&lt;ref-type name="Journal Article"&gt;17&lt;/ref-type&gt;&lt;contributors&gt;&lt;authors&gt;&lt;author&gt;Bockris, John O&amp;apos;M&lt;/author&gt;&lt;author&gt;Otagawa, Takaaki&lt;/author&gt;&lt;/authors&gt;&lt;/contributors&gt;&lt;titles&gt;&lt;title&gt;Mechanism of oxygen evolution on perovskites&lt;/title&gt;&lt;secondary-title&gt;Journal of Physical Chemistry&lt;/secondary-title&gt;&lt;/titles&gt;&lt;periodical&gt;&lt;full-title&gt;Journal of Physical Chemistry&lt;/full-title&gt;&lt;abbr-1&gt;J. Phys. Chem.&lt;/abbr-1&gt;&lt;abbr-2&gt;J Phys Chem&lt;/abbr-2&gt;&lt;/periodical&gt;&lt;pages&gt;2960-2971&lt;/pages&gt;&lt;volume&gt;87&lt;/volume&gt;&lt;number&gt;15&lt;/number&gt;&lt;dates&gt;&lt;year&gt;1983&lt;/year&gt;&lt;pub-dates&gt;&lt;date&gt;1983/07/01&lt;/date&gt;&lt;/pub-dates&gt;&lt;/dates&gt;&lt;publisher&gt;American Chemical Society&lt;/publisher&gt;&lt;isbn&gt;0022-3654&lt;/isbn&gt;&lt;urls&gt;&lt;related-urls&gt;&lt;url&gt;https://doi.org/10.1021/j100238a048&lt;/url&gt;&lt;/related-urls&gt;&lt;/urls&gt;&lt;electronic-resource-num&gt;10.1021/j100238a048&lt;/electronic-resource-num&gt;&lt;/record&gt;&lt;/Cite&gt;&lt;/EndNote&gt;</w:instrText>
      </w:r>
      <w:r>
        <w:fldChar w:fldCharType="separate"/>
      </w:r>
      <w:r w:rsidR="00FC5BEB" w:rsidRPr="00FC5BEB">
        <w:rPr>
          <w:noProof/>
          <w:vertAlign w:val="superscript"/>
        </w:rPr>
        <w:t>84</w:t>
      </w:r>
      <w:r>
        <w:fldChar w:fldCharType="end"/>
      </w:r>
      <w:r>
        <w:t>.</w:t>
      </w:r>
      <w:r w:rsidR="00B81519">
        <w:t xml:space="preserve"> </w:t>
      </w:r>
      <w:r w:rsidR="00B81519" w:rsidRPr="00B81519">
        <w:rPr>
          <w:lang w:val="en-US"/>
        </w:rPr>
        <w:t xml:space="preserve">Copyright </w:t>
      </w:r>
      <w:r w:rsidR="00B81519">
        <w:rPr>
          <w:lang w:val="en-US"/>
        </w:rPr>
        <w:t>1983</w:t>
      </w:r>
      <w:r w:rsidR="00B81519" w:rsidRPr="00B81519">
        <w:rPr>
          <w:lang w:val="en-US"/>
        </w:rPr>
        <w:t xml:space="preserve"> American Chemical Society.</w:t>
      </w:r>
    </w:p>
    <w:tbl>
      <w:tblPr>
        <w:tblStyle w:val="TableGrid1"/>
        <w:tblW w:w="92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278"/>
        <w:gridCol w:w="426"/>
        <w:gridCol w:w="708"/>
        <w:gridCol w:w="709"/>
        <w:gridCol w:w="709"/>
        <w:gridCol w:w="430"/>
        <w:gridCol w:w="142"/>
        <w:gridCol w:w="94"/>
        <w:gridCol w:w="751"/>
        <w:gridCol w:w="567"/>
        <w:gridCol w:w="567"/>
        <w:gridCol w:w="426"/>
        <w:gridCol w:w="703"/>
        <w:gridCol w:w="236"/>
      </w:tblGrid>
      <w:tr w:rsidR="00780634" w:rsidRPr="00780634" w14:paraId="17902932" w14:textId="77777777" w:rsidTr="00B2471A">
        <w:tc>
          <w:tcPr>
            <w:tcW w:w="2552" w:type="dxa"/>
            <w:tcBorders>
              <w:bottom w:val="single" w:sz="8" w:space="0" w:color="auto"/>
            </w:tcBorders>
            <w:shd w:val="clear" w:color="auto" w:fill="D9D9D9" w:themeFill="background1" w:themeFillShade="D9"/>
            <w:tcMar>
              <w:left w:w="28" w:type="dxa"/>
              <w:right w:w="28" w:type="dxa"/>
            </w:tcMar>
          </w:tcPr>
          <w:p w14:paraId="49B3C62E" w14:textId="77777777" w:rsidR="00780634" w:rsidRPr="00780634" w:rsidRDefault="00780634" w:rsidP="00780634">
            <w:pPr>
              <w:rPr>
                <w:rFonts w:eastAsiaTheme="minorHAnsi"/>
                <w:color w:val="000000" w:themeColor="text1"/>
                <w:kern w:val="2"/>
                <w:sz w:val="14"/>
                <w:szCs w:val="14"/>
                <w14:ligatures w14:val="standardContextual"/>
              </w:rPr>
            </w:pPr>
            <w:r w:rsidRPr="00780634">
              <w:rPr>
                <w:rFonts w:eastAsiaTheme="minorHAnsi"/>
                <w:color w:val="000000" w:themeColor="text1"/>
                <w:kern w:val="2"/>
                <w:sz w:val="14"/>
                <w:szCs w:val="14"/>
                <w14:ligatures w14:val="standardContextual"/>
              </w:rPr>
              <w:t>Tafel slopes, approximately</w:t>
            </w:r>
          </w:p>
        </w:tc>
        <w:tc>
          <w:tcPr>
            <w:tcW w:w="278" w:type="dxa"/>
            <w:shd w:val="clear" w:color="auto" w:fill="D9D9D9" w:themeFill="background1" w:themeFillShade="D9"/>
          </w:tcPr>
          <w:p w14:paraId="10C69D58" w14:textId="77777777" w:rsidR="00780634" w:rsidRPr="00780634" w:rsidRDefault="00780634" w:rsidP="00780634">
            <w:pPr>
              <w:rPr>
                <w:rFonts w:eastAsiaTheme="minorHAnsi"/>
                <w:color w:val="000000" w:themeColor="text1"/>
                <w:kern w:val="2"/>
                <w:sz w:val="14"/>
                <w:szCs w:val="14"/>
                <w14:ligatures w14:val="standardContextual"/>
              </w:rPr>
            </w:pPr>
          </w:p>
        </w:tc>
        <w:tc>
          <w:tcPr>
            <w:tcW w:w="6232" w:type="dxa"/>
            <w:gridSpan w:val="12"/>
            <w:tcBorders>
              <w:bottom w:val="single" w:sz="8" w:space="0" w:color="auto"/>
            </w:tcBorders>
            <w:shd w:val="clear" w:color="auto" w:fill="D9D9D9" w:themeFill="background1" w:themeFillShade="D9"/>
            <w:tcMar>
              <w:left w:w="28" w:type="dxa"/>
              <w:right w:w="28" w:type="dxa"/>
            </w:tcMar>
          </w:tcPr>
          <w:p w14:paraId="2E8EE926" w14:textId="77777777" w:rsidR="00780634" w:rsidRPr="00780634" w:rsidRDefault="00780634" w:rsidP="00780634">
            <w:pPr>
              <w:rPr>
                <w:rFonts w:eastAsiaTheme="minorHAnsi"/>
                <w:color w:val="000000" w:themeColor="text1"/>
                <w:kern w:val="2"/>
                <w:sz w:val="14"/>
                <w:szCs w:val="14"/>
                <w14:ligatures w14:val="standardContextual"/>
              </w:rPr>
            </w:pPr>
            <w:r w:rsidRPr="00780634">
              <w:rPr>
                <w:rFonts w:eastAsiaTheme="minorHAnsi"/>
                <w:color w:val="000000" w:themeColor="text1"/>
                <w:kern w:val="2"/>
                <w:sz w:val="14"/>
                <w:szCs w:val="14"/>
                <w14:ligatures w14:val="standardContextual"/>
              </w:rPr>
              <w:t xml:space="preserve">Perovskites and their </w:t>
            </w:r>
            <w:r w:rsidRPr="00780634">
              <w:rPr>
                <w:rFonts w:eastAsiaTheme="minorHAnsi"/>
                <w:kern w:val="2"/>
                <w:sz w:val="14"/>
                <w:szCs w:val="14"/>
                <w14:ligatures w14:val="standardContextual"/>
              </w:rPr>
              <w:t>[OH</w:t>
            </w:r>
            <w:r w:rsidRPr="00780634">
              <w:rPr>
                <w:rFonts w:eastAsiaTheme="minorHAnsi"/>
                <w:kern w:val="2"/>
                <w:sz w:val="14"/>
                <w:szCs w:val="14"/>
                <w:vertAlign w:val="superscript"/>
                <w14:ligatures w14:val="standardContextual"/>
              </w:rPr>
              <w:t>-</w:t>
            </w:r>
            <w:r w:rsidRPr="00780634">
              <w:rPr>
                <w:rFonts w:eastAsiaTheme="minorHAnsi"/>
                <w:kern w:val="2"/>
                <w:sz w:val="14"/>
                <w:szCs w:val="14"/>
                <w14:ligatures w14:val="standardContextual"/>
              </w:rPr>
              <w:t>] reaction order in bracket</w:t>
            </w:r>
          </w:p>
        </w:tc>
        <w:tc>
          <w:tcPr>
            <w:tcW w:w="236" w:type="dxa"/>
            <w:shd w:val="clear" w:color="auto" w:fill="D9D9D9" w:themeFill="background1" w:themeFillShade="D9"/>
          </w:tcPr>
          <w:p w14:paraId="3B9328C7" w14:textId="77777777" w:rsidR="00780634" w:rsidRPr="00780634" w:rsidRDefault="00780634" w:rsidP="00780634">
            <w:pPr>
              <w:rPr>
                <w:rFonts w:eastAsiaTheme="minorHAnsi"/>
                <w:color w:val="000000" w:themeColor="text1"/>
                <w:kern w:val="2"/>
                <w:sz w:val="14"/>
                <w:szCs w:val="14"/>
                <w14:ligatures w14:val="standardContextual"/>
              </w:rPr>
            </w:pPr>
          </w:p>
        </w:tc>
      </w:tr>
      <w:tr w:rsidR="00780634" w:rsidRPr="00780634" w14:paraId="233912AA" w14:textId="77777777" w:rsidTr="00B2471A">
        <w:tc>
          <w:tcPr>
            <w:tcW w:w="2830" w:type="dxa"/>
            <w:gridSpan w:val="2"/>
            <w:tcMar>
              <w:left w:w="28" w:type="dxa"/>
              <w:right w:w="28" w:type="dxa"/>
            </w:tcMar>
          </w:tcPr>
          <w:p w14:paraId="108920E8"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2RT/3F</w:t>
            </w:r>
          </w:p>
        </w:tc>
        <w:tc>
          <w:tcPr>
            <w:tcW w:w="6468" w:type="dxa"/>
            <w:gridSpan w:val="13"/>
            <w:tcMar>
              <w:left w:w="28" w:type="dxa"/>
              <w:right w:w="28" w:type="dxa"/>
            </w:tcMar>
          </w:tcPr>
          <w:p w14:paraId="77C03187"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LaNiO</w:t>
            </w:r>
            <w:r w:rsidRPr="00780634">
              <w:rPr>
                <w:rFonts w:eastAsiaTheme="minorHAnsi"/>
                <w:kern w:val="2"/>
                <w:sz w:val="14"/>
                <w:szCs w:val="14"/>
                <w:vertAlign w:val="subscript"/>
                <w14:ligatures w14:val="standardContextual"/>
              </w:rPr>
              <w:t>3</w:t>
            </w:r>
            <w:r w:rsidRPr="00780634">
              <w:rPr>
                <w:rFonts w:eastAsiaTheme="minorHAnsi"/>
                <w:kern w:val="2"/>
                <w:sz w:val="14"/>
                <w:szCs w:val="14"/>
                <w14:ligatures w14:val="standardContextual"/>
              </w:rPr>
              <w:t xml:space="preserve"> (0.95)</w:t>
            </w:r>
          </w:p>
        </w:tc>
      </w:tr>
      <w:tr w:rsidR="00780634" w:rsidRPr="00A41B5A" w14:paraId="1F182904" w14:textId="77777777" w:rsidTr="00B2471A">
        <w:tc>
          <w:tcPr>
            <w:tcW w:w="2830" w:type="dxa"/>
            <w:gridSpan w:val="2"/>
            <w:tcMar>
              <w:left w:w="28" w:type="dxa"/>
              <w:right w:w="28" w:type="dxa"/>
            </w:tcMar>
          </w:tcPr>
          <w:p w14:paraId="5F8DB895"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RT/F</w:t>
            </w:r>
          </w:p>
        </w:tc>
        <w:tc>
          <w:tcPr>
            <w:tcW w:w="6468" w:type="dxa"/>
            <w:gridSpan w:val="13"/>
            <w:tcMar>
              <w:left w:w="28" w:type="dxa"/>
              <w:right w:w="28" w:type="dxa"/>
            </w:tcMar>
          </w:tcPr>
          <w:p w14:paraId="5AEF0824"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LaCoO</w:t>
            </w:r>
            <w:r w:rsidRPr="00780634">
              <w:rPr>
                <w:rFonts w:eastAsiaTheme="minorHAnsi"/>
                <w:kern w:val="2"/>
                <w:sz w:val="14"/>
                <w:szCs w:val="14"/>
                <w:vertAlign w:val="subscript"/>
                <w14:ligatures w14:val="standardContextual"/>
              </w:rPr>
              <w:t>3</w:t>
            </w:r>
            <w:r w:rsidRPr="00780634">
              <w:rPr>
                <w:rFonts w:eastAsiaTheme="minorHAnsi"/>
                <w:kern w:val="2"/>
                <w:sz w:val="14"/>
                <w:szCs w:val="14"/>
                <w14:ligatures w14:val="standardContextual"/>
              </w:rPr>
              <w:t xml:space="preserve"> (0.7); La</w:t>
            </w:r>
            <w:r w:rsidRPr="00780634">
              <w:rPr>
                <w:rFonts w:eastAsiaTheme="minorHAnsi"/>
                <w:kern w:val="2"/>
                <w:sz w:val="14"/>
                <w:szCs w:val="14"/>
                <w:vertAlign w:val="subscript"/>
                <w14:ligatures w14:val="standardContextual"/>
              </w:rPr>
              <w:t>0.9</w:t>
            </w:r>
            <w:r w:rsidRPr="00780634">
              <w:rPr>
                <w:rFonts w:eastAsiaTheme="minorHAnsi"/>
                <w:kern w:val="2"/>
                <w:sz w:val="14"/>
                <w:szCs w:val="14"/>
                <w14:ligatures w14:val="standardContextual"/>
              </w:rPr>
              <w:t>Sr</w:t>
            </w:r>
            <w:r w:rsidRPr="00780634">
              <w:rPr>
                <w:rFonts w:eastAsiaTheme="minorHAnsi"/>
                <w:kern w:val="2"/>
                <w:sz w:val="14"/>
                <w:szCs w:val="14"/>
                <w:vertAlign w:val="subscript"/>
                <w14:ligatures w14:val="standardContextual"/>
              </w:rPr>
              <w:t>0.1</w:t>
            </w:r>
            <w:r w:rsidRPr="00780634">
              <w:rPr>
                <w:rFonts w:eastAsiaTheme="minorHAnsi"/>
                <w:kern w:val="2"/>
                <w:sz w:val="14"/>
                <w:szCs w:val="14"/>
                <w14:ligatures w14:val="standardContextual"/>
              </w:rPr>
              <w:t>CoO</w:t>
            </w:r>
            <w:r w:rsidRPr="00780634">
              <w:rPr>
                <w:rFonts w:eastAsiaTheme="minorHAnsi"/>
                <w:kern w:val="2"/>
                <w:sz w:val="14"/>
                <w:szCs w:val="14"/>
                <w:vertAlign w:val="subscript"/>
                <w14:ligatures w14:val="standardContextual"/>
              </w:rPr>
              <w:t>3</w:t>
            </w:r>
            <w:r w:rsidRPr="00780634">
              <w:rPr>
                <w:rFonts w:eastAsiaTheme="minorHAnsi"/>
                <w:kern w:val="2"/>
                <w:sz w:val="14"/>
                <w:szCs w:val="14"/>
                <w14:ligatures w14:val="standardContextual"/>
              </w:rPr>
              <w:t xml:space="preserve"> (0.98); La</w:t>
            </w:r>
            <w:r w:rsidRPr="00780634">
              <w:rPr>
                <w:rFonts w:eastAsiaTheme="minorHAnsi"/>
                <w:kern w:val="2"/>
                <w:sz w:val="14"/>
                <w:szCs w:val="14"/>
                <w:vertAlign w:val="subscript"/>
                <w14:ligatures w14:val="standardContextual"/>
              </w:rPr>
              <w:t>0.6</w:t>
            </w:r>
            <w:r w:rsidRPr="00780634">
              <w:rPr>
                <w:rFonts w:eastAsiaTheme="minorHAnsi"/>
                <w:kern w:val="2"/>
                <w:sz w:val="14"/>
                <w:szCs w:val="14"/>
                <w14:ligatures w14:val="standardContextual"/>
              </w:rPr>
              <w:t>Sr</w:t>
            </w:r>
            <w:r w:rsidRPr="00780634">
              <w:rPr>
                <w:rFonts w:eastAsiaTheme="minorHAnsi"/>
                <w:kern w:val="2"/>
                <w:sz w:val="14"/>
                <w:szCs w:val="14"/>
                <w:vertAlign w:val="subscript"/>
                <w14:ligatures w14:val="standardContextual"/>
              </w:rPr>
              <w:t>0.4</w:t>
            </w:r>
            <w:r w:rsidRPr="00780634">
              <w:rPr>
                <w:rFonts w:eastAsiaTheme="minorHAnsi"/>
                <w:kern w:val="2"/>
                <w:sz w:val="14"/>
                <w:szCs w:val="14"/>
                <w14:ligatures w14:val="standardContextual"/>
              </w:rPr>
              <w:t>CoO</w:t>
            </w:r>
            <w:r w:rsidRPr="00780634">
              <w:rPr>
                <w:rFonts w:eastAsiaTheme="minorHAnsi"/>
                <w:kern w:val="2"/>
                <w:sz w:val="14"/>
                <w:szCs w:val="14"/>
                <w:vertAlign w:val="subscript"/>
                <w14:ligatures w14:val="standardContextual"/>
              </w:rPr>
              <w:t>3</w:t>
            </w:r>
            <w:r w:rsidRPr="00780634">
              <w:rPr>
                <w:rFonts w:eastAsiaTheme="minorHAnsi"/>
                <w:kern w:val="2"/>
                <w:sz w:val="14"/>
                <w:szCs w:val="14"/>
                <w14:ligatures w14:val="standardContextual"/>
              </w:rPr>
              <w:t xml:space="preserve"> (0.84); La</w:t>
            </w:r>
            <w:r w:rsidRPr="00780634">
              <w:rPr>
                <w:rFonts w:eastAsiaTheme="minorHAnsi"/>
                <w:kern w:val="2"/>
                <w:sz w:val="14"/>
                <w:szCs w:val="14"/>
                <w:vertAlign w:val="subscript"/>
                <w14:ligatures w14:val="standardContextual"/>
              </w:rPr>
              <w:t>0.9</w:t>
            </w:r>
            <w:r w:rsidRPr="00780634">
              <w:rPr>
                <w:rFonts w:eastAsiaTheme="minorHAnsi"/>
                <w:kern w:val="2"/>
                <w:sz w:val="14"/>
                <w:szCs w:val="14"/>
                <w14:ligatures w14:val="standardContextual"/>
              </w:rPr>
              <w:t>Ce</w:t>
            </w:r>
            <w:r w:rsidRPr="00780634">
              <w:rPr>
                <w:rFonts w:eastAsiaTheme="minorHAnsi"/>
                <w:kern w:val="2"/>
                <w:sz w:val="14"/>
                <w:szCs w:val="14"/>
                <w:vertAlign w:val="subscript"/>
                <w14:ligatures w14:val="standardContextual"/>
              </w:rPr>
              <w:t>0.1</w:t>
            </w:r>
            <w:r w:rsidRPr="00780634">
              <w:rPr>
                <w:rFonts w:eastAsiaTheme="minorHAnsi"/>
                <w:kern w:val="2"/>
                <w:sz w:val="14"/>
                <w:szCs w:val="14"/>
                <w14:ligatures w14:val="standardContextual"/>
              </w:rPr>
              <w:t>CoO</w:t>
            </w:r>
            <w:r w:rsidRPr="00780634">
              <w:rPr>
                <w:rFonts w:eastAsiaTheme="minorHAnsi"/>
                <w:kern w:val="2"/>
                <w:sz w:val="14"/>
                <w:szCs w:val="14"/>
                <w:vertAlign w:val="subscript"/>
                <w14:ligatures w14:val="standardContextual"/>
              </w:rPr>
              <w:t>3</w:t>
            </w:r>
            <w:r w:rsidRPr="00780634">
              <w:rPr>
                <w:rFonts w:eastAsiaTheme="minorHAnsi"/>
                <w:kern w:val="2"/>
                <w:sz w:val="14"/>
                <w:szCs w:val="14"/>
                <w14:ligatures w14:val="standardContextual"/>
              </w:rPr>
              <w:t xml:space="preserve"> (0.95); Nd</w:t>
            </w:r>
            <w:r w:rsidRPr="00780634">
              <w:rPr>
                <w:rFonts w:eastAsiaTheme="minorHAnsi"/>
                <w:kern w:val="2"/>
                <w:sz w:val="14"/>
                <w:szCs w:val="14"/>
                <w:vertAlign w:val="subscript"/>
                <w14:ligatures w14:val="standardContextual"/>
              </w:rPr>
              <w:t>0.9</w:t>
            </w:r>
            <w:r w:rsidRPr="00780634">
              <w:rPr>
                <w:rFonts w:eastAsiaTheme="minorHAnsi"/>
                <w:kern w:val="2"/>
                <w:sz w:val="14"/>
                <w:szCs w:val="14"/>
                <w14:ligatures w14:val="standardContextual"/>
              </w:rPr>
              <w:t>Sr</w:t>
            </w:r>
            <w:r w:rsidRPr="00780634">
              <w:rPr>
                <w:rFonts w:eastAsiaTheme="minorHAnsi"/>
                <w:kern w:val="2"/>
                <w:sz w:val="14"/>
                <w:szCs w:val="14"/>
                <w:vertAlign w:val="subscript"/>
                <w14:ligatures w14:val="standardContextual"/>
              </w:rPr>
              <w:t>0.1</w:t>
            </w:r>
            <w:r w:rsidRPr="00780634">
              <w:rPr>
                <w:rFonts w:eastAsiaTheme="minorHAnsi"/>
                <w:kern w:val="2"/>
                <w:sz w:val="14"/>
                <w:szCs w:val="14"/>
                <w14:ligatures w14:val="standardContextual"/>
              </w:rPr>
              <w:t>CoO</w:t>
            </w:r>
            <w:r w:rsidRPr="00780634">
              <w:rPr>
                <w:rFonts w:eastAsiaTheme="minorHAnsi"/>
                <w:kern w:val="2"/>
                <w:sz w:val="14"/>
                <w:szCs w:val="14"/>
                <w:vertAlign w:val="subscript"/>
                <w14:ligatures w14:val="standardContextual"/>
              </w:rPr>
              <w:t>3</w:t>
            </w:r>
            <w:r w:rsidRPr="00780634">
              <w:rPr>
                <w:rFonts w:eastAsiaTheme="minorHAnsi"/>
                <w:kern w:val="2"/>
                <w:sz w:val="14"/>
                <w:szCs w:val="14"/>
                <w14:ligatures w14:val="standardContextual"/>
              </w:rPr>
              <w:t xml:space="preserve"> (0.85);</w:t>
            </w:r>
          </w:p>
        </w:tc>
      </w:tr>
      <w:tr w:rsidR="00780634" w:rsidRPr="00A41B5A" w14:paraId="44175BF1" w14:textId="77777777" w:rsidTr="00B2471A">
        <w:tc>
          <w:tcPr>
            <w:tcW w:w="2830" w:type="dxa"/>
            <w:gridSpan w:val="2"/>
            <w:tcMar>
              <w:left w:w="28" w:type="dxa"/>
              <w:right w:w="28" w:type="dxa"/>
            </w:tcMar>
          </w:tcPr>
          <w:p w14:paraId="7CEA536B"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2RT/F</w:t>
            </w:r>
          </w:p>
        </w:tc>
        <w:tc>
          <w:tcPr>
            <w:tcW w:w="6468" w:type="dxa"/>
            <w:gridSpan w:val="13"/>
            <w:tcMar>
              <w:left w:w="28" w:type="dxa"/>
              <w:right w:w="28" w:type="dxa"/>
            </w:tcMar>
          </w:tcPr>
          <w:p w14:paraId="448F2F53" w14:textId="26FC777D"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LaCoO</w:t>
            </w:r>
            <w:r w:rsidRPr="00780634">
              <w:rPr>
                <w:rFonts w:eastAsiaTheme="minorHAnsi"/>
                <w:kern w:val="2"/>
                <w:sz w:val="14"/>
                <w:szCs w:val="14"/>
                <w:vertAlign w:val="subscript"/>
                <w14:ligatures w14:val="standardContextual"/>
              </w:rPr>
              <w:t>3</w:t>
            </w:r>
            <w:r w:rsidRPr="00780634">
              <w:rPr>
                <w:rFonts w:eastAsiaTheme="minorHAnsi"/>
                <w:kern w:val="2"/>
                <w:sz w:val="14"/>
                <w:szCs w:val="14"/>
                <w14:ligatures w14:val="standardContextual"/>
              </w:rPr>
              <w:t xml:space="preserve"> (0.75); La</w:t>
            </w:r>
            <w:r w:rsidRPr="00780634">
              <w:rPr>
                <w:rFonts w:eastAsiaTheme="minorHAnsi"/>
                <w:kern w:val="2"/>
                <w:sz w:val="14"/>
                <w:szCs w:val="14"/>
                <w:vertAlign w:val="subscript"/>
                <w14:ligatures w14:val="standardContextual"/>
              </w:rPr>
              <w:t>0.6</w:t>
            </w:r>
            <w:r w:rsidRPr="00780634">
              <w:rPr>
                <w:rFonts w:eastAsiaTheme="minorHAnsi"/>
                <w:kern w:val="2"/>
                <w:sz w:val="14"/>
                <w:szCs w:val="14"/>
                <w14:ligatures w14:val="standardContextual"/>
              </w:rPr>
              <w:t>Sr</w:t>
            </w:r>
            <w:r w:rsidRPr="00780634">
              <w:rPr>
                <w:rFonts w:eastAsiaTheme="minorHAnsi"/>
                <w:kern w:val="2"/>
                <w:sz w:val="14"/>
                <w:szCs w:val="14"/>
                <w:vertAlign w:val="subscript"/>
                <w14:ligatures w14:val="standardContextual"/>
              </w:rPr>
              <w:t>0.4</w:t>
            </w:r>
            <w:r w:rsidRPr="00780634">
              <w:rPr>
                <w:rFonts w:eastAsiaTheme="minorHAnsi"/>
                <w:kern w:val="2"/>
                <w:sz w:val="14"/>
                <w:szCs w:val="14"/>
                <w14:ligatures w14:val="standardContextual"/>
              </w:rPr>
              <w:t>CoO</w:t>
            </w:r>
            <w:r w:rsidRPr="00780634">
              <w:rPr>
                <w:rFonts w:eastAsiaTheme="minorHAnsi"/>
                <w:kern w:val="2"/>
                <w:sz w:val="14"/>
                <w:szCs w:val="14"/>
                <w:vertAlign w:val="subscript"/>
                <w14:ligatures w14:val="standardContextual"/>
              </w:rPr>
              <w:t>3</w:t>
            </w:r>
            <w:r w:rsidRPr="00780634">
              <w:rPr>
                <w:rFonts w:eastAsiaTheme="minorHAnsi"/>
                <w:kern w:val="2"/>
                <w:sz w:val="14"/>
                <w:szCs w:val="14"/>
                <w14:ligatures w14:val="standardContextual"/>
              </w:rPr>
              <w:t xml:space="preserve"> (0.94); La</w:t>
            </w:r>
            <w:r w:rsidRPr="00780634">
              <w:rPr>
                <w:rFonts w:eastAsiaTheme="minorHAnsi"/>
                <w:kern w:val="2"/>
                <w:sz w:val="14"/>
                <w:szCs w:val="14"/>
                <w:vertAlign w:val="subscript"/>
                <w14:ligatures w14:val="standardContextual"/>
              </w:rPr>
              <w:t>0.9</w:t>
            </w:r>
            <w:r w:rsidRPr="00780634">
              <w:rPr>
                <w:rFonts w:eastAsiaTheme="minorHAnsi"/>
                <w:kern w:val="2"/>
                <w:sz w:val="14"/>
                <w:szCs w:val="14"/>
                <w14:ligatures w14:val="standardContextual"/>
              </w:rPr>
              <w:t>Ce</w:t>
            </w:r>
            <w:r w:rsidRPr="00780634">
              <w:rPr>
                <w:rFonts w:eastAsiaTheme="minorHAnsi"/>
                <w:kern w:val="2"/>
                <w:sz w:val="14"/>
                <w:szCs w:val="14"/>
                <w:vertAlign w:val="subscript"/>
                <w14:ligatures w14:val="standardContextual"/>
              </w:rPr>
              <w:t>0.1</w:t>
            </w:r>
            <w:r w:rsidRPr="00780634">
              <w:rPr>
                <w:rFonts w:eastAsiaTheme="minorHAnsi"/>
                <w:kern w:val="2"/>
                <w:sz w:val="14"/>
                <w:szCs w:val="14"/>
                <w14:ligatures w14:val="standardContextual"/>
              </w:rPr>
              <w:t>CoO</w:t>
            </w:r>
            <w:r w:rsidRPr="00780634">
              <w:rPr>
                <w:rFonts w:eastAsiaTheme="minorHAnsi"/>
                <w:kern w:val="2"/>
                <w:sz w:val="14"/>
                <w:szCs w:val="14"/>
                <w:vertAlign w:val="subscript"/>
                <w14:ligatures w14:val="standardContextual"/>
              </w:rPr>
              <w:t>3</w:t>
            </w:r>
            <w:r w:rsidRPr="00780634">
              <w:rPr>
                <w:rFonts w:eastAsiaTheme="minorHAnsi"/>
                <w:kern w:val="2"/>
                <w:sz w:val="14"/>
                <w:szCs w:val="14"/>
                <w14:ligatures w14:val="standardContextual"/>
              </w:rPr>
              <w:t xml:space="preserve"> (0.83); Nd</w:t>
            </w:r>
            <w:r w:rsidRPr="00780634">
              <w:rPr>
                <w:rFonts w:eastAsiaTheme="minorHAnsi"/>
                <w:kern w:val="2"/>
                <w:sz w:val="14"/>
                <w:szCs w:val="14"/>
                <w:vertAlign w:val="subscript"/>
                <w14:ligatures w14:val="standardContextual"/>
              </w:rPr>
              <w:t>0.9</w:t>
            </w:r>
            <w:r w:rsidRPr="00780634">
              <w:rPr>
                <w:rFonts w:eastAsiaTheme="minorHAnsi"/>
                <w:kern w:val="2"/>
                <w:sz w:val="14"/>
                <w:szCs w:val="14"/>
                <w14:ligatures w14:val="standardContextual"/>
              </w:rPr>
              <w:t>Sr</w:t>
            </w:r>
            <w:r w:rsidRPr="00780634">
              <w:rPr>
                <w:rFonts w:eastAsiaTheme="minorHAnsi"/>
                <w:kern w:val="2"/>
                <w:sz w:val="14"/>
                <w:szCs w:val="14"/>
                <w:vertAlign w:val="subscript"/>
                <w14:ligatures w14:val="standardContextual"/>
              </w:rPr>
              <w:t>0.1</w:t>
            </w:r>
            <w:r w:rsidRPr="00780634">
              <w:rPr>
                <w:rFonts w:eastAsiaTheme="minorHAnsi"/>
                <w:kern w:val="2"/>
                <w:sz w:val="14"/>
                <w:szCs w:val="14"/>
                <w14:ligatures w14:val="standardContextual"/>
              </w:rPr>
              <w:t>CoO</w:t>
            </w:r>
            <w:r w:rsidRPr="00780634">
              <w:rPr>
                <w:rFonts w:eastAsiaTheme="minorHAnsi"/>
                <w:kern w:val="2"/>
                <w:sz w:val="14"/>
                <w:szCs w:val="14"/>
                <w:vertAlign w:val="subscript"/>
                <w14:ligatures w14:val="standardContextual"/>
              </w:rPr>
              <w:t>3</w:t>
            </w:r>
            <w:r w:rsidRPr="00780634">
              <w:rPr>
                <w:rFonts w:eastAsiaTheme="minorHAnsi"/>
                <w:kern w:val="2"/>
                <w:sz w:val="14"/>
                <w:szCs w:val="14"/>
                <w14:ligatures w14:val="standardContextual"/>
              </w:rPr>
              <w:t xml:space="preserve"> (0.85); La</w:t>
            </w:r>
            <w:r w:rsidRPr="00780634">
              <w:rPr>
                <w:rFonts w:eastAsiaTheme="minorHAnsi"/>
                <w:kern w:val="2"/>
                <w:sz w:val="14"/>
                <w:szCs w:val="14"/>
                <w:vertAlign w:val="subscript"/>
                <w14:ligatures w14:val="standardContextual"/>
              </w:rPr>
              <w:t>0.7</w:t>
            </w:r>
            <w:r w:rsidRPr="00780634">
              <w:rPr>
                <w:rFonts w:eastAsiaTheme="minorHAnsi"/>
                <w:kern w:val="2"/>
                <w:sz w:val="14"/>
                <w:szCs w:val="14"/>
                <w14:ligatures w14:val="standardContextual"/>
              </w:rPr>
              <w:t>Sr</w:t>
            </w:r>
            <w:r w:rsidRPr="00780634">
              <w:rPr>
                <w:rFonts w:eastAsiaTheme="minorHAnsi"/>
                <w:kern w:val="2"/>
                <w:sz w:val="14"/>
                <w:szCs w:val="14"/>
                <w:vertAlign w:val="subscript"/>
                <w14:ligatures w14:val="standardContextual"/>
              </w:rPr>
              <w:t>0.3</w:t>
            </w:r>
            <w:r w:rsidRPr="00780634">
              <w:rPr>
                <w:rFonts w:eastAsiaTheme="minorHAnsi"/>
                <w:kern w:val="2"/>
                <w:sz w:val="14"/>
                <w:szCs w:val="14"/>
                <w14:ligatures w14:val="standardContextual"/>
              </w:rPr>
              <w:t>FeO</w:t>
            </w:r>
            <w:r w:rsidRPr="00780634">
              <w:rPr>
                <w:rFonts w:eastAsiaTheme="minorHAnsi"/>
                <w:kern w:val="2"/>
                <w:sz w:val="14"/>
                <w:szCs w:val="14"/>
                <w:vertAlign w:val="subscript"/>
                <w14:ligatures w14:val="standardContextual"/>
              </w:rPr>
              <w:t>3</w:t>
            </w:r>
            <w:r w:rsidRPr="00780634">
              <w:rPr>
                <w:rFonts w:eastAsiaTheme="minorHAnsi"/>
                <w:kern w:val="2"/>
                <w:sz w:val="14"/>
                <w:szCs w:val="14"/>
                <w14:ligatures w14:val="standardContextual"/>
              </w:rPr>
              <w:t xml:space="preserve"> (0.82); La</w:t>
            </w:r>
            <w:r w:rsidRPr="00780634">
              <w:rPr>
                <w:rFonts w:eastAsiaTheme="minorHAnsi"/>
                <w:kern w:val="2"/>
                <w:sz w:val="14"/>
                <w:szCs w:val="14"/>
                <w:vertAlign w:val="subscript"/>
                <w14:ligatures w14:val="standardContextual"/>
              </w:rPr>
              <w:t>0.5</w:t>
            </w:r>
            <w:r w:rsidRPr="00780634">
              <w:rPr>
                <w:rFonts w:eastAsiaTheme="minorHAnsi"/>
                <w:kern w:val="2"/>
                <w:sz w:val="14"/>
                <w:szCs w:val="14"/>
                <w14:ligatures w14:val="standardContextual"/>
              </w:rPr>
              <w:t>Sr</w:t>
            </w:r>
            <w:r w:rsidRPr="00780634">
              <w:rPr>
                <w:rFonts w:eastAsiaTheme="minorHAnsi"/>
                <w:kern w:val="2"/>
                <w:sz w:val="14"/>
                <w:szCs w:val="14"/>
                <w:vertAlign w:val="subscript"/>
                <w14:ligatures w14:val="standardContextual"/>
              </w:rPr>
              <w:t>0.5</w:t>
            </w:r>
            <w:r w:rsidRPr="00780634">
              <w:rPr>
                <w:rFonts w:eastAsiaTheme="minorHAnsi"/>
                <w:kern w:val="2"/>
                <w:sz w:val="14"/>
                <w:szCs w:val="14"/>
                <w14:ligatures w14:val="standardContextual"/>
              </w:rPr>
              <w:t>FeO</w:t>
            </w:r>
            <w:r w:rsidRPr="00780634">
              <w:rPr>
                <w:rFonts w:eastAsiaTheme="minorHAnsi"/>
                <w:kern w:val="2"/>
                <w:sz w:val="14"/>
                <w:szCs w:val="14"/>
                <w:vertAlign w:val="subscript"/>
                <w14:ligatures w14:val="standardContextual"/>
              </w:rPr>
              <w:t>3</w:t>
            </w:r>
            <w:r w:rsidRPr="00780634">
              <w:rPr>
                <w:rFonts w:eastAsiaTheme="minorHAnsi"/>
                <w:kern w:val="2"/>
                <w:sz w:val="14"/>
                <w:szCs w:val="14"/>
                <w14:ligatures w14:val="standardContextual"/>
              </w:rPr>
              <w:t xml:space="preserve"> (0.75); LaMnO</w:t>
            </w:r>
            <w:r w:rsidRPr="00780634">
              <w:rPr>
                <w:rFonts w:eastAsiaTheme="minorHAnsi"/>
                <w:kern w:val="2"/>
                <w:sz w:val="14"/>
                <w:szCs w:val="14"/>
                <w:vertAlign w:val="subscript"/>
                <w14:ligatures w14:val="standardContextual"/>
              </w:rPr>
              <w:t>3</w:t>
            </w:r>
            <w:r w:rsidRPr="00780634">
              <w:rPr>
                <w:rFonts w:eastAsiaTheme="minorHAnsi"/>
                <w:kern w:val="2"/>
                <w:sz w:val="14"/>
                <w:szCs w:val="14"/>
                <w14:ligatures w14:val="standardContextual"/>
              </w:rPr>
              <w:t xml:space="preserve"> (0.65); La</w:t>
            </w:r>
            <w:r w:rsidRPr="00780634">
              <w:rPr>
                <w:rFonts w:eastAsiaTheme="minorHAnsi"/>
                <w:kern w:val="2"/>
                <w:sz w:val="14"/>
                <w:szCs w:val="14"/>
                <w:vertAlign w:val="subscript"/>
                <w14:ligatures w14:val="standardContextual"/>
              </w:rPr>
              <w:t>0.9</w:t>
            </w:r>
            <w:r w:rsidRPr="00780634">
              <w:rPr>
                <w:rFonts w:eastAsiaTheme="minorHAnsi"/>
                <w:kern w:val="2"/>
                <w:sz w:val="14"/>
                <w:szCs w:val="14"/>
                <w14:ligatures w14:val="standardContextual"/>
              </w:rPr>
              <w:t>Sr</w:t>
            </w:r>
            <w:r w:rsidRPr="00780634">
              <w:rPr>
                <w:rFonts w:eastAsiaTheme="minorHAnsi"/>
                <w:kern w:val="2"/>
                <w:sz w:val="14"/>
                <w:szCs w:val="14"/>
                <w:vertAlign w:val="subscript"/>
                <w14:ligatures w14:val="standardContextual"/>
              </w:rPr>
              <w:t>0.1</w:t>
            </w:r>
            <w:r w:rsidRPr="00780634">
              <w:rPr>
                <w:rFonts w:eastAsiaTheme="minorHAnsi"/>
                <w:kern w:val="2"/>
                <w:sz w:val="14"/>
                <w:szCs w:val="14"/>
                <w14:ligatures w14:val="standardContextual"/>
              </w:rPr>
              <w:t>MnO</w:t>
            </w:r>
            <w:r w:rsidRPr="00780634">
              <w:rPr>
                <w:rFonts w:eastAsiaTheme="minorHAnsi"/>
                <w:kern w:val="2"/>
                <w:sz w:val="14"/>
                <w:szCs w:val="14"/>
                <w:vertAlign w:val="subscript"/>
                <w14:ligatures w14:val="standardContextual"/>
              </w:rPr>
              <w:t>3</w:t>
            </w:r>
            <w:r w:rsidRPr="00780634">
              <w:rPr>
                <w:rFonts w:eastAsiaTheme="minorHAnsi"/>
                <w:kern w:val="2"/>
                <w:sz w:val="14"/>
                <w:szCs w:val="14"/>
                <w14:ligatures w14:val="standardContextual"/>
              </w:rPr>
              <w:t xml:space="preserve"> (0.65); La</w:t>
            </w:r>
            <w:r w:rsidRPr="00780634">
              <w:rPr>
                <w:rFonts w:eastAsiaTheme="minorHAnsi"/>
                <w:kern w:val="2"/>
                <w:sz w:val="14"/>
                <w:szCs w:val="14"/>
                <w:vertAlign w:val="subscript"/>
                <w14:ligatures w14:val="standardContextual"/>
              </w:rPr>
              <w:t>0.6</w:t>
            </w:r>
            <w:r w:rsidRPr="00780634">
              <w:rPr>
                <w:rFonts w:eastAsiaTheme="minorHAnsi"/>
                <w:kern w:val="2"/>
                <w:sz w:val="14"/>
                <w:szCs w:val="14"/>
                <w14:ligatures w14:val="standardContextual"/>
              </w:rPr>
              <w:t>Sr</w:t>
            </w:r>
            <w:r w:rsidRPr="00780634">
              <w:rPr>
                <w:rFonts w:eastAsiaTheme="minorHAnsi"/>
                <w:kern w:val="2"/>
                <w:sz w:val="14"/>
                <w:szCs w:val="14"/>
                <w:vertAlign w:val="subscript"/>
                <w14:ligatures w14:val="standardContextual"/>
              </w:rPr>
              <w:t>0.4</w:t>
            </w:r>
            <w:r w:rsidRPr="00780634">
              <w:rPr>
                <w:rFonts w:eastAsiaTheme="minorHAnsi"/>
                <w:kern w:val="2"/>
                <w:sz w:val="14"/>
                <w:szCs w:val="14"/>
                <w14:ligatures w14:val="standardContextual"/>
              </w:rPr>
              <w:t>MnO</w:t>
            </w:r>
            <w:r w:rsidRPr="00780634">
              <w:rPr>
                <w:rFonts w:eastAsiaTheme="minorHAnsi"/>
                <w:kern w:val="2"/>
                <w:sz w:val="14"/>
                <w:szCs w:val="14"/>
                <w:vertAlign w:val="subscript"/>
                <w14:ligatures w14:val="standardContextual"/>
              </w:rPr>
              <w:t>3</w:t>
            </w:r>
            <w:r w:rsidRPr="00780634">
              <w:rPr>
                <w:rFonts w:eastAsiaTheme="minorHAnsi"/>
                <w:kern w:val="2"/>
                <w:sz w:val="14"/>
                <w:szCs w:val="14"/>
                <w14:ligatures w14:val="standardContextual"/>
              </w:rPr>
              <w:t xml:space="preserve"> (0.6)</w:t>
            </w:r>
            <w:r w:rsidR="00CA0E04">
              <w:rPr>
                <w:rFonts w:eastAsiaTheme="minorHAnsi"/>
                <w:kern w:val="2"/>
                <w:sz w:val="14"/>
                <w:szCs w:val="14"/>
                <w14:ligatures w14:val="standardContextual"/>
              </w:rPr>
              <w:t xml:space="preserve">; </w:t>
            </w:r>
            <w:r w:rsidR="00CA0E04" w:rsidRPr="00780634">
              <w:rPr>
                <w:rFonts w:eastAsiaTheme="minorHAnsi"/>
                <w:kern w:val="2"/>
                <w:sz w:val="14"/>
                <w:szCs w:val="14"/>
                <w14:ligatures w14:val="standardContextual"/>
              </w:rPr>
              <w:t>La</w:t>
            </w:r>
            <w:r w:rsidR="00CA0E04" w:rsidRPr="00780634">
              <w:rPr>
                <w:rFonts w:eastAsiaTheme="minorHAnsi"/>
                <w:kern w:val="2"/>
                <w:sz w:val="14"/>
                <w:szCs w:val="14"/>
                <w:vertAlign w:val="subscript"/>
                <w14:ligatures w14:val="standardContextual"/>
              </w:rPr>
              <w:t>0.</w:t>
            </w:r>
            <w:r w:rsidR="00CA0E04">
              <w:rPr>
                <w:rFonts w:eastAsiaTheme="minorHAnsi"/>
                <w:kern w:val="2"/>
                <w:sz w:val="14"/>
                <w:szCs w:val="14"/>
                <w:vertAlign w:val="subscript"/>
                <w14:ligatures w14:val="standardContextual"/>
              </w:rPr>
              <w:t>8</w:t>
            </w:r>
            <w:r w:rsidR="00CA0E04">
              <w:rPr>
                <w:rFonts w:eastAsiaTheme="minorHAnsi"/>
                <w:kern w:val="2"/>
                <w:sz w:val="14"/>
                <w:szCs w:val="14"/>
                <w14:ligatures w14:val="standardContextual"/>
              </w:rPr>
              <w:t>K</w:t>
            </w:r>
            <w:r w:rsidR="00CA0E04" w:rsidRPr="00780634">
              <w:rPr>
                <w:rFonts w:eastAsiaTheme="minorHAnsi"/>
                <w:kern w:val="2"/>
                <w:sz w:val="14"/>
                <w:szCs w:val="14"/>
                <w:vertAlign w:val="subscript"/>
                <w14:ligatures w14:val="standardContextual"/>
              </w:rPr>
              <w:t>0.</w:t>
            </w:r>
            <w:r w:rsidR="00CA0E04">
              <w:rPr>
                <w:rFonts w:eastAsiaTheme="minorHAnsi"/>
                <w:kern w:val="2"/>
                <w:sz w:val="14"/>
                <w:szCs w:val="14"/>
                <w:vertAlign w:val="subscript"/>
                <w14:ligatures w14:val="standardContextual"/>
              </w:rPr>
              <w:t>2</w:t>
            </w:r>
            <w:r w:rsidR="00CA0E04" w:rsidRPr="00780634">
              <w:rPr>
                <w:rFonts w:eastAsiaTheme="minorHAnsi"/>
                <w:kern w:val="2"/>
                <w:sz w:val="14"/>
                <w:szCs w:val="14"/>
                <w14:ligatures w14:val="standardContextual"/>
              </w:rPr>
              <w:t>MnO</w:t>
            </w:r>
            <w:r w:rsidR="00CA0E04" w:rsidRPr="00780634">
              <w:rPr>
                <w:rFonts w:eastAsiaTheme="minorHAnsi"/>
                <w:kern w:val="2"/>
                <w:sz w:val="14"/>
                <w:szCs w:val="14"/>
                <w:vertAlign w:val="subscript"/>
                <w14:ligatures w14:val="standardContextual"/>
              </w:rPr>
              <w:t>3</w:t>
            </w:r>
            <w:r w:rsidR="00CA0E04" w:rsidRPr="00780634">
              <w:rPr>
                <w:rFonts w:eastAsiaTheme="minorHAnsi"/>
                <w:kern w:val="2"/>
                <w:sz w:val="14"/>
                <w:szCs w:val="14"/>
                <w14:ligatures w14:val="standardContextual"/>
              </w:rPr>
              <w:t xml:space="preserve"> (0.6</w:t>
            </w:r>
            <w:r w:rsidR="00CA0E04">
              <w:rPr>
                <w:rFonts w:eastAsiaTheme="minorHAnsi"/>
                <w:kern w:val="2"/>
                <w:sz w:val="14"/>
                <w:szCs w:val="14"/>
                <w14:ligatures w14:val="standardContextual"/>
              </w:rPr>
              <w:t>5</w:t>
            </w:r>
            <w:r w:rsidR="00CA0E04" w:rsidRPr="00780634">
              <w:rPr>
                <w:rFonts w:eastAsiaTheme="minorHAnsi"/>
                <w:kern w:val="2"/>
                <w:sz w:val="14"/>
                <w:szCs w:val="14"/>
                <w14:ligatures w14:val="standardContextual"/>
              </w:rPr>
              <w:t>)</w:t>
            </w:r>
          </w:p>
        </w:tc>
      </w:tr>
      <w:tr w:rsidR="00780634" w:rsidRPr="00780634" w14:paraId="37B1BB52" w14:textId="77777777" w:rsidTr="00B2471A">
        <w:tc>
          <w:tcPr>
            <w:tcW w:w="2552" w:type="dxa"/>
            <w:tcBorders>
              <w:bottom w:val="single" w:sz="8" w:space="0" w:color="auto"/>
            </w:tcBorders>
            <w:shd w:val="clear" w:color="auto" w:fill="D9D9D9" w:themeFill="background1" w:themeFillShade="D9"/>
            <w:tcMar>
              <w:left w:w="28" w:type="dxa"/>
              <w:right w:w="28" w:type="dxa"/>
            </w:tcMar>
          </w:tcPr>
          <w:p w14:paraId="4F2F0FC1"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Rate-determining step</w:t>
            </w:r>
          </w:p>
        </w:tc>
        <w:tc>
          <w:tcPr>
            <w:tcW w:w="278" w:type="dxa"/>
            <w:shd w:val="clear" w:color="auto" w:fill="D9D9D9" w:themeFill="background1" w:themeFillShade="D9"/>
          </w:tcPr>
          <w:p w14:paraId="5B7C4BD5" w14:textId="77777777" w:rsidR="00780634" w:rsidRPr="00780634" w:rsidRDefault="00780634" w:rsidP="00780634">
            <w:pPr>
              <w:rPr>
                <w:rFonts w:eastAsiaTheme="minorHAnsi"/>
                <w:kern w:val="2"/>
                <w:sz w:val="14"/>
                <w:szCs w:val="14"/>
                <w14:ligatures w14:val="standardContextual"/>
              </w:rPr>
            </w:pPr>
          </w:p>
        </w:tc>
        <w:tc>
          <w:tcPr>
            <w:tcW w:w="2982" w:type="dxa"/>
            <w:gridSpan w:val="5"/>
            <w:tcBorders>
              <w:bottom w:val="single" w:sz="8" w:space="0" w:color="auto"/>
            </w:tcBorders>
            <w:shd w:val="clear" w:color="auto" w:fill="D9D9D9" w:themeFill="background1" w:themeFillShade="D9"/>
            <w:tcMar>
              <w:left w:w="28" w:type="dxa"/>
              <w:right w:w="28" w:type="dxa"/>
            </w:tcMar>
          </w:tcPr>
          <w:p w14:paraId="4A7619B9"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Langmuir</w:t>
            </w:r>
          </w:p>
        </w:tc>
        <w:tc>
          <w:tcPr>
            <w:tcW w:w="236" w:type="dxa"/>
            <w:gridSpan w:val="2"/>
            <w:shd w:val="clear" w:color="auto" w:fill="D9D9D9" w:themeFill="background1" w:themeFillShade="D9"/>
          </w:tcPr>
          <w:p w14:paraId="2FC5A4E6" w14:textId="77777777" w:rsidR="00780634" w:rsidRPr="00780634" w:rsidRDefault="00780634" w:rsidP="00780634">
            <w:pPr>
              <w:jc w:val="center"/>
              <w:rPr>
                <w:rFonts w:eastAsiaTheme="minorHAnsi"/>
                <w:kern w:val="2"/>
                <w:sz w:val="14"/>
                <w:szCs w:val="14"/>
                <w14:ligatures w14:val="standardContextual"/>
              </w:rPr>
            </w:pPr>
          </w:p>
        </w:tc>
        <w:tc>
          <w:tcPr>
            <w:tcW w:w="3014" w:type="dxa"/>
            <w:gridSpan w:val="5"/>
            <w:tcBorders>
              <w:bottom w:val="single" w:sz="8" w:space="0" w:color="auto"/>
            </w:tcBorders>
            <w:shd w:val="clear" w:color="auto" w:fill="D9D9D9" w:themeFill="background1" w:themeFillShade="D9"/>
            <w:tcMar>
              <w:left w:w="28" w:type="dxa"/>
              <w:right w:w="28" w:type="dxa"/>
            </w:tcMar>
          </w:tcPr>
          <w:p w14:paraId="4C53EB76"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Temkin</w:t>
            </w:r>
          </w:p>
        </w:tc>
        <w:tc>
          <w:tcPr>
            <w:tcW w:w="236" w:type="dxa"/>
            <w:shd w:val="clear" w:color="auto" w:fill="D9D9D9" w:themeFill="background1" w:themeFillShade="D9"/>
          </w:tcPr>
          <w:p w14:paraId="4A7CFAE3" w14:textId="77777777" w:rsidR="00780634" w:rsidRPr="00780634" w:rsidRDefault="00780634" w:rsidP="00780634">
            <w:pPr>
              <w:jc w:val="center"/>
              <w:rPr>
                <w:rFonts w:eastAsiaTheme="minorHAnsi"/>
                <w:kern w:val="2"/>
                <w:sz w:val="14"/>
                <w:szCs w:val="14"/>
                <w14:ligatures w14:val="standardContextual"/>
              </w:rPr>
            </w:pPr>
          </w:p>
        </w:tc>
      </w:tr>
      <w:tr w:rsidR="00780634" w:rsidRPr="00780634" w14:paraId="51AAC0BB" w14:textId="77777777" w:rsidTr="00B2471A">
        <w:tc>
          <w:tcPr>
            <w:tcW w:w="2552" w:type="dxa"/>
            <w:tcBorders>
              <w:top w:val="single" w:sz="8" w:space="0" w:color="auto"/>
            </w:tcBorders>
            <w:shd w:val="clear" w:color="auto" w:fill="D9D9D9" w:themeFill="background1" w:themeFillShade="D9"/>
            <w:tcMar>
              <w:left w:w="28" w:type="dxa"/>
              <w:right w:w="28" w:type="dxa"/>
            </w:tcMar>
          </w:tcPr>
          <w:p w14:paraId="386BFEFF" w14:textId="77777777" w:rsidR="00780634" w:rsidRPr="00780634" w:rsidRDefault="00780634" w:rsidP="00780634">
            <w:pPr>
              <w:rPr>
                <w:rFonts w:eastAsiaTheme="minorHAnsi"/>
                <w:kern w:val="2"/>
                <w:sz w:val="14"/>
                <w:szCs w:val="14"/>
                <w14:ligatures w14:val="standardContextual"/>
              </w:rPr>
            </w:pPr>
          </w:p>
        </w:tc>
        <w:tc>
          <w:tcPr>
            <w:tcW w:w="278" w:type="dxa"/>
            <w:shd w:val="clear" w:color="auto" w:fill="D9D9D9" w:themeFill="background1" w:themeFillShade="D9"/>
          </w:tcPr>
          <w:p w14:paraId="22225E0C" w14:textId="77777777" w:rsidR="00780634" w:rsidRPr="00780634" w:rsidRDefault="00780634" w:rsidP="00780634">
            <w:pPr>
              <w:rPr>
                <w:rFonts w:eastAsiaTheme="minorHAnsi"/>
                <w:kern w:val="2"/>
                <w:sz w:val="14"/>
                <w:szCs w:val="14"/>
                <w14:ligatures w14:val="standardContextual"/>
              </w:rPr>
            </w:pPr>
          </w:p>
        </w:tc>
        <w:tc>
          <w:tcPr>
            <w:tcW w:w="426" w:type="dxa"/>
            <w:shd w:val="clear" w:color="auto" w:fill="D9D9D9" w:themeFill="background1" w:themeFillShade="D9"/>
            <w:tcMar>
              <w:left w:w="28" w:type="dxa"/>
              <w:right w:w="28" w:type="dxa"/>
            </w:tcMar>
          </w:tcPr>
          <w:p w14:paraId="1B7EAAEF" w14:textId="77777777" w:rsidR="00780634" w:rsidRPr="00780634" w:rsidRDefault="00780634" w:rsidP="00780634">
            <w:pPr>
              <w:rPr>
                <w:rFonts w:eastAsiaTheme="minorHAnsi"/>
                <w:kern w:val="2"/>
                <w:sz w:val="14"/>
                <w:szCs w:val="14"/>
                <w14:ligatures w14:val="standardContextual"/>
              </w:rPr>
            </w:pPr>
          </w:p>
        </w:tc>
        <w:tc>
          <w:tcPr>
            <w:tcW w:w="1417" w:type="dxa"/>
            <w:gridSpan w:val="2"/>
            <w:shd w:val="clear" w:color="auto" w:fill="D9D9D9" w:themeFill="background1" w:themeFillShade="D9"/>
            <w:tcMar>
              <w:left w:w="28" w:type="dxa"/>
              <w:right w:w="28" w:type="dxa"/>
            </w:tcMar>
          </w:tcPr>
          <w:p w14:paraId="65704B9E" w14:textId="77777777" w:rsidR="00780634" w:rsidRPr="00780634" w:rsidRDefault="00780634" w:rsidP="00780634">
            <w:pPr>
              <w:jc w:val="center"/>
              <w:rPr>
                <w:rFonts w:eastAsiaTheme="minorHAnsi"/>
                <w:kern w:val="2"/>
                <w:sz w:val="14"/>
                <w:szCs w:val="14"/>
                <w:vertAlign w:val="superscript"/>
                <w14:ligatures w14:val="standardContextual"/>
              </w:rPr>
            </w:pPr>
            <m:oMath>
              <m:r>
                <w:rPr>
                  <w:rFonts w:ascii="Cambria Math" w:eastAsiaTheme="minorHAnsi" w:hAnsi="Cambria Math"/>
                  <w:kern w:val="2"/>
                  <w:sz w:val="14"/>
                  <w:szCs w:val="14"/>
                  <w14:ligatures w14:val="standardContextual"/>
                </w:rPr>
                <m:t>∂E/∂</m:t>
              </m:r>
              <m:r>
                <m:rPr>
                  <m:sty m:val="p"/>
                </m:rPr>
                <w:rPr>
                  <w:rFonts w:ascii="Cambria Math" w:eastAsiaTheme="minorHAnsi" w:hAnsi="Cambria Math"/>
                  <w:kern w:val="2"/>
                  <w:sz w:val="14"/>
                  <w:szCs w:val="14"/>
                  <w14:ligatures w14:val="standardContextual"/>
                </w:rPr>
                <m:t>ln</m:t>
              </m:r>
              <m:r>
                <w:rPr>
                  <w:rFonts w:ascii="Cambria Math" w:eastAsiaTheme="minorHAnsi" w:hAnsi="Cambria Math"/>
                  <w:kern w:val="2"/>
                  <w:sz w:val="14"/>
                  <w:szCs w:val="14"/>
                  <w14:ligatures w14:val="standardContextual"/>
                </w:rPr>
                <m:t>i</m:t>
              </m:r>
            </m:oMath>
            <w:r w:rsidRPr="00780634">
              <w:rPr>
                <w:rFonts w:eastAsiaTheme="minorEastAsia"/>
                <w:kern w:val="2"/>
                <w:sz w:val="14"/>
                <w:szCs w:val="14"/>
                <w14:ligatures w14:val="standardContextual"/>
              </w:rPr>
              <w:t xml:space="preserve"> </w:t>
            </w:r>
            <w:r w:rsidRPr="00780634">
              <w:rPr>
                <w:rFonts w:eastAsiaTheme="minorEastAsia"/>
                <w:kern w:val="2"/>
                <w:sz w:val="14"/>
                <w:szCs w:val="14"/>
                <w:vertAlign w:val="superscript"/>
                <w14:ligatures w14:val="standardContextual"/>
              </w:rPr>
              <w:t>a</w:t>
            </w:r>
          </w:p>
        </w:tc>
        <w:tc>
          <w:tcPr>
            <w:tcW w:w="1281" w:type="dxa"/>
            <w:gridSpan w:val="3"/>
            <w:shd w:val="clear" w:color="auto" w:fill="D9D9D9" w:themeFill="background1" w:themeFillShade="D9"/>
            <w:tcMar>
              <w:left w:w="28" w:type="dxa"/>
              <w:right w:w="28" w:type="dxa"/>
            </w:tcMar>
          </w:tcPr>
          <w:p w14:paraId="2011E077" w14:textId="77777777" w:rsidR="00780634" w:rsidRPr="00780634" w:rsidRDefault="00000000" w:rsidP="00780634">
            <w:pPr>
              <w:rPr>
                <w:rFonts w:eastAsiaTheme="minorHAnsi"/>
                <w:kern w:val="2"/>
                <w:sz w:val="14"/>
                <w:szCs w:val="14"/>
                <w14:ligatures w14:val="standardContextual"/>
              </w:rPr>
            </w:pPr>
            <m:oMathPara>
              <m:oMath>
                <m:sSub>
                  <m:sSubPr>
                    <m:ctrlPr>
                      <w:rPr>
                        <w:rFonts w:ascii="Cambria Math" w:eastAsiaTheme="minorEastAsia" w:hAnsi="Cambria Math"/>
                        <w:i/>
                        <w:kern w:val="2"/>
                        <w:sz w:val="14"/>
                        <w:szCs w:val="14"/>
                        <w14:ligatures w14:val="standardContextual"/>
                      </w:rPr>
                    </m:ctrlPr>
                  </m:sSubPr>
                  <m:e>
                    <m:r>
                      <w:rPr>
                        <w:rFonts w:ascii="Cambria Math" w:eastAsiaTheme="minorEastAsia" w:hAnsi="Cambria Math"/>
                        <w:kern w:val="2"/>
                        <w:sz w:val="14"/>
                        <w:szCs w:val="14"/>
                        <w14:ligatures w14:val="standardContextual"/>
                      </w:rPr>
                      <m:t>[∂</m:t>
                    </m:r>
                    <m:r>
                      <m:rPr>
                        <m:sty m:val="p"/>
                      </m:rPr>
                      <w:rPr>
                        <w:rFonts w:ascii="Cambria Math" w:eastAsiaTheme="minorEastAsia" w:hAnsi="Cambria Math"/>
                        <w:kern w:val="2"/>
                        <w:sz w:val="14"/>
                        <w:szCs w:val="14"/>
                        <w14:ligatures w14:val="standardContextual"/>
                      </w:rPr>
                      <m:t>ln</m:t>
                    </m:r>
                    <m:r>
                      <w:rPr>
                        <w:rFonts w:ascii="Cambria Math" w:eastAsiaTheme="minorEastAsia" w:hAnsi="Cambria Math"/>
                        <w:kern w:val="2"/>
                        <w:sz w:val="14"/>
                        <w:szCs w:val="14"/>
                        <w14:ligatures w14:val="standardContextual"/>
                      </w:rPr>
                      <m:t>i/∂ln</m:t>
                    </m:r>
                    <m:sSub>
                      <m:sSubPr>
                        <m:ctrlPr>
                          <w:rPr>
                            <w:rFonts w:ascii="Cambria Math" w:eastAsiaTheme="minorEastAsia" w:hAnsi="Cambria Math"/>
                            <w:i/>
                            <w:kern w:val="2"/>
                            <w:sz w:val="14"/>
                            <w:szCs w:val="14"/>
                            <w14:ligatures w14:val="standardContextual"/>
                          </w:rPr>
                        </m:ctrlPr>
                      </m:sSubPr>
                      <m:e>
                        <m:r>
                          <w:rPr>
                            <w:rFonts w:ascii="Cambria Math" w:eastAsiaTheme="minorEastAsia" w:hAnsi="Cambria Math"/>
                            <w:kern w:val="2"/>
                            <w:sz w:val="14"/>
                            <w:szCs w:val="14"/>
                            <w14:ligatures w14:val="standardContextual"/>
                          </w:rPr>
                          <m:t>C</m:t>
                        </m:r>
                      </m:e>
                      <m:sub>
                        <m:sSup>
                          <m:sSupPr>
                            <m:ctrlPr>
                              <w:rPr>
                                <w:rFonts w:ascii="Cambria Math" w:eastAsiaTheme="minorEastAsia" w:hAnsi="Cambria Math"/>
                                <w:i/>
                                <w:kern w:val="2"/>
                                <w:sz w:val="14"/>
                                <w:szCs w:val="14"/>
                                <w14:ligatures w14:val="standardContextual"/>
                              </w:rPr>
                            </m:ctrlPr>
                          </m:sSupPr>
                          <m:e>
                            <m:r>
                              <w:rPr>
                                <w:rFonts w:ascii="Cambria Math" w:eastAsiaTheme="minorEastAsia" w:hAnsi="Cambria Math"/>
                                <w:kern w:val="2"/>
                                <w:sz w:val="14"/>
                                <w:szCs w:val="14"/>
                                <w14:ligatures w14:val="standardContextual"/>
                              </w:rPr>
                              <m:t>OH</m:t>
                            </m:r>
                          </m:e>
                          <m:sup>
                            <m:r>
                              <w:rPr>
                                <w:rFonts w:ascii="Cambria Math" w:eastAsiaTheme="minorEastAsia" w:hAnsi="Cambria Math"/>
                                <w:kern w:val="2"/>
                                <w:sz w:val="14"/>
                                <w:szCs w:val="14"/>
                                <w14:ligatures w14:val="standardContextual"/>
                              </w:rPr>
                              <m:t>-</m:t>
                            </m:r>
                          </m:sup>
                        </m:sSup>
                      </m:sub>
                    </m:sSub>
                    <m:r>
                      <w:rPr>
                        <w:rFonts w:ascii="Cambria Math" w:eastAsiaTheme="minorEastAsia" w:hAnsi="Cambria Math"/>
                        <w:kern w:val="2"/>
                        <w:sz w:val="14"/>
                        <w:szCs w:val="14"/>
                        <w14:ligatures w14:val="standardContextual"/>
                      </w:rPr>
                      <m:t>]</m:t>
                    </m:r>
                  </m:e>
                  <m:sub>
                    <m:r>
                      <w:rPr>
                        <w:rFonts w:ascii="Cambria Math" w:eastAsiaTheme="minorEastAsia" w:hAnsi="Cambria Math"/>
                        <w:kern w:val="2"/>
                        <w:sz w:val="14"/>
                        <w:szCs w:val="14"/>
                        <w14:ligatures w14:val="standardContextual"/>
                      </w:rPr>
                      <m:t>E</m:t>
                    </m:r>
                    <m:sSup>
                      <m:sSupPr>
                        <m:ctrlPr>
                          <w:rPr>
                            <w:rFonts w:ascii="Cambria Math" w:eastAsiaTheme="minorEastAsia" w:hAnsi="Cambria Math"/>
                            <w:i/>
                            <w:kern w:val="2"/>
                            <w:sz w:val="14"/>
                            <w:szCs w:val="14"/>
                            <w14:ligatures w14:val="standardContextual"/>
                          </w:rPr>
                        </m:ctrlPr>
                      </m:sSupPr>
                      <m:e>
                        <m:r>
                          <w:rPr>
                            <w:rFonts w:ascii="Cambria Math" w:eastAsiaTheme="minorEastAsia" w:hAnsi="Cambria Math"/>
                            <w:kern w:val="2"/>
                            <w:sz w:val="14"/>
                            <w:szCs w:val="14"/>
                            <w14:ligatures w14:val="standardContextual"/>
                          </w:rPr>
                          <m:t>,</m:t>
                        </m:r>
                        <m:r>
                          <m:rPr>
                            <m:sty m:val="p"/>
                          </m:rPr>
                          <w:rPr>
                            <w:rFonts w:ascii="Cambria Math" w:eastAsiaTheme="minorHAnsi" w:hAnsi="Cambria Math" w:cs="Times-Roman"/>
                            <w:color w:val="000000"/>
                            <w:kern w:val="2"/>
                            <w:sz w:val="14"/>
                            <w:szCs w:val="14"/>
                            <w:lang w:val="en-GB"/>
                            <w14:ligatures w14:val="standardContextual"/>
                          </w:rPr>
                          <m:t>ζ</m:t>
                        </m:r>
                      </m:e>
                      <m:sup>
                        <m:r>
                          <w:rPr>
                            <w:rFonts w:ascii="Cambria Math" w:eastAsiaTheme="minorEastAsia" w:hAnsi="Cambria Math"/>
                            <w:kern w:val="2"/>
                            <w:sz w:val="14"/>
                            <w:szCs w:val="14"/>
                            <w14:ligatures w14:val="standardContextual"/>
                          </w:rPr>
                          <m:t>c</m:t>
                        </m:r>
                      </m:sup>
                    </m:sSup>
                  </m:sub>
                </m:sSub>
              </m:oMath>
            </m:oMathPara>
          </w:p>
        </w:tc>
        <w:tc>
          <w:tcPr>
            <w:tcW w:w="1412" w:type="dxa"/>
            <w:gridSpan w:val="3"/>
            <w:shd w:val="clear" w:color="auto" w:fill="D9D9D9" w:themeFill="background1" w:themeFillShade="D9"/>
            <w:tcMar>
              <w:left w:w="28" w:type="dxa"/>
              <w:right w:w="28" w:type="dxa"/>
            </w:tcMar>
          </w:tcPr>
          <w:p w14:paraId="68DCF691" w14:textId="77777777" w:rsidR="00780634" w:rsidRPr="00780634" w:rsidRDefault="00780634" w:rsidP="00780634">
            <w:pPr>
              <w:jc w:val="center"/>
              <w:rPr>
                <w:rFonts w:eastAsiaTheme="minorHAnsi"/>
                <w:kern w:val="2"/>
                <w:sz w:val="14"/>
                <w:szCs w:val="14"/>
                <w:vertAlign w:val="superscript"/>
                <w14:ligatures w14:val="standardContextual"/>
              </w:rPr>
            </w:pPr>
            <m:oMath>
              <m:r>
                <w:rPr>
                  <w:rFonts w:ascii="Cambria Math" w:eastAsiaTheme="minorHAnsi" w:hAnsi="Cambria Math"/>
                  <w:kern w:val="2"/>
                  <w:sz w:val="14"/>
                  <w:szCs w:val="14"/>
                  <w14:ligatures w14:val="standardContextual"/>
                </w:rPr>
                <m:t>∂E/∂</m:t>
              </m:r>
              <m:r>
                <m:rPr>
                  <m:sty m:val="p"/>
                </m:rPr>
                <w:rPr>
                  <w:rFonts w:ascii="Cambria Math" w:eastAsiaTheme="minorHAnsi" w:hAnsi="Cambria Math"/>
                  <w:kern w:val="2"/>
                  <w:sz w:val="14"/>
                  <w:szCs w:val="14"/>
                  <w14:ligatures w14:val="standardContextual"/>
                </w:rPr>
                <m:t>ln</m:t>
              </m:r>
              <m:r>
                <w:rPr>
                  <w:rFonts w:ascii="Cambria Math" w:eastAsiaTheme="minorHAnsi" w:hAnsi="Cambria Math"/>
                  <w:kern w:val="2"/>
                  <w:sz w:val="14"/>
                  <w:szCs w:val="14"/>
                  <w14:ligatures w14:val="standardContextual"/>
                </w:rPr>
                <m:t>i</m:t>
              </m:r>
            </m:oMath>
            <w:r w:rsidRPr="00780634">
              <w:rPr>
                <w:rFonts w:eastAsiaTheme="minorEastAsia"/>
                <w:kern w:val="2"/>
                <w:sz w:val="14"/>
                <w:szCs w:val="14"/>
                <w14:ligatures w14:val="standardContextual"/>
              </w:rPr>
              <w:t xml:space="preserve"> </w:t>
            </w:r>
            <w:r w:rsidRPr="00780634">
              <w:rPr>
                <w:rFonts w:eastAsiaTheme="minorEastAsia"/>
                <w:kern w:val="2"/>
                <w:sz w:val="14"/>
                <w:szCs w:val="14"/>
                <w:vertAlign w:val="superscript"/>
                <w14:ligatures w14:val="standardContextual"/>
              </w:rPr>
              <w:t>a</w:t>
            </w:r>
          </w:p>
        </w:tc>
        <w:tc>
          <w:tcPr>
            <w:tcW w:w="567" w:type="dxa"/>
            <w:shd w:val="clear" w:color="auto" w:fill="D9D9D9" w:themeFill="background1" w:themeFillShade="D9"/>
            <w:tcMar>
              <w:left w:w="28" w:type="dxa"/>
              <w:right w:w="28" w:type="dxa"/>
            </w:tcMar>
          </w:tcPr>
          <w:p w14:paraId="7FEC017F" w14:textId="77777777" w:rsidR="00780634" w:rsidRPr="00780634" w:rsidRDefault="00780634" w:rsidP="00780634">
            <w:pPr>
              <w:rPr>
                <w:rFonts w:eastAsiaTheme="minorHAnsi"/>
                <w:kern w:val="2"/>
                <w:sz w:val="14"/>
                <w:szCs w:val="14"/>
                <w14:ligatures w14:val="standardContextual"/>
              </w:rPr>
            </w:pPr>
          </w:p>
        </w:tc>
        <w:tc>
          <w:tcPr>
            <w:tcW w:w="426" w:type="dxa"/>
            <w:shd w:val="clear" w:color="auto" w:fill="D9D9D9" w:themeFill="background1" w:themeFillShade="D9"/>
            <w:tcMar>
              <w:left w:w="28" w:type="dxa"/>
              <w:right w:w="28" w:type="dxa"/>
            </w:tcMar>
          </w:tcPr>
          <w:p w14:paraId="1C0269C3" w14:textId="77777777" w:rsidR="00780634" w:rsidRPr="00780634" w:rsidRDefault="00780634" w:rsidP="00780634">
            <w:pPr>
              <w:rPr>
                <w:rFonts w:eastAsiaTheme="minorHAnsi"/>
                <w:kern w:val="2"/>
                <w:sz w:val="14"/>
                <w:szCs w:val="14"/>
                <w14:ligatures w14:val="standardContextual"/>
              </w:rPr>
            </w:pPr>
          </w:p>
        </w:tc>
        <w:tc>
          <w:tcPr>
            <w:tcW w:w="939" w:type="dxa"/>
            <w:gridSpan w:val="2"/>
            <w:shd w:val="clear" w:color="auto" w:fill="D9D9D9" w:themeFill="background1" w:themeFillShade="D9"/>
            <w:tcMar>
              <w:left w:w="28" w:type="dxa"/>
              <w:right w:w="28" w:type="dxa"/>
            </w:tcMar>
          </w:tcPr>
          <w:p w14:paraId="23A024A6" w14:textId="77777777" w:rsidR="00780634" w:rsidRPr="00780634" w:rsidRDefault="00780634" w:rsidP="00780634">
            <w:pPr>
              <w:rPr>
                <w:rFonts w:eastAsiaTheme="minorHAnsi"/>
                <w:kern w:val="2"/>
                <w:sz w:val="14"/>
                <w:szCs w:val="14"/>
                <w14:ligatures w14:val="standardContextual"/>
              </w:rPr>
            </w:pPr>
          </w:p>
        </w:tc>
      </w:tr>
      <w:tr w:rsidR="00780634" w:rsidRPr="00780634" w14:paraId="5E159B2F" w14:textId="77777777" w:rsidTr="00B2471A">
        <w:tc>
          <w:tcPr>
            <w:tcW w:w="2830" w:type="dxa"/>
            <w:gridSpan w:val="2"/>
            <w:shd w:val="clear" w:color="auto" w:fill="D9D9D9" w:themeFill="background1" w:themeFillShade="D9"/>
            <w:tcMar>
              <w:left w:w="28" w:type="dxa"/>
              <w:right w:w="28" w:type="dxa"/>
            </w:tcMar>
          </w:tcPr>
          <w:p w14:paraId="1EB0AA44" w14:textId="77777777" w:rsidR="00780634" w:rsidRPr="00780634" w:rsidRDefault="00780634" w:rsidP="00780634">
            <w:pPr>
              <w:rPr>
                <w:rFonts w:eastAsiaTheme="minorHAnsi"/>
                <w:kern w:val="2"/>
                <w:sz w:val="14"/>
                <w:szCs w:val="14"/>
                <w14:ligatures w14:val="standardContextual"/>
              </w:rPr>
            </w:pPr>
          </w:p>
        </w:tc>
        <w:tc>
          <w:tcPr>
            <w:tcW w:w="426" w:type="dxa"/>
            <w:shd w:val="clear" w:color="auto" w:fill="D9D9D9" w:themeFill="background1" w:themeFillShade="D9"/>
            <w:tcMar>
              <w:left w:w="28" w:type="dxa"/>
              <w:right w:w="28" w:type="dxa"/>
            </w:tcMar>
          </w:tcPr>
          <w:p w14:paraId="7A80AE7E" w14:textId="77777777" w:rsidR="00780634" w:rsidRPr="00780634" w:rsidRDefault="00780634" w:rsidP="00780634">
            <w:pPr>
              <w:rPr>
                <w:rFonts w:eastAsiaTheme="minorHAnsi"/>
                <w:kern w:val="2"/>
                <w:sz w:val="14"/>
                <w:szCs w:val="14"/>
                <w14:ligatures w14:val="standardContextual"/>
              </w:rPr>
            </w:pPr>
            <w:proofErr w:type="spellStart"/>
            <w:r w:rsidRPr="00780634">
              <w:rPr>
                <w:rFonts w:eastAsiaTheme="minorHAnsi"/>
                <w:i/>
                <w:iCs/>
                <w:kern w:val="2"/>
                <w:sz w:val="14"/>
                <w:szCs w:val="14"/>
                <w14:ligatures w14:val="standardContextual"/>
              </w:rPr>
              <w:t>v</w:t>
            </w:r>
            <w:r w:rsidRPr="00780634">
              <w:rPr>
                <w:rFonts w:eastAsiaTheme="minorHAnsi"/>
                <w:kern w:val="2"/>
                <w:sz w:val="14"/>
                <w:szCs w:val="14"/>
                <w:vertAlign w:val="superscript"/>
                <w14:ligatures w14:val="standardContextual"/>
              </w:rPr>
              <w:t>b</w:t>
            </w:r>
            <w:proofErr w:type="spellEnd"/>
          </w:p>
        </w:tc>
        <w:tc>
          <w:tcPr>
            <w:tcW w:w="708" w:type="dxa"/>
            <w:shd w:val="clear" w:color="auto" w:fill="D9D9D9" w:themeFill="background1" w:themeFillShade="D9"/>
            <w:tcMar>
              <w:left w:w="28" w:type="dxa"/>
              <w:right w:w="28" w:type="dxa"/>
            </w:tcMar>
          </w:tcPr>
          <w:p w14:paraId="35B31607" w14:textId="77777777" w:rsidR="00780634" w:rsidRPr="00780634" w:rsidRDefault="00780634" w:rsidP="00780634">
            <w:pPr>
              <w:rPr>
                <w:rFonts w:eastAsiaTheme="minorHAnsi"/>
                <w:kern w:val="2"/>
                <w:sz w:val="14"/>
                <w:szCs w:val="14"/>
                <w14:ligatures w14:val="standardContextual"/>
              </w:rPr>
            </w:pPr>
            <m:oMathPara>
              <m:oMath>
                <m:r>
                  <w:rPr>
                    <w:rFonts w:ascii="Cambria Math" w:eastAsiaTheme="minorHAnsi" w:hAnsi="Cambria Math"/>
                    <w:kern w:val="2"/>
                    <w:sz w:val="14"/>
                    <w:szCs w:val="14"/>
                    <w14:ligatures w14:val="standardContextual"/>
                  </w:rPr>
                  <m:t>θ →0</m:t>
                </m:r>
              </m:oMath>
            </m:oMathPara>
          </w:p>
        </w:tc>
        <w:tc>
          <w:tcPr>
            <w:tcW w:w="709" w:type="dxa"/>
            <w:shd w:val="clear" w:color="auto" w:fill="D9D9D9" w:themeFill="background1" w:themeFillShade="D9"/>
            <w:tcMar>
              <w:left w:w="28" w:type="dxa"/>
              <w:right w:w="28" w:type="dxa"/>
            </w:tcMar>
          </w:tcPr>
          <w:p w14:paraId="3260E6EE" w14:textId="77777777" w:rsidR="00780634" w:rsidRPr="00780634" w:rsidRDefault="00780634" w:rsidP="00780634">
            <w:pPr>
              <w:rPr>
                <w:rFonts w:eastAsiaTheme="minorHAnsi"/>
                <w:kern w:val="2"/>
                <w:sz w:val="14"/>
                <w:szCs w:val="14"/>
                <w14:ligatures w14:val="standardContextual"/>
              </w:rPr>
            </w:pPr>
            <m:oMathPara>
              <m:oMath>
                <m:r>
                  <w:rPr>
                    <w:rFonts w:ascii="Cambria Math" w:eastAsiaTheme="minorHAnsi" w:hAnsi="Cambria Math"/>
                    <w:kern w:val="2"/>
                    <w:sz w:val="14"/>
                    <w:szCs w:val="14"/>
                    <w14:ligatures w14:val="standardContextual"/>
                  </w:rPr>
                  <m:t>θ →1</m:t>
                </m:r>
              </m:oMath>
            </m:oMathPara>
          </w:p>
        </w:tc>
        <w:tc>
          <w:tcPr>
            <w:tcW w:w="709" w:type="dxa"/>
            <w:shd w:val="clear" w:color="auto" w:fill="D9D9D9" w:themeFill="background1" w:themeFillShade="D9"/>
            <w:tcMar>
              <w:left w:w="28" w:type="dxa"/>
              <w:right w:w="28" w:type="dxa"/>
            </w:tcMar>
          </w:tcPr>
          <w:p w14:paraId="4A8810E0" w14:textId="77777777" w:rsidR="00780634" w:rsidRPr="00780634" w:rsidRDefault="00780634" w:rsidP="00780634">
            <w:pPr>
              <w:rPr>
                <w:rFonts w:eastAsiaTheme="minorHAnsi"/>
                <w:kern w:val="2"/>
                <w:sz w:val="14"/>
                <w:szCs w:val="14"/>
                <w14:ligatures w14:val="standardContextual"/>
              </w:rPr>
            </w:pPr>
            <m:oMathPara>
              <m:oMath>
                <m:r>
                  <w:rPr>
                    <w:rFonts w:ascii="Cambria Math" w:eastAsiaTheme="minorHAnsi" w:hAnsi="Cambria Math"/>
                    <w:kern w:val="2"/>
                    <w:sz w:val="14"/>
                    <w:szCs w:val="14"/>
                    <w14:ligatures w14:val="standardContextual"/>
                  </w:rPr>
                  <m:t>θ →0</m:t>
                </m:r>
              </m:oMath>
            </m:oMathPara>
          </w:p>
        </w:tc>
        <w:tc>
          <w:tcPr>
            <w:tcW w:w="572" w:type="dxa"/>
            <w:gridSpan w:val="2"/>
            <w:shd w:val="clear" w:color="auto" w:fill="D9D9D9" w:themeFill="background1" w:themeFillShade="D9"/>
            <w:tcMar>
              <w:left w:w="28" w:type="dxa"/>
              <w:right w:w="28" w:type="dxa"/>
            </w:tcMar>
          </w:tcPr>
          <w:p w14:paraId="60FC481A" w14:textId="77777777" w:rsidR="00780634" w:rsidRPr="00780634" w:rsidRDefault="00780634" w:rsidP="00780634">
            <w:pPr>
              <w:rPr>
                <w:rFonts w:eastAsiaTheme="minorHAnsi"/>
                <w:kern w:val="2"/>
                <w:sz w:val="14"/>
                <w:szCs w:val="14"/>
                <w14:ligatures w14:val="standardContextual"/>
              </w:rPr>
            </w:pPr>
            <m:oMathPara>
              <m:oMath>
                <m:r>
                  <w:rPr>
                    <w:rFonts w:ascii="Cambria Math" w:eastAsiaTheme="minorHAnsi" w:hAnsi="Cambria Math"/>
                    <w:kern w:val="2"/>
                    <w:sz w:val="14"/>
                    <w:szCs w:val="14"/>
                    <w14:ligatures w14:val="standardContextual"/>
                  </w:rPr>
                  <m:t>θ →1</m:t>
                </m:r>
              </m:oMath>
            </m:oMathPara>
          </w:p>
        </w:tc>
        <w:tc>
          <w:tcPr>
            <w:tcW w:w="845" w:type="dxa"/>
            <w:gridSpan w:val="2"/>
            <w:shd w:val="clear" w:color="auto" w:fill="D9D9D9" w:themeFill="background1" w:themeFillShade="D9"/>
            <w:tcMar>
              <w:left w:w="28" w:type="dxa"/>
              <w:right w:w="28" w:type="dxa"/>
            </w:tcMar>
          </w:tcPr>
          <w:p w14:paraId="4966E868" w14:textId="77777777" w:rsidR="00780634" w:rsidRPr="00780634" w:rsidRDefault="00780634" w:rsidP="00780634">
            <w:pPr>
              <w:jc w:val="center"/>
              <w:rPr>
                <w:rFonts w:eastAsiaTheme="minorHAnsi"/>
                <w:kern w:val="2"/>
                <w:sz w:val="14"/>
                <w:szCs w:val="14"/>
                <w14:ligatures w14:val="standardContextual"/>
              </w:rPr>
            </w:pPr>
            <w:proofErr w:type="spellStart"/>
            <w:r w:rsidRPr="00780634">
              <w:rPr>
                <w:rFonts w:eastAsiaTheme="minorHAnsi"/>
                <w:kern w:val="2"/>
                <w:sz w:val="14"/>
                <w:szCs w:val="14"/>
                <w14:ligatures w14:val="standardContextual"/>
              </w:rPr>
              <w:t>NA</w:t>
            </w:r>
            <w:r w:rsidRPr="00780634">
              <w:rPr>
                <w:rFonts w:eastAsiaTheme="minorHAnsi"/>
                <w:kern w:val="2"/>
                <w:sz w:val="14"/>
                <w:szCs w:val="14"/>
                <w:vertAlign w:val="superscript"/>
                <w14:ligatures w14:val="standardContextual"/>
              </w:rPr>
              <w:t>d</w:t>
            </w:r>
            <w:proofErr w:type="spellEnd"/>
          </w:p>
        </w:tc>
        <w:tc>
          <w:tcPr>
            <w:tcW w:w="567" w:type="dxa"/>
            <w:shd w:val="clear" w:color="auto" w:fill="D9D9D9" w:themeFill="background1" w:themeFillShade="D9"/>
            <w:tcMar>
              <w:left w:w="28" w:type="dxa"/>
              <w:right w:w="28" w:type="dxa"/>
            </w:tcMar>
          </w:tcPr>
          <w:p w14:paraId="0BEECB41"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A</w:t>
            </w:r>
            <w:r w:rsidRPr="00780634">
              <w:rPr>
                <w:rFonts w:eastAsiaTheme="minorHAnsi"/>
                <w:kern w:val="2"/>
                <w:sz w:val="14"/>
                <w:szCs w:val="14"/>
                <w:vertAlign w:val="superscript"/>
                <w14:ligatures w14:val="standardContextual"/>
              </w:rPr>
              <w:t>e</w:t>
            </w:r>
          </w:p>
        </w:tc>
        <w:tc>
          <w:tcPr>
            <w:tcW w:w="567" w:type="dxa"/>
            <w:shd w:val="clear" w:color="auto" w:fill="D9D9D9" w:themeFill="background1" w:themeFillShade="D9"/>
            <w:tcMar>
              <w:left w:w="28" w:type="dxa"/>
              <w:right w:w="28" w:type="dxa"/>
            </w:tcMar>
          </w:tcPr>
          <w:p w14:paraId="62F83E8C" w14:textId="77777777" w:rsidR="00780634" w:rsidRPr="00780634" w:rsidRDefault="00780634" w:rsidP="00780634">
            <w:pPr>
              <w:jc w:val="center"/>
              <w:rPr>
                <w:rFonts w:eastAsiaTheme="minorHAnsi"/>
                <w:kern w:val="2"/>
                <w:sz w:val="14"/>
                <w:szCs w:val="14"/>
                <w14:ligatures w14:val="standardContextual"/>
              </w:rPr>
            </w:pPr>
            <w:proofErr w:type="spellStart"/>
            <w:r w:rsidRPr="00780634">
              <w:rPr>
                <w:rFonts w:eastAsiaTheme="minorHAnsi"/>
                <w:kern w:val="2"/>
                <w:sz w:val="14"/>
                <w:szCs w:val="14"/>
                <w14:ligatures w14:val="standardContextual"/>
              </w:rPr>
              <w:t>NA</w:t>
            </w:r>
            <w:r w:rsidRPr="00780634">
              <w:rPr>
                <w:rFonts w:eastAsiaTheme="minorHAnsi"/>
                <w:kern w:val="2"/>
                <w:sz w:val="14"/>
                <w:szCs w:val="14"/>
                <w:vertAlign w:val="superscript"/>
                <w14:ligatures w14:val="standardContextual"/>
              </w:rPr>
              <w:t>d</w:t>
            </w:r>
            <w:proofErr w:type="spellEnd"/>
          </w:p>
        </w:tc>
        <w:tc>
          <w:tcPr>
            <w:tcW w:w="426" w:type="dxa"/>
            <w:shd w:val="clear" w:color="auto" w:fill="D9D9D9" w:themeFill="background1" w:themeFillShade="D9"/>
            <w:tcMar>
              <w:left w:w="28" w:type="dxa"/>
              <w:right w:w="28" w:type="dxa"/>
            </w:tcMar>
          </w:tcPr>
          <w:p w14:paraId="68847B11"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A</w:t>
            </w:r>
            <w:r w:rsidRPr="00780634">
              <w:rPr>
                <w:rFonts w:eastAsiaTheme="minorHAnsi"/>
                <w:kern w:val="2"/>
                <w:sz w:val="14"/>
                <w:szCs w:val="14"/>
                <w:vertAlign w:val="superscript"/>
                <w14:ligatures w14:val="standardContextual"/>
              </w:rPr>
              <w:t>e</w:t>
            </w:r>
          </w:p>
        </w:tc>
        <w:tc>
          <w:tcPr>
            <w:tcW w:w="939" w:type="dxa"/>
            <w:gridSpan w:val="2"/>
            <w:shd w:val="clear" w:color="auto" w:fill="D9D9D9" w:themeFill="background1" w:themeFillShade="D9"/>
            <w:tcMar>
              <w:left w:w="28" w:type="dxa"/>
              <w:right w:w="28" w:type="dxa"/>
            </w:tcMar>
          </w:tcPr>
          <w:p w14:paraId="3D721ED5" w14:textId="77777777" w:rsidR="00780634" w:rsidRPr="00780634" w:rsidRDefault="00780634" w:rsidP="00780634">
            <w:pPr>
              <w:jc w:val="center"/>
              <w:rPr>
                <w:rFonts w:eastAsiaTheme="minorHAnsi"/>
                <w:kern w:val="2"/>
                <w:sz w:val="14"/>
                <w:szCs w:val="14"/>
                <w14:ligatures w14:val="standardContextual"/>
              </w:rPr>
            </w:pPr>
            <w:proofErr w:type="spellStart"/>
            <w:r w:rsidRPr="00780634">
              <w:rPr>
                <w:rFonts w:eastAsiaTheme="minorHAnsi"/>
                <w:kern w:val="2"/>
                <w:sz w:val="14"/>
                <w:szCs w:val="14"/>
                <w14:ligatures w14:val="standardContextual"/>
              </w:rPr>
              <w:t>Conditions</w:t>
            </w:r>
            <w:r w:rsidRPr="00780634">
              <w:rPr>
                <w:rFonts w:eastAsiaTheme="minorHAnsi"/>
                <w:kern w:val="2"/>
                <w:sz w:val="14"/>
                <w:szCs w:val="14"/>
                <w:vertAlign w:val="superscript"/>
                <w14:ligatures w14:val="standardContextual"/>
              </w:rPr>
              <w:t>f</w:t>
            </w:r>
            <w:proofErr w:type="spellEnd"/>
          </w:p>
        </w:tc>
      </w:tr>
      <w:tr w:rsidR="00780634" w:rsidRPr="00780634" w14:paraId="60017601" w14:textId="77777777" w:rsidTr="00B2471A">
        <w:tc>
          <w:tcPr>
            <w:tcW w:w="2830" w:type="dxa"/>
            <w:gridSpan w:val="2"/>
            <w:tcMar>
              <w:left w:w="28" w:type="dxa"/>
              <w:right w:w="28" w:type="dxa"/>
            </w:tcMar>
          </w:tcPr>
          <w:p w14:paraId="7DEF30B0" w14:textId="77777777" w:rsidR="00780634" w:rsidRPr="00780634" w:rsidRDefault="00780634" w:rsidP="00780634">
            <w:pPr>
              <w:rPr>
                <w:rFonts w:eastAsiaTheme="minorHAnsi"/>
                <w:i/>
                <w:iCs/>
                <w:kern w:val="2"/>
                <w:sz w:val="14"/>
                <w:szCs w:val="14"/>
                <w14:ligatures w14:val="standardContextual"/>
              </w:rPr>
            </w:pPr>
            <w:r w:rsidRPr="00780634">
              <w:rPr>
                <w:rFonts w:eastAsiaTheme="minorHAnsi"/>
                <w:i/>
                <w:iCs/>
                <w:kern w:val="2"/>
                <w:sz w:val="14"/>
                <w:szCs w:val="14"/>
                <w14:ligatures w14:val="standardContextual"/>
              </w:rPr>
              <w:t xml:space="preserve">(I) </w:t>
            </w:r>
            <w:proofErr w:type="spellStart"/>
            <w:r w:rsidRPr="00780634">
              <w:rPr>
                <w:rFonts w:eastAsiaTheme="minorHAnsi"/>
                <w:i/>
                <w:iCs/>
                <w:kern w:val="2"/>
                <w:sz w:val="14"/>
                <w:szCs w:val="14"/>
                <w14:ligatures w14:val="standardContextual"/>
              </w:rPr>
              <w:t>Bockris’s</w:t>
            </w:r>
            <w:proofErr w:type="spellEnd"/>
            <w:r w:rsidRPr="00780634">
              <w:rPr>
                <w:rFonts w:eastAsiaTheme="minorHAnsi"/>
                <w:i/>
                <w:iCs/>
                <w:kern w:val="2"/>
                <w:sz w:val="14"/>
                <w:szCs w:val="14"/>
                <w14:ligatures w14:val="standardContextual"/>
              </w:rPr>
              <w:t xml:space="preserve"> oxide path</w:t>
            </w:r>
          </w:p>
        </w:tc>
        <w:tc>
          <w:tcPr>
            <w:tcW w:w="426" w:type="dxa"/>
            <w:tcMar>
              <w:left w:w="28" w:type="dxa"/>
              <w:right w:w="28" w:type="dxa"/>
            </w:tcMar>
          </w:tcPr>
          <w:p w14:paraId="5C2BCF3D" w14:textId="77777777" w:rsidR="00780634" w:rsidRPr="00780634" w:rsidRDefault="00780634" w:rsidP="00780634">
            <w:pPr>
              <w:rPr>
                <w:rFonts w:eastAsiaTheme="minorHAnsi"/>
                <w:kern w:val="2"/>
                <w:sz w:val="14"/>
                <w:szCs w:val="14"/>
                <w14:ligatures w14:val="standardContextual"/>
              </w:rPr>
            </w:pPr>
          </w:p>
        </w:tc>
        <w:tc>
          <w:tcPr>
            <w:tcW w:w="708" w:type="dxa"/>
            <w:tcMar>
              <w:left w:w="28" w:type="dxa"/>
              <w:right w:w="28" w:type="dxa"/>
            </w:tcMar>
          </w:tcPr>
          <w:p w14:paraId="17BA4861" w14:textId="77777777" w:rsidR="00780634" w:rsidRPr="00780634" w:rsidRDefault="00780634" w:rsidP="00780634">
            <w:pPr>
              <w:rPr>
                <w:rFonts w:eastAsiaTheme="minorHAnsi"/>
                <w:kern w:val="2"/>
                <w:sz w:val="14"/>
                <w:szCs w:val="14"/>
                <w14:ligatures w14:val="standardContextual"/>
              </w:rPr>
            </w:pPr>
          </w:p>
        </w:tc>
        <w:tc>
          <w:tcPr>
            <w:tcW w:w="709" w:type="dxa"/>
            <w:tcMar>
              <w:left w:w="28" w:type="dxa"/>
              <w:right w:w="28" w:type="dxa"/>
            </w:tcMar>
          </w:tcPr>
          <w:p w14:paraId="60777652" w14:textId="77777777" w:rsidR="00780634" w:rsidRPr="00780634" w:rsidRDefault="00780634" w:rsidP="00780634">
            <w:pPr>
              <w:rPr>
                <w:rFonts w:eastAsiaTheme="minorHAnsi"/>
                <w:kern w:val="2"/>
                <w:sz w:val="14"/>
                <w:szCs w:val="14"/>
                <w14:ligatures w14:val="standardContextual"/>
              </w:rPr>
            </w:pPr>
          </w:p>
        </w:tc>
        <w:tc>
          <w:tcPr>
            <w:tcW w:w="709" w:type="dxa"/>
            <w:tcMar>
              <w:left w:w="28" w:type="dxa"/>
              <w:right w:w="28" w:type="dxa"/>
            </w:tcMar>
          </w:tcPr>
          <w:p w14:paraId="620313C2" w14:textId="77777777" w:rsidR="00780634" w:rsidRPr="00780634" w:rsidRDefault="00780634" w:rsidP="00780634">
            <w:pPr>
              <w:rPr>
                <w:rFonts w:eastAsiaTheme="minorHAnsi"/>
                <w:kern w:val="2"/>
                <w:sz w:val="14"/>
                <w:szCs w:val="14"/>
                <w14:ligatures w14:val="standardContextual"/>
              </w:rPr>
            </w:pPr>
          </w:p>
        </w:tc>
        <w:tc>
          <w:tcPr>
            <w:tcW w:w="572" w:type="dxa"/>
            <w:gridSpan w:val="2"/>
            <w:tcMar>
              <w:left w:w="28" w:type="dxa"/>
              <w:right w:w="28" w:type="dxa"/>
            </w:tcMar>
          </w:tcPr>
          <w:p w14:paraId="2B19EFDD" w14:textId="77777777" w:rsidR="00780634" w:rsidRPr="00780634" w:rsidRDefault="00780634" w:rsidP="00780634">
            <w:pPr>
              <w:rPr>
                <w:rFonts w:eastAsiaTheme="minorHAnsi"/>
                <w:kern w:val="2"/>
                <w:sz w:val="14"/>
                <w:szCs w:val="14"/>
                <w14:ligatures w14:val="standardContextual"/>
              </w:rPr>
            </w:pPr>
          </w:p>
        </w:tc>
        <w:tc>
          <w:tcPr>
            <w:tcW w:w="845" w:type="dxa"/>
            <w:gridSpan w:val="2"/>
            <w:tcMar>
              <w:left w:w="28" w:type="dxa"/>
              <w:right w:w="28" w:type="dxa"/>
            </w:tcMar>
          </w:tcPr>
          <w:p w14:paraId="1D13CAD4" w14:textId="77777777" w:rsidR="00780634" w:rsidRPr="00780634" w:rsidRDefault="00780634" w:rsidP="00780634">
            <w:pPr>
              <w:jc w:val="center"/>
              <w:rPr>
                <w:rFonts w:eastAsiaTheme="minorHAnsi"/>
                <w:kern w:val="2"/>
                <w:sz w:val="14"/>
                <w:szCs w:val="14"/>
                <w14:ligatures w14:val="standardContextual"/>
              </w:rPr>
            </w:pPr>
          </w:p>
        </w:tc>
        <w:tc>
          <w:tcPr>
            <w:tcW w:w="567" w:type="dxa"/>
            <w:tcMar>
              <w:left w:w="28" w:type="dxa"/>
              <w:right w:w="28" w:type="dxa"/>
            </w:tcMar>
          </w:tcPr>
          <w:p w14:paraId="1B58DCD1" w14:textId="77777777" w:rsidR="00780634" w:rsidRPr="00780634" w:rsidRDefault="00780634" w:rsidP="00780634">
            <w:pPr>
              <w:jc w:val="center"/>
              <w:rPr>
                <w:rFonts w:eastAsiaTheme="minorHAnsi"/>
                <w:kern w:val="2"/>
                <w:sz w:val="14"/>
                <w:szCs w:val="14"/>
                <w14:ligatures w14:val="standardContextual"/>
              </w:rPr>
            </w:pPr>
          </w:p>
        </w:tc>
        <w:tc>
          <w:tcPr>
            <w:tcW w:w="567" w:type="dxa"/>
            <w:tcMar>
              <w:left w:w="28" w:type="dxa"/>
              <w:right w:w="28" w:type="dxa"/>
            </w:tcMar>
          </w:tcPr>
          <w:p w14:paraId="3B1C0170" w14:textId="77777777" w:rsidR="00780634" w:rsidRPr="00780634" w:rsidRDefault="00780634" w:rsidP="00780634">
            <w:pPr>
              <w:jc w:val="center"/>
              <w:rPr>
                <w:rFonts w:eastAsiaTheme="minorHAnsi"/>
                <w:kern w:val="2"/>
                <w:sz w:val="14"/>
                <w:szCs w:val="14"/>
                <w14:ligatures w14:val="standardContextual"/>
              </w:rPr>
            </w:pPr>
          </w:p>
        </w:tc>
        <w:tc>
          <w:tcPr>
            <w:tcW w:w="426" w:type="dxa"/>
            <w:tcMar>
              <w:left w:w="28" w:type="dxa"/>
              <w:right w:w="28" w:type="dxa"/>
            </w:tcMar>
          </w:tcPr>
          <w:p w14:paraId="3C6FF26A" w14:textId="77777777" w:rsidR="00780634" w:rsidRPr="00780634" w:rsidRDefault="00780634" w:rsidP="00780634">
            <w:pPr>
              <w:jc w:val="center"/>
              <w:rPr>
                <w:rFonts w:eastAsiaTheme="minorHAnsi"/>
                <w:kern w:val="2"/>
                <w:sz w:val="14"/>
                <w:szCs w:val="14"/>
                <w14:ligatures w14:val="standardContextual"/>
              </w:rPr>
            </w:pPr>
          </w:p>
        </w:tc>
        <w:tc>
          <w:tcPr>
            <w:tcW w:w="939" w:type="dxa"/>
            <w:gridSpan w:val="2"/>
            <w:tcMar>
              <w:left w:w="28" w:type="dxa"/>
              <w:right w:w="28" w:type="dxa"/>
            </w:tcMar>
          </w:tcPr>
          <w:p w14:paraId="2DB3A659" w14:textId="77777777" w:rsidR="00780634" w:rsidRPr="00780634" w:rsidRDefault="00780634" w:rsidP="00780634">
            <w:pPr>
              <w:jc w:val="center"/>
              <w:rPr>
                <w:rFonts w:eastAsiaTheme="minorHAnsi"/>
                <w:kern w:val="2"/>
                <w:sz w:val="14"/>
                <w:szCs w:val="14"/>
                <w14:ligatures w14:val="standardContextual"/>
              </w:rPr>
            </w:pPr>
          </w:p>
        </w:tc>
      </w:tr>
      <w:tr w:rsidR="00780634" w:rsidRPr="00780634" w14:paraId="3E44FC55" w14:textId="77777777" w:rsidTr="00B2471A">
        <w:tc>
          <w:tcPr>
            <w:tcW w:w="2830" w:type="dxa"/>
            <w:gridSpan w:val="2"/>
            <w:tcMar>
              <w:left w:w="28" w:type="dxa"/>
              <w:right w:w="28" w:type="dxa"/>
            </w:tcMar>
          </w:tcPr>
          <w:p w14:paraId="3318DDC1"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 xml:space="preserve">1. </w:t>
            </w:r>
            <m:oMath>
              <m:r>
                <m:rPr>
                  <m:sty m:val="p"/>
                </m:rPr>
                <w:rPr>
                  <w:rFonts w:ascii="Cambria Math" w:eastAsiaTheme="minorHAnsi" w:hAnsi="Cambria Math"/>
                  <w:kern w:val="2"/>
                  <w:sz w:val="14"/>
                  <w:szCs w:val="14"/>
                  <w14:ligatures w14:val="standardContextual"/>
                </w:rPr>
                <m:t xml:space="preserve">M+ </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OH</m:t>
                  </m:r>
                </m:e>
                <m:sup>
                  <m:r>
                    <m:rPr>
                      <m:sty m:val="p"/>
                    </m:rPr>
                    <w:rPr>
                      <w:rFonts w:ascii="Cambria Math" w:eastAsiaTheme="minorHAnsi" w:hAnsi="Cambria Math"/>
                      <w:kern w:val="2"/>
                      <w:sz w:val="14"/>
                      <w:szCs w:val="14"/>
                      <w14:ligatures w14:val="standardContextual"/>
                    </w:rPr>
                    <m:t>-</m:t>
                  </m:r>
                </m:sup>
              </m:sSup>
              <m:r>
                <m:rPr>
                  <m:sty m:val="p"/>
                </m:rPr>
                <w:rPr>
                  <w:rFonts w:ascii="Cambria Math" w:eastAsiaTheme="minorHAnsi" w:hAnsi="Cambria Math"/>
                  <w:kern w:val="2"/>
                  <w:sz w:val="14"/>
                  <w:szCs w:val="14"/>
                  <w14:ligatures w14:val="standardContextual"/>
                </w:rPr>
                <m:t xml:space="preserve"> →MOH+ </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e</m:t>
                  </m:r>
                </m:e>
                <m:sup>
                  <m:r>
                    <m:rPr>
                      <m:sty m:val="p"/>
                    </m:rPr>
                    <w:rPr>
                      <w:rFonts w:ascii="Cambria Math" w:eastAsiaTheme="minorHAnsi" w:hAnsi="Cambria Math"/>
                      <w:kern w:val="2"/>
                      <w:sz w:val="14"/>
                      <w:szCs w:val="14"/>
                      <w14:ligatures w14:val="standardContextual"/>
                    </w:rPr>
                    <m:t>-</m:t>
                  </m:r>
                </m:sup>
              </m:sSup>
            </m:oMath>
          </w:p>
        </w:tc>
        <w:tc>
          <w:tcPr>
            <w:tcW w:w="426" w:type="dxa"/>
            <w:tcMar>
              <w:left w:w="28" w:type="dxa"/>
              <w:right w:w="28" w:type="dxa"/>
            </w:tcMar>
          </w:tcPr>
          <w:p w14:paraId="5C000356"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4</w:t>
            </w:r>
          </w:p>
        </w:tc>
        <w:tc>
          <w:tcPr>
            <w:tcW w:w="708" w:type="dxa"/>
            <w:tcMar>
              <w:left w:w="28" w:type="dxa"/>
              <w:right w:w="28" w:type="dxa"/>
            </w:tcMar>
          </w:tcPr>
          <w:p w14:paraId="078CEC5D"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709" w:type="dxa"/>
            <w:tcMar>
              <w:left w:w="28" w:type="dxa"/>
              <w:right w:w="28" w:type="dxa"/>
            </w:tcMar>
          </w:tcPr>
          <w:p w14:paraId="44545166"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71C396EF"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572" w:type="dxa"/>
            <w:gridSpan w:val="2"/>
            <w:tcMar>
              <w:left w:w="28" w:type="dxa"/>
              <w:right w:w="28" w:type="dxa"/>
            </w:tcMar>
          </w:tcPr>
          <w:p w14:paraId="778249B4" w14:textId="77777777" w:rsidR="00780634" w:rsidRPr="00780634" w:rsidRDefault="00780634" w:rsidP="00780634">
            <w:pPr>
              <w:jc w:val="center"/>
              <w:rPr>
                <w:rFonts w:eastAsiaTheme="minorHAnsi"/>
                <w:kern w:val="2"/>
                <w:sz w:val="14"/>
                <w:szCs w:val="14"/>
                <w14:ligatures w14:val="standardContextual"/>
              </w:rPr>
            </w:pPr>
          </w:p>
        </w:tc>
        <w:tc>
          <w:tcPr>
            <w:tcW w:w="845" w:type="dxa"/>
            <w:gridSpan w:val="2"/>
            <w:tcMar>
              <w:left w:w="28" w:type="dxa"/>
              <w:right w:w="28" w:type="dxa"/>
            </w:tcMar>
          </w:tcPr>
          <w:p w14:paraId="5C527A65" w14:textId="77777777" w:rsidR="00780634" w:rsidRPr="00780634" w:rsidRDefault="00780634" w:rsidP="00780634">
            <w:pPr>
              <w:jc w:val="center"/>
              <w:rPr>
                <w:rFonts w:eastAsiaTheme="minorHAnsi"/>
                <w:kern w:val="2"/>
                <w:sz w:val="14"/>
                <w:szCs w:val="14"/>
                <w14:ligatures w14:val="standardContextual"/>
              </w:rPr>
            </w:pPr>
          </w:p>
        </w:tc>
        <w:tc>
          <w:tcPr>
            <w:tcW w:w="567" w:type="dxa"/>
            <w:tcMar>
              <w:left w:w="28" w:type="dxa"/>
              <w:right w:w="28" w:type="dxa"/>
            </w:tcMar>
          </w:tcPr>
          <w:p w14:paraId="632E6635" w14:textId="77777777" w:rsidR="00780634" w:rsidRPr="00780634" w:rsidRDefault="00780634" w:rsidP="00780634">
            <w:pPr>
              <w:jc w:val="center"/>
              <w:rPr>
                <w:rFonts w:eastAsiaTheme="minorHAnsi"/>
                <w:kern w:val="2"/>
                <w:sz w:val="14"/>
                <w:szCs w:val="14"/>
                <w14:ligatures w14:val="standardContextual"/>
              </w:rPr>
            </w:pPr>
          </w:p>
        </w:tc>
        <w:tc>
          <w:tcPr>
            <w:tcW w:w="567" w:type="dxa"/>
            <w:tcMar>
              <w:left w:w="28" w:type="dxa"/>
              <w:right w:w="28" w:type="dxa"/>
            </w:tcMar>
          </w:tcPr>
          <w:p w14:paraId="0613E037" w14:textId="77777777" w:rsidR="00780634" w:rsidRPr="00780634" w:rsidRDefault="00780634" w:rsidP="00780634">
            <w:pPr>
              <w:jc w:val="center"/>
              <w:rPr>
                <w:rFonts w:eastAsiaTheme="minorHAnsi"/>
                <w:kern w:val="2"/>
                <w:sz w:val="14"/>
                <w:szCs w:val="14"/>
                <w14:ligatures w14:val="standardContextual"/>
              </w:rPr>
            </w:pPr>
          </w:p>
        </w:tc>
        <w:tc>
          <w:tcPr>
            <w:tcW w:w="426" w:type="dxa"/>
            <w:tcMar>
              <w:left w:w="28" w:type="dxa"/>
              <w:right w:w="28" w:type="dxa"/>
            </w:tcMar>
          </w:tcPr>
          <w:p w14:paraId="438D531B" w14:textId="77777777" w:rsidR="00780634" w:rsidRPr="00780634" w:rsidRDefault="00780634" w:rsidP="00780634">
            <w:pPr>
              <w:jc w:val="center"/>
              <w:rPr>
                <w:rFonts w:eastAsiaTheme="minorHAnsi"/>
                <w:kern w:val="2"/>
                <w:sz w:val="14"/>
                <w:szCs w:val="14"/>
                <w14:ligatures w14:val="standardContextual"/>
              </w:rPr>
            </w:pPr>
          </w:p>
        </w:tc>
        <w:tc>
          <w:tcPr>
            <w:tcW w:w="939" w:type="dxa"/>
            <w:gridSpan w:val="2"/>
            <w:tcMar>
              <w:left w:w="28" w:type="dxa"/>
              <w:right w:w="28" w:type="dxa"/>
            </w:tcMar>
          </w:tcPr>
          <w:p w14:paraId="1FBA0455" w14:textId="77777777" w:rsidR="00780634" w:rsidRPr="00780634" w:rsidRDefault="00780634" w:rsidP="00780634">
            <w:pPr>
              <w:jc w:val="center"/>
              <w:rPr>
                <w:rFonts w:eastAsiaTheme="minorHAnsi"/>
                <w:kern w:val="2"/>
                <w:sz w:val="14"/>
                <w:szCs w:val="14"/>
                <w14:ligatures w14:val="standardContextual"/>
              </w:rPr>
            </w:pPr>
          </w:p>
        </w:tc>
      </w:tr>
      <w:tr w:rsidR="00F47166" w:rsidRPr="00780634" w14:paraId="04B570D5" w14:textId="77777777" w:rsidTr="008136C1">
        <w:tc>
          <w:tcPr>
            <w:tcW w:w="2830" w:type="dxa"/>
            <w:gridSpan w:val="2"/>
            <w:tcMar>
              <w:left w:w="28" w:type="dxa"/>
              <w:right w:w="28" w:type="dxa"/>
            </w:tcMar>
          </w:tcPr>
          <w:p w14:paraId="77911F58" w14:textId="77777777" w:rsidR="00F47166" w:rsidRPr="00780634" w:rsidRDefault="00F47166"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 xml:space="preserve">2. </w:t>
            </w:r>
            <m:oMath>
              <m:r>
                <w:rPr>
                  <w:rFonts w:ascii="Cambria Math" w:eastAsiaTheme="minorHAnsi" w:hAnsi="Cambria Math"/>
                  <w:kern w:val="2"/>
                  <w:sz w:val="14"/>
                  <w:szCs w:val="14"/>
                  <w14:ligatures w14:val="standardContextual"/>
                </w:rPr>
                <m:t>2</m:t>
              </m:r>
              <m:r>
                <m:rPr>
                  <m:sty m:val="p"/>
                </m:rPr>
                <w:rPr>
                  <w:rFonts w:ascii="Cambria Math" w:eastAsiaTheme="minorHAnsi" w:hAnsi="Cambria Math"/>
                  <w:kern w:val="2"/>
                  <w:sz w:val="14"/>
                  <w:szCs w:val="14"/>
                  <w14:ligatures w14:val="standardContextual"/>
                </w:rPr>
                <m:t xml:space="preserve">MOH →MO+ M+ </m:t>
              </m:r>
              <m:sSub>
                <m:sSubPr>
                  <m:ctrlPr>
                    <w:rPr>
                      <w:rFonts w:ascii="Cambria Math" w:eastAsiaTheme="minorHAnsi" w:hAnsi="Cambria Math"/>
                      <w:kern w:val="2"/>
                      <w:sz w:val="14"/>
                      <w:szCs w:val="14"/>
                      <w14:ligatures w14:val="standardContextual"/>
                    </w:rPr>
                  </m:ctrlPr>
                </m:sSubPr>
                <m:e>
                  <m:r>
                    <m:rPr>
                      <m:sty m:val="p"/>
                    </m:rPr>
                    <w:rPr>
                      <w:rFonts w:ascii="Cambria Math" w:eastAsiaTheme="minorHAnsi" w:hAnsi="Cambria Math"/>
                      <w:kern w:val="2"/>
                      <w:sz w:val="14"/>
                      <w:szCs w:val="14"/>
                      <w14:ligatures w14:val="standardContextual"/>
                    </w:rPr>
                    <m:t>H</m:t>
                  </m:r>
                </m:e>
                <m:sub>
                  <m:r>
                    <m:rPr>
                      <m:sty m:val="p"/>
                    </m:rPr>
                    <w:rPr>
                      <w:rFonts w:ascii="Cambria Math" w:eastAsiaTheme="minorHAnsi" w:hAnsi="Cambria Math"/>
                      <w:kern w:val="2"/>
                      <w:sz w:val="14"/>
                      <w:szCs w:val="14"/>
                      <w14:ligatures w14:val="standardContextual"/>
                    </w:rPr>
                    <m:t>2</m:t>
                  </m:r>
                </m:sub>
              </m:sSub>
              <m:r>
                <m:rPr>
                  <m:sty m:val="p"/>
                </m:rPr>
                <w:rPr>
                  <w:rFonts w:ascii="Cambria Math" w:eastAsiaTheme="minorHAnsi" w:hAnsi="Cambria Math"/>
                  <w:kern w:val="2"/>
                  <w:sz w:val="14"/>
                  <w:szCs w:val="14"/>
                  <w14:ligatures w14:val="standardContextual"/>
                </w:rPr>
                <m:t>O</m:t>
              </m:r>
            </m:oMath>
          </w:p>
        </w:tc>
        <w:tc>
          <w:tcPr>
            <w:tcW w:w="426" w:type="dxa"/>
            <w:tcMar>
              <w:left w:w="28" w:type="dxa"/>
              <w:right w:w="28" w:type="dxa"/>
            </w:tcMar>
          </w:tcPr>
          <w:p w14:paraId="156C6457" w14:textId="77777777" w:rsidR="00F47166" w:rsidRPr="00780634" w:rsidRDefault="00F47166"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2</w:t>
            </w:r>
          </w:p>
        </w:tc>
        <w:tc>
          <w:tcPr>
            <w:tcW w:w="708" w:type="dxa"/>
            <w:tcMar>
              <w:left w:w="28" w:type="dxa"/>
              <w:right w:w="28" w:type="dxa"/>
            </w:tcMar>
          </w:tcPr>
          <w:p w14:paraId="7A520A56"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F</w:t>
            </w:r>
          </w:p>
        </w:tc>
        <w:tc>
          <w:tcPr>
            <w:tcW w:w="709" w:type="dxa"/>
            <w:tcMar>
              <w:left w:w="28" w:type="dxa"/>
              <w:right w:w="28" w:type="dxa"/>
            </w:tcMar>
          </w:tcPr>
          <w:p w14:paraId="38636FF1" w14:textId="77777777" w:rsidR="00F47166" w:rsidRPr="00780634" w:rsidRDefault="00F47166" w:rsidP="00780634">
            <w:pPr>
              <w:jc w:val="center"/>
              <w:rPr>
                <w:rFonts w:eastAsiaTheme="minorHAnsi"/>
                <w:kern w:val="2"/>
                <w:sz w:val="14"/>
                <w:szCs w:val="14"/>
                <w14:ligatures w14:val="standardContextual"/>
              </w:rPr>
            </w:pPr>
            <m:oMathPara>
              <m:oMath>
                <m:r>
                  <w:rPr>
                    <w:rFonts w:ascii="Cambria Math" w:eastAsiaTheme="minorHAnsi" w:hAnsi="Cambria Math"/>
                    <w:kern w:val="2"/>
                    <w:sz w:val="14"/>
                    <w:szCs w:val="14"/>
                    <w14:ligatures w14:val="standardContextual"/>
                  </w:rPr>
                  <m:t>∞</m:t>
                </m:r>
              </m:oMath>
            </m:oMathPara>
          </w:p>
        </w:tc>
        <w:tc>
          <w:tcPr>
            <w:tcW w:w="709" w:type="dxa"/>
            <w:tcMar>
              <w:left w:w="28" w:type="dxa"/>
              <w:right w:w="28" w:type="dxa"/>
            </w:tcMar>
          </w:tcPr>
          <w:p w14:paraId="59CA3D34"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p>
        </w:tc>
        <w:tc>
          <w:tcPr>
            <w:tcW w:w="572" w:type="dxa"/>
            <w:gridSpan w:val="2"/>
            <w:tcMar>
              <w:left w:w="28" w:type="dxa"/>
              <w:right w:w="28" w:type="dxa"/>
            </w:tcMar>
          </w:tcPr>
          <w:p w14:paraId="3E9AC6C3"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0</w:t>
            </w:r>
          </w:p>
        </w:tc>
        <w:tc>
          <w:tcPr>
            <w:tcW w:w="1412" w:type="dxa"/>
            <w:gridSpan w:val="3"/>
            <w:tcMar>
              <w:left w:w="28" w:type="dxa"/>
              <w:right w:w="28" w:type="dxa"/>
            </w:tcMar>
          </w:tcPr>
          <w:p w14:paraId="5D33ABDD" w14:textId="5A1E330E"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993" w:type="dxa"/>
            <w:gridSpan w:val="2"/>
            <w:tcMar>
              <w:left w:w="28" w:type="dxa"/>
              <w:right w:w="28" w:type="dxa"/>
            </w:tcMar>
          </w:tcPr>
          <w:p w14:paraId="22553566"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0.5</w:t>
            </w:r>
          </w:p>
        </w:tc>
        <w:tc>
          <w:tcPr>
            <w:tcW w:w="939" w:type="dxa"/>
            <w:gridSpan w:val="2"/>
            <w:tcMar>
              <w:left w:w="28" w:type="dxa"/>
              <w:right w:w="28" w:type="dxa"/>
            </w:tcMar>
          </w:tcPr>
          <w:p w14:paraId="39EE440D" w14:textId="77777777" w:rsidR="00F47166"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r</m:t>
                    </m:r>
                  </m:e>
                  <m:sub>
                    <m:r>
                      <w:rPr>
                        <w:rFonts w:ascii="Cambria Math" w:eastAsiaTheme="minorHAnsi" w:hAnsi="Cambria Math"/>
                        <w:kern w:val="2"/>
                        <w:sz w:val="14"/>
                        <w:szCs w:val="14"/>
                        <w14:ligatures w14:val="standardContextual"/>
                      </w:rPr>
                      <m:t>OH</m:t>
                    </m:r>
                  </m:sub>
                </m:sSub>
                <m:r>
                  <w:rPr>
                    <w:rFonts w:ascii="Cambria Math" w:eastAsiaTheme="minorHAnsi" w:hAnsi="Cambria Math"/>
                    <w:kern w:val="2"/>
                    <w:sz w:val="14"/>
                    <w:szCs w:val="14"/>
                    <w14:ligatures w14:val="standardContextual"/>
                  </w:rPr>
                  <m:t xml:space="preserve"> ~ </m:t>
                </m:r>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r</m:t>
                    </m:r>
                  </m:e>
                  <m:sub>
                    <m:r>
                      <w:rPr>
                        <w:rFonts w:ascii="Cambria Math" w:eastAsiaTheme="minorHAnsi" w:hAnsi="Cambria Math"/>
                        <w:kern w:val="2"/>
                        <w:sz w:val="14"/>
                        <w:szCs w:val="14"/>
                        <w14:ligatures w14:val="standardContextual"/>
                      </w:rPr>
                      <m:t>O</m:t>
                    </m:r>
                  </m:sub>
                </m:sSub>
              </m:oMath>
            </m:oMathPara>
          </w:p>
        </w:tc>
      </w:tr>
      <w:tr w:rsidR="00F47166" w:rsidRPr="00780634" w14:paraId="6496E389" w14:textId="77777777" w:rsidTr="002D385E">
        <w:tc>
          <w:tcPr>
            <w:tcW w:w="2830" w:type="dxa"/>
            <w:gridSpan w:val="2"/>
            <w:tcMar>
              <w:left w:w="28" w:type="dxa"/>
              <w:right w:w="28" w:type="dxa"/>
            </w:tcMar>
          </w:tcPr>
          <w:p w14:paraId="3FB64125" w14:textId="77777777" w:rsidR="00F47166" w:rsidRPr="00780634" w:rsidRDefault="00F47166" w:rsidP="00780634">
            <w:pPr>
              <w:rPr>
                <w:rFonts w:eastAsiaTheme="minorHAnsi"/>
                <w:kern w:val="2"/>
                <w:sz w:val="14"/>
                <w:szCs w:val="14"/>
                <w14:ligatures w14:val="standardContextual"/>
              </w:rPr>
            </w:pPr>
          </w:p>
        </w:tc>
        <w:tc>
          <w:tcPr>
            <w:tcW w:w="426" w:type="dxa"/>
            <w:tcMar>
              <w:left w:w="28" w:type="dxa"/>
              <w:right w:w="28" w:type="dxa"/>
            </w:tcMar>
          </w:tcPr>
          <w:p w14:paraId="4DEDF0E6" w14:textId="77777777" w:rsidR="00F47166" w:rsidRPr="00780634" w:rsidRDefault="00F47166" w:rsidP="00780634">
            <w:pPr>
              <w:rPr>
                <w:rFonts w:eastAsiaTheme="minorHAnsi"/>
                <w:kern w:val="2"/>
                <w:sz w:val="14"/>
                <w:szCs w:val="14"/>
                <w14:ligatures w14:val="standardContextual"/>
              </w:rPr>
            </w:pPr>
          </w:p>
        </w:tc>
        <w:tc>
          <w:tcPr>
            <w:tcW w:w="708" w:type="dxa"/>
            <w:tcMar>
              <w:left w:w="28" w:type="dxa"/>
              <w:right w:w="28" w:type="dxa"/>
            </w:tcMar>
          </w:tcPr>
          <w:p w14:paraId="3C3F73D5" w14:textId="77777777" w:rsidR="00F47166" w:rsidRPr="00780634" w:rsidRDefault="00F47166" w:rsidP="00780634">
            <w:pPr>
              <w:jc w:val="center"/>
              <w:rPr>
                <w:rFonts w:eastAsiaTheme="minorHAnsi"/>
                <w:kern w:val="2"/>
                <w:sz w:val="14"/>
                <w:szCs w:val="14"/>
                <w14:ligatures w14:val="standardContextual"/>
              </w:rPr>
            </w:pPr>
          </w:p>
        </w:tc>
        <w:tc>
          <w:tcPr>
            <w:tcW w:w="709" w:type="dxa"/>
            <w:tcMar>
              <w:left w:w="28" w:type="dxa"/>
              <w:right w:w="28" w:type="dxa"/>
            </w:tcMar>
          </w:tcPr>
          <w:p w14:paraId="694B88C5" w14:textId="77777777" w:rsidR="00F47166" w:rsidRPr="00780634" w:rsidRDefault="00F47166" w:rsidP="00780634">
            <w:pPr>
              <w:jc w:val="center"/>
              <w:rPr>
                <w:rFonts w:eastAsiaTheme="minorHAnsi"/>
                <w:kern w:val="2"/>
                <w:sz w:val="14"/>
                <w:szCs w:val="14"/>
                <w14:ligatures w14:val="standardContextual"/>
              </w:rPr>
            </w:pPr>
          </w:p>
        </w:tc>
        <w:tc>
          <w:tcPr>
            <w:tcW w:w="709" w:type="dxa"/>
            <w:tcMar>
              <w:left w:w="28" w:type="dxa"/>
              <w:right w:w="28" w:type="dxa"/>
            </w:tcMar>
          </w:tcPr>
          <w:p w14:paraId="11CAD7F8" w14:textId="77777777" w:rsidR="00F47166" w:rsidRPr="00780634" w:rsidRDefault="00F47166" w:rsidP="00780634">
            <w:pPr>
              <w:jc w:val="center"/>
              <w:rPr>
                <w:rFonts w:eastAsiaTheme="minorHAnsi"/>
                <w:kern w:val="2"/>
                <w:sz w:val="14"/>
                <w:szCs w:val="14"/>
                <w14:ligatures w14:val="standardContextual"/>
              </w:rPr>
            </w:pPr>
          </w:p>
        </w:tc>
        <w:tc>
          <w:tcPr>
            <w:tcW w:w="572" w:type="dxa"/>
            <w:gridSpan w:val="2"/>
            <w:tcMar>
              <w:left w:w="28" w:type="dxa"/>
              <w:right w:w="28" w:type="dxa"/>
            </w:tcMar>
          </w:tcPr>
          <w:p w14:paraId="2DCBF5E0" w14:textId="77777777" w:rsidR="00F47166" w:rsidRPr="00780634" w:rsidRDefault="00F47166" w:rsidP="00780634">
            <w:pPr>
              <w:jc w:val="center"/>
              <w:rPr>
                <w:rFonts w:eastAsiaTheme="minorHAnsi"/>
                <w:kern w:val="2"/>
                <w:sz w:val="14"/>
                <w:szCs w:val="14"/>
                <w14:ligatures w14:val="standardContextual"/>
              </w:rPr>
            </w:pPr>
          </w:p>
        </w:tc>
        <w:tc>
          <w:tcPr>
            <w:tcW w:w="1412" w:type="dxa"/>
            <w:gridSpan w:val="3"/>
            <w:tcMar>
              <w:left w:w="28" w:type="dxa"/>
              <w:right w:w="28" w:type="dxa"/>
            </w:tcMar>
          </w:tcPr>
          <w:p w14:paraId="2E859D72" w14:textId="2F207F4D" w:rsidR="00F47166" w:rsidRPr="00780634" w:rsidRDefault="00F47166"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993" w:type="dxa"/>
            <w:gridSpan w:val="2"/>
            <w:tcMar>
              <w:left w:w="28" w:type="dxa"/>
              <w:right w:w="28" w:type="dxa"/>
            </w:tcMar>
          </w:tcPr>
          <w:p w14:paraId="56F5DF27"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939" w:type="dxa"/>
            <w:gridSpan w:val="2"/>
            <w:tcMar>
              <w:left w:w="28" w:type="dxa"/>
              <w:right w:w="28" w:type="dxa"/>
            </w:tcMar>
          </w:tcPr>
          <w:p w14:paraId="317EB29C" w14:textId="77777777" w:rsidR="00F47166"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r</m:t>
                    </m:r>
                  </m:e>
                  <m:sub>
                    <m:r>
                      <w:rPr>
                        <w:rFonts w:ascii="Cambria Math" w:eastAsiaTheme="minorHAnsi" w:hAnsi="Cambria Math"/>
                        <w:kern w:val="2"/>
                        <w:sz w:val="14"/>
                        <w:szCs w:val="14"/>
                        <w14:ligatures w14:val="standardContextual"/>
                      </w:rPr>
                      <m:t>OH</m:t>
                    </m:r>
                  </m:sub>
                </m:sSub>
                <m:r>
                  <w:rPr>
                    <w:rFonts w:ascii="Cambria Math" w:eastAsiaTheme="minorHAnsi" w:hAnsi="Cambria Math"/>
                    <w:kern w:val="2"/>
                    <w:sz w:val="14"/>
                    <w:szCs w:val="14"/>
                    <w14:ligatures w14:val="standardContextual"/>
                  </w:rPr>
                  <m:t xml:space="preserve">≫ </m:t>
                </m:r>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r</m:t>
                    </m:r>
                  </m:e>
                  <m:sub>
                    <m:r>
                      <w:rPr>
                        <w:rFonts w:ascii="Cambria Math" w:eastAsiaTheme="minorHAnsi" w:hAnsi="Cambria Math"/>
                        <w:kern w:val="2"/>
                        <w:sz w:val="14"/>
                        <w:szCs w:val="14"/>
                        <w14:ligatures w14:val="standardContextual"/>
                      </w:rPr>
                      <m:t>O</m:t>
                    </m:r>
                  </m:sub>
                </m:sSub>
              </m:oMath>
            </m:oMathPara>
          </w:p>
        </w:tc>
      </w:tr>
      <w:tr w:rsidR="00780634" w:rsidRPr="00780634" w14:paraId="023F8CB3" w14:textId="77777777" w:rsidTr="00B2471A">
        <w:tc>
          <w:tcPr>
            <w:tcW w:w="2830" w:type="dxa"/>
            <w:gridSpan w:val="2"/>
            <w:tcMar>
              <w:left w:w="28" w:type="dxa"/>
              <w:right w:w="28" w:type="dxa"/>
            </w:tcMar>
          </w:tcPr>
          <w:p w14:paraId="0BA3E8F2"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3. 2</w:t>
            </w:r>
            <m:oMath>
              <m:r>
                <m:rPr>
                  <m:sty m:val="p"/>
                </m:rPr>
                <w:rPr>
                  <w:rFonts w:ascii="Cambria Math" w:eastAsiaTheme="minorHAnsi" w:hAnsi="Cambria Math"/>
                  <w:kern w:val="2"/>
                  <w:sz w:val="14"/>
                  <w:szCs w:val="14"/>
                  <w14:ligatures w14:val="standardContextual"/>
                </w:rPr>
                <m:t xml:space="preserve">MO →2M+ </m:t>
              </m:r>
              <m:sSub>
                <m:sSubPr>
                  <m:ctrlPr>
                    <w:rPr>
                      <w:rFonts w:ascii="Cambria Math" w:eastAsiaTheme="minorHAnsi" w:hAnsi="Cambria Math"/>
                      <w:kern w:val="2"/>
                      <w:sz w:val="14"/>
                      <w:szCs w:val="14"/>
                      <w14:ligatures w14:val="standardContextual"/>
                    </w:rPr>
                  </m:ctrlPr>
                </m:sSubPr>
                <m:e>
                  <m:r>
                    <m:rPr>
                      <m:sty m:val="p"/>
                    </m:rPr>
                    <w:rPr>
                      <w:rFonts w:ascii="Cambria Math" w:eastAsiaTheme="minorHAnsi" w:hAnsi="Cambria Math"/>
                      <w:kern w:val="2"/>
                      <w:sz w:val="14"/>
                      <w:szCs w:val="14"/>
                      <w14:ligatures w14:val="standardContextual"/>
                    </w:rPr>
                    <m:t>O</m:t>
                  </m:r>
                </m:e>
                <m:sub>
                  <m:r>
                    <m:rPr>
                      <m:sty m:val="p"/>
                    </m:rPr>
                    <w:rPr>
                      <w:rFonts w:ascii="Cambria Math" w:eastAsiaTheme="minorHAnsi" w:hAnsi="Cambria Math"/>
                      <w:kern w:val="2"/>
                      <w:sz w:val="14"/>
                      <w:szCs w:val="14"/>
                      <w14:ligatures w14:val="standardContextual"/>
                    </w:rPr>
                    <m:t>2</m:t>
                  </m:r>
                </m:sub>
              </m:sSub>
            </m:oMath>
          </w:p>
        </w:tc>
        <w:tc>
          <w:tcPr>
            <w:tcW w:w="426" w:type="dxa"/>
            <w:tcMar>
              <w:left w:w="28" w:type="dxa"/>
              <w:right w:w="28" w:type="dxa"/>
            </w:tcMar>
          </w:tcPr>
          <w:p w14:paraId="2A2C4E27"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708" w:type="dxa"/>
            <w:tcMar>
              <w:left w:w="28" w:type="dxa"/>
              <w:right w:w="28" w:type="dxa"/>
            </w:tcMar>
          </w:tcPr>
          <w:p w14:paraId="00BEF787"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/4</w:t>
            </w:r>
            <w:r w:rsidRPr="00780634">
              <w:rPr>
                <w:rFonts w:eastAsiaTheme="minorHAnsi"/>
                <w:i/>
                <w:iCs/>
                <w:kern w:val="2"/>
                <w:sz w:val="14"/>
                <w:szCs w:val="14"/>
                <w14:ligatures w14:val="standardContextual"/>
              </w:rPr>
              <w:t>F</w:t>
            </w:r>
          </w:p>
        </w:tc>
        <w:tc>
          <w:tcPr>
            <w:tcW w:w="709" w:type="dxa"/>
            <w:tcMar>
              <w:left w:w="28" w:type="dxa"/>
              <w:right w:w="28" w:type="dxa"/>
            </w:tcMar>
          </w:tcPr>
          <w:p w14:paraId="392AA2DA" w14:textId="77777777" w:rsidR="00780634" w:rsidRPr="00780634" w:rsidRDefault="00780634" w:rsidP="00780634">
            <w:pPr>
              <w:jc w:val="center"/>
              <w:rPr>
                <w:rFonts w:eastAsiaTheme="minorHAnsi"/>
                <w:kern w:val="2"/>
                <w:sz w:val="14"/>
                <w:szCs w:val="14"/>
                <w14:ligatures w14:val="standardContextual"/>
              </w:rPr>
            </w:pPr>
            <m:oMathPara>
              <m:oMath>
                <m:r>
                  <w:rPr>
                    <w:rFonts w:ascii="Cambria Math" w:eastAsiaTheme="minorHAnsi" w:hAnsi="Cambria Math"/>
                    <w:kern w:val="2"/>
                    <w:sz w:val="14"/>
                    <w:szCs w:val="14"/>
                    <w14:ligatures w14:val="standardContextual"/>
                  </w:rPr>
                  <m:t>∞</m:t>
                </m:r>
              </m:oMath>
            </m:oMathPara>
          </w:p>
        </w:tc>
        <w:tc>
          <w:tcPr>
            <w:tcW w:w="709" w:type="dxa"/>
            <w:tcMar>
              <w:left w:w="28" w:type="dxa"/>
              <w:right w:w="28" w:type="dxa"/>
            </w:tcMar>
          </w:tcPr>
          <w:p w14:paraId="33B65080"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4</w:t>
            </w:r>
          </w:p>
        </w:tc>
        <w:tc>
          <w:tcPr>
            <w:tcW w:w="572" w:type="dxa"/>
            <w:gridSpan w:val="2"/>
            <w:tcMar>
              <w:left w:w="28" w:type="dxa"/>
              <w:right w:w="28" w:type="dxa"/>
            </w:tcMar>
          </w:tcPr>
          <w:p w14:paraId="743B127E"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0</w:t>
            </w:r>
          </w:p>
        </w:tc>
        <w:tc>
          <w:tcPr>
            <w:tcW w:w="845" w:type="dxa"/>
            <w:gridSpan w:val="2"/>
            <w:tcMar>
              <w:left w:w="28" w:type="dxa"/>
              <w:right w:w="28" w:type="dxa"/>
            </w:tcMar>
          </w:tcPr>
          <w:p w14:paraId="19415D5E"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F</w:t>
            </w:r>
          </w:p>
        </w:tc>
        <w:tc>
          <w:tcPr>
            <w:tcW w:w="567" w:type="dxa"/>
            <w:tcMar>
              <w:left w:w="28" w:type="dxa"/>
              <w:right w:w="28" w:type="dxa"/>
            </w:tcMar>
          </w:tcPr>
          <w:p w14:paraId="7BA7A0B5"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567" w:type="dxa"/>
            <w:tcMar>
              <w:left w:w="28" w:type="dxa"/>
              <w:right w:w="28" w:type="dxa"/>
            </w:tcMar>
          </w:tcPr>
          <w:p w14:paraId="68CD3D7B"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p>
        </w:tc>
        <w:tc>
          <w:tcPr>
            <w:tcW w:w="426" w:type="dxa"/>
            <w:tcMar>
              <w:left w:w="28" w:type="dxa"/>
              <w:right w:w="28" w:type="dxa"/>
            </w:tcMar>
          </w:tcPr>
          <w:p w14:paraId="24BC8FF2"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939" w:type="dxa"/>
            <w:gridSpan w:val="2"/>
            <w:tcMar>
              <w:left w:w="28" w:type="dxa"/>
              <w:right w:w="28" w:type="dxa"/>
            </w:tcMar>
          </w:tcPr>
          <w:p w14:paraId="70EAFED8" w14:textId="77777777" w:rsidR="00780634"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K</m:t>
                    </m:r>
                  </m:e>
                  <m:sub>
                    <m:r>
                      <w:rPr>
                        <w:rFonts w:ascii="Cambria Math" w:eastAsiaTheme="minorHAnsi" w:hAnsi="Cambria Math"/>
                        <w:kern w:val="2"/>
                        <w:sz w:val="14"/>
                        <w:szCs w:val="14"/>
                        <w14:ligatures w14:val="standardContextual"/>
                      </w:rPr>
                      <m:t>2</m:t>
                    </m:r>
                  </m:sub>
                </m:sSub>
                <m:r>
                  <w:rPr>
                    <w:rFonts w:ascii="Cambria Math" w:eastAsiaTheme="minorHAnsi" w:hAnsi="Cambria Math"/>
                    <w:kern w:val="2"/>
                    <w:sz w:val="14"/>
                    <w:szCs w:val="14"/>
                    <w14:ligatures w14:val="standardContextual"/>
                  </w:rPr>
                  <m:t xml:space="preserve"> ~ 1</m:t>
                </m:r>
              </m:oMath>
            </m:oMathPara>
          </w:p>
        </w:tc>
      </w:tr>
      <w:tr w:rsidR="00780634" w:rsidRPr="00780634" w14:paraId="36D42661" w14:textId="77777777" w:rsidTr="00B2471A">
        <w:tc>
          <w:tcPr>
            <w:tcW w:w="2830" w:type="dxa"/>
            <w:gridSpan w:val="2"/>
            <w:tcMar>
              <w:left w:w="28" w:type="dxa"/>
              <w:right w:w="28" w:type="dxa"/>
            </w:tcMar>
          </w:tcPr>
          <w:p w14:paraId="5B05559D" w14:textId="77777777" w:rsidR="00780634" w:rsidRPr="00780634" w:rsidRDefault="00780634" w:rsidP="00780634">
            <w:pPr>
              <w:rPr>
                <w:rFonts w:eastAsiaTheme="minorHAnsi"/>
                <w:kern w:val="2"/>
                <w:sz w:val="14"/>
                <w:szCs w:val="14"/>
                <w14:ligatures w14:val="standardContextual"/>
              </w:rPr>
            </w:pPr>
          </w:p>
        </w:tc>
        <w:tc>
          <w:tcPr>
            <w:tcW w:w="426" w:type="dxa"/>
            <w:tcMar>
              <w:left w:w="28" w:type="dxa"/>
              <w:right w:w="28" w:type="dxa"/>
            </w:tcMar>
          </w:tcPr>
          <w:p w14:paraId="76B256C7" w14:textId="77777777" w:rsidR="00780634" w:rsidRPr="00780634" w:rsidRDefault="00780634" w:rsidP="00780634">
            <w:pPr>
              <w:rPr>
                <w:rFonts w:eastAsiaTheme="minorHAnsi"/>
                <w:kern w:val="2"/>
                <w:sz w:val="14"/>
                <w:szCs w:val="14"/>
                <w14:ligatures w14:val="standardContextual"/>
              </w:rPr>
            </w:pPr>
          </w:p>
        </w:tc>
        <w:tc>
          <w:tcPr>
            <w:tcW w:w="708" w:type="dxa"/>
            <w:tcMar>
              <w:left w:w="28" w:type="dxa"/>
              <w:right w:w="28" w:type="dxa"/>
            </w:tcMar>
          </w:tcPr>
          <w:p w14:paraId="32B812F8"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5ABC858A"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0D5BE9FC" w14:textId="77777777" w:rsidR="00780634" w:rsidRPr="00780634" w:rsidRDefault="00780634" w:rsidP="00780634">
            <w:pPr>
              <w:jc w:val="center"/>
              <w:rPr>
                <w:rFonts w:eastAsiaTheme="minorHAnsi"/>
                <w:kern w:val="2"/>
                <w:sz w:val="14"/>
                <w:szCs w:val="14"/>
                <w14:ligatures w14:val="standardContextual"/>
              </w:rPr>
            </w:pPr>
          </w:p>
        </w:tc>
        <w:tc>
          <w:tcPr>
            <w:tcW w:w="572" w:type="dxa"/>
            <w:gridSpan w:val="2"/>
            <w:tcMar>
              <w:left w:w="28" w:type="dxa"/>
              <w:right w:w="28" w:type="dxa"/>
            </w:tcMar>
          </w:tcPr>
          <w:p w14:paraId="1A2C1CC6" w14:textId="77777777" w:rsidR="00780634" w:rsidRPr="00780634" w:rsidRDefault="00780634" w:rsidP="00780634">
            <w:pPr>
              <w:jc w:val="center"/>
              <w:rPr>
                <w:rFonts w:eastAsiaTheme="minorHAnsi"/>
                <w:kern w:val="2"/>
                <w:sz w:val="14"/>
                <w:szCs w:val="14"/>
                <w14:ligatures w14:val="standardContextual"/>
              </w:rPr>
            </w:pPr>
          </w:p>
        </w:tc>
        <w:tc>
          <w:tcPr>
            <w:tcW w:w="845" w:type="dxa"/>
            <w:gridSpan w:val="2"/>
            <w:tcMar>
              <w:left w:w="28" w:type="dxa"/>
              <w:right w:w="28" w:type="dxa"/>
            </w:tcMar>
          </w:tcPr>
          <w:p w14:paraId="2958A28F"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/4</w:t>
            </w:r>
            <w:r w:rsidRPr="00780634">
              <w:rPr>
                <w:rFonts w:eastAsiaTheme="minorHAnsi"/>
                <w:i/>
                <w:iCs/>
                <w:kern w:val="2"/>
                <w:sz w:val="14"/>
                <w:szCs w:val="14"/>
                <w14:ligatures w14:val="standardContextual"/>
              </w:rPr>
              <w:t>F</w:t>
            </w:r>
          </w:p>
        </w:tc>
        <w:tc>
          <w:tcPr>
            <w:tcW w:w="567" w:type="dxa"/>
            <w:tcMar>
              <w:left w:w="28" w:type="dxa"/>
              <w:right w:w="28" w:type="dxa"/>
            </w:tcMar>
          </w:tcPr>
          <w:p w14:paraId="48611E7E"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/3</w:t>
            </w:r>
            <w:r w:rsidRPr="00780634">
              <w:rPr>
                <w:rFonts w:eastAsiaTheme="minorHAnsi"/>
                <w:i/>
                <w:iCs/>
                <w:kern w:val="2"/>
                <w:sz w:val="14"/>
                <w:szCs w:val="14"/>
                <w14:ligatures w14:val="standardContextual"/>
              </w:rPr>
              <w:t>F</w:t>
            </w:r>
          </w:p>
        </w:tc>
        <w:tc>
          <w:tcPr>
            <w:tcW w:w="567" w:type="dxa"/>
            <w:tcMar>
              <w:left w:w="28" w:type="dxa"/>
              <w:right w:w="28" w:type="dxa"/>
            </w:tcMar>
          </w:tcPr>
          <w:p w14:paraId="50DB99BF"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p>
        </w:tc>
        <w:tc>
          <w:tcPr>
            <w:tcW w:w="426" w:type="dxa"/>
            <w:tcMar>
              <w:left w:w="28" w:type="dxa"/>
              <w:right w:w="28" w:type="dxa"/>
            </w:tcMar>
          </w:tcPr>
          <w:p w14:paraId="13A6034A"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939" w:type="dxa"/>
            <w:gridSpan w:val="2"/>
            <w:tcMar>
              <w:left w:w="28" w:type="dxa"/>
              <w:right w:w="28" w:type="dxa"/>
            </w:tcMar>
          </w:tcPr>
          <w:p w14:paraId="62D8EB9F" w14:textId="77777777" w:rsidR="00780634"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K</m:t>
                    </m:r>
                  </m:e>
                  <m:sub>
                    <m:r>
                      <w:rPr>
                        <w:rFonts w:ascii="Cambria Math" w:eastAsiaTheme="minorHAnsi" w:hAnsi="Cambria Math"/>
                        <w:kern w:val="2"/>
                        <w:sz w:val="14"/>
                        <w:szCs w:val="14"/>
                        <w14:ligatures w14:val="standardContextual"/>
                      </w:rPr>
                      <m:t>2</m:t>
                    </m:r>
                  </m:sub>
                </m:sSub>
                <m:r>
                  <w:rPr>
                    <w:rFonts w:ascii="Cambria Math" w:eastAsiaTheme="minorHAnsi" w:hAnsi="Cambria Math"/>
                    <w:kern w:val="2"/>
                    <w:sz w:val="14"/>
                    <w:szCs w:val="14"/>
                    <w14:ligatures w14:val="standardContextual"/>
                  </w:rPr>
                  <m:t>≪ 1</m:t>
                </m:r>
              </m:oMath>
            </m:oMathPara>
          </w:p>
        </w:tc>
      </w:tr>
      <w:tr w:rsidR="00780634" w:rsidRPr="00780634" w14:paraId="495D6BE6" w14:textId="77777777" w:rsidTr="00B2471A">
        <w:tc>
          <w:tcPr>
            <w:tcW w:w="2830" w:type="dxa"/>
            <w:gridSpan w:val="2"/>
            <w:tcMar>
              <w:left w:w="28" w:type="dxa"/>
              <w:right w:w="28" w:type="dxa"/>
            </w:tcMar>
          </w:tcPr>
          <w:p w14:paraId="03D11522" w14:textId="77777777" w:rsidR="00780634" w:rsidRPr="00780634" w:rsidRDefault="00780634" w:rsidP="00780634">
            <w:pPr>
              <w:rPr>
                <w:rFonts w:eastAsiaTheme="minorHAnsi"/>
                <w:i/>
                <w:iCs/>
                <w:kern w:val="2"/>
                <w:sz w:val="14"/>
                <w:szCs w:val="14"/>
                <w14:ligatures w14:val="standardContextual"/>
              </w:rPr>
            </w:pPr>
            <w:r w:rsidRPr="00780634">
              <w:rPr>
                <w:rFonts w:eastAsiaTheme="minorHAnsi"/>
                <w:i/>
                <w:iCs/>
                <w:kern w:val="2"/>
                <w:sz w:val="14"/>
                <w:szCs w:val="14"/>
                <w14:ligatures w14:val="standardContextual"/>
              </w:rPr>
              <w:t xml:space="preserve">(II) </w:t>
            </w:r>
            <w:proofErr w:type="spellStart"/>
            <w:r w:rsidRPr="00780634">
              <w:rPr>
                <w:rFonts w:eastAsiaTheme="minorHAnsi"/>
                <w:i/>
                <w:iCs/>
                <w:kern w:val="2"/>
                <w:sz w:val="14"/>
                <w:szCs w:val="14"/>
                <w14:ligatures w14:val="standardContextual"/>
              </w:rPr>
              <w:t>Bockris’s</w:t>
            </w:r>
            <w:proofErr w:type="spellEnd"/>
            <w:r w:rsidRPr="00780634">
              <w:rPr>
                <w:rFonts w:eastAsiaTheme="minorHAnsi"/>
                <w:i/>
                <w:iCs/>
                <w:kern w:val="2"/>
                <w:sz w:val="14"/>
                <w:szCs w:val="14"/>
                <w14:ligatures w14:val="standardContextual"/>
              </w:rPr>
              <w:t xml:space="preserve"> electrochemical path</w:t>
            </w:r>
          </w:p>
        </w:tc>
        <w:tc>
          <w:tcPr>
            <w:tcW w:w="426" w:type="dxa"/>
            <w:tcMar>
              <w:left w:w="28" w:type="dxa"/>
              <w:right w:w="28" w:type="dxa"/>
            </w:tcMar>
          </w:tcPr>
          <w:p w14:paraId="07246E2E" w14:textId="77777777" w:rsidR="00780634" w:rsidRPr="00780634" w:rsidRDefault="00780634" w:rsidP="00780634">
            <w:pPr>
              <w:rPr>
                <w:rFonts w:eastAsiaTheme="minorHAnsi"/>
                <w:kern w:val="2"/>
                <w:sz w:val="14"/>
                <w:szCs w:val="14"/>
                <w14:ligatures w14:val="standardContextual"/>
              </w:rPr>
            </w:pPr>
          </w:p>
        </w:tc>
        <w:tc>
          <w:tcPr>
            <w:tcW w:w="708" w:type="dxa"/>
            <w:tcMar>
              <w:left w:w="28" w:type="dxa"/>
              <w:right w:w="28" w:type="dxa"/>
            </w:tcMar>
          </w:tcPr>
          <w:p w14:paraId="1BA3905D"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6CE5F55B"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4D029F64" w14:textId="77777777" w:rsidR="00780634" w:rsidRPr="00780634" w:rsidRDefault="00780634" w:rsidP="00780634">
            <w:pPr>
              <w:jc w:val="center"/>
              <w:rPr>
                <w:rFonts w:eastAsiaTheme="minorHAnsi"/>
                <w:kern w:val="2"/>
                <w:sz w:val="14"/>
                <w:szCs w:val="14"/>
                <w14:ligatures w14:val="standardContextual"/>
              </w:rPr>
            </w:pPr>
          </w:p>
        </w:tc>
        <w:tc>
          <w:tcPr>
            <w:tcW w:w="572" w:type="dxa"/>
            <w:gridSpan w:val="2"/>
            <w:tcMar>
              <w:left w:w="28" w:type="dxa"/>
              <w:right w:w="28" w:type="dxa"/>
            </w:tcMar>
          </w:tcPr>
          <w:p w14:paraId="78A9986A" w14:textId="77777777" w:rsidR="00780634" w:rsidRPr="00780634" w:rsidRDefault="00780634" w:rsidP="00780634">
            <w:pPr>
              <w:jc w:val="center"/>
              <w:rPr>
                <w:rFonts w:eastAsiaTheme="minorHAnsi"/>
                <w:kern w:val="2"/>
                <w:sz w:val="14"/>
                <w:szCs w:val="14"/>
                <w14:ligatures w14:val="standardContextual"/>
              </w:rPr>
            </w:pPr>
          </w:p>
        </w:tc>
        <w:tc>
          <w:tcPr>
            <w:tcW w:w="845" w:type="dxa"/>
            <w:gridSpan w:val="2"/>
            <w:tcMar>
              <w:left w:w="28" w:type="dxa"/>
              <w:right w:w="28" w:type="dxa"/>
            </w:tcMar>
          </w:tcPr>
          <w:p w14:paraId="1D491997" w14:textId="77777777" w:rsidR="00780634" w:rsidRPr="00780634" w:rsidRDefault="00780634" w:rsidP="00780634">
            <w:pPr>
              <w:jc w:val="center"/>
              <w:rPr>
                <w:rFonts w:eastAsiaTheme="minorHAnsi"/>
                <w:kern w:val="2"/>
                <w:sz w:val="14"/>
                <w:szCs w:val="14"/>
                <w14:ligatures w14:val="standardContextual"/>
              </w:rPr>
            </w:pPr>
          </w:p>
        </w:tc>
        <w:tc>
          <w:tcPr>
            <w:tcW w:w="567" w:type="dxa"/>
            <w:tcMar>
              <w:left w:w="28" w:type="dxa"/>
              <w:right w:w="28" w:type="dxa"/>
            </w:tcMar>
          </w:tcPr>
          <w:p w14:paraId="18676BBB" w14:textId="77777777" w:rsidR="00780634" w:rsidRPr="00780634" w:rsidRDefault="00780634" w:rsidP="00780634">
            <w:pPr>
              <w:jc w:val="center"/>
              <w:rPr>
                <w:rFonts w:eastAsiaTheme="minorHAnsi"/>
                <w:kern w:val="2"/>
                <w:sz w:val="14"/>
                <w:szCs w:val="14"/>
                <w14:ligatures w14:val="standardContextual"/>
              </w:rPr>
            </w:pPr>
          </w:p>
        </w:tc>
        <w:tc>
          <w:tcPr>
            <w:tcW w:w="567" w:type="dxa"/>
            <w:tcMar>
              <w:left w:w="28" w:type="dxa"/>
              <w:right w:w="28" w:type="dxa"/>
            </w:tcMar>
          </w:tcPr>
          <w:p w14:paraId="529CAF69" w14:textId="77777777" w:rsidR="00780634" w:rsidRPr="00780634" w:rsidRDefault="00780634" w:rsidP="00780634">
            <w:pPr>
              <w:jc w:val="center"/>
              <w:rPr>
                <w:rFonts w:eastAsiaTheme="minorHAnsi"/>
                <w:kern w:val="2"/>
                <w:sz w:val="14"/>
                <w:szCs w:val="14"/>
                <w14:ligatures w14:val="standardContextual"/>
              </w:rPr>
            </w:pPr>
          </w:p>
        </w:tc>
        <w:tc>
          <w:tcPr>
            <w:tcW w:w="426" w:type="dxa"/>
            <w:tcMar>
              <w:left w:w="28" w:type="dxa"/>
              <w:right w:w="28" w:type="dxa"/>
            </w:tcMar>
          </w:tcPr>
          <w:p w14:paraId="60023E1D" w14:textId="77777777" w:rsidR="00780634" w:rsidRPr="00780634" w:rsidRDefault="00780634" w:rsidP="00780634">
            <w:pPr>
              <w:jc w:val="center"/>
              <w:rPr>
                <w:rFonts w:eastAsiaTheme="minorHAnsi"/>
                <w:kern w:val="2"/>
                <w:sz w:val="14"/>
                <w:szCs w:val="14"/>
                <w14:ligatures w14:val="standardContextual"/>
              </w:rPr>
            </w:pPr>
          </w:p>
        </w:tc>
        <w:tc>
          <w:tcPr>
            <w:tcW w:w="939" w:type="dxa"/>
            <w:gridSpan w:val="2"/>
            <w:tcMar>
              <w:left w:w="28" w:type="dxa"/>
              <w:right w:w="28" w:type="dxa"/>
            </w:tcMar>
          </w:tcPr>
          <w:p w14:paraId="5115B8C0" w14:textId="77777777" w:rsidR="00780634" w:rsidRPr="00780634" w:rsidRDefault="00780634" w:rsidP="00780634">
            <w:pPr>
              <w:jc w:val="center"/>
              <w:rPr>
                <w:rFonts w:eastAsiaTheme="minorHAnsi"/>
                <w:kern w:val="2"/>
                <w:sz w:val="14"/>
                <w:szCs w:val="14"/>
                <w14:ligatures w14:val="standardContextual"/>
              </w:rPr>
            </w:pPr>
          </w:p>
        </w:tc>
      </w:tr>
      <w:tr w:rsidR="00780634" w:rsidRPr="00780634" w14:paraId="61EAD138" w14:textId="77777777" w:rsidTr="00B2471A">
        <w:tc>
          <w:tcPr>
            <w:tcW w:w="2830" w:type="dxa"/>
            <w:gridSpan w:val="2"/>
            <w:tcMar>
              <w:left w:w="28" w:type="dxa"/>
              <w:right w:w="28" w:type="dxa"/>
            </w:tcMar>
          </w:tcPr>
          <w:p w14:paraId="200141B4"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 xml:space="preserve">1. </w:t>
            </w:r>
            <m:oMath>
              <m:r>
                <m:rPr>
                  <m:sty m:val="p"/>
                </m:rPr>
                <w:rPr>
                  <w:rFonts w:ascii="Cambria Math" w:eastAsiaTheme="minorHAnsi" w:hAnsi="Cambria Math"/>
                  <w:kern w:val="2"/>
                  <w:sz w:val="14"/>
                  <w:szCs w:val="14"/>
                  <w14:ligatures w14:val="standardContextual"/>
                </w:rPr>
                <m:t xml:space="preserve">M+ </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OH</m:t>
                  </m:r>
                </m:e>
                <m:sup>
                  <m:r>
                    <m:rPr>
                      <m:sty m:val="p"/>
                    </m:rPr>
                    <w:rPr>
                      <w:rFonts w:ascii="Cambria Math" w:eastAsiaTheme="minorHAnsi" w:hAnsi="Cambria Math"/>
                      <w:kern w:val="2"/>
                      <w:sz w:val="14"/>
                      <w:szCs w:val="14"/>
                      <w14:ligatures w14:val="standardContextual"/>
                    </w:rPr>
                    <m:t>-</m:t>
                  </m:r>
                </m:sup>
              </m:sSup>
              <m:r>
                <m:rPr>
                  <m:sty m:val="p"/>
                </m:rPr>
                <w:rPr>
                  <w:rFonts w:ascii="Cambria Math" w:eastAsiaTheme="minorHAnsi" w:hAnsi="Cambria Math"/>
                  <w:kern w:val="2"/>
                  <w:sz w:val="14"/>
                  <w:szCs w:val="14"/>
                  <w14:ligatures w14:val="standardContextual"/>
                </w:rPr>
                <m:t xml:space="preserve"> →MOH+ </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e</m:t>
                  </m:r>
                </m:e>
                <m:sup>
                  <m:r>
                    <m:rPr>
                      <m:sty m:val="p"/>
                    </m:rPr>
                    <w:rPr>
                      <w:rFonts w:ascii="Cambria Math" w:eastAsiaTheme="minorHAnsi" w:hAnsi="Cambria Math"/>
                      <w:kern w:val="2"/>
                      <w:sz w:val="14"/>
                      <w:szCs w:val="14"/>
                      <w14:ligatures w14:val="standardContextual"/>
                    </w:rPr>
                    <m:t>-</m:t>
                  </m:r>
                </m:sup>
              </m:sSup>
            </m:oMath>
          </w:p>
        </w:tc>
        <w:tc>
          <w:tcPr>
            <w:tcW w:w="426" w:type="dxa"/>
            <w:tcMar>
              <w:left w:w="28" w:type="dxa"/>
              <w:right w:w="28" w:type="dxa"/>
            </w:tcMar>
          </w:tcPr>
          <w:p w14:paraId="6B42667D"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2</w:t>
            </w:r>
          </w:p>
        </w:tc>
        <w:tc>
          <w:tcPr>
            <w:tcW w:w="708" w:type="dxa"/>
            <w:tcMar>
              <w:left w:w="28" w:type="dxa"/>
              <w:right w:w="28" w:type="dxa"/>
            </w:tcMar>
          </w:tcPr>
          <w:p w14:paraId="6D62A9EA"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709" w:type="dxa"/>
            <w:tcMar>
              <w:left w:w="28" w:type="dxa"/>
              <w:right w:w="28" w:type="dxa"/>
            </w:tcMar>
          </w:tcPr>
          <w:p w14:paraId="7D1D7469"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6E07CA77"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572" w:type="dxa"/>
            <w:gridSpan w:val="2"/>
            <w:tcMar>
              <w:left w:w="28" w:type="dxa"/>
              <w:right w:w="28" w:type="dxa"/>
            </w:tcMar>
          </w:tcPr>
          <w:p w14:paraId="3BEF2DD8" w14:textId="77777777" w:rsidR="00780634" w:rsidRPr="00780634" w:rsidRDefault="00780634" w:rsidP="00780634">
            <w:pPr>
              <w:jc w:val="center"/>
              <w:rPr>
                <w:rFonts w:eastAsiaTheme="minorHAnsi"/>
                <w:kern w:val="2"/>
                <w:sz w:val="14"/>
                <w:szCs w:val="14"/>
                <w14:ligatures w14:val="standardContextual"/>
              </w:rPr>
            </w:pPr>
          </w:p>
        </w:tc>
        <w:tc>
          <w:tcPr>
            <w:tcW w:w="845" w:type="dxa"/>
            <w:gridSpan w:val="2"/>
            <w:tcMar>
              <w:left w:w="28" w:type="dxa"/>
              <w:right w:w="28" w:type="dxa"/>
            </w:tcMar>
          </w:tcPr>
          <w:p w14:paraId="61BE7F9F" w14:textId="77777777" w:rsidR="00780634" w:rsidRPr="00780634" w:rsidRDefault="00780634" w:rsidP="00780634">
            <w:pPr>
              <w:jc w:val="center"/>
              <w:rPr>
                <w:rFonts w:eastAsiaTheme="minorHAnsi"/>
                <w:kern w:val="2"/>
                <w:sz w:val="14"/>
                <w:szCs w:val="14"/>
                <w14:ligatures w14:val="standardContextual"/>
              </w:rPr>
            </w:pPr>
          </w:p>
        </w:tc>
        <w:tc>
          <w:tcPr>
            <w:tcW w:w="567" w:type="dxa"/>
            <w:tcMar>
              <w:left w:w="28" w:type="dxa"/>
              <w:right w:w="28" w:type="dxa"/>
            </w:tcMar>
          </w:tcPr>
          <w:p w14:paraId="6432F3E4" w14:textId="77777777" w:rsidR="00780634" w:rsidRPr="00780634" w:rsidRDefault="00780634" w:rsidP="00780634">
            <w:pPr>
              <w:jc w:val="center"/>
              <w:rPr>
                <w:rFonts w:eastAsiaTheme="minorHAnsi"/>
                <w:kern w:val="2"/>
                <w:sz w:val="14"/>
                <w:szCs w:val="14"/>
                <w14:ligatures w14:val="standardContextual"/>
              </w:rPr>
            </w:pPr>
          </w:p>
        </w:tc>
        <w:tc>
          <w:tcPr>
            <w:tcW w:w="567" w:type="dxa"/>
            <w:tcMar>
              <w:left w:w="28" w:type="dxa"/>
              <w:right w:w="28" w:type="dxa"/>
            </w:tcMar>
          </w:tcPr>
          <w:p w14:paraId="11C358B5" w14:textId="77777777" w:rsidR="00780634" w:rsidRPr="00780634" w:rsidRDefault="00780634" w:rsidP="00780634">
            <w:pPr>
              <w:jc w:val="center"/>
              <w:rPr>
                <w:rFonts w:eastAsiaTheme="minorHAnsi"/>
                <w:kern w:val="2"/>
                <w:sz w:val="14"/>
                <w:szCs w:val="14"/>
                <w14:ligatures w14:val="standardContextual"/>
              </w:rPr>
            </w:pPr>
          </w:p>
        </w:tc>
        <w:tc>
          <w:tcPr>
            <w:tcW w:w="426" w:type="dxa"/>
            <w:tcMar>
              <w:left w:w="28" w:type="dxa"/>
              <w:right w:w="28" w:type="dxa"/>
            </w:tcMar>
          </w:tcPr>
          <w:p w14:paraId="0E2EDA4B" w14:textId="77777777" w:rsidR="00780634" w:rsidRPr="00780634" w:rsidRDefault="00780634" w:rsidP="00780634">
            <w:pPr>
              <w:jc w:val="center"/>
              <w:rPr>
                <w:rFonts w:eastAsiaTheme="minorHAnsi"/>
                <w:kern w:val="2"/>
                <w:sz w:val="14"/>
                <w:szCs w:val="14"/>
                <w14:ligatures w14:val="standardContextual"/>
              </w:rPr>
            </w:pPr>
          </w:p>
        </w:tc>
        <w:tc>
          <w:tcPr>
            <w:tcW w:w="939" w:type="dxa"/>
            <w:gridSpan w:val="2"/>
            <w:tcMar>
              <w:left w:w="28" w:type="dxa"/>
              <w:right w:w="28" w:type="dxa"/>
            </w:tcMar>
          </w:tcPr>
          <w:p w14:paraId="36792E1D" w14:textId="77777777" w:rsidR="00780634" w:rsidRPr="00780634" w:rsidRDefault="00780634" w:rsidP="00780634">
            <w:pPr>
              <w:jc w:val="center"/>
              <w:rPr>
                <w:rFonts w:eastAsiaTheme="minorHAnsi"/>
                <w:kern w:val="2"/>
                <w:sz w:val="14"/>
                <w:szCs w:val="14"/>
                <w14:ligatures w14:val="standardContextual"/>
              </w:rPr>
            </w:pPr>
          </w:p>
        </w:tc>
      </w:tr>
      <w:tr w:rsidR="00F47166" w:rsidRPr="00780634" w14:paraId="4F677B61" w14:textId="77777777" w:rsidTr="00BC61DE">
        <w:tc>
          <w:tcPr>
            <w:tcW w:w="2830" w:type="dxa"/>
            <w:gridSpan w:val="2"/>
            <w:tcMar>
              <w:left w:w="28" w:type="dxa"/>
              <w:right w:w="28" w:type="dxa"/>
            </w:tcMar>
          </w:tcPr>
          <w:p w14:paraId="08694483" w14:textId="77777777" w:rsidR="00F47166" w:rsidRPr="00780634" w:rsidRDefault="00F47166"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 xml:space="preserve">2. </w:t>
            </w:r>
            <m:oMath>
              <m:r>
                <m:rPr>
                  <m:sty m:val="p"/>
                </m:rPr>
                <w:rPr>
                  <w:rFonts w:ascii="Cambria Math" w:eastAsiaTheme="minorHAnsi" w:hAnsi="Cambria Math"/>
                  <w:kern w:val="2"/>
                  <w:sz w:val="14"/>
                  <w:szCs w:val="14"/>
                  <w14:ligatures w14:val="standardContextual"/>
                </w:rPr>
                <m:t xml:space="preserve">MOH + </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OH</m:t>
                  </m:r>
                </m:e>
                <m:sup>
                  <m:r>
                    <m:rPr>
                      <m:sty m:val="p"/>
                    </m:rPr>
                    <w:rPr>
                      <w:rFonts w:ascii="Cambria Math" w:eastAsiaTheme="minorHAnsi" w:hAnsi="Cambria Math"/>
                      <w:kern w:val="2"/>
                      <w:sz w:val="14"/>
                      <w:szCs w:val="14"/>
                      <w14:ligatures w14:val="standardContextual"/>
                    </w:rPr>
                    <m:t>-</m:t>
                  </m:r>
                </m:sup>
              </m:sSup>
              <m:r>
                <m:rPr>
                  <m:sty m:val="p"/>
                </m:rPr>
                <w:rPr>
                  <w:rFonts w:ascii="Cambria Math" w:eastAsiaTheme="minorHAnsi" w:hAnsi="Cambria Math"/>
                  <w:kern w:val="2"/>
                  <w:sz w:val="14"/>
                  <w:szCs w:val="14"/>
                  <w14:ligatures w14:val="standardContextual"/>
                </w:rPr>
                <m:t xml:space="preserve"> →MO+ </m:t>
              </m:r>
              <m:sSub>
                <m:sSubPr>
                  <m:ctrlPr>
                    <w:rPr>
                      <w:rFonts w:ascii="Cambria Math" w:eastAsiaTheme="minorHAnsi" w:hAnsi="Cambria Math"/>
                      <w:kern w:val="2"/>
                      <w:sz w:val="14"/>
                      <w:szCs w:val="14"/>
                      <w14:ligatures w14:val="standardContextual"/>
                    </w:rPr>
                  </m:ctrlPr>
                </m:sSubPr>
                <m:e>
                  <m:r>
                    <m:rPr>
                      <m:sty m:val="p"/>
                    </m:rPr>
                    <w:rPr>
                      <w:rFonts w:ascii="Cambria Math" w:eastAsiaTheme="minorHAnsi" w:hAnsi="Cambria Math"/>
                      <w:kern w:val="2"/>
                      <w:sz w:val="14"/>
                      <w:szCs w:val="14"/>
                      <w14:ligatures w14:val="standardContextual"/>
                    </w:rPr>
                    <m:t>H</m:t>
                  </m:r>
                </m:e>
                <m:sub>
                  <m:r>
                    <m:rPr>
                      <m:sty m:val="p"/>
                    </m:rPr>
                    <w:rPr>
                      <w:rFonts w:ascii="Cambria Math" w:eastAsiaTheme="minorHAnsi" w:hAnsi="Cambria Math"/>
                      <w:kern w:val="2"/>
                      <w:sz w:val="14"/>
                      <w:szCs w:val="14"/>
                      <w14:ligatures w14:val="standardContextual"/>
                    </w:rPr>
                    <m:t>2</m:t>
                  </m:r>
                </m:sub>
              </m:sSub>
              <m:r>
                <m:rPr>
                  <m:sty m:val="p"/>
                </m:rPr>
                <w:rPr>
                  <w:rFonts w:ascii="Cambria Math" w:eastAsiaTheme="minorHAnsi" w:hAnsi="Cambria Math"/>
                  <w:kern w:val="2"/>
                  <w:sz w:val="14"/>
                  <w:szCs w:val="14"/>
                  <w14:ligatures w14:val="standardContextual"/>
                </w:rPr>
                <m:t xml:space="preserve">O+ </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e</m:t>
                  </m:r>
                </m:e>
                <m:sup>
                  <m:r>
                    <m:rPr>
                      <m:sty m:val="p"/>
                    </m:rPr>
                    <w:rPr>
                      <w:rFonts w:ascii="Cambria Math" w:eastAsiaTheme="minorHAnsi" w:hAnsi="Cambria Math"/>
                      <w:kern w:val="2"/>
                      <w:sz w:val="14"/>
                      <w:szCs w:val="14"/>
                      <w14:ligatures w14:val="standardContextual"/>
                    </w:rPr>
                    <m:t>-</m:t>
                  </m:r>
                </m:sup>
              </m:sSup>
              <m:r>
                <m:rPr>
                  <m:sty m:val="p"/>
                </m:rPr>
                <w:rPr>
                  <w:rFonts w:ascii="Cambria Math" w:eastAsiaTheme="minorHAnsi" w:hAnsi="Cambria Math"/>
                  <w:kern w:val="2"/>
                  <w:sz w:val="14"/>
                  <w:szCs w:val="14"/>
                  <w14:ligatures w14:val="standardContextual"/>
                </w:rPr>
                <m:t xml:space="preserve"> </m:t>
              </m:r>
            </m:oMath>
          </w:p>
        </w:tc>
        <w:tc>
          <w:tcPr>
            <w:tcW w:w="426" w:type="dxa"/>
            <w:tcMar>
              <w:left w:w="28" w:type="dxa"/>
              <w:right w:w="28" w:type="dxa"/>
            </w:tcMar>
          </w:tcPr>
          <w:p w14:paraId="49761009" w14:textId="77777777" w:rsidR="00F47166" w:rsidRPr="00780634" w:rsidRDefault="00F47166"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2</w:t>
            </w:r>
          </w:p>
        </w:tc>
        <w:tc>
          <w:tcPr>
            <w:tcW w:w="708" w:type="dxa"/>
            <w:tcMar>
              <w:left w:w="28" w:type="dxa"/>
              <w:right w:w="28" w:type="dxa"/>
            </w:tcMar>
          </w:tcPr>
          <w:p w14:paraId="5151F6D2"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/3</w:t>
            </w:r>
            <w:r w:rsidRPr="00780634">
              <w:rPr>
                <w:rFonts w:eastAsiaTheme="minorHAnsi"/>
                <w:i/>
                <w:iCs/>
                <w:kern w:val="2"/>
                <w:sz w:val="14"/>
                <w:szCs w:val="14"/>
                <w14:ligatures w14:val="standardContextual"/>
              </w:rPr>
              <w:t>F</w:t>
            </w:r>
          </w:p>
        </w:tc>
        <w:tc>
          <w:tcPr>
            <w:tcW w:w="709" w:type="dxa"/>
            <w:tcMar>
              <w:left w:w="28" w:type="dxa"/>
              <w:right w:w="28" w:type="dxa"/>
            </w:tcMar>
          </w:tcPr>
          <w:p w14:paraId="5076B00D"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709" w:type="dxa"/>
            <w:tcMar>
              <w:left w:w="28" w:type="dxa"/>
              <w:right w:w="28" w:type="dxa"/>
            </w:tcMar>
          </w:tcPr>
          <w:p w14:paraId="744CD3C9"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p>
        </w:tc>
        <w:tc>
          <w:tcPr>
            <w:tcW w:w="572" w:type="dxa"/>
            <w:gridSpan w:val="2"/>
            <w:tcMar>
              <w:left w:w="28" w:type="dxa"/>
              <w:right w:w="28" w:type="dxa"/>
            </w:tcMar>
          </w:tcPr>
          <w:p w14:paraId="4265C9E5"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1412" w:type="dxa"/>
            <w:gridSpan w:val="3"/>
            <w:tcMar>
              <w:left w:w="28" w:type="dxa"/>
              <w:right w:w="28" w:type="dxa"/>
            </w:tcMar>
          </w:tcPr>
          <w:p w14:paraId="38168945" w14:textId="4E93099E"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993" w:type="dxa"/>
            <w:gridSpan w:val="2"/>
            <w:tcMar>
              <w:left w:w="28" w:type="dxa"/>
              <w:right w:w="28" w:type="dxa"/>
            </w:tcMar>
          </w:tcPr>
          <w:p w14:paraId="48954B50" w14:textId="514CB720"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939" w:type="dxa"/>
            <w:gridSpan w:val="2"/>
            <w:tcMar>
              <w:left w:w="28" w:type="dxa"/>
              <w:right w:w="28" w:type="dxa"/>
            </w:tcMar>
          </w:tcPr>
          <w:p w14:paraId="22772231" w14:textId="77777777" w:rsidR="00F47166"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r</m:t>
                    </m:r>
                  </m:e>
                  <m:sub>
                    <m:r>
                      <w:rPr>
                        <w:rFonts w:ascii="Cambria Math" w:eastAsiaTheme="minorHAnsi" w:hAnsi="Cambria Math"/>
                        <w:kern w:val="2"/>
                        <w:sz w:val="14"/>
                        <w:szCs w:val="14"/>
                        <w14:ligatures w14:val="standardContextual"/>
                      </w:rPr>
                      <m:t>OH</m:t>
                    </m:r>
                  </m:sub>
                </m:sSub>
                <m:r>
                  <w:rPr>
                    <w:rFonts w:ascii="Cambria Math" w:eastAsiaTheme="minorHAnsi" w:hAnsi="Cambria Math"/>
                    <w:kern w:val="2"/>
                    <w:sz w:val="14"/>
                    <w:szCs w:val="14"/>
                    <w14:ligatures w14:val="standardContextual"/>
                  </w:rPr>
                  <m:t xml:space="preserve"> ~ </m:t>
                </m:r>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r</m:t>
                    </m:r>
                  </m:e>
                  <m:sub>
                    <m:r>
                      <w:rPr>
                        <w:rFonts w:ascii="Cambria Math" w:eastAsiaTheme="minorHAnsi" w:hAnsi="Cambria Math"/>
                        <w:kern w:val="2"/>
                        <w:sz w:val="14"/>
                        <w:szCs w:val="14"/>
                        <w14:ligatures w14:val="standardContextual"/>
                      </w:rPr>
                      <m:t>O</m:t>
                    </m:r>
                  </m:sub>
                </m:sSub>
              </m:oMath>
            </m:oMathPara>
          </w:p>
        </w:tc>
      </w:tr>
      <w:tr w:rsidR="00F47166" w:rsidRPr="00780634" w14:paraId="6A175DE4" w14:textId="77777777" w:rsidTr="008D1917">
        <w:tc>
          <w:tcPr>
            <w:tcW w:w="2830" w:type="dxa"/>
            <w:gridSpan w:val="2"/>
            <w:tcMar>
              <w:left w:w="28" w:type="dxa"/>
              <w:right w:w="28" w:type="dxa"/>
            </w:tcMar>
          </w:tcPr>
          <w:p w14:paraId="4FF52050" w14:textId="77777777" w:rsidR="00F47166" w:rsidRPr="00780634" w:rsidRDefault="00F47166" w:rsidP="00780634">
            <w:pPr>
              <w:rPr>
                <w:rFonts w:eastAsiaTheme="minorHAnsi"/>
                <w:kern w:val="2"/>
                <w:sz w:val="14"/>
                <w:szCs w:val="14"/>
                <w14:ligatures w14:val="standardContextual"/>
              </w:rPr>
            </w:pPr>
          </w:p>
        </w:tc>
        <w:tc>
          <w:tcPr>
            <w:tcW w:w="426" w:type="dxa"/>
            <w:tcMar>
              <w:left w:w="28" w:type="dxa"/>
              <w:right w:w="28" w:type="dxa"/>
            </w:tcMar>
          </w:tcPr>
          <w:p w14:paraId="09E5825F" w14:textId="77777777" w:rsidR="00F47166" w:rsidRPr="00780634" w:rsidRDefault="00F47166" w:rsidP="00780634">
            <w:pPr>
              <w:rPr>
                <w:rFonts w:eastAsiaTheme="minorHAnsi"/>
                <w:kern w:val="2"/>
                <w:sz w:val="14"/>
                <w:szCs w:val="14"/>
                <w14:ligatures w14:val="standardContextual"/>
              </w:rPr>
            </w:pPr>
          </w:p>
        </w:tc>
        <w:tc>
          <w:tcPr>
            <w:tcW w:w="708" w:type="dxa"/>
            <w:tcMar>
              <w:left w:w="28" w:type="dxa"/>
              <w:right w:w="28" w:type="dxa"/>
            </w:tcMar>
          </w:tcPr>
          <w:p w14:paraId="44C719CE" w14:textId="77777777" w:rsidR="00F47166" w:rsidRPr="00780634" w:rsidRDefault="00F47166" w:rsidP="00780634">
            <w:pPr>
              <w:jc w:val="center"/>
              <w:rPr>
                <w:rFonts w:eastAsiaTheme="minorHAnsi"/>
                <w:kern w:val="2"/>
                <w:sz w:val="14"/>
                <w:szCs w:val="14"/>
                <w14:ligatures w14:val="standardContextual"/>
              </w:rPr>
            </w:pPr>
          </w:p>
        </w:tc>
        <w:tc>
          <w:tcPr>
            <w:tcW w:w="709" w:type="dxa"/>
            <w:tcMar>
              <w:left w:w="28" w:type="dxa"/>
              <w:right w:w="28" w:type="dxa"/>
            </w:tcMar>
          </w:tcPr>
          <w:p w14:paraId="2535BC85" w14:textId="77777777" w:rsidR="00F47166" w:rsidRPr="00780634" w:rsidRDefault="00F47166" w:rsidP="00780634">
            <w:pPr>
              <w:jc w:val="center"/>
              <w:rPr>
                <w:rFonts w:eastAsiaTheme="minorHAnsi"/>
                <w:kern w:val="2"/>
                <w:sz w:val="14"/>
                <w:szCs w:val="14"/>
                <w14:ligatures w14:val="standardContextual"/>
              </w:rPr>
            </w:pPr>
          </w:p>
        </w:tc>
        <w:tc>
          <w:tcPr>
            <w:tcW w:w="709" w:type="dxa"/>
            <w:tcMar>
              <w:left w:w="28" w:type="dxa"/>
              <w:right w:w="28" w:type="dxa"/>
            </w:tcMar>
          </w:tcPr>
          <w:p w14:paraId="198DF523" w14:textId="77777777" w:rsidR="00F47166" w:rsidRPr="00780634" w:rsidRDefault="00F47166" w:rsidP="00780634">
            <w:pPr>
              <w:jc w:val="center"/>
              <w:rPr>
                <w:rFonts w:eastAsiaTheme="minorHAnsi"/>
                <w:kern w:val="2"/>
                <w:sz w:val="14"/>
                <w:szCs w:val="14"/>
                <w14:ligatures w14:val="standardContextual"/>
              </w:rPr>
            </w:pPr>
          </w:p>
        </w:tc>
        <w:tc>
          <w:tcPr>
            <w:tcW w:w="572" w:type="dxa"/>
            <w:gridSpan w:val="2"/>
            <w:tcMar>
              <w:left w:w="28" w:type="dxa"/>
              <w:right w:w="28" w:type="dxa"/>
            </w:tcMar>
          </w:tcPr>
          <w:p w14:paraId="760209BE" w14:textId="77777777" w:rsidR="00F47166" w:rsidRPr="00780634" w:rsidRDefault="00F47166" w:rsidP="00780634">
            <w:pPr>
              <w:jc w:val="center"/>
              <w:rPr>
                <w:rFonts w:eastAsiaTheme="minorHAnsi"/>
                <w:kern w:val="2"/>
                <w:sz w:val="14"/>
                <w:szCs w:val="14"/>
                <w14:ligatures w14:val="standardContextual"/>
              </w:rPr>
            </w:pPr>
          </w:p>
        </w:tc>
        <w:tc>
          <w:tcPr>
            <w:tcW w:w="1412" w:type="dxa"/>
            <w:gridSpan w:val="3"/>
            <w:tcMar>
              <w:left w:w="28" w:type="dxa"/>
              <w:right w:w="28" w:type="dxa"/>
            </w:tcMar>
          </w:tcPr>
          <w:p w14:paraId="7D412C82" w14:textId="246C3E94" w:rsidR="00F47166" w:rsidRPr="00780634" w:rsidRDefault="00F47166"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993" w:type="dxa"/>
            <w:gridSpan w:val="2"/>
            <w:tcMar>
              <w:left w:w="28" w:type="dxa"/>
              <w:right w:w="28" w:type="dxa"/>
            </w:tcMar>
          </w:tcPr>
          <w:p w14:paraId="10C834AA" w14:textId="3E688C4C"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1.5</w:t>
            </w:r>
          </w:p>
        </w:tc>
        <w:tc>
          <w:tcPr>
            <w:tcW w:w="939" w:type="dxa"/>
            <w:gridSpan w:val="2"/>
            <w:tcMar>
              <w:left w:w="28" w:type="dxa"/>
              <w:right w:w="28" w:type="dxa"/>
            </w:tcMar>
          </w:tcPr>
          <w:p w14:paraId="6B991068" w14:textId="77777777" w:rsidR="00F47166"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r</m:t>
                    </m:r>
                  </m:e>
                  <m:sub>
                    <m:r>
                      <w:rPr>
                        <w:rFonts w:ascii="Cambria Math" w:eastAsiaTheme="minorHAnsi" w:hAnsi="Cambria Math"/>
                        <w:kern w:val="2"/>
                        <w:sz w:val="14"/>
                        <w:szCs w:val="14"/>
                        <w14:ligatures w14:val="standardContextual"/>
                      </w:rPr>
                      <m:t>OH</m:t>
                    </m:r>
                  </m:sub>
                </m:sSub>
                <m:r>
                  <w:rPr>
                    <w:rFonts w:ascii="Cambria Math" w:eastAsiaTheme="minorHAnsi" w:hAnsi="Cambria Math"/>
                    <w:kern w:val="2"/>
                    <w:sz w:val="14"/>
                    <w:szCs w:val="14"/>
                    <w14:ligatures w14:val="standardContextual"/>
                  </w:rPr>
                  <m:t xml:space="preserve">≫ </m:t>
                </m:r>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r</m:t>
                    </m:r>
                  </m:e>
                  <m:sub>
                    <m:r>
                      <w:rPr>
                        <w:rFonts w:ascii="Cambria Math" w:eastAsiaTheme="minorHAnsi" w:hAnsi="Cambria Math"/>
                        <w:kern w:val="2"/>
                        <w:sz w:val="14"/>
                        <w:szCs w:val="14"/>
                        <w14:ligatures w14:val="standardContextual"/>
                      </w:rPr>
                      <m:t>O</m:t>
                    </m:r>
                  </m:sub>
                </m:sSub>
              </m:oMath>
            </m:oMathPara>
          </w:p>
        </w:tc>
      </w:tr>
      <w:tr w:rsidR="00780634" w:rsidRPr="00780634" w14:paraId="3E8E81FC" w14:textId="77777777" w:rsidTr="00B2471A">
        <w:tc>
          <w:tcPr>
            <w:tcW w:w="2830" w:type="dxa"/>
            <w:gridSpan w:val="2"/>
            <w:tcMar>
              <w:left w:w="28" w:type="dxa"/>
              <w:right w:w="28" w:type="dxa"/>
            </w:tcMar>
          </w:tcPr>
          <w:p w14:paraId="1D79D443"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3. 2</w:t>
            </w:r>
            <m:oMath>
              <m:r>
                <m:rPr>
                  <m:sty m:val="p"/>
                </m:rPr>
                <w:rPr>
                  <w:rFonts w:ascii="Cambria Math" w:eastAsiaTheme="minorHAnsi" w:hAnsi="Cambria Math"/>
                  <w:kern w:val="2"/>
                  <w:sz w:val="14"/>
                  <w:szCs w:val="14"/>
                  <w14:ligatures w14:val="standardContextual"/>
                </w:rPr>
                <m:t xml:space="preserve">MO →2M+ </m:t>
              </m:r>
              <m:sSub>
                <m:sSubPr>
                  <m:ctrlPr>
                    <w:rPr>
                      <w:rFonts w:ascii="Cambria Math" w:eastAsiaTheme="minorHAnsi" w:hAnsi="Cambria Math"/>
                      <w:kern w:val="2"/>
                      <w:sz w:val="14"/>
                      <w:szCs w:val="14"/>
                      <w14:ligatures w14:val="standardContextual"/>
                    </w:rPr>
                  </m:ctrlPr>
                </m:sSubPr>
                <m:e>
                  <m:r>
                    <m:rPr>
                      <m:sty m:val="p"/>
                    </m:rPr>
                    <w:rPr>
                      <w:rFonts w:ascii="Cambria Math" w:eastAsiaTheme="minorHAnsi" w:hAnsi="Cambria Math"/>
                      <w:kern w:val="2"/>
                      <w:sz w:val="14"/>
                      <w:szCs w:val="14"/>
                      <w14:ligatures w14:val="standardContextual"/>
                    </w:rPr>
                    <m:t>O</m:t>
                  </m:r>
                </m:e>
                <m:sub>
                  <m:r>
                    <m:rPr>
                      <m:sty m:val="p"/>
                    </m:rPr>
                    <w:rPr>
                      <w:rFonts w:ascii="Cambria Math" w:eastAsiaTheme="minorHAnsi" w:hAnsi="Cambria Math"/>
                      <w:kern w:val="2"/>
                      <w:sz w:val="14"/>
                      <w:szCs w:val="14"/>
                      <w14:ligatures w14:val="standardContextual"/>
                    </w:rPr>
                    <m:t>2</m:t>
                  </m:r>
                </m:sub>
              </m:sSub>
            </m:oMath>
          </w:p>
        </w:tc>
        <w:tc>
          <w:tcPr>
            <w:tcW w:w="426" w:type="dxa"/>
            <w:tcMar>
              <w:left w:w="28" w:type="dxa"/>
              <w:right w:w="28" w:type="dxa"/>
            </w:tcMar>
          </w:tcPr>
          <w:p w14:paraId="65D0DF69"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708" w:type="dxa"/>
            <w:tcMar>
              <w:left w:w="28" w:type="dxa"/>
              <w:right w:w="28" w:type="dxa"/>
            </w:tcMar>
          </w:tcPr>
          <w:p w14:paraId="1917AD84"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/4</w:t>
            </w:r>
            <w:r w:rsidRPr="00780634">
              <w:rPr>
                <w:rFonts w:eastAsiaTheme="minorHAnsi"/>
                <w:i/>
                <w:iCs/>
                <w:kern w:val="2"/>
                <w:sz w:val="14"/>
                <w:szCs w:val="14"/>
                <w14:ligatures w14:val="standardContextual"/>
              </w:rPr>
              <w:t>F</w:t>
            </w:r>
          </w:p>
        </w:tc>
        <w:tc>
          <w:tcPr>
            <w:tcW w:w="709" w:type="dxa"/>
            <w:tcMar>
              <w:left w:w="28" w:type="dxa"/>
              <w:right w:w="28" w:type="dxa"/>
            </w:tcMar>
          </w:tcPr>
          <w:p w14:paraId="3C6869C9" w14:textId="77777777" w:rsidR="00780634" w:rsidRPr="00780634" w:rsidRDefault="00780634" w:rsidP="00780634">
            <w:pPr>
              <w:jc w:val="center"/>
              <w:rPr>
                <w:rFonts w:eastAsiaTheme="minorHAnsi"/>
                <w:kern w:val="2"/>
                <w:sz w:val="14"/>
                <w:szCs w:val="14"/>
                <w14:ligatures w14:val="standardContextual"/>
              </w:rPr>
            </w:pPr>
            <m:oMathPara>
              <m:oMath>
                <m:r>
                  <w:rPr>
                    <w:rFonts w:ascii="Cambria Math" w:eastAsiaTheme="minorHAnsi" w:hAnsi="Cambria Math"/>
                    <w:kern w:val="2"/>
                    <w:sz w:val="14"/>
                    <w:szCs w:val="14"/>
                    <w14:ligatures w14:val="standardContextual"/>
                  </w:rPr>
                  <m:t>∞</m:t>
                </m:r>
              </m:oMath>
            </m:oMathPara>
          </w:p>
        </w:tc>
        <w:tc>
          <w:tcPr>
            <w:tcW w:w="709" w:type="dxa"/>
            <w:tcMar>
              <w:left w:w="28" w:type="dxa"/>
              <w:right w:w="28" w:type="dxa"/>
            </w:tcMar>
          </w:tcPr>
          <w:p w14:paraId="0CAF0CC7"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4</w:t>
            </w:r>
          </w:p>
        </w:tc>
        <w:tc>
          <w:tcPr>
            <w:tcW w:w="572" w:type="dxa"/>
            <w:gridSpan w:val="2"/>
            <w:tcMar>
              <w:left w:w="28" w:type="dxa"/>
              <w:right w:w="28" w:type="dxa"/>
            </w:tcMar>
          </w:tcPr>
          <w:p w14:paraId="3289F015"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0</w:t>
            </w:r>
          </w:p>
        </w:tc>
        <w:tc>
          <w:tcPr>
            <w:tcW w:w="845" w:type="dxa"/>
            <w:gridSpan w:val="2"/>
            <w:tcMar>
              <w:left w:w="28" w:type="dxa"/>
              <w:right w:w="28" w:type="dxa"/>
            </w:tcMar>
          </w:tcPr>
          <w:p w14:paraId="70CC1B89"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F</w:t>
            </w:r>
          </w:p>
        </w:tc>
        <w:tc>
          <w:tcPr>
            <w:tcW w:w="567" w:type="dxa"/>
            <w:tcMar>
              <w:left w:w="28" w:type="dxa"/>
              <w:right w:w="28" w:type="dxa"/>
            </w:tcMar>
          </w:tcPr>
          <w:p w14:paraId="614942AA"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567" w:type="dxa"/>
            <w:tcMar>
              <w:left w:w="28" w:type="dxa"/>
              <w:right w:w="28" w:type="dxa"/>
            </w:tcMar>
          </w:tcPr>
          <w:p w14:paraId="528F632D"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p>
        </w:tc>
        <w:tc>
          <w:tcPr>
            <w:tcW w:w="426" w:type="dxa"/>
            <w:tcMar>
              <w:left w:w="28" w:type="dxa"/>
              <w:right w:w="28" w:type="dxa"/>
            </w:tcMar>
          </w:tcPr>
          <w:p w14:paraId="61DC9302"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939" w:type="dxa"/>
            <w:gridSpan w:val="2"/>
            <w:tcMar>
              <w:left w:w="28" w:type="dxa"/>
              <w:right w:w="28" w:type="dxa"/>
            </w:tcMar>
          </w:tcPr>
          <w:p w14:paraId="66008F83" w14:textId="77777777" w:rsidR="00780634"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K</m:t>
                    </m:r>
                  </m:e>
                  <m:sub>
                    <m:r>
                      <w:rPr>
                        <w:rFonts w:ascii="Cambria Math" w:eastAsiaTheme="minorHAnsi" w:hAnsi="Cambria Math"/>
                        <w:kern w:val="2"/>
                        <w:sz w:val="14"/>
                        <w:szCs w:val="14"/>
                        <w14:ligatures w14:val="standardContextual"/>
                      </w:rPr>
                      <m:t>2</m:t>
                    </m:r>
                  </m:sub>
                </m:sSub>
                <m:r>
                  <w:rPr>
                    <w:rFonts w:ascii="Cambria Math" w:eastAsiaTheme="minorHAnsi" w:hAnsi="Cambria Math"/>
                    <w:kern w:val="2"/>
                    <w:sz w:val="14"/>
                    <w:szCs w:val="14"/>
                    <w14:ligatures w14:val="standardContextual"/>
                  </w:rPr>
                  <m:t xml:space="preserve"> ~ 1</m:t>
                </m:r>
              </m:oMath>
            </m:oMathPara>
          </w:p>
        </w:tc>
      </w:tr>
      <w:tr w:rsidR="00780634" w:rsidRPr="00780634" w14:paraId="07D5DA48" w14:textId="77777777" w:rsidTr="00B2471A">
        <w:tc>
          <w:tcPr>
            <w:tcW w:w="2830" w:type="dxa"/>
            <w:gridSpan w:val="2"/>
            <w:tcMar>
              <w:left w:w="28" w:type="dxa"/>
              <w:right w:w="28" w:type="dxa"/>
            </w:tcMar>
          </w:tcPr>
          <w:p w14:paraId="7C1D81E0" w14:textId="77777777" w:rsidR="00780634" w:rsidRPr="00780634" w:rsidRDefault="00780634" w:rsidP="00780634">
            <w:pPr>
              <w:rPr>
                <w:rFonts w:eastAsiaTheme="minorHAnsi"/>
                <w:kern w:val="2"/>
                <w:sz w:val="14"/>
                <w:szCs w:val="14"/>
                <w14:ligatures w14:val="standardContextual"/>
              </w:rPr>
            </w:pPr>
          </w:p>
        </w:tc>
        <w:tc>
          <w:tcPr>
            <w:tcW w:w="426" w:type="dxa"/>
            <w:tcMar>
              <w:left w:w="28" w:type="dxa"/>
              <w:right w:w="28" w:type="dxa"/>
            </w:tcMar>
          </w:tcPr>
          <w:p w14:paraId="130C6CB5" w14:textId="77777777" w:rsidR="00780634" w:rsidRPr="00780634" w:rsidRDefault="00780634" w:rsidP="00780634">
            <w:pPr>
              <w:rPr>
                <w:rFonts w:eastAsiaTheme="minorHAnsi"/>
                <w:kern w:val="2"/>
                <w:sz w:val="14"/>
                <w:szCs w:val="14"/>
                <w14:ligatures w14:val="standardContextual"/>
              </w:rPr>
            </w:pPr>
          </w:p>
        </w:tc>
        <w:tc>
          <w:tcPr>
            <w:tcW w:w="708" w:type="dxa"/>
            <w:tcMar>
              <w:left w:w="28" w:type="dxa"/>
              <w:right w:w="28" w:type="dxa"/>
            </w:tcMar>
          </w:tcPr>
          <w:p w14:paraId="5EB318AB"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17C64BD0"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2D572F6C" w14:textId="77777777" w:rsidR="00780634" w:rsidRPr="00780634" w:rsidRDefault="00780634" w:rsidP="00780634">
            <w:pPr>
              <w:jc w:val="center"/>
              <w:rPr>
                <w:rFonts w:eastAsiaTheme="minorHAnsi"/>
                <w:kern w:val="2"/>
                <w:sz w:val="14"/>
                <w:szCs w:val="14"/>
                <w14:ligatures w14:val="standardContextual"/>
              </w:rPr>
            </w:pPr>
          </w:p>
        </w:tc>
        <w:tc>
          <w:tcPr>
            <w:tcW w:w="572" w:type="dxa"/>
            <w:gridSpan w:val="2"/>
            <w:tcMar>
              <w:left w:w="28" w:type="dxa"/>
              <w:right w:w="28" w:type="dxa"/>
            </w:tcMar>
          </w:tcPr>
          <w:p w14:paraId="04C3194E" w14:textId="77777777" w:rsidR="00780634" w:rsidRPr="00780634" w:rsidRDefault="00780634" w:rsidP="00780634">
            <w:pPr>
              <w:jc w:val="center"/>
              <w:rPr>
                <w:rFonts w:eastAsiaTheme="minorHAnsi"/>
                <w:kern w:val="2"/>
                <w:sz w:val="14"/>
                <w:szCs w:val="14"/>
                <w14:ligatures w14:val="standardContextual"/>
              </w:rPr>
            </w:pPr>
          </w:p>
        </w:tc>
        <w:tc>
          <w:tcPr>
            <w:tcW w:w="845" w:type="dxa"/>
            <w:gridSpan w:val="2"/>
            <w:tcMar>
              <w:left w:w="28" w:type="dxa"/>
              <w:right w:w="28" w:type="dxa"/>
            </w:tcMar>
          </w:tcPr>
          <w:p w14:paraId="4BAE7B5C"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/4</w:t>
            </w:r>
            <w:r w:rsidRPr="00780634">
              <w:rPr>
                <w:rFonts w:eastAsiaTheme="minorHAnsi"/>
                <w:i/>
                <w:iCs/>
                <w:kern w:val="2"/>
                <w:sz w:val="14"/>
                <w:szCs w:val="14"/>
                <w14:ligatures w14:val="standardContextual"/>
              </w:rPr>
              <w:t>F</w:t>
            </w:r>
          </w:p>
        </w:tc>
        <w:tc>
          <w:tcPr>
            <w:tcW w:w="567" w:type="dxa"/>
            <w:tcMar>
              <w:left w:w="28" w:type="dxa"/>
              <w:right w:w="28" w:type="dxa"/>
            </w:tcMar>
          </w:tcPr>
          <w:p w14:paraId="7FBF50D5"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/3</w:t>
            </w:r>
            <w:r w:rsidRPr="00780634">
              <w:rPr>
                <w:rFonts w:eastAsiaTheme="minorHAnsi"/>
                <w:i/>
                <w:iCs/>
                <w:kern w:val="2"/>
                <w:sz w:val="14"/>
                <w:szCs w:val="14"/>
                <w14:ligatures w14:val="standardContextual"/>
              </w:rPr>
              <w:t>F</w:t>
            </w:r>
          </w:p>
        </w:tc>
        <w:tc>
          <w:tcPr>
            <w:tcW w:w="567" w:type="dxa"/>
            <w:tcMar>
              <w:left w:w="28" w:type="dxa"/>
              <w:right w:w="28" w:type="dxa"/>
            </w:tcMar>
          </w:tcPr>
          <w:p w14:paraId="698D0877"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4</w:t>
            </w:r>
          </w:p>
        </w:tc>
        <w:tc>
          <w:tcPr>
            <w:tcW w:w="426" w:type="dxa"/>
            <w:tcMar>
              <w:left w:w="28" w:type="dxa"/>
              <w:right w:w="28" w:type="dxa"/>
            </w:tcMar>
          </w:tcPr>
          <w:p w14:paraId="628ABEA1"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3</w:t>
            </w:r>
          </w:p>
        </w:tc>
        <w:tc>
          <w:tcPr>
            <w:tcW w:w="939" w:type="dxa"/>
            <w:gridSpan w:val="2"/>
            <w:tcMar>
              <w:left w:w="28" w:type="dxa"/>
              <w:right w:w="28" w:type="dxa"/>
            </w:tcMar>
          </w:tcPr>
          <w:p w14:paraId="7FC01AEC" w14:textId="77777777" w:rsidR="00780634"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K</m:t>
                    </m:r>
                  </m:e>
                  <m:sub>
                    <m:r>
                      <w:rPr>
                        <w:rFonts w:ascii="Cambria Math" w:eastAsiaTheme="minorHAnsi" w:hAnsi="Cambria Math"/>
                        <w:kern w:val="2"/>
                        <w:sz w:val="14"/>
                        <w:szCs w:val="14"/>
                        <w14:ligatures w14:val="standardContextual"/>
                      </w:rPr>
                      <m:t>2</m:t>
                    </m:r>
                  </m:sub>
                </m:sSub>
                <m:r>
                  <w:rPr>
                    <w:rFonts w:ascii="Cambria Math" w:eastAsiaTheme="minorHAnsi" w:hAnsi="Cambria Math"/>
                    <w:kern w:val="2"/>
                    <w:sz w:val="14"/>
                    <w:szCs w:val="14"/>
                    <w14:ligatures w14:val="standardContextual"/>
                  </w:rPr>
                  <m:t>≪ 1</m:t>
                </m:r>
              </m:oMath>
            </m:oMathPara>
          </w:p>
        </w:tc>
      </w:tr>
      <w:tr w:rsidR="00780634" w:rsidRPr="00780634" w14:paraId="7C4A1A49" w14:textId="77777777" w:rsidTr="00B2471A">
        <w:tc>
          <w:tcPr>
            <w:tcW w:w="2830" w:type="dxa"/>
            <w:gridSpan w:val="2"/>
            <w:tcMar>
              <w:left w:w="28" w:type="dxa"/>
              <w:right w:w="28" w:type="dxa"/>
            </w:tcMar>
          </w:tcPr>
          <w:p w14:paraId="3223AA17" w14:textId="77777777" w:rsidR="00780634" w:rsidRPr="00780634" w:rsidRDefault="00780634" w:rsidP="00780634">
            <w:pPr>
              <w:rPr>
                <w:rFonts w:eastAsiaTheme="minorHAnsi"/>
                <w:i/>
                <w:iCs/>
                <w:kern w:val="2"/>
                <w:sz w:val="14"/>
                <w:szCs w:val="14"/>
                <w14:ligatures w14:val="standardContextual"/>
              </w:rPr>
            </w:pPr>
            <w:r w:rsidRPr="00780634">
              <w:rPr>
                <w:rFonts w:eastAsiaTheme="minorHAnsi"/>
                <w:i/>
                <w:iCs/>
                <w:kern w:val="2"/>
                <w:sz w:val="14"/>
                <w:szCs w:val="14"/>
                <w14:ligatures w14:val="standardContextual"/>
              </w:rPr>
              <w:t xml:space="preserve">(III) </w:t>
            </w:r>
            <w:proofErr w:type="spellStart"/>
            <w:r w:rsidRPr="00780634">
              <w:rPr>
                <w:rFonts w:eastAsiaTheme="minorHAnsi"/>
                <w:i/>
                <w:iCs/>
                <w:kern w:val="2"/>
                <w:sz w:val="14"/>
                <w:szCs w:val="14"/>
                <w14:ligatures w14:val="standardContextual"/>
              </w:rPr>
              <w:t>Krasil’shchikov’s</w:t>
            </w:r>
            <w:proofErr w:type="spellEnd"/>
            <w:r w:rsidRPr="00780634">
              <w:rPr>
                <w:rFonts w:eastAsiaTheme="minorHAnsi"/>
                <w:i/>
                <w:iCs/>
                <w:kern w:val="2"/>
                <w:sz w:val="14"/>
                <w:szCs w:val="14"/>
                <w14:ligatures w14:val="standardContextual"/>
              </w:rPr>
              <w:t xml:space="preserve"> path</w:t>
            </w:r>
          </w:p>
        </w:tc>
        <w:tc>
          <w:tcPr>
            <w:tcW w:w="426" w:type="dxa"/>
            <w:tcMar>
              <w:left w:w="28" w:type="dxa"/>
              <w:right w:w="28" w:type="dxa"/>
            </w:tcMar>
          </w:tcPr>
          <w:p w14:paraId="1D40F519" w14:textId="77777777" w:rsidR="00780634" w:rsidRPr="00780634" w:rsidRDefault="00780634" w:rsidP="00780634">
            <w:pPr>
              <w:rPr>
                <w:rFonts w:eastAsiaTheme="minorHAnsi"/>
                <w:kern w:val="2"/>
                <w:sz w:val="14"/>
                <w:szCs w:val="14"/>
                <w14:ligatures w14:val="standardContextual"/>
              </w:rPr>
            </w:pPr>
          </w:p>
        </w:tc>
        <w:tc>
          <w:tcPr>
            <w:tcW w:w="708" w:type="dxa"/>
            <w:tcMar>
              <w:left w:w="28" w:type="dxa"/>
              <w:right w:w="28" w:type="dxa"/>
            </w:tcMar>
          </w:tcPr>
          <w:p w14:paraId="60077129"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188D0AC3"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75E29EA6" w14:textId="77777777" w:rsidR="00780634" w:rsidRPr="00780634" w:rsidRDefault="00780634" w:rsidP="00780634">
            <w:pPr>
              <w:jc w:val="center"/>
              <w:rPr>
                <w:rFonts w:eastAsiaTheme="minorHAnsi"/>
                <w:kern w:val="2"/>
                <w:sz w:val="14"/>
                <w:szCs w:val="14"/>
                <w14:ligatures w14:val="standardContextual"/>
              </w:rPr>
            </w:pPr>
          </w:p>
        </w:tc>
        <w:tc>
          <w:tcPr>
            <w:tcW w:w="572" w:type="dxa"/>
            <w:gridSpan w:val="2"/>
            <w:tcMar>
              <w:left w:w="28" w:type="dxa"/>
              <w:right w:w="28" w:type="dxa"/>
            </w:tcMar>
          </w:tcPr>
          <w:p w14:paraId="11ED2EE8" w14:textId="77777777" w:rsidR="00780634" w:rsidRPr="00780634" w:rsidRDefault="00780634" w:rsidP="00780634">
            <w:pPr>
              <w:jc w:val="center"/>
              <w:rPr>
                <w:rFonts w:eastAsiaTheme="minorHAnsi"/>
                <w:kern w:val="2"/>
                <w:sz w:val="14"/>
                <w:szCs w:val="14"/>
                <w14:ligatures w14:val="standardContextual"/>
              </w:rPr>
            </w:pPr>
          </w:p>
        </w:tc>
        <w:tc>
          <w:tcPr>
            <w:tcW w:w="845" w:type="dxa"/>
            <w:gridSpan w:val="2"/>
            <w:tcMar>
              <w:left w:w="28" w:type="dxa"/>
              <w:right w:w="28" w:type="dxa"/>
            </w:tcMar>
          </w:tcPr>
          <w:p w14:paraId="532D43A3" w14:textId="77777777" w:rsidR="00780634" w:rsidRPr="00780634" w:rsidRDefault="00780634" w:rsidP="00780634">
            <w:pPr>
              <w:jc w:val="center"/>
              <w:rPr>
                <w:rFonts w:eastAsiaTheme="minorHAnsi"/>
                <w:kern w:val="2"/>
                <w:sz w:val="14"/>
                <w:szCs w:val="14"/>
                <w14:ligatures w14:val="standardContextual"/>
              </w:rPr>
            </w:pPr>
          </w:p>
        </w:tc>
        <w:tc>
          <w:tcPr>
            <w:tcW w:w="567" w:type="dxa"/>
            <w:tcMar>
              <w:left w:w="28" w:type="dxa"/>
              <w:right w:w="28" w:type="dxa"/>
            </w:tcMar>
          </w:tcPr>
          <w:p w14:paraId="0A889764" w14:textId="77777777" w:rsidR="00780634" w:rsidRPr="00780634" w:rsidRDefault="00780634" w:rsidP="00780634">
            <w:pPr>
              <w:jc w:val="center"/>
              <w:rPr>
                <w:rFonts w:eastAsiaTheme="minorHAnsi"/>
                <w:kern w:val="2"/>
                <w:sz w:val="14"/>
                <w:szCs w:val="14"/>
                <w14:ligatures w14:val="standardContextual"/>
              </w:rPr>
            </w:pPr>
          </w:p>
        </w:tc>
        <w:tc>
          <w:tcPr>
            <w:tcW w:w="567" w:type="dxa"/>
            <w:tcMar>
              <w:left w:w="28" w:type="dxa"/>
              <w:right w:w="28" w:type="dxa"/>
            </w:tcMar>
          </w:tcPr>
          <w:p w14:paraId="35247C45" w14:textId="77777777" w:rsidR="00780634" w:rsidRPr="00780634" w:rsidRDefault="00780634" w:rsidP="00780634">
            <w:pPr>
              <w:jc w:val="center"/>
              <w:rPr>
                <w:rFonts w:eastAsiaTheme="minorHAnsi"/>
                <w:kern w:val="2"/>
                <w:sz w:val="14"/>
                <w:szCs w:val="14"/>
                <w14:ligatures w14:val="standardContextual"/>
              </w:rPr>
            </w:pPr>
          </w:p>
        </w:tc>
        <w:tc>
          <w:tcPr>
            <w:tcW w:w="426" w:type="dxa"/>
            <w:tcMar>
              <w:left w:w="28" w:type="dxa"/>
              <w:right w:w="28" w:type="dxa"/>
            </w:tcMar>
          </w:tcPr>
          <w:p w14:paraId="53C02B99" w14:textId="77777777" w:rsidR="00780634" w:rsidRPr="00780634" w:rsidRDefault="00780634" w:rsidP="00780634">
            <w:pPr>
              <w:jc w:val="center"/>
              <w:rPr>
                <w:rFonts w:eastAsiaTheme="minorHAnsi"/>
                <w:kern w:val="2"/>
                <w:sz w:val="14"/>
                <w:szCs w:val="14"/>
                <w14:ligatures w14:val="standardContextual"/>
              </w:rPr>
            </w:pPr>
          </w:p>
        </w:tc>
        <w:tc>
          <w:tcPr>
            <w:tcW w:w="939" w:type="dxa"/>
            <w:gridSpan w:val="2"/>
            <w:tcMar>
              <w:left w:w="28" w:type="dxa"/>
              <w:right w:w="28" w:type="dxa"/>
            </w:tcMar>
          </w:tcPr>
          <w:p w14:paraId="0E555FD5" w14:textId="77777777" w:rsidR="00780634" w:rsidRPr="00780634" w:rsidRDefault="00780634" w:rsidP="00780634">
            <w:pPr>
              <w:jc w:val="center"/>
              <w:rPr>
                <w:rFonts w:eastAsiaTheme="minorHAnsi"/>
                <w:kern w:val="2"/>
                <w:sz w:val="14"/>
                <w:szCs w:val="14"/>
                <w14:ligatures w14:val="standardContextual"/>
              </w:rPr>
            </w:pPr>
          </w:p>
        </w:tc>
      </w:tr>
      <w:tr w:rsidR="00780634" w:rsidRPr="00780634" w14:paraId="2D9F8644" w14:textId="77777777" w:rsidTr="00B2471A">
        <w:tc>
          <w:tcPr>
            <w:tcW w:w="2830" w:type="dxa"/>
            <w:gridSpan w:val="2"/>
            <w:tcMar>
              <w:left w:w="28" w:type="dxa"/>
              <w:right w:w="28" w:type="dxa"/>
            </w:tcMar>
          </w:tcPr>
          <w:p w14:paraId="41DF4D4B"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 xml:space="preserve">1. </w:t>
            </w:r>
            <m:oMath>
              <m:r>
                <m:rPr>
                  <m:sty m:val="p"/>
                </m:rPr>
                <w:rPr>
                  <w:rFonts w:ascii="Cambria Math" w:eastAsiaTheme="minorHAnsi" w:hAnsi="Cambria Math"/>
                  <w:kern w:val="2"/>
                  <w:sz w:val="14"/>
                  <w:szCs w:val="14"/>
                  <w14:ligatures w14:val="standardContextual"/>
                </w:rPr>
                <m:t xml:space="preserve">M+ </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OH</m:t>
                  </m:r>
                </m:e>
                <m:sup>
                  <m:r>
                    <m:rPr>
                      <m:sty m:val="p"/>
                    </m:rPr>
                    <w:rPr>
                      <w:rFonts w:ascii="Cambria Math" w:eastAsiaTheme="minorHAnsi" w:hAnsi="Cambria Math"/>
                      <w:kern w:val="2"/>
                      <w:sz w:val="14"/>
                      <w:szCs w:val="14"/>
                      <w14:ligatures w14:val="standardContextual"/>
                    </w:rPr>
                    <m:t>-</m:t>
                  </m:r>
                </m:sup>
              </m:sSup>
              <m:r>
                <m:rPr>
                  <m:sty m:val="p"/>
                </m:rPr>
                <w:rPr>
                  <w:rFonts w:ascii="Cambria Math" w:eastAsiaTheme="minorHAnsi" w:hAnsi="Cambria Math"/>
                  <w:kern w:val="2"/>
                  <w:sz w:val="14"/>
                  <w:szCs w:val="14"/>
                  <w14:ligatures w14:val="standardContextual"/>
                </w:rPr>
                <m:t xml:space="preserve"> →MOH+ </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e</m:t>
                  </m:r>
                </m:e>
                <m:sup>
                  <m:r>
                    <m:rPr>
                      <m:sty m:val="p"/>
                    </m:rPr>
                    <w:rPr>
                      <w:rFonts w:ascii="Cambria Math" w:eastAsiaTheme="minorHAnsi" w:hAnsi="Cambria Math"/>
                      <w:kern w:val="2"/>
                      <w:sz w:val="14"/>
                      <w:szCs w:val="14"/>
                      <w14:ligatures w14:val="standardContextual"/>
                    </w:rPr>
                    <m:t>-</m:t>
                  </m:r>
                </m:sup>
              </m:sSup>
            </m:oMath>
          </w:p>
        </w:tc>
        <w:tc>
          <w:tcPr>
            <w:tcW w:w="426" w:type="dxa"/>
            <w:tcMar>
              <w:left w:w="28" w:type="dxa"/>
              <w:right w:w="28" w:type="dxa"/>
            </w:tcMar>
          </w:tcPr>
          <w:p w14:paraId="2EA509F1"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2</w:t>
            </w:r>
          </w:p>
        </w:tc>
        <w:tc>
          <w:tcPr>
            <w:tcW w:w="708" w:type="dxa"/>
            <w:tcMar>
              <w:left w:w="28" w:type="dxa"/>
              <w:right w:w="28" w:type="dxa"/>
            </w:tcMar>
          </w:tcPr>
          <w:p w14:paraId="0C7B3846"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709" w:type="dxa"/>
            <w:tcMar>
              <w:left w:w="28" w:type="dxa"/>
              <w:right w:w="28" w:type="dxa"/>
            </w:tcMar>
          </w:tcPr>
          <w:p w14:paraId="6E2A811C"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6FA80B67"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572" w:type="dxa"/>
            <w:gridSpan w:val="2"/>
            <w:tcMar>
              <w:left w:w="28" w:type="dxa"/>
              <w:right w:w="28" w:type="dxa"/>
            </w:tcMar>
          </w:tcPr>
          <w:p w14:paraId="1CCA4E67" w14:textId="77777777" w:rsidR="00780634" w:rsidRPr="00780634" w:rsidRDefault="00780634" w:rsidP="00780634">
            <w:pPr>
              <w:jc w:val="center"/>
              <w:rPr>
                <w:rFonts w:eastAsiaTheme="minorHAnsi"/>
                <w:kern w:val="2"/>
                <w:sz w:val="14"/>
                <w:szCs w:val="14"/>
                <w14:ligatures w14:val="standardContextual"/>
              </w:rPr>
            </w:pPr>
          </w:p>
        </w:tc>
        <w:tc>
          <w:tcPr>
            <w:tcW w:w="845" w:type="dxa"/>
            <w:gridSpan w:val="2"/>
            <w:tcMar>
              <w:left w:w="28" w:type="dxa"/>
              <w:right w:w="28" w:type="dxa"/>
            </w:tcMar>
          </w:tcPr>
          <w:p w14:paraId="182E931F" w14:textId="77777777" w:rsidR="00780634" w:rsidRPr="00780634" w:rsidRDefault="00780634" w:rsidP="00780634">
            <w:pPr>
              <w:jc w:val="center"/>
              <w:rPr>
                <w:rFonts w:eastAsiaTheme="minorHAnsi"/>
                <w:kern w:val="2"/>
                <w:sz w:val="14"/>
                <w:szCs w:val="14"/>
                <w14:ligatures w14:val="standardContextual"/>
              </w:rPr>
            </w:pPr>
          </w:p>
        </w:tc>
        <w:tc>
          <w:tcPr>
            <w:tcW w:w="567" w:type="dxa"/>
            <w:tcMar>
              <w:left w:w="28" w:type="dxa"/>
              <w:right w:w="28" w:type="dxa"/>
            </w:tcMar>
          </w:tcPr>
          <w:p w14:paraId="4DCECD99" w14:textId="77777777" w:rsidR="00780634" w:rsidRPr="00780634" w:rsidRDefault="00780634" w:rsidP="00780634">
            <w:pPr>
              <w:jc w:val="center"/>
              <w:rPr>
                <w:rFonts w:eastAsiaTheme="minorHAnsi"/>
                <w:kern w:val="2"/>
                <w:sz w:val="14"/>
                <w:szCs w:val="14"/>
                <w14:ligatures w14:val="standardContextual"/>
              </w:rPr>
            </w:pPr>
          </w:p>
        </w:tc>
        <w:tc>
          <w:tcPr>
            <w:tcW w:w="567" w:type="dxa"/>
            <w:tcMar>
              <w:left w:w="28" w:type="dxa"/>
              <w:right w:w="28" w:type="dxa"/>
            </w:tcMar>
          </w:tcPr>
          <w:p w14:paraId="11B24F69" w14:textId="77777777" w:rsidR="00780634" w:rsidRPr="00780634" w:rsidRDefault="00780634" w:rsidP="00780634">
            <w:pPr>
              <w:jc w:val="center"/>
              <w:rPr>
                <w:rFonts w:eastAsiaTheme="minorHAnsi"/>
                <w:kern w:val="2"/>
                <w:sz w:val="14"/>
                <w:szCs w:val="14"/>
                <w14:ligatures w14:val="standardContextual"/>
              </w:rPr>
            </w:pPr>
          </w:p>
        </w:tc>
        <w:tc>
          <w:tcPr>
            <w:tcW w:w="426" w:type="dxa"/>
            <w:tcMar>
              <w:left w:w="28" w:type="dxa"/>
              <w:right w:w="28" w:type="dxa"/>
            </w:tcMar>
          </w:tcPr>
          <w:p w14:paraId="009D270C" w14:textId="77777777" w:rsidR="00780634" w:rsidRPr="00780634" w:rsidRDefault="00780634" w:rsidP="00780634">
            <w:pPr>
              <w:jc w:val="center"/>
              <w:rPr>
                <w:rFonts w:eastAsiaTheme="minorHAnsi"/>
                <w:kern w:val="2"/>
                <w:sz w:val="14"/>
                <w:szCs w:val="14"/>
                <w14:ligatures w14:val="standardContextual"/>
              </w:rPr>
            </w:pPr>
          </w:p>
        </w:tc>
        <w:tc>
          <w:tcPr>
            <w:tcW w:w="939" w:type="dxa"/>
            <w:gridSpan w:val="2"/>
            <w:tcMar>
              <w:left w:w="28" w:type="dxa"/>
              <w:right w:w="28" w:type="dxa"/>
            </w:tcMar>
          </w:tcPr>
          <w:p w14:paraId="27EF97CE" w14:textId="77777777" w:rsidR="00780634" w:rsidRPr="00780634" w:rsidRDefault="00780634" w:rsidP="00780634">
            <w:pPr>
              <w:jc w:val="center"/>
              <w:rPr>
                <w:rFonts w:eastAsiaTheme="minorHAnsi"/>
                <w:kern w:val="2"/>
                <w:sz w:val="14"/>
                <w:szCs w:val="14"/>
                <w14:ligatures w14:val="standardContextual"/>
              </w:rPr>
            </w:pPr>
          </w:p>
        </w:tc>
      </w:tr>
      <w:tr w:rsidR="00F47166" w:rsidRPr="00780634" w14:paraId="2EF964A8" w14:textId="77777777" w:rsidTr="00440967">
        <w:tc>
          <w:tcPr>
            <w:tcW w:w="2830" w:type="dxa"/>
            <w:gridSpan w:val="2"/>
            <w:tcMar>
              <w:left w:w="28" w:type="dxa"/>
              <w:right w:w="28" w:type="dxa"/>
            </w:tcMar>
          </w:tcPr>
          <w:p w14:paraId="5BEEA82B" w14:textId="77777777" w:rsidR="00F47166" w:rsidRPr="00780634" w:rsidRDefault="00F47166"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 xml:space="preserve">2. </w:t>
            </w:r>
            <m:oMath>
              <m:r>
                <m:rPr>
                  <m:sty m:val="p"/>
                </m:rPr>
                <w:rPr>
                  <w:rFonts w:ascii="Cambria Math" w:eastAsiaTheme="minorHAnsi" w:hAnsi="Cambria Math"/>
                  <w:kern w:val="2"/>
                  <w:sz w:val="14"/>
                  <w:szCs w:val="14"/>
                  <w14:ligatures w14:val="standardContextual"/>
                </w:rPr>
                <m:t xml:space="preserve">MOH + </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OH</m:t>
                  </m:r>
                </m:e>
                <m:sup>
                  <m:r>
                    <m:rPr>
                      <m:sty m:val="p"/>
                    </m:rPr>
                    <w:rPr>
                      <w:rFonts w:ascii="Cambria Math" w:eastAsiaTheme="minorHAnsi" w:hAnsi="Cambria Math"/>
                      <w:kern w:val="2"/>
                      <w:sz w:val="14"/>
                      <w:szCs w:val="14"/>
                      <w14:ligatures w14:val="standardContextual"/>
                    </w:rPr>
                    <m:t>-</m:t>
                  </m:r>
                </m:sup>
              </m:sSup>
              <m:r>
                <m:rPr>
                  <m:sty m:val="p"/>
                </m:rPr>
                <w:rPr>
                  <w:rFonts w:ascii="Cambria Math" w:eastAsiaTheme="minorHAnsi" w:hAnsi="Cambria Math"/>
                  <w:kern w:val="2"/>
                  <w:sz w:val="14"/>
                  <w:szCs w:val="14"/>
                  <w14:ligatures w14:val="standardContextual"/>
                </w:rPr>
                <m:t xml:space="preserve"> →M</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O</m:t>
                  </m:r>
                </m:e>
                <m:sup>
                  <m:r>
                    <w:rPr>
                      <w:rFonts w:ascii="Cambria Math" w:eastAsiaTheme="minorHAnsi" w:hAnsi="Cambria Math"/>
                      <w:kern w:val="2"/>
                      <w:sz w:val="14"/>
                      <w:szCs w:val="14"/>
                      <w14:ligatures w14:val="standardContextual"/>
                    </w:rPr>
                    <m:t>-</m:t>
                  </m:r>
                </m:sup>
              </m:sSup>
              <m:r>
                <m:rPr>
                  <m:sty m:val="p"/>
                </m:rPr>
                <w:rPr>
                  <w:rFonts w:ascii="Cambria Math" w:eastAsiaTheme="minorHAnsi" w:hAnsi="Cambria Math"/>
                  <w:kern w:val="2"/>
                  <w:sz w:val="14"/>
                  <w:szCs w:val="14"/>
                  <w14:ligatures w14:val="standardContextual"/>
                </w:rPr>
                <m:t xml:space="preserve">+ </m:t>
              </m:r>
              <m:sSub>
                <m:sSubPr>
                  <m:ctrlPr>
                    <w:rPr>
                      <w:rFonts w:ascii="Cambria Math" w:eastAsiaTheme="minorHAnsi" w:hAnsi="Cambria Math"/>
                      <w:kern w:val="2"/>
                      <w:sz w:val="14"/>
                      <w:szCs w:val="14"/>
                      <w14:ligatures w14:val="standardContextual"/>
                    </w:rPr>
                  </m:ctrlPr>
                </m:sSubPr>
                <m:e>
                  <m:r>
                    <m:rPr>
                      <m:sty m:val="p"/>
                    </m:rPr>
                    <w:rPr>
                      <w:rFonts w:ascii="Cambria Math" w:eastAsiaTheme="minorHAnsi" w:hAnsi="Cambria Math"/>
                      <w:kern w:val="2"/>
                      <w:sz w:val="14"/>
                      <w:szCs w:val="14"/>
                      <w14:ligatures w14:val="standardContextual"/>
                    </w:rPr>
                    <m:t>H</m:t>
                  </m:r>
                </m:e>
                <m:sub>
                  <m:r>
                    <m:rPr>
                      <m:sty m:val="p"/>
                    </m:rPr>
                    <w:rPr>
                      <w:rFonts w:ascii="Cambria Math" w:eastAsiaTheme="minorHAnsi" w:hAnsi="Cambria Math"/>
                      <w:kern w:val="2"/>
                      <w:sz w:val="14"/>
                      <w:szCs w:val="14"/>
                      <w14:ligatures w14:val="standardContextual"/>
                    </w:rPr>
                    <m:t>2</m:t>
                  </m:r>
                </m:sub>
              </m:sSub>
              <m:r>
                <m:rPr>
                  <m:sty m:val="p"/>
                </m:rPr>
                <w:rPr>
                  <w:rFonts w:ascii="Cambria Math" w:eastAsiaTheme="minorHAnsi" w:hAnsi="Cambria Math"/>
                  <w:kern w:val="2"/>
                  <w:sz w:val="14"/>
                  <w:szCs w:val="14"/>
                  <w14:ligatures w14:val="standardContextual"/>
                </w:rPr>
                <m:t>O</m:t>
              </m:r>
            </m:oMath>
          </w:p>
        </w:tc>
        <w:tc>
          <w:tcPr>
            <w:tcW w:w="426" w:type="dxa"/>
            <w:tcMar>
              <w:left w:w="28" w:type="dxa"/>
              <w:right w:w="28" w:type="dxa"/>
            </w:tcMar>
          </w:tcPr>
          <w:p w14:paraId="6DB66A6C" w14:textId="77777777" w:rsidR="00F47166" w:rsidRPr="00780634" w:rsidRDefault="00F47166"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2</w:t>
            </w:r>
          </w:p>
        </w:tc>
        <w:tc>
          <w:tcPr>
            <w:tcW w:w="708" w:type="dxa"/>
            <w:tcMar>
              <w:left w:w="28" w:type="dxa"/>
              <w:right w:w="28" w:type="dxa"/>
            </w:tcMar>
          </w:tcPr>
          <w:p w14:paraId="0A1DAFF1"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709" w:type="dxa"/>
            <w:tcMar>
              <w:left w:w="28" w:type="dxa"/>
              <w:right w:w="28" w:type="dxa"/>
            </w:tcMar>
          </w:tcPr>
          <w:p w14:paraId="2FF36A06" w14:textId="77777777" w:rsidR="00F47166" w:rsidRPr="00780634" w:rsidRDefault="00F47166" w:rsidP="00780634">
            <w:pPr>
              <w:jc w:val="center"/>
              <w:rPr>
                <w:rFonts w:eastAsiaTheme="minorHAnsi"/>
                <w:kern w:val="2"/>
                <w:sz w:val="14"/>
                <w:szCs w:val="14"/>
                <w14:ligatures w14:val="standardContextual"/>
              </w:rPr>
            </w:pPr>
            <m:oMathPara>
              <m:oMath>
                <m:r>
                  <w:rPr>
                    <w:rFonts w:ascii="Cambria Math" w:eastAsiaTheme="minorHAnsi" w:hAnsi="Cambria Math"/>
                    <w:kern w:val="2"/>
                    <w:sz w:val="14"/>
                    <w:szCs w:val="14"/>
                    <w14:ligatures w14:val="standardContextual"/>
                  </w:rPr>
                  <m:t>∞</m:t>
                </m:r>
              </m:oMath>
            </m:oMathPara>
          </w:p>
        </w:tc>
        <w:tc>
          <w:tcPr>
            <w:tcW w:w="709" w:type="dxa"/>
            <w:tcMar>
              <w:left w:w="28" w:type="dxa"/>
              <w:right w:w="28" w:type="dxa"/>
            </w:tcMar>
          </w:tcPr>
          <w:p w14:paraId="283727DF"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p>
        </w:tc>
        <w:tc>
          <w:tcPr>
            <w:tcW w:w="572" w:type="dxa"/>
            <w:gridSpan w:val="2"/>
            <w:tcMar>
              <w:left w:w="28" w:type="dxa"/>
              <w:right w:w="28" w:type="dxa"/>
            </w:tcMar>
          </w:tcPr>
          <w:p w14:paraId="6701589F"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1412" w:type="dxa"/>
            <w:gridSpan w:val="3"/>
            <w:tcMar>
              <w:left w:w="28" w:type="dxa"/>
              <w:right w:w="28" w:type="dxa"/>
            </w:tcMar>
          </w:tcPr>
          <w:p w14:paraId="71EB16EE" w14:textId="2BA1497A" w:rsidR="00F47166" w:rsidRPr="00780634" w:rsidRDefault="00F47166" w:rsidP="00780634">
            <w:pPr>
              <w:jc w:val="center"/>
              <w:rPr>
                <w:rFonts w:eastAsiaTheme="minorHAnsi"/>
                <w:kern w:val="2"/>
                <w:sz w:val="14"/>
                <w:szCs w:val="14"/>
                <w14:ligatures w14:val="standardContextual"/>
              </w:rPr>
            </w:pPr>
            <m:oMathPara>
              <m:oMath>
                <m:r>
                  <w:rPr>
                    <w:rFonts w:ascii="Cambria Math" w:eastAsiaTheme="minorHAnsi" w:hAnsi="Cambria Math"/>
                    <w:kern w:val="2"/>
                    <w:sz w:val="14"/>
                    <w:szCs w:val="14"/>
                    <w14:ligatures w14:val="standardContextual"/>
                  </w:rPr>
                  <m:t>∞</m:t>
                </m:r>
              </m:oMath>
            </m:oMathPara>
          </w:p>
        </w:tc>
        <w:tc>
          <w:tcPr>
            <w:tcW w:w="993" w:type="dxa"/>
            <w:gridSpan w:val="2"/>
            <w:tcMar>
              <w:left w:w="28" w:type="dxa"/>
              <w:right w:w="28" w:type="dxa"/>
            </w:tcMar>
          </w:tcPr>
          <w:p w14:paraId="1DFC894A" w14:textId="5E83A400"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939" w:type="dxa"/>
            <w:gridSpan w:val="2"/>
            <w:tcMar>
              <w:left w:w="28" w:type="dxa"/>
              <w:right w:w="28" w:type="dxa"/>
            </w:tcMar>
          </w:tcPr>
          <w:p w14:paraId="7C2B94D3" w14:textId="77777777" w:rsidR="00F47166"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r</m:t>
                    </m:r>
                  </m:e>
                  <m:sub>
                    <m:r>
                      <w:rPr>
                        <w:rFonts w:ascii="Cambria Math" w:eastAsiaTheme="minorHAnsi" w:hAnsi="Cambria Math"/>
                        <w:kern w:val="2"/>
                        <w:sz w:val="14"/>
                        <w:szCs w:val="14"/>
                        <w14:ligatures w14:val="standardContextual"/>
                      </w:rPr>
                      <m:t>OH</m:t>
                    </m:r>
                  </m:sub>
                </m:sSub>
                <m:r>
                  <w:rPr>
                    <w:rFonts w:ascii="Cambria Math" w:eastAsiaTheme="minorHAnsi" w:hAnsi="Cambria Math"/>
                    <w:kern w:val="2"/>
                    <w:sz w:val="14"/>
                    <w:szCs w:val="14"/>
                    <w14:ligatures w14:val="standardContextual"/>
                  </w:rPr>
                  <m:t xml:space="preserve"> ~ </m:t>
                </m:r>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r</m:t>
                    </m:r>
                  </m:e>
                  <m:sub>
                    <m:sSup>
                      <m:sSupPr>
                        <m:ctrlPr>
                          <w:rPr>
                            <w:rFonts w:ascii="Cambria Math" w:eastAsiaTheme="minorHAnsi" w:hAnsi="Cambria Math"/>
                            <w:i/>
                            <w:kern w:val="2"/>
                            <w:sz w:val="14"/>
                            <w:szCs w:val="14"/>
                            <w14:ligatures w14:val="standardContextual"/>
                          </w:rPr>
                        </m:ctrlPr>
                      </m:sSupPr>
                      <m:e>
                        <m:r>
                          <w:rPr>
                            <w:rFonts w:ascii="Cambria Math" w:eastAsiaTheme="minorHAnsi" w:hAnsi="Cambria Math"/>
                            <w:kern w:val="2"/>
                            <w:sz w:val="14"/>
                            <w:szCs w:val="14"/>
                            <w14:ligatures w14:val="standardContextual"/>
                          </w:rPr>
                          <m:t>O</m:t>
                        </m:r>
                      </m:e>
                      <m:sup>
                        <m:r>
                          <w:rPr>
                            <w:rFonts w:ascii="Cambria Math" w:eastAsiaTheme="minorHAnsi" w:hAnsi="Cambria Math"/>
                            <w:kern w:val="2"/>
                            <w:sz w:val="14"/>
                            <w:szCs w:val="14"/>
                            <w14:ligatures w14:val="standardContextual"/>
                          </w:rPr>
                          <m:t>-</m:t>
                        </m:r>
                      </m:sup>
                    </m:sSup>
                  </m:sub>
                </m:sSub>
              </m:oMath>
            </m:oMathPara>
          </w:p>
        </w:tc>
      </w:tr>
      <w:tr w:rsidR="00F47166" w:rsidRPr="00780634" w14:paraId="2B1E1441" w14:textId="77777777" w:rsidTr="00603CE6">
        <w:tc>
          <w:tcPr>
            <w:tcW w:w="2830" w:type="dxa"/>
            <w:gridSpan w:val="2"/>
            <w:tcMar>
              <w:left w:w="28" w:type="dxa"/>
              <w:right w:w="28" w:type="dxa"/>
            </w:tcMar>
          </w:tcPr>
          <w:p w14:paraId="30973A34" w14:textId="77777777" w:rsidR="00F47166" w:rsidRPr="00780634" w:rsidRDefault="00F47166" w:rsidP="00780634">
            <w:pPr>
              <w:rPr>
                <w:rFonts w:eastAsiaTheme="minorHAnsi"/>
                <w:kern w:val="2"/>
                <w:sz w:val="14"/>
                <w:szCs w:val="14"/>
                <w14:ligatures w14:val="standardContextual"/>
              </w:rPr>
            </w:pPr>
          </w:p>
        </w:tc>
        <w:tc>
          <w:tcPr>
            <w:tcW w:w="426" w:type="dxa"/>
            <w:tcMar>
              <w:left w:w="28" w:type="dxa"/>
              <w:right w:w="28" w:type="dxa"/>
            </w:tcMar>
          </w:tcPr>
          <w:p w14:paraId="34A0A712" w14:textId="77777777" w:rsidR="00F47166" w:rsidRPr="00780634" w:rsidRDefault="00F47166" w:rsidP="00780634">
            <w:pPr>
              <w:rPr>
                <w:rFonts w:eastAsiaTheme="minorHAnsi"/>
                <w:kern w:val="2"/>
                <w:sz w:val="14"/>
                <w:szCs w:val="14"/>
                <w14:ligatures w14:val="standardContextual"/>
              </w:rPr>
            </w:pPr>
          </w:p>
        </w:tc>
        <w:tc>
          <w:tcPr>
            <w:tcW w:w="708" w:type="dxa"/>
            <w:tcMar>
              <w:left w:w="28" w:type="dxa"/>
              <w:right w:w="28" w:type="dxa"/>
            </w:tcMar>
          </w:tcPr>
          <w:p w14:paraId="123630A3" w14:textId="77777777" w:rsidR="00F47166" w:rsidRPr="00780634" w:rsidRDefault="00F47166" w:rsidP="00780634">
            <w:pPr>
              <w:jc w:val="center"/>
              <w:rPr>
                <w:rFonts w:eastAsiaTheme="minorHAnsi"/>
                <w:kern w:val="2"/>
                <w:sz w:val="14"/>
                <w:szCs w:val="14"/>
                <w14:ligatures w14:val="standardContextual"/>
              </w:rPr>
            </w:pPr>
          </w:p>
        </w:tc>
        <w:tc>
          <w:tcPr>
            <w:tcW w:w="709" w:type="dxa"/>
            <w:tcMar>
              <w:left w:w="28" w:type="dxa"/>
              <w:right w:w="28" w:type="dxa"/>
            </w:tcMar>
          </w:tcPr>
          <w:p w14:paraId="43F4A18D" w14:textId="77777777" w:rsidR="00F47166" w:rsidRPr="00780634" w:rsidRDefault="00F47166" w:rsidP="00780634">
            <w:pPr>
              <w:jc w:val="center"/>
              <w:rPr>
                <w:rFonts w:eastAsiaTheme="minorHAnsi"/>
                <w:kern w:val="2"/>
                <w:sz w:val="14"/>
                <w:szCs w:val="14"/>
                <w14:ligatures w14:val="standardContextual"/>
              </w:rPr>
            </w:pPr>
          </w:p>
        </w:tc>
        <w:tc>
          <w:tcPr>
            <w:tcW w:w="709" w:type="dxa"/>
            <w:tcMar>
              <w:left w:w="28" w:type="dxa"/>
              <w:right w:w="28" w:type="dxa"/>
            </w:tcMar>
          </w:tcPr>
          <w:p w14:paraId="1AE66AE0" w14:textId="77777777" w:rsidR="00F47166" w:rsidRPr="00780634" w:rsidRDefault="00F47166" w:rsidP="00780634">
            <w:pPr>
              <w:jc w:val="center"/>
              <w:rPr>
                <w:rFonts w:eastAsiaTheme="minorHAnsi"/>
                <w:kern w:val="2"/>
                <w:sz w:val="14"/>
                <w:szCs w:val="14"/>
                <w14:ligatures w14:val="standardContextual"/>
              </w:rPr>
            </w:pPr>
          </w:p>
        </w:tc>
        <w:tc>
          <w:tcPr>
            <w:tcW w:w="572" w:type="dxa"/>
            <w:gridSpan w:val="2"/>
            <w:tcMar>
              <w:left w:w="28" w:type="dxa"/>
              <w:right w:w="28" w:type="dxa"/>
            </w:tcMar>
          </w:tcPr>
          <w:p w14:paraId="149EE640" w14:textId="77777777" w:rsidR="00F47166" w:rsidRPr="00780634" w:rsidRDefault="00F47166" w:rsidP="00780634">
            <w:pPr>
              <w:jc w:val="center"/>
              <w:rPr>
                <w:rFonts w:eastAsiaTheme="minorHAnsi"/>
                <w:kern w:val="2"/>
                <w:sz w:val="14"/>
                <w:szCs w:val="14"/>
                <w14:ligatures w14:val="standardContextual"/>
              </w:rPr>
            </w:pPr>
          </w:p>
        </w:tc>
        <w:tc>
          <w:tcPr>
            <w:tcW w:w="1412" w:type="dxa"/>
            <w:gridSpan w:val="3"/>
            <w:tcMar>
              <w:left w:w="28" w:type="dxa"/>
              <w:right w:w="28" w:type="dxa"/>
            </w:tcMar>
          </w:tcPr>
          <w:p w14:paraId="5B32F039" w14:textId="7198C032"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993" w:type="dxa"/>
            <w:gridSpan w:val="2"/>
            <w:tcMar>
              <w:left w:w="28" w:type="dxa"/>
              <w:right w:w="28" w:type="dxa"/>
            </w:tcMar>
          </w:tcPr>
          <w:p w14:paraId="6976DC48" w14:textId="49D98554" w:rsidR="00F47166" w:rsidRPr="00780634" w:rsidRDefault="00F47166" w:rsidP="00780634">
            <w:pPr>
              <w:jc w:val="center"/>
              <w:rPr>
                <w:rFonts w:eastAsiaTheme="minorHAnsi"/>
                <w:kern w:val="2"/>
                <w:sz w:val="14"/>
                <w:szCs w:val="14"/>
                <w14:ligatures w14:val="standardContextual"/>
              </w:rPr>
            </w:pPr>
            <w:r>
              <w:rPr>
                <w:rFonts w:eastAsiaTheme="minorHAnsi"/>
                <w:kern w:val="2"/>
                <w:sz w:val="14"/>
                <w:szCs w:val="14"/>
                <w14:ligatures w14:val="standardContextual"/>
              </w:rPr>
              <w:t>1</w:t>
            </w:r>
            <w:r w:rsidRPr="00780634">
              <w:rPr>
                <w:rFonts w:eastAsiaTheme="minorHAnsi"/>
                <w:kern w:val="2"/>
                <w:sz w:val="14"/>
                <w:szCs w:val="14"/>
                <w14:ligatures w14:val="standardContextual"/>
              </w:rPr>
              <w:t>.5</w:t>
            </w:r>
          </w:p>
        </w:tc>
        <w:tc>
          <w:tcPr>
            <w:tcW w:w="939" w:type="dxa"/>
            <w:gridSpan w:val="2"/>
            <w:tcMar>
              <w:left w:w="28" w:type="dxa"/>
              <w:right w:w="28" w:type="dxa"/>
            </w:tcMar>
          </w:tcPr>
          <w:p w14:paraId="0FEDA6A0" w14:textId="77777777" w:rsidR="00F47166"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r</m:t>
                    </m:r>
                  </m:e>
                  <m:sub>
                    <m:r>
                      <w:rPr>
                        <w:rFonts w:ascii="Cambria Math" w:eastAsiaTheme="minorHAnsi" w:hAnsi="Cambria Math"/>
                        <w:kern w:val="2"/>
                        <w:sz w:val="14"/>
                        <w:szCs w:val="14"/>
                        <w14:ligatures w14:val="standardContextual"/>
                      </w:rPr>
                      <m:t>OH</m:t>
                    </m:r>
                  </m:sub>
                </m:sSub>
                <m:r>
                  <w:rPr>
                    <w:rFonts w:ascii="Cambria Math" w:eastAsiaTheme="minorHAnsi" w:hAnsi="Cambria Math"/>
                    <w:kern w:val="2"/>
                    <w:sz w:val="14"/>
                    <w:szCs w:val="14"/>
                    <w14:ligatures w14:val="standardContextual"/>
                  </w:rPr>
                  <m:t xml:space="preserve">≫ </m:t>
                </m:r>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r</m:t>
                    </m:r>
                  </m:e>
                  <m:sub>
                    <m:sSup>
                      <m:sSupPr>
                        <m:ctrlPr>
                          <w:rPr>
                            <w:rFonts w:ascii="Cambria Math" w:eastAsiaTheme="minorHAnsi" w:hAnsi="Cambria Math"/>
                            <w:i/>
                            <w:kern w:val="2"/>
                            <w:sz w:val="14"/>
                            <w:szCs w:val="14"/>
                            <w14:ligatures w14:val="standardContextual"/>
                          </w:rPr>
                        </m:ctrlPr>
                      </m:sSupPr>
                      <m:e>
                        <m:r>
                          <w:rPr>
                            <w:rFonts w:ascii="Cambria Math" w:eastAsiaTheme="minorHAnsi" w:hAnsi="Cambria Math"/>
                            <w:kern w:val="2"/>
                            <w:sz w:val="14"/>
                            <w:szCs w:val="14"/>
                            <w14:ligatures w14:val="standardContextual"/>
                          </w:rPr>
                          <m:t>O</m:t>
                        </m:r>
                      </m:e>
                      <m:sup>
                        <m:r>
                          <w:rPr>
                            <w:rFonts w:ascii="Cambria Math" w:eastAsiaTheme="minorHAnsi" w:hAnsi="Cambria Math"/>
                            <w:kern w:val="2"/>
                            <w:sz w:val="14"/>
                            <w:szCs w:val="14"/>
                            <w14:ligatures w14:val="standardContextual"/>
                          </w:rPr>
                          <m:t>-</m:t>
                        </m:r>
                      </m:sup>
                    </m:sSup>
                  </m:sub>
                </m:sSub>
              </m:oMath>
            </m:oMathPara>
          </w:p>
        </w:tc>
      </w:tr>
      <w:tr w:rsidR="00F47166" w:rsidRPr="00780634" w14:paraId="44503583" w14:textId="77777777" w:rsidTr="00650BE1">
        <w:tc>
          <w:tcPr>
            <w:tcW w:w="2830" w:type="dxa"/>
            <w:gridSpan w:val="2"/>
            <w:tcMar>
              <w:left w:w="28" w:type="dxa"/>
              <w:right w:w="28" w:type="dxa"/>
            </w:tcMar>
          </w:tcPr>
          <w:p w14:paraId="3BFBCA12" w14:textId="77777777" w:rsidR="00F47166" w:rsidRPr="00780634" w:rsidRDefault="00F47166"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 xml:space="preserve">3. </w:t>
            </w:r>
            <m:oMath>
              <m:r>
                <m:rPr>
                  <m:sty m:val="p"/>
                </m:rPr>
                <w:rPr>
                  <w:rFonts w:ascii="Cambria Math" w:eastAsiaTheme="minorHAnsi" w:hAnsi="Cambria Math"/>
                  <w:kern w:val="2"/>
                  <w:sz w:val="14"/>
                  <w:szCs w:val="14"/>
                  <w14:ligatures w14:val="standardContextual"/>
                </w:rPr>
                <m:t>M</m:t>
              </m:r>
              <m:sSup>
                <m:sSupPr>
                  <m:ctrlPr>
                    <w:rPr>
                      <w:rFonts w:ascii="Cambria Math" w:eastAsiaTheme="minorHAnsi" w:hAnsi="Cambria Math"/>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O</m:t>
                  </m:r>
                </m:e>
                <m:sup>
                  <m:r>
                    <w:rPr>
                      <w:rFonts w:ascii="Cambria Math" w:eastAsiaTheme="minorHAnsi" w:hAnsi="Cambria Math"/>
                      <w:kern w:val="2"/>
                      <w:sz w:val="14"/>
                      <w:szCs w:val="14"/>
                      <w14:ligatures w14:val="standardContextual"/>
                    </w:rPr>
                    <m:t>-</m:t>
                  </m:r>
                </m:sup>
              </m:sSup>
              <m:r>
                <m:rPr>
                  <m:sty m:val="p"/>
                </m:rPr>
                <w:rPr>
                  <w:rFonts w:ascii="Cambria Math" w:eastAsiaTheme="minorHAnsi" w:hAnsi="Cambria Math"/>
                  <w:kern w:val="2"/>
                  <w:sz w:val="14"/>
                  <w:szCs w:val="14"/>
                  <w14:ligatures w14:val="standardContextual"/>
                </w:rPr>
                <m:t xml:space="preserve"> →MO+ </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e</m:t>
                  </m:r>
                </m:e>
                <m:sup>
                  <m:r>
                    <m:rPr>
                      <m:sty m:val="p"/>
                    </m:rPr>
                    <w:rPr>
                      <w:rFonts w:ascii="Cambria Math" w:eastAsiaTheme="minorHAnsi" w:hAnsi="Cambria Math"/>
                      <w:kern w:val="2"/>
                      <w:sz w:val="14"/>
                      <w:szCs w:val="14"/>
                      <w14:ligatures w14:val="standardContextual"/>
                    </w:rPr>
                    <m:t>-</m:t>
                  </m:r>
                </m:sup>
              </m:sSup>
            </m:oMath>
          </w:p>
        </w:tc>
        <w:tc>
          <w:tcPr>
            <w:tcW w:w="426" w:type="dxa"/>
            <w:tcMar>
              <w:left w:w="28" w:type="dxa"/>
              <w:right w:w="28" w:type="dxa"/>
            </w:tcMar>
          </w:tcPr>
          <w:p w14:paraId="4583E0D1" w14:textId="77777777" w:rsidR="00F47166" w:rsidRPr="00780634" w:rsidRDefault="00F47166"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2</w:t>
            </w:r>
          </w:p>
        </w:tc>
        <w:tc>
          <w:tcPr>
            <w:tcW w:w="708" w:type="dxa"/>
            <w:tcMar>
              <w:left w:w="28" w:type="dxa"/>
              <w:right w:w="28" w:type="dxa"/>
            </w:tcMar>
          </w:tcPr>
          <w:p w14:paraId="6F548851"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/3</w:t>
            </w:r>
            <w:r w:rsidRPr="00780634">
              <w:rPr>
                <w:rFonts w:eastAsiaTheme="minorHAnsi"/>
                <w:i/>
                <w:iCs/>
                <w:kern w:val="2"/>
                <w:sz w:val="14"/>
                <w:szCs w:val="14"/>
                <w14:ligatures w14:val="standardContextual"/>
              </w:rPr>
              <w:t>F</w:t>
            </w:r>
          </w:p>
        </w:tc>
        <w:tc>
          <w:tcPr>
            <w:tcW w:w="709" w:type="dxa"/>
            <w:tcMar>
              <w:left w:w="28" w:type="dxa"/>
              <w:right w:w="28" w:type="dxa"/>
            </w:tcMar>
          </w:tcPr>
          <w:p w14:paraId="18FE75D4"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709" w:type="dxa"/>
            <w:tcMar>
              <w:left w:w="28" w:type="dxa"/>
              <w:right w:w="28" w:type="dxa"/>
            </w:tcMar>
          </w:tcPr>
          <w:p w14:paraId="74FAF6CB"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p>
        </w:tc>
        <w:tc>
          <w:tcPr>
            <w:tcW w:w="572" w:type="dxa"/>
            <w:gridSpan w:val="2"/>
            <w:tcMar>
              <w:left w:w="28" w:type="dxa"/>
              <w:right w:w="28" w:type="dxa"/>
            </w:tcMar>
          </w:tcPr>
          <w:p w14:paraId="5ADAAD1A"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0</w:t>
            </w:r>
          </w:p>
        </w:tc>
        <w:tc>
          <w:tcPr>
            <w:tcW w:w="1412" w:type="dxa"/>
            <w:gridSpan w:val="3"/>
            <w:tcMar>
              <w:left w:w="28" w:type="dxa"/>
              <w:right w:w="28" w:type="dxa"/>
            </w:tcMar>
          </w:tcPr>
          <w:p w14:paraId="461D43C3" w14:textId="68ECC1BE"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993" w:type="dxa"/>
            <w:gridSpan w:val="2"/>
            <w:tcMar>
              <w:left w:w="28" w:type="dxa"/>
              <w:right w:w="28" w:type="dxa"/>
            </w:tcMar>
          </w:tcPr>
          <w:p w14:paraId="5C300E05" w14:textId="67E97AF3"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0</w:t>
            </w:r>
          </w:p>
        </w:tc>
        <w:tc>
          <w:tcPr>
            <w:tcW w:w="939" w:type="dxa"/>
            <w:gridSpan w:val="2"/>
            <w:tcMar>
              <w:left w:w="28" w:type="dxa"/>
              <w:right w:w="28" w:type="dxa"/>
            </w:tcMar>
          </w:tcPr>
          <w:p w14:paraId="3A96BFFE" w14:textId="77777777" w:rsidR="00F47166"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K</m:t>
                    </m:r>
                  </m:e>
                  <m:sub>
                    <m:r>
                      <w:rPr>
                        <w:rFonts w:ascii="Cambria Math" w:eastAsiaTheme="minorHAnsi" w:hAnsi="Cambria Math"/>
                        <w:kern w:val="2"/>
                        <w:sz w:val="14"/>
                        <w:szCs w:val="14"/>
                        <w14:ligatures w14:val="standardContextual"/>
                      </w:rPr>
                      <m:t>2</m:t>
                    </m:r>
                  </m:sub>
                </m:sSub>
                <m:r>
                  <w:rPr>
                    <w:rFonts w:ascii="Cambria Math" w:eastAsiaTheme="minorHAnsi" w:hAnsi="Cambria Math"/>
                    <w:kern w:val="2"/>
                    <w:sz w:val="14"/>
                    <w:szCs w:val="14"/>
                    <w14:ligatures w14:val="standardContextual"/>
                  </w:rPr>
                  <m:t xml:space="preserve"> ~ 1</m:t>
                </m:r>
              </m:oMath>
            </m:oMathPara>
          </w:p>
        </w:tc>
      </w:tr>
      <w:tr w:rsidR="00F47166" w:rsidRPr="00780634" w14:paraId="12B8379C" w14:textId="77777777" w:rsidTr="00BA40F4">
        <w:tc>
          <w:tcPr>
            <w:tcW w:w="2830" w:type="dxa"/>
            <w:gridSpan w:val="2"/>
            <w:tcMar>
              <w:left w:w="28" w:type="dxa"/>
              <w:right w:w="28" w:type="dxa"/>
            </w:tcMar>
          </w:tcPr>
          <w:p w14:paraId="5421ABF2" w14:textId="77777777" w:rsidR="00F47166" w:rsidRPr="00780634" w:rsidRDefault="00F47166" w:rsidP="00780634">
            <w:pPr>
              <w:rPr>
                <w:rFonts w:eastAsiaTheme="minorHAnsi"/>
                <w:kern w:val="2"/>
                <w:sz w:val="14"/>
                <w:szCs w:val="14"/>
                <w14:ligatures w14:val="standardContextual"/>
              </w:rPr>
            </w:pPr>
          </w:p>
        </w:tc>
        <w:tc>
          <w:tcPr>
            <w:tcW w:w="426" w:type="dxa"/>
            <w:tcMar>
              <w:left w:w="28" w:type="dxa"/>
              <w:right w:w="28" w:type="dxa"/>
            </w:tcMar>
          </w:tcPr>
          <w:p w14:paraId="2ACE3616" w14:textId="77777777" w:rsidR="00F47166" w:rsidRPr="00780634" w:rsidRDefault="00F47166" w:rsidP="00780634">
            <w:pPr>
              <w:rPr>
                <w:rFonts w:eastAsiaTheme="minorHAnsi"/>
                <w:kern w:val="2"/>
                <w:sz w:val="14"/>
                <w:szCs w:val="14"/>
                <w14:ligatures w14:val="standardContextual"/>
              </w:rPr>
            </w:pPr>
          </w:p>
        </w:tc>
        <w:tc>
          <w:tcPr>
            <w:tcW w:w="708" w:type="dxa"/>
            <w:tcMar>
              <w:left w:w="28" w:type="dxa"/>
              <w:right w:w="28" w:type="dxa"/>
            </w:tcMar>
          </w:tcPr>
          <w:p w14:paraId="43FDB54C" w14:textId="77777777" w:rsidR="00F47166" w:rsidRPr="00780634" w:rsidRDefault="00F47166" w:rsidP="00780634">
            <w:pPr>
              <w:jc w:val="center"/>
              <w:rPr>
                <w:rFonts w:eastAsiaTheme="minorHAnsi"/>
                <w:kern w:val="2"/>
                <w:sz w:val="14"/>
                <w:szCs w:val="14"/>
                <w14:ligatures w14:val="standardContextual"/>
              </w:rPr>
            </w:pPr>
          </w:p>
        </w:tc>
        <w:tc>
          <w:tcPr>
            <w:tcW w:w="709" w:type="dxa"/>
            <w:tcMar>
              <w:left w:w="28" w:type="dxa"/>
              <w:right w:w="28" w:type="dxa"/>
            </w:tcMar>
          </w:tcPr>
          <w:p w14:paraId="7720ED23" w14:textId="77777777" w:rsidR="00F47166" w:rsidRPr="00780634" w:rsidRDefault="00F47166" w:rsidP="00780634">
            <w:pPr>
              <w:jc w:val="center"/>
              <w:rPr>
                <w:rFonts w:eastAsiaTheme="minorHAnsi"/>
                <w:kern w:val="2"/>
                <w:sz w:val="14"/>
                <w:szCs w:val="14"/>
                <w14:ligatures w14:val="standardContextual"/>
              </w:rPr>
            </w:pPr>
          </w:p>
        </w:tc>
        <w:tc>
          <w:tcPr>
            <w:tcW w:w="709" w:type="dxa"/>
            <w:tcMar>
              <w:left w:w="28" w:type="dxa"/>
              <w:right w:w="28" w:type="dxa"/>
            </w:tcMar>
          </w:tcPr>
          <w:p w14:paraId="45365153" w14:textId="77777777" w:rsidR="00F47166" w:rsidRPr="00780634" w:rsidRDefault="00F47166" w:rsidP="00780634">
            <w:pPr>
              <w:jc w:val="center"/>
              <w:rPr>
                <w:rFonts w:eastAsiaTheme="minorHAnsi"/>
                <w:kern w:val="2"/>
                <w:sz w:val="14"/>
                <w:szCs w:val="14"/>
                <w14:ligatures w14:val="standardContextual"/>
              </w:rPr>
            </w:pPr>
          </w:p>
        </w:tc>
        <w:tc>
          <w:tcPr>
            <w:tcW w:w="572" w:type="dxa"/>
            <w:gridSpan w:val="2"/>
            <w:tcMar>
              <w:left w:w="28" w:type="dxa"/>
              <w:right w:w="28" w:type="dxa"/>
            </w:tcMar>
          </w:tcPr>
          <w:p w14:paraId="4FDAAF7F" w14:textId="77777777" w:rsidR="00F47166" w:rsidRPr="00780634" w:rsidRDefault="00F47166" w:rsidP="00780634">
            <w:pPr>
              <w:jc w:val="center"/>
              <w:rPr>
                <w:rFonts w:eastAsiaTheme="minorHAnsi"/>
                <w:kern w:val="2"/>
                <w:sz w:val="14"/>
                <w:szCs w:val="14"/>
                <w14:ligatures w14:val="standardContextual"/>
              </w:rPr>
            </w:pPr>
          </w:p>
        </w:tc>
        <w:tc>
          <w:tcPr>
            <w:tcW w:w="1412" w:type="dxa"/>
            <w:gridSpan w:val="3"/>
            <w:tcMar>
              <w:left w:w="28" w:type="dxa"/>
              <w:right w:w="28" w:type="dxa"/>
            </w:tcMar>
          </w:tcPr>
          <w:p w14:paraId="6BA8633C" w14:textId="3FEE0631"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993" w:type="dxa"/>
            <w:gridSpan w:val="2"/>
            <w:tcMar>
              <w:left w:w="28" w:type="dxa"/>
              <w:right w:w="28" w:type="dxa"/>
            </w:tcMar>
          </w:tcPr>
          <w:p w14:paraId="696FC52A" w14:textId="0476284F"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939" w:type="dxa"/>
            <w:gridSpan w:val="2"/>
            <w:tcMar>
              <w:left w:w="28" w:type="dxa"/>
              <w:right w:w="28" w:type="dxa"/>
            </w:tcMar>
          </w:tcPr>
          <w:p w14:paraId="7FEBC381" w14:textId="77777777" w:rsidR="00F47166"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K</m:t>
                    </m:r>
                  </m:e>
                  <m:sub>
                    <m:r>
                      <w:rPr>
                        <w:rFonts w:ascii="Cambria Math" w:eastAsiaTheme="minorHAnsi" w:hAnsi="Cambria Math"/>
                        <w:kern w:val="2"/>
                        <w:sz w:val="14"/>
                        <w:szCs w:val="14"/>
                        <w14:ligatures w14:val="standardContextual"/>
                      </w:rPr>
                      <m:t>2</m:t>
                    </m:r>
                  </m:sub>
                </m:sSub>
                <m:r>
                  <w:rPr>
                    <w:rFonts w:ascii="Cambria Math" w:eastAsiaTheme="minorHAnsi" w:hAnsi="Cambria Math"/>
                    <w:kern w:val="2"/>
                    <w:sz w:val="14"/>
                    <w:szCs w:val="14"/>
                    <w14:ligatures w14:val="standardContextual"/>
                  </w:rPr>
                  <m:t>≪ 1</m:t>
                </m:r>
              </m:oMath>
            </m:oMathPara>
          </w:p>
        </w:tc>
      </w:tr>
      <w:tr w:rsidR="00780634" w:rsidRPr="00780634" w14:paraId="4F279F07" w14:textId="77777777" w:rsidTr="00B2471A">
        <w:tc>
          <w:tcPr>
            <w:tcW w:w="2830" w:type="dxa"/>
            <w:gridSpan w:val="2"/>
            <w:tcMar>
              <w:left w:w="28" w:type="dxa"/>
              <w:right w:w="28" w:type="dxa"/>
            </w:tcMar>
          </w:tcPr>
          <w:p w14:paraId="403A0602"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4. 2</w:t>
            </w:r>
            <m:oMath>
              <m:r>
                <m:rPr>
                  <m:sty m:val="p"/>
                </m:rPr>
                <w:rPr>
                  <w:rFonts w:ascii="Cambria Math" w:eastAsiaTheme="minorHAnsi" w:hAnsi="Cambria Math"/>
                  <w:kern w:val="2"/>
                  <w:sz w:val="14"/>
                  <w:szCs w:val="14"/>
                  <w14:ligatures w14:val="standardContextual"/>
                </w:rPr>
                <m:t xml:space="preserve">MO →2M+ </m:t>
              </m:r>
              <m:sSub>
                <m:sSubPr>
                  <m:ctrlPr>
                    <w:rPr>
                      <w:rFonts w:ascii="Cambria Math" w:eastAsiaTheme="minorHAnsi" w:hAnsi="Cambria Math"/>
                      <w:kern w:val="2"/>
                      <w:sz w:val="14"/>
                      <w:szCs w:val="14"/>
                      <w14:ligatures w14:val="standardContextual"/>
                    </w:rPr>
                  </m:ctrlPr>
                </m:sSubPr>
                <m:e>
                  <m:r>
                    <m:rPr>
                      <m:sty m:val="p"/>
                    </m:rPr>
                    <w:rPr>
                      <w:rFonts w:ascii="Cambria Math" w:eastAsiaTheme="minorHAnsi" w:hAnsi="Cambria Math"/>
                      <w:kern w:val="2"/>
                      <w:sz w:val="14"/>
                      <w:szCs w:val="14"/>
                      <w14:ligatures w14:val="standardContextual"/>
                    </w:rPr>
                    <m:t>O</m:t>
                  </m:r>
                </m:e>
                <m:sub>
                  <m:r>
                    <m:rPr>
                      <m:sty m:val="p"/>
                    </m:rPr>
                    <w:rPr>
                      <w:rFonts w:ascii="Cambria Math" w:eastAsiaTheme="minorHAnsi" w:hAnsi="Cambria Math"/>
                      <w:kern w:val="2"/>
                      <w:sz w:val="14"/>
                      <w:szCs w:val="14"/>
                      <w14:ligatures w14:val="standardContextual"/>
                    </w:rPr>
                    <m:t>2</m:t>
                  </m:r>
                </m:sub>
              </m:sSub>
            </m:oMath>
          </w:p>
        </w:tc>
        <w:tc>
          <w:tcPr>
            <w:tcW w:w="426" w:type="dxa"/>
            <w:tcMar>
              <w:left w:w="28" w:type="dxa"/>
              <w:right w:w="28" w:type="dxa"/>
            </w:tcMar>
          </w:tcPr>
          <w:p w14:paraId="0D054642"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708" w:type="dxa"/>
            <w:tcMar>
              <w:left w:w="28" w:type="dxa"/>
              <w:right w:w="28" w:type="dxa"/>
            </w:tcMar>
          </w:tcPr>
          <w:p w14:paraId="1E65090D"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/4</w:t>
            </w:r>
            <w:r w:rsidRPr="00780634">
              <w:rPr>
                <w:rFonts w:eastAsiaTheme="minorHAnsi"/>
                <w:i/>
                <w:iCs/>
                <w:kern w:val="2"/>
                <w:sz w:val="14"/>
                <w:szCs w:val="14"/>
                <w14:ligatures w14:val="standardContextual"/>
              </w:rPr>
              <w:t>F</w:t>
            </w:r>
          </w:p>
        </w:tc>
        <w:tc>
          <w:tcPr>
            <w:tcW w:w="709" w:type="dxa"/>
            <w:tcMar>
              <w:left w:w="28" w:type="dxa"/>
              <w:right w:w="28" w:type="dxa"/>
            </w:tcMar>
          </w:tcPr>
          <w:p w14:paraId="2518FE9B" w14:textId="77777777" w:rsidR="00780634" w:rsidRPr="00780634" w:rsidRDefault="00780634" w:rsidP="00780634">
            <w:pPr>
              <w:jc w:val="center"/>
              <w:rPr>
                <w:rFonts w:eastAsiaTheme="minorHAnsi"/>
                <w:kern w:val="2"/>
                <w:sz w:val="14"/>
                <w:szCs w:val="14"/>
                <w14:ligatures w14:val="standardContextual"/>
              </w:rPr>
            </w:pPr>
            <m:oMathPara>
              <m:oMath>
                <m:r>
                  <w:rPr>
                    <w:rFonts w:ascii="Cambria Math" w:eastAsiaTheme="minorHAnsi" w:hAnsi="Cambria Math"/>
                    <w:kern w:val="2"/>
                    <w:sz w:val="14"/>
                    <w:szCs w:val="14"/>
                    <w14:ligatures w14:val="standardContextual"/>
                  </w:rPr>
                  <m:t>∞</m:t>
                </m:r>
              </m:oMath>
            </m:oMathPara>
          </w:p>
        </w:tc>
        <w:tc>
          <w:tcPr>
            <w:tcW w:w="709" w:type="dxa"/>
            <w:tcMar>
              <w:left w:w="28" w:type="dxa"/>
              <w:right w:w="28" w:type="dxa"/>
            </w:tcMar>
          </w:tcPr>
          <w:p w14:paraId="4AEC53B4"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4</w:t>
            </w:r>
          </w:p>
        </w:tc>
        <w:tc>
          <w:tcPr>
            <w:tcW w:w="572" w:type="dxa"/>
            <w:gridSpan w:val="2"/>
            <w:tcMar>
              <w:left w:w="28" w:type="dxa"/>
              <w:right w:w="28" w:type="dxa"/>
            </w:tcMar>
          </w:tcPr>
          <w:p w14:paraId="67540099"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0</w:t>
            </w:r>
          </w:p>
        </w:tc>
        <w:tc>
          <w:tcPr>
            <w:tcW w:w="845" w:type="dxa"/>
            <w:gridSpan w:val="2"/>
            <w:tcMar>
              <w:left w:w="28" w:type="dxa"/>
              <w:right w:w="28" w:type="dxa"/>
            </w:tcMar>
          </w:tcPr>
          <w:p w14:paraId="1CA7D01D"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F</w:t>
            </w:r>
          </w:p>
        </w:tc>
        <w:tc>
          <w:tcPr>
            <w:tcW w:w="567" w:type="dxa"/>
            <w:tcMar>
              <w:left w:w="28" w:type="dxa"/>
              <w:right w:w="28" w:type="dxa"/>
            </w:tcMar>
          </w:tcPr>
          <w:p w14:paraId="6CE7BCE7"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567" w:type="dxa"/>
            <w:tcMar>
              <w:left w:w="28" w:type="dxa"/>
              <w:right w:w="28" w:type="dxa"/>
            </w:tcMar>
          </w:tcPr>
          <w:p w14:paraId="1146D7FE"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p>
        </w:tc>
        <w:tc>
          <w:tcPr>
            <w:tcW w:w="426" w:type="dxa"/>
            <w:tcMar>
              <w:left w:w="28" w:type="dxa"/>
              <w:right w:w="28" w:type="dxa"/>
            </w:tcMar>
          </w:tcPr>
          <w:p w14:paraId="65D8D84E"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939" w:type="dxa"/>
            <w:gridSpan w:val="2"/>
            <w:tcMar>
              <w:left w:w="28" w:type="dxa"/>
              <w:right w:w="28" w:type="dxa"/>
            </w:tcMar>
          </w:tcPr>
          <w:p w14:paraId="4AEF088B" w14:textId="77777777" w:rsidR="00780634"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K</m:t>
                    </m:r>
                  </m:e>
                  <m:sub>
                    <m:r>
                      <w:rPr>
                        <w:rFonts w:ascii="Cambria Math" w:eastAsiaTheme="minorHAnsi" w:hAnsi="Cambria Math"/>
                        <w:kern w:val="2"/>
                        <w:sz w:val="14"/>
                        <w:szCs w:val="14"/>
                        <w14:ligatures w14:val="standardContextual"/>
                      </w:rPr>
                      <m:t>3</m:t>
                    </m:r>
                  </m:sub>
                </m:sSub>
                <m:r>
                  <w:rPr>
                    <w:rFonts w:ascii="Cambria Math" w:eastAsiaTheme="minorHAnsi" w:hAnsi="Cambria Math"/>
                    <w:kern w:val="2"/>
                    <w:sz w:val="14"/>
                    <w:szCs w:val="14"/>
                    <w14:ligatures w14:val="standardContextual"/>
                  </w:rPr>
                  <m:t xml:space="preserve"> ~ 1</m:t>
                </m:r>
              </m:oMath>
            </m:oMathPara>
          </w:p>
        </w:tc>
      </w:tr>
      <w:tr w:rsidR="00780634" w:rsidRPr="00780634" w14:paraId="7443E439" w14:textId="77777777" w:rsidTr="00B2471A">
        <w:tc>
          <w:tcPr>
            <w:tcW w:w="2830" w:type="dxa"/>
            <w:gridSpan w:val="2"/>
            <w:tcMar>
              <w:left w:w="28" w:type="dxa"/>
              <w:right w:w="28" w:type="dxa"/>
            </w:tcMar>
          </w:tcPr>
          <w:p w14:paraId="3E0CA3EA" w14:textId="77777777" w:rsidR="00780634" w:rsidRPr="00780634" w:rsidRDefault="00780634" w:rsidP="00780634">
            <w:pPr>
              <w:rPr>
                <w:rFonts w:eastAsiaTheme="minorHAnsi"/>
                <w:kern w:val="2"/>
                <w:sz w:val="14"/>
                <w:szCs w:val="14"/>
                <w14:ligatures w14:val="standardContextual"/>
              </w:rPr>
            </w:pPr>
          </w:p>
        </w:tc>
        <w:tc>
          <w:tcPr>
            <w:tcW w:w="426" w:type="dxa"/>
            <w:tcMar>
              <w:left w:w="28" w:type="dxa"/>
              <w:right w:w="28" w:type="dxa"/>
            </w:tcMar>
          </w:tcPr>
          <w:p w14:paraId="05F90FB8" w14:textId="77777777" w:rsidR="00780634" w:rsidRPr="00780634" w:rsidRDefault="00780634" w:rsidP="00780634">
            <w:pPr>
              <w:rPr>
                <w:rFonts w:eastAsiaTheme="minorHAnsi"/>
                <w:kern w:val="2"/>
                <w:sz w:val="14"/>
                <w:szCs w:val="14"/>
                <w14:ligatures w14:val="standardContextual"/>
              </w:rPr>
            </w:pPr>
          </w:p>
        </w:tc>
        <w:tc>
          <w:tcPr>
            <w:tcW w:w="708" w:type="dxa"/>
            <w:tcMar>
              <w:left w:w="28" w:type="dxa"/>
              <w:right w:w="28" w:type="dxa"/>
            </w:tcMar>
          </w:tcPr>
          <w:p w14:paraId="3EDCB2CD"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33C43BB7"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0A339BC6" w14:textId="77777777" w:rsidR="00780634" w:rsidRPr="00780634" w:rsidRDefault="00780634" w:rsidP="00780634">
            <w:pPr>
              <w:jc w:val="center"/>
              <w:rPr>
                <w:rFonts w:eastAsiaTheme="minorHAnsi"/>
                <w:kern w:val="2"/>
                <w:sz w:val="14"/>
                <w:szCs w:val="14"/>
                <w14:ligatures w14:val="standardContextual"/>
              </w:rPr>
            </w:pPr>
          </w:p>
        </w:tc>
        <w:tc>
          <w:tcPr>
            <w:tcW w:w="572" w:type="dxa"/>
            <w:gridSpan w:val="2"/>
            <w:tcMar>
              <w:left w:w="28" w:type="dxa"/>
              <w:right w:w="28" w:type="dxa"/>
            </w:tcMar>
          </w:tcPr>
          <w:p w14:paraId="78EBA88F" w14:textId="77777777" w:rsidR="00780634" w:rsidRPr="00780634" w:rsidRDefault="00780634" w:rsidP="00780634">
            <w:pPr>
              <w:jc w:val="center"/>
              <w:rPr>
                <w:rFonts w:eastAsiaTheme="minorHAnsi"/>
                <w:kern w:val="2"/>
                <w:sz w:val="14"/>
                <w:szCs w:val="14"/>
                <w14:ligatures w14:val="standardContextual"/>
              </w:rPr>
            </w:pPr>
          </w:p>
        </w:tc>
        <w:tc>
          <w:tcPr>
            <w:tcW w:w="845" w:type="dxa"/>
            <w:gridSpan w:val="2"/>
            <w:tcMar>
              <w:left w:w="28" w:type="dxa"/>
              <w:right w:w="28" w:type="dxa"/>
            </w:tcMar>
          </w:tcPr>
          <w:p w14:paraId="03AE678B"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/4</w:t>
            </w:r>
            <w:r w:rsidRPr="00780634">
              <w:rPr>
                <w:rFonts w:eastAsiaTheme="minorHAnsi"/>
                <w:i/>
                <w:iCs/>
                <w:kern w:val="2"/>
                <w:sz w:val="14"/>
                <w:szCs w:val="14"/>
                <w14:ligatures w14:val="standardContextual"/>
              </w:rPr>
              <w:t>F</w:t>
            </w:r>
          </w:p>
        </w:tc>
        <w:tc>
          <w:tcPr>
            <w:tcW w:w="567" w:type="dxa"/>
            <w:tcMar>
              <w:left w:w="28" w:type="dxa"/>
              <w:right w:w="28" w:type="dxa"/>
            </w:tcMar>
          </w:tcPr>
          <w:p w14:paraId="54C7010F"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/3</w:t>
            </w:r>
            <w:r w:rsidRPr="00780634">
              <w:rPr>
                <w:rFonts w:eastAsiaTheme="minorHAnsi"/>
                <w:i/>
                <w:iCs/>
                <w:kern w:val="2"/>
                <w:sz w:val="14"/>
                <w:szCs w:val="14"/>
                <w14:ligatures w14:val="standardContextual"/>
              </w:rPr>
              <w:t>F</w:t>
            </w:r>
          </w:p>
        </w:tc>
        <w:tc>
          <w:tcPr>
            <w:tcW w:w="567" w:type="dxa"/>
            <w:tcMar>
              <w:left w:w="28" w:type="dxa"/>
              <w:right w:w="28" w:type="dxa"/>
            </w:tcMar>
          </w:tcPr>
          <w:p w14:paraId="718073D0"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p>
        </w:tc>
        <w:tc>
          <w:tcPr>
            <w:tcW w:w="426" w:type="dxa"/>
            <w:tcMar>
              <w:left w:w="28" w:type="dxa"/>
              <w:right w:w="28" w:type="dxa"/>
            </w:tcMar>
          </w:tcPr>
          <w:p w14:paraId="67E7EAD2"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939" w:type="dxa"/>
            <w:gridSpan w:val="2"/>
            <w:tcMar>
              <w:left w:w="28" w:type="dxa"/>
              <w:right w:w="28" w:type="dxa"/>
            </w:tcMar>
          </w:tcPr>
          <w:p w14:paraId="472868A9" w14:textId="77777777" w:rsidR="00780634"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K</m:t>
                    </m:r>
                  </m:e>
                  <m:sub>
                    <m:r>
                      <w:rPr>
                        <w:rFonts w:ascii="Cambria Math" w:eastAsiaTheme="minorHAnsi" w:hAnsi="Cambria Math"/>
                        <w:kern w:val="2"/>
                        <w:sz w:val="14"/>
                        <w:szCs w:val="14"/>
                        <w14:ligatures w14:val="standardContextual"/>
                      </w:rPr>
                      <m:t>3</m:t>
                    </m:r>
                  </m:sub>
                </m:sSub>
                <m:r>
                  <w:rPr>
                    <w:rFonts w:ascii="Cambria Math" w:eastAsiaTheme="minorHAnsi" w:hAnsi="Cambria Math"/>
                    <w:kern w:val="2"/>
                    <w:sz w:val="14"/>
                    <w:szCs w:val="14"/>
                    <w14:ligatures w14:val="standardContextual"/>
                  </w:rPr>
                  <m:t>≪ 1</m:t>
                </m:r>
              </m:oMath>
            </m:oMathPara>
          </w:p>
        </w:tc>
      </w:tr>
      <w:tr w:rsidR="00780634" w:rsidRPr="00780634" w14:paraId="3C33FF2C" w14:textId="77777777" w:rsidTr="00B2471A">
        <w:tc>
          <w:tcPr>
            <w:tcW w:w="2830" w:type="dxa"/>
            <w:gridSpan w:val="2"/>
            <w:tcMar>
              <w:left w:w="28" w:type="dxa"/>
              <w:right w:w="28" w:type="dxa"/>
            </w:tcMar>
          </w:tcPr>
          <w:p w14:paraId="6B974DD3" w14:textId="77777777" w:rsidR="00780634" w:rsidRPr="00780634" w:rsidRDefault="00780634" w:rsidP="00780634">
            <w:pPr>
              <w:rPr>
                <w:rFonts w:eastAsiaTheme="minorHAnsi"/>
                <w:i/>
                <w:iCs/>
                <w:kern w:val="2"/>
                <w:sz w:val="14"/>
                <w:szCs w:val="14"/>
                <w14:ligatures w14:val="standardContextual"/>
              </w:rPr>
            </w:pPr>
            <w:r w:rsidRPr="00780634">
              <w:rPr>
                <w:rFonts w:eastAsiaTheme="minorHAnsi"/>
                <w:i/>
                <w:iCs/>
                <w:kern w:val="2"/>
                <w:sz w:val="14"/>
                <w:szCs w:val="14"/>
                <w14:ligatures w14:val="standardContextual"/>
              </w:rPr>
              <w:t>(IV) O’Grady’s path</w:t>
            </w:r>
          </w:p>
        </w:tc>
        <w:tc>
          <w:tcPr>
            <w:tcW w:w="426" w:type="dxa"/>
            <w:tcMar>
              <w:left w:w="28" w:type="dxa"/>
              <w:right w:w="28" w:type="dxa"/>
            </w:tcMar>
          </w:tcPr>
          <w:p w14:paraId="26917FE1" w14:textId="77777777" w:rsidR="00780634" w:rsidRPr="00780634" w:rsidRDefault="00780634" w:rsidP="00780634">
            <w:pPr>
              <w:rPr>
                <w:rFonts w:eastAsiaTheme="minorHAnsi"/>
                <w:kern w:val="2"/>
                <w:sz w:val="14"/>
                <w:szCs w:val="14"/>
                <w14:ligatures w14:val="standardContextual"/>
              </w:rPr>
            </w:pPr>
          </w:p>
        </w:tc>
        <w:tc>
          <w:tcPr>
            <w:tcW w:w="708" w:type="dxa"/>
            <w:tcMar>
              <w:left w:w="28" w:type="dxa"/>
              <w:right w:w="28" w:type="dxa"/>
            </w:tcMar>
          </w:tcPr>
          <w:p w14:paraId="36E3A7B1"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56A4F9AE"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120B73E3" w14:textId="77777777" w:rsidR="00780634" w:rsidRPr="00780634" w:rsidRDefault="00780634" w:rsidP="00780634">
            <w:pPr>
              <w:jc w:val="center"/>
              <w:rPr>
                <w:rFonts w:eastAsiaTheme="minorHAnsi"/>
                <w:kern w:val="2"/>
                <w:sz w:val="14"/>
                <w:szCs w:val="14"/>
                <w14:ligatures w14:val="standardContextual"/>
              </w:rPr>
            </w:pPr>
          </w:p>
        </w:tc>
        <w:tc>
          <w:tcPr>
            <w:tcW w:w="572" w:type="dxa"/>
            <w:gridSpan w:val="2"/>
            <w:tcMar>
              <w:left w:w="28" w:type="dxa"/>
              <w:right w:w="28" w:type="dxa"/>
            </w:tcMar>
          </w:tcPr>
          <w:p w14:paraId="5C697F9D" w14:textId="77777777" w:rsidR="00780634" w:rsidRPr="00780634" w:rsidRDefault="00780634" w:rsidP="00780634">
            <w:pPr>
              <w:jc w:val="center"/>
              <w:rPr>
                <w:rFonts w:eastAsiaTheme="minorHAnsi"/>
                <w:kern w:val="2"/>
                <w:sz w:val="14"/>
                <w:szCs w:val="14"/>
                <w14:ligatures w14:val="standardContextual"/>
              </w:rPr>
            </w:pPr>
          </w:p>
        </w:tc>
        <w:tc>
          <w:tcPr>
            <w:tcW w:w="845" w:type="dxa"/>
            <w:gridSpan w:val="2"/>
            <w:tcMar>
              <w:left w:w="28" w:type="dxa"/>
              <w:right w:w="28" w:type="dxa"/>
            </w:tcMar>
          </w:tcPr>
          <w:p w14:paraId="5651940F" w14:textId="77777777" w:rsidR="00780634" w:rsidRPr="00780634" w:rsidRDefault="00780634" w:rsidP="00780634">
            <w:pPr>
              <w:jc w:val="center"/>
              <w:rPr>
                <w:rFonts w:eastAsiaTheme="minorHAnsi"/>
                <w:kern w:val="2"/>
                <w:sz w:val="14"/>
                <w:szCs w:val="14"/>
                <w14:ligatures w14:val="standardContextual"/>
              </w:rPr>
            </w:pPr>
          </w:p>
        </w:tc>
        <w:tc>
          <w:tcPr>
            <w:tcW w:w="567" w:type="dxa"/>
            <w:tcMar>
              <w:left w:w="28" w:type="dxa"/>
              <w:right w:w="28" w:type="dxa"/>
            </w:tcMar>
          </w:tcPr>
          <w:p w14:paraId="12A9DE1E" w14:textId="77777777" w:rsidR="00780634" w:rsidRPr="00780634" w:rsidRDefault="00780634" w:rsidP="00780634">
            <w:pPr>
              <w:jc w:val="center"/>
              <w:rPr>
                <w:rFonts w:eastAsiaTheme="minorHAnsi"/>
                <w:kern w:val="2"/>
                <w:sz w:val="14"/>
                <w:szCs w:val="14"/>
                <w14:ligatures w14:val="standardContextual"/>
              </w:rPr>
            </w:pPr>
          </w:p>
        </w:tc>
        <w:tc>
          <w:tcPr>
            <w:tcW w:w="567" w:type="dxa"/>
            <w:tcMar>
              <w:left w:w="28" w:type="dxa"/>
              <w:right w:w="28" w:type="dxa"/>
            </w:tcMar>
          </w:tcPr>
          <w:p w14:paraId="19BAD022" w14:textId="77777777" w:rsidR="00780634" w:rsidRPr="00780634" w:rsidRDefault="00780634" w:rsidP="00780634">
            <w:pPr>
              <w:jc w:val="center"/>
              <w:rPr>
                <w:rFonts w:eastAsiaTheme="minorHAnsi"/>
                <w:kern w:val="2"/>
                <w:sz w:val="14"/>
                <w:szCs w:val="14"/>
                <w14:ligatures w14:val="standardContextual"/>
              </w:rPr>
            </w:pPr>
          </w:p>
        </w:tc>
        <w:tc>
          <w:tcPr>
            <w:tcW w:w="426" w:type="dxa"/>
            <w:tcMar>
              <w:left w:w="28" w:type="dxa"/>
              <w:right w:w="28" w:type="dxa"/>
            </w:tcMar>
          </w:tcPr>
          <w:p w14:paraId="2ECF7AC6" w14:textId="77777777" w:rsidR="00780634" w:rsidRPr="00780634" w:rsidRDefault="00780634" w:rsidP="00780634">
            <w:pPr>
              <w:jc w:val="center"/>
              <w:rPr>
                <w:rFonts w:eastAsiaTheme="minorHAnsi"/>
                <w:kern w:val="2"/>
                <w:sz w:val="14"/>
                <w:szCs w:val="14"/>
                <w14:ligatures w14:val="standardContextual"/>
              </w:rPr>
            </w:pPr>
          </w:p>
        </w:tc>
        <w:tc>
          <w:tcPr>
            <w:tcW w:w="939" w:type="dxa"/>
            <w:gridSpan w:val="2"/>
            <w:tcMar>
              <w:left w:w="28" w:type="dxa"/>
              <w:right w:w="28" w:type="dxa"/>
            </w:tcMar>
          </w:tcPr>
          <w:p w14:paraId="68A5D046" w14:textId="77777777" w:rsidR="00780634" w:rsidRPr="00780634" w:rsidRDefault="00780634" w:rsidP="00780634">
            <w:pPr>
              <w:jc w:val="center"/>
              <w:rPr>
                <w:rFonts w:eastAsiaTheme="minorHAnsi"/>
                <w:kern w:val="2"/>
                <w:sz w:val="14"/>
                <w:szCs w:val="14"/>
                <w14:ligatures w14:val="standardContextual"/>
              </w:rPr>
            </w:pPr>
          </w:p>
        </w:tc>
      </w:tr>
      <w:tr w:rsidR="00780634" w:rsidRPr="00780634" w14:paraId="1E4BB938" w14:textId="77777777" w:rsidTr="00B2471A">
        <w:tc>
          <w:tcPr>
            <w:tcW w:w="2830" w:type="dxa"/>
            <w:gridSpan w:val="2"/>
            <w:tcMar>
              <w:left w:w="28" w:type="dxa"/>
              <w:right w:w="28" w:type="dxa"/>
            </w:tcMar>
          </w:tcPr>
          <w:p w14:paraId="31D10A7C"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 xml:space="preserve">1. </w:t>
            </w:r>
            <m:oMath>
              <m:sSup>
                <m:sSupPr>
                  <m:ctrlPr>
                    <w:rPr>
                      <w:rFonts w:ascii="Cambria Math" w:eastAsiaTheme="minorHAnsi" w:hAnsi="Cambria Math"/>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M</m:t>
                  </m:r>
                </m:e>
                <m:sup>
                  <m:r>
                    <w:rPr>
                      <w:rFonts w:ascii="Cambria Math" w:eastAsiaTheme="minorHAnsi" w:hAnsi="Cambria Math"/>
                      <w:kern w:val="2"/>
                      <w:sz w:val="14"/>
                      <w:szCs w:val="14"/>
                      <w14:ligatures w14:val="standardContextual"/>
                    </w:rPr>
                    <m:t>z</m:t>
                  </m:r>
                </m:sup>
              </m:sSup>
              <m:r>
                <m:rPr>
                  <m:sty m:val="p"/>
                </m:rPr>
                <w:rPr>
                  <w:rFonts w:ascii="Cambria Math" w:eastAsiaTheme="minorHAnsi" w:hAnsi="Cambria Math"/>
                  <w:kern w:val="2"/>
                  <w:sz w:val="14"/>
                  <w:szCs w:val="14"/>
                  <w14:ligatures w14:val="standardContextual"/>
                </w:rPr>
                <m:t xml:space="preserve">+ </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OH</m:t>
                  </m:r>
                </m:e>
                <m:sup>
                  <m:r>
                    <m:rPr>
                      <m:sty m:val="p"/>
                    </m:rPr>
                    <w:rPr>
                      <w:rFonts w:ascii="Cambria Math" w:eastAsiaTheme="minorHAnsi" w:hAnsi="Cambria Math"/>
                      <w:kern w:val="2"/>
                      <w:sz w:val="14"/>
                      <w:szCs w:val="14"/>
                      <w14:ligatures w14:val="standardContextual"/>
                    </w:rPr>
                    <m:t>-</m:t>
                  </m:r>
                </m:sup>
              </m:sSup>
              <m:r>
                <m:rPr>
                  <m:sty m:val="p"/>
                </m:rPr>
                <w:rPr>
                  <w:rFonts w:ascii="Cambria Math" w:eastAsiaTheme="minorHAnsi" w:hAnsi="Cambria Math"/>
                  <w:kern w:val="2"/>
                  <w:sz w:val="14"/>
                  <w:szCs w:val="14"/>
                  <w14:ligatures w14:val="standardContextual"/>
                </w:rPr>
                <m:t>→</m:t>
              </m:r>
              <m:sSup>
                <m:sSupPr>
                  <m:ctrlPr>
                    <w:rPr>
                      <w:rFonts w:ascii="Cambria Math" w:eastAsiaTheme="minorHAnsi" w:hAnsi="Cambria Math"/>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M</m:t>
                  </m:r>
                </m:e>
                <m:sup>
                  <m:r>
                    <w:rPr>
                      <w:rFonts w:ascii="Cambria Math" w:eastAsiaTheme="minorHAnsi" w:hAnsi="Cambria Math"/>
                      <w:kern w:val="2"/>
                      <w:sz w:val="14"/>
                      <w:szCs w:val="14"/>
                      <w14:ligatures w14:val="standardContextual"/>
                    </w:rPr>
                    <m:t>z</m:t>
                  </m:r>
                </m:sup>
              </m:sSup>
              <m:r>
                <m:rPr>
                  <m:sty m:val="p"/>
                </m:rPr>
                <w:rPr>
                  <w:rFonts w:ascii="Cambria Math" w:eastAsiaTheme="minorHAnsi" w:hAnsi="Cambria Math"/>
                  <w:kern w:val="2"/>
                  <w:sz w:val="14"/>
                  <w:szCs w:val="14"/>
                  <w14:ligatures w14:val="standardContextual"/>
                </w:rPr>
                <m:t xml:space="preserve">OH+ </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e</m:t>
                  </m:r>
                </m:e>
                <m:sup>
                  <m:r>
                    <m:rPr>
                      <m:sty m:val="p"/>
                    </m:rPr>
                    <w:rPr>
                      <w:rFonts w:ascii="Cambria Math" w:eastAsiaTheme="minorHAnsi" w:hAnsi="Cambria Math"/>
                      <w:kern w:val="2"/>
                      <w:sz w:val="14"/>
                      <w:szCs w:val="14"/>
                      <w14:ligatures w14:val="standardContextual"/>
                    </w:rPr>
                    <m:t>-</m:t>
                  </m:r>
                </m:sup>
              </m:sSup>
            </m:oMath>
          </w:p>
        </w:tc>
        <w:tc>
          <w:tcPr>
            <w:tcW w:w="426" w:type="dxa"/>
            <w:tcMar>
              <w:left w:w="28" w:type="dxa"/>
              <w:right w:w="28" w:type="dxa"/>
            </w:tcMar>
          </w:tcPr>
          <w:p w14:paraId="3B8C062C"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2</w:t>
            </w:r>
          </w:p>
        </w:tc>
        <w:tc>
          <w:tcPr>
            <w:tcW w:w="708" w:type="dxa"/>
            <w:tcMar>
              <w:left w:w="28" w:type="dxa"/>
              <w:right w:w="28" w:type="dxa"/>
            </w:tcMar>
          </w:tcPr>
          <w:p w14:paraId="05D598A2"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709" w:type="dxa"/>
            <w:tcMar>
              <w:left w:w="28" w:type="dxa"/>
              <w:right w:w="28" w:type="dxa"/>
            </w:tcMar>
          </w:tcPr>
          <w:p w14:paraId="6E4D3FBD"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24931B0A"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572" w:type="dxa"/>
            <w:gridSpan w:val="2"/>
            <w:tcMar>
              <w:left w:w="28" w:type="dxa"/>
              <w:right w:w="28" w:type="dxa"/>
            </w:tcMar>
          </w:tcPr>
          <w:p w14:paraId="3A811F55" w14:textId="77777777" w:rsidR="00780634" w:rsidRPr="00780634" w:rsidRDefault="00780634" w:rsidP="00780634">
            <w:pPr>
              <w:jc w:val="center"/>
              <w:rPr>
                <w:rFonts w:eastAsiaTheme="minorHAnsi"/>
                <w:kern w:val="2"/>
                <w:sz w:val="14"/>
                <w:szCs w:val="14"/>
                <w14:ligatures w14:val="standardContextual"/>
              </w:rPr>
            </w:pPr>
          </w:p>
        </w:tc>
        <w:tc>
          <w:tcPr>
            <w:tcW w:w="845" w:type="dxa"/>
            <w:gridSpan w:val="2"/>
            <w:tcMar>
              <w:left w:w="28" w:type="dxa"/>
              <w:right w:w="28" w:type="dxa"/>
            </w:tcMar>
          </w:tcPr>
          <w:p w14:paraId="069BCB69" w14:textId="77777777" w:rsidR="00780634" w:rsidRPr="00780634" w:rsidRDefault="00780634" w:rsidP="00780634">
            <w:pPr>
              <w:jc w:val="center"/>
              <w:rPr>
                <w:rFonts w:eastAsiaTheme="minorHAnsi"/>
                <w:kern w:val="2"/>
                <w:sz w:val="14"/>
                <w:szCs w:val="14"/>
                <w14:ligatures w14:val="standardContextual"/>
              </w:rPr>
            </w:pPr>
          </w:p>
        </w:tc>
        <w:tc>
          <w:tcPr>
            <w:tcW w:w="567" w:type="dxa"/>
            <w:tcMar>
              <w:left w:w="28" w:type="dxa"/>
              <w:right w:w="28" w:type="dxa"/>
            </w:tcMar>
          </w:tcPr>
          <w:p w14:paraId="21D73238" w14:textId="77777777" w:rsidR="00780634" w:rsidRPr="00780634" w:rsidRDefault="00780634" w:rsidP="00780634">
            <w:pPr>
              <w:jc w:val="center"/>
              <w:rPr>
                <w:rFonts w:eastAsiaTheme="minorHAnsi"/>
                <w:kern w:val="2"/>
                <w:sz w:val="14"/>
                <w:szCs w:val="14"/>
                <w14:ligatures w14:val="standardContextual"/>
              </w:rPr>
            </w:pPr>
          </w:p>
        </w:tc>
        <w:tc>
          <w:tcPr>
            <w:tcW w:w="567" w:type="dxa"/>
            <w:tcMar>
              <w:left w:w="28" w:type="dxa"/>
              <w:right w:w="28" w:type="dxa"/>
            </w:tcMar>
          </w:tcPr>
          <w:p w14:paraId="57AE553A" w14:textId="77777777" w:rsidR="00780634" w:rsidRPr="00780634" w:rsidRDefault="00780634" w:rsidP="00780634">
            <w:pPr>
              <w:jc w:val="center"/>
              <w:rPr>
                <w:rFonts w:eastAsiaTheme="minorHAnsi"/>
                <w:kern w:val="2"/>
                <w:sz w:val="14"/>
                <w:szCs w:val="14"/>
                <w14:ligatures w14:val="standardContextual"/>
              </w:rPr>
            </w:pPr>
          </w:p>
        </w:tc>
        <w:tc>
          <w:tcPr>
            <w:tcW w:w="426" w:type="dxa"/>
            <w:tcMar>
              <w:left w:w="28" w:type="dxa"/>
              <w:right w:w="28" w:type="dxa"/>
            </w:tcMar>
          </w:tcPr>
          <w:p w14:paraId="56086577" w14:textId="77777777" w:rsidR="00780634" w:rsidRPr="00780634" w:rsidRDefault="00780634" w:rsidP="00780634">
            <w:pPr>
              <w:jc w:val="center"/>
              <w:rPr>
                <w:rFonts w:eastAsiaTheme="minorHAnsi"/>
                <w:kern w:val="2"/>
                <w:sz w:val="14"/>
                <w:szCs w:val="14"/>
                <w14:ligatures w14:val="standardContextual"/>
              </w:rPr>
            </w:pPr>
          </w:p>
        </w:tc>
        <w:tc>
          <w:tcPr>
            <w:tcW w:w="939" w:type="dxa"/>
            <w:gridSpan w:val="2"/>
            <w:tcMar>
              <w:left w:w="28" w:type="dxa"/>
              <w:right w:w="28" w:type="dxa"/>
            </w:tcMar>
          </w:tcPr>
          <w:p w14:paraId="1B296671" w14:textId="77777777" w:rsidR="00780634" w:rsidRPr="00780634" w:rsidRDefault="00780634" w:rsidP="00780634">
            <w:pPr>
              <w:jc w:val="center"/>
              <w:rPr>
                <w:rFonts w:eastAsiaTheme="minorHAnsi"/>
                <w:kern w:val="2"/>
                <w:sz w:val="14"/>
                <w:szCs w:val="14"/>
                <w14:ligatures w14:val="standardContextual"/>
              </w:rPr>
            </w:pPr>
          </w:p>
        </w:tc>
      </w:tr>
      <w:tr w:rsidR="00F47166" w:rsidRPr="00780634" w14:paraId="014595FD" w14:textId="77777777" w:rsidTr="007D311E">
        <w:tc>
          <w:tcPr>
            <w:tcW w:w="2830" w:type="dxa"/>
            <w:gridSpan w:val="2"/>
            <w:tcMar>
              <w:left w:w="28" w:type="dxa"/>
              <w:right w:w="28" w:type="dxa"/>
            </w:tcMar>
          </w:tcPr>
          <w:p w14:paraId="5A0D6DB6" w14:textId="77777777" w:rsidR="00F47166" w:rsidRPr="00780634" w:rsidRDefault="00F47166"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 xml:space="preserve">2. </w:t>
            </w:r>
            <m:oMath>
              <m:sSup>
                <m:sSupPr>
                  <m:ctrlPr>
                    <w:rPr>
                      <w:rFonts w:ascii="Cambria Math" w:eastAsiaTheme="minorHAnsi" w:hAnsi="Cambria Math"/>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M</m:t>
                  </m:r>
                </m:e>
                <m:sup>
                  <m:r>
                    <w:rPr>
                      <w:rFonts w:ascii="Cambria Math" w:eastAsiaTheme="minorHAnsi" w:hAnsi="Cambria Math"/>
                      <w:kern w:val="2"/>
                      <w:sz w:val="14"/>
                      <w:szCs w:val="14"/>
                      <w14:ligatures w14:val="standardContextual"/>
                    </w:rPr>
                    <m:t>z</m:t>
                  </m:r>
                </m:sup>
              </m:sSup>
              <m:r>
                <m:rPr>
                  <m:sty m:val="p"/>
                </m:rPr>
                <w:rPr>
                  <w:rFonts w:ascii="Cambria Math" w:eastAsiaTheme="minorHAnsi" w:hAnsi="Cambria Math"/>
                  <w:kern w:val="2"/>
                  <w:sz w:val="14"/>
                  <w:szCs w:val="14"/>
                  <w14:ligatures w14:val="standardContextual"/>
                </w:rPr>
                <m:t>OH →</m:t>
              </m:r>
              <m:sSup>
                <m:sSupPr>
                  <m:ctrlPr>
                    <w:rPr>
                      <w:rFonts w:ascii="Cambria Math" w:eastAsiaTheme="minorHAnsi" w:hAnsi="Cambria Math"/>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M</m:t>
                  </m:r>
                </m:e>
                <m:sup>
                  <m:r>
                    <w:rPr>
                      <w:rFonts w:ascii="Cambria Math" w:eastAsiaTheme="minorHAnsi" w:hAnsi="Cambria Math"/>
                      <w:kern w:val="2"/>
                      <w:sz w:val="14"/>
                      <w:szCs w:val="14"/>
                      <w14:ligatures w14:val="standardContextual"/>
                    </w:rPr>
                    <m:t>z+1</m:t>
                  </m:r>
                </m:sup>
              </m:sSup>
              <m:r>
                <m:rPr>
                  <m:sty m:val="p"/>
                </m:rPr>
                <w:rPr>
                  <w:rFonts w:ascii="Cambria Math" w:eastAsiaTheme="minorHAnsi" w:hAnsi="Cambria Math"/>
                  <w:kern w:val="2"/>
                  <w:sz w:val="14"/>
                  <w:szCs w:val="14"/>
                  <w14:ligatures w14:val="standardContextual"/>
                </w:rPr>
                <m:t xml:space="preserve">OH+ </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e</m:t>
                  </m:r>
                </m:e>
                <m:sup>
                  <m:r>
                    <m:rPr>
                      <m:sty m:val="p"/>
                    </m:rPr>
                    <w:rPr>
                      <w:rFonts w:ascii="Cambria Math" w:eastAsiaTheme="minorHAnsi" w:hAnsi="Cambria Math"/>
                      <w:kern w:val="2"/>
                      <w:sz w:val="14"/>
                      <w:szCs w:val="14"/>
                      <w14:ligatures w14:val="standardContextual"/>
                    </w:rPr>
                    <m:t>-</m:t>
                  </m:r>
                </m:sup>
              </m:sSup>
            </m:oMath>
          </w:p>
        </w:tc>
        <w:tc>
          <w:tcPr>
            <w:tcW w:w="426" w:type="dxa"/>
            <w:tcMar>
              <w:left w:w="28" w:type="dxa"/>
              <w:right w:w="28" w:type="dxa"/>
            </w:tcMar>
          </w:tcPr>
          <w:p w14:paraId="5036CD30" w14:textId="77777777" w:rsidR="00F47166" w:rsidRPr="00780634" w:rsidRDefault="00F47166"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2</w:t>
            </w:r>
          </w:p>
        </w:tc>
        <w:tc>
          <w:tcPr>
            <w:tcW w:w="708" w:type="dxa"/>
            <w:tcMar>
              <w:left w:w="28" w:type="dxa"/>
              <w:right w:w="28" w:type="dxa"/>
            </w:tcMar>
          </w:tcPr>
          <w:p w14:paraId="616A7DC2"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/3</w:t>
            </w:r>
            <w:r w:rsidRPr="00780634">
              <w:rPr>
                <w:rFonts w:eastAsiaTheme="minorHAnsi"/>
                <w:i/>
                <w:iCs/>
                <w:kern w:val="2"/>
                <w:sz w:val="14"/>
                <w:szCs w:val="14"/>
                <w14:ligatures w14:val="standardContextual"/>
              </w:rPr>
              <w:t>F</w:t>
            </w:r>
          </w:p>
        </w:tc>
        <w:tc>
          <w:tcPr>
            <w:tcW w:w="709" w:type="dxa"/>
            <w:tcMar>
              <w:left w:w="28" w:type="dxa"/>
              <w:right w:w="28" w:type="dxa"/>
            </w:tcMar>
          </w:tcPr>
          <w:p w14:paraId="4D6754B7"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709" w:type="dxa"/>
            <w:tcMar>
              <w:left w:w="28" w:type="dxa"/>
              <w:right w:w="28" w:type="dxa"/>
            </w:tcMar>
          </w:tcPr>
          <w:p w14:paraId="1029D723"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572" w:type="dxa"/>
            <w:gridSpan w:val="2"/>
            <w:tcMar>
              <w:left w:w="28" w:type="dxa"/>
              <w:right w:w="28" w:type="dxa"/>
            </w:tcMar>
          </w:tcPr>
          <w:p w14:paraId="302F0759"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0</w:t>
            </w:r>
          </w:p>
        </w:tc>
        <w:tc>
          <w:tcPr>
            <w:tcW w:w="1412" w:type="dxa"/>
            <w:gridSpan w:val="3"/>
            <w:tcMar>
              <w:left w:w="28" w:type="dxa"/>
              <w:right w:w="28" w:type="dxa"/>
            </w:tcMar>
          </w:tcPr>
          <w:p w14:paraId="1A9DD1E1" w14:textId="3036132A"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993" w:type="dxa"/>
            <w:gridSpan w:val="2"/>
            <w:tcMar>
              <w:left w:w="28" w:type="dxa"/>
              <w:right w:w="28" w:type="dxa"/>
            </w:tcMar>
          </w:tcPr>
          <w:p w14:paraId="36AB2BEC" w14:textId="12D34D3A"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0</w:t>
            </w:r>
          </w:p>
        </w:tc>
        <w:tc>
          <w:tcPr>
            <w:tcW w:w="939" w:type="dxa"/>
            <w:gridSpan w:val="2"/>
            <w:tcMar>
              <w:left w:w="28" w:type="dxa"/>
              <w:right w:w="28" w:type="dxa"/>
            </w:tcMar>
          </w:tcPr>
          <w:p w14:paraId="5FC0C4AA" w14:textId="77777777" w:rsidR="00F47166"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r</m:t>
                    </m:r>
                  </m:e>
                  <m:sub>
                    <m:r>
                      <w:rPr>
                        <w:rFonts w:ascii="Cambria Math" w:eastAsiaTheme="minorHAnsi" w:hAnsi="Cambria Math"/>
                        <w:kern w:val="2"/>
                        <w:sz w:val="14"/>
                        <w:szCs w:val="14"/>
                        <w14:ligatures w14:val="standardContextual"/>
                      </w:rPr>
                      <m:t>1</m:t>
                    </m:r>
                  </m:sub>
                </m:sSub>
                <m:r>
                  <w:rPr>
                    <w:rFonts w:ascii="Cambria Math" w:eastAsiaTheme="minorHAnsi" w:hAnsi="Cambria Math"/>
                    <w:kern w:val="2"/>
                    <w:sz w:val="14"/>
                    <w:szCs w:val="14"/>
                    <w14:ligatures w14:val="standardContextual"/>
                  </w:rPr>
                  <m:t xml:space="preserve"> ~ </m:t>
                </m:r>
                <m:sSup>
                  <m:sSupPr>
                    <m:ctrlPr>
                      <w:rPr>
                        <w:rFonts w:ascii="Cambria Math" w:eastAsiaTheme="minorHAnsi" w:hAnsi="Cambria Math"/>
                        <w:i/>
                        <w:kern w:val="2"/>
                        <w:sz w:val="14"/>
                        <w:szCs w:val="14"/>
                        <w14:ligatures w14:val="standardContextual"/>
                      </w:rPr>
                    </m:ctrlPr>
                  </m:sSupPr>
                  <m:e>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r</m:t>
                        </m:r>
                      </m:e>
                      <m:sub>
                        <m:r>
                          <w:rPr>
                            <w:rFonts w:ascii="Cambria Math" w:eastAsiaTheme="minorHAnsi" w:hAnsi="Cambria Math"/>
                            <w:kern w:val="2"/>
                            <w:sz w:val="14"/>
                            <w:szCs w:val="14"/>
                            <w14:ligatures w14:val="standardContextual"/>
                          </w:rPr>
                          <m:t>2</m:t>
                        </m:r>
                      </m:sub>
                    </m:sSub>
                  </m:e>
                  <m:sup>
                    <m:r>
                      <w:rPr>
                        <w:rFonts w:ascii="Cambria Math" w:eastAsiaTheme="minorHAnsi" w:hAnsi="Cambria Math"/>
                        <w:kern w:val="2"/>
                        <w:sz w:val="14"/>
                        <w:szCs w:val="14"/>
                        <w14:ligatures w14:val="standardContextual"/>
                      </w:rPr>
                      <m:t>g</m:t>
                    </m:r>
                  </m:sup>
                </m:sSup>
              </m:oMath>
            </m:oMathPara>
          </w:p>
        </w:tc>
      </w:tr>
      <w:tr w:rsidR="00F47166" w:rsidRPr="00780634" w14:paraId="7F09A927" w14:textId="77777777" w:rsidTr="00175CCB">
        <w:tc>
          <w:tcPr>
            <w:tcW w:w="2830" w:type="dxa"/>
            <w:gridSpan w:val="2"/>
            <w:tcMar>
              <w:left w:w="28" w:type="dxa"/>
              <w:right w:w="28" w:type="dxa"/>
            </w:tcMar>
          </w:tcPr>
          <w:p w14:paraId="6597B16C" w14:textId="77777777" w:rsidR="00F47166" w:rsidRPr="00780634" w:rsidRDefault="00F47166" w:rsidP="00780634">
            <w:pPr>
              <w:rPr>
                <w:rFonts w:eastAsiaTheme="minorHAnsi"/>
                <w:kern w:val="2"/>
                <w:sz w:val="14"/>
                <w:szCs w:val="14"/>
                <w14:ligatures w14:val="standardContextual"/>
              </w:rPr>
            </w:pPr>
          </w:p>
        </w:tc>
        <w:tc>
          <w:tcPr>
            <w:tcW w:w="426" w:type="dxa"/>
            <w:tcMar>
              <w:left w:w="28" w:type="dxa"/>
              <w:right w:w="28" w:type="dxa"/>
            </w:tcMar>
          </w:tcPr>
          <w:p w14:paraId="077E6404" w14:textId="77777777" w:rsidR="00F47166" w:rsidRPr="00780634" w:rsidRDefault="00F47166" w:rsidP="00780634">
            <w:pPr>
              <w:rPr>
                <w:rFonts w:eastAsiaTheme="minorHAnsi"/>
                <w:kern w:val="2"/>
                <w:sz w:val="14"/>
                <w:szCs w:val="14"/>
                <w14:ligatures w14:val="standardContextual"/>
              </w:rPr>
            </w:pPr>
          </w:p>
        </w:tc>
        <w:tc>
          <w:tcPr>
            <w:tcW w:w="708" w:type="dxa"/>
            <w:tcMar>
              <w:left w:w="28" w:type="dxa"/>
              <w:right w:w="28" w:type="dxa"/>
            </w:tcMar>
          </w:tcPr>
          <w:p w14:paraId="16CF9BFD" w14:textId="77777777" w:rsidR="00F47166" w:rsidRPr="00780634" w:rsidRDefault="00F47166" w:rsidP="00780634">
            <w:pPr>
              <w:jc w:val="center"/>
              <w:rPr>
                <w:rFonts w:eastAsiaTheme="minorHAnsi"/>
                <w:kern w:val="2"/>
                <w:sz w:val="14"/>
                <w:szCs w:val="14"/>
                <w14:ligatures w14:val="standardContextual"/>
              </w:rPr>
            </w:pPr>
          </w:p>
        </w:tc>
        <w:tc>
          <w:tcPr>
            <w:tcW w:w="709" w:type="dxa"/>
            <w:tcMar>
              <w:left w:w="28" w:type="dxa"/>
              <w:right w:w="28" w:type="dxa"/>
            </w:tcMar>
          </w:tcPr>
          <w:p w14:paraId="359FE4AB" w14:textId="77777777" w:rsidR="00F47166" w:rsidRPr="00780634" w:rsidRDefault="00F47166" w:rsidP="00780634">
            <w:pPr>
              <w:jc w:val="center"/>
              <w:rPr>
                <w:rFonts w:eastAsiaTheme="minorHAnsi"/>
                <w:kern w:val="2"/>
                <w:sz w:val="14"/>
                <w:szCs w:val="14"/>
                <w14:ligatures w14:val="standardContextual"/>
              </w:rPr>
            </w:pPr>
          </w:p>
        </w:tc>
        <w:tc>
          <w:tcPr>
            <w:tcW w:w="709" w:type="dxa"/>
            <w:tcMar>
              <w:left w:w="28" w:type="dxa"/>
              <w:right w:w="28" w:type="dxa"/>
            </w:tcMar>
          </w:tcPr>
          <w:p w14:paraId="521450F5" w14:textId="77777777" w:rsidR="00F47166" w:rsidRPr="00780634" w:rsidRDefault="00F47166" w:rsidP="00780634">
            <w:pPr>
              <w:jc w:val="center"/>
              <w:rPr>
                <w:rFonts w:eastAsiaTheme="minorHAnsi"/>
                <w:kern w:val="2"/>
                <w:sz w:val="14"/>
                <w:szCs w:val="14"/>
                <w14:ligatures w14:val="standardContextual"/>
              </w:rPr>
            </w:pPr>
          </w:p>
        </w:tc>
        <w:tc>
          <w:tcPr>
            <w:tcW w:w="572" w:type="dxa"/>
            <w:gridSpan w:val="2"/>
            <w:tcMar>
              <w:left w:w="28" w:type="dxa"/>
              <w:right w:w="28" w:type="dxa"/>
            </w:tcMar>
          </w:tcPr>
          <w:p w14:paraId="7072A2DD" w14:textId="77777777" w:rsidR="00F47166" w:rsidRPr="00780634" w:rsidRDefault="00F47166" w:rsidP="00780634">
            <w:pPr>
              <w:jc w:val="center"/>
              <w:rPr>
                <w:rFonts w:eastAsiaTheme="minorHAnsi"/>
                <w:kern w:val="2"/>
                <w:sz w:val="14"/>
                <w:szCs w:val="14"/>
                <w14:ligatures w14:val="standardContextual"/>
              </w:rPr>
            </w:pPr>
          </w:p>
        </w:tc>
        <w:tc>
          <w:tcPr>
            <w:tcW w:w="1412" w:type="dxa"/>
            <w:gridSpan w:val="3"/>
            <w:tcMar>
              <w:left w:w="28" w:type="dxa"/>
              <w:right w:w="28" w:type="dxa"/>
            </w:tcMar>
          </w:tcPr>
          <w:p w14:paraId="1B297998" w14:textId="4ECE4FF1" w:rsidR="00F47166" w:rsidRPr="00780634" w:rsidRDefault="00F47166"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993" w:type="dxa"/>
            <w:gridSpan w:val="2"/>
            <w:tcMar>
              <w:left w:w="28" w:type="dxa"/>
              <w:right w:w="28" w:type="dxa"/>
            </w:tcMar>
          </w:tcPr>
          <w:p w14:paraId="74E087C3" w14:textId="2368A9CA"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0.5</w:t>
            </w:r>
          </w:p>
        </w:tc>
        <w:tc>
          <w:tcPr>
            <w:tcW w:w="939" w:type="dxa"/>
            <w:gridSpan w:val="2"/>
            <w:tcMar>
              <w:left w:w="28" w:type="dxa"/>
              <w:right w:w="28" w:type="dxa"/>
            </w:tcMar>
          </w:tcPr>
          <w:p w14:paraId="64C5458A" w14:textId="77777777" w:rsidR="00F47166"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r</m:t>
                    </m:r>
                  </m:e>
                  <m:sub>
                    <m:r>
                      <w:rPr>
                        <w:rFonts w:ascii="Cambria Math" w:eastAsiaTheme="minorHAnsi" w:hAnsi="Cambria Math"/>
                        <w:kern w:val="2"/>
                        <w:sz w:val="14"/>
                        <w:szCs w:val="14"/>
                        <w14:ligatures w14:val="standardContextual"/>
                      </w:rPr>
                      <m:t>1</m:t>
                    </m:r>
                  </m:sub>
                </m:sSub>
                <m:r>
                  <w:rPr>
                    <w:rFonts w:ascii="Cambria Math" w:eastAsiaTheme="minorHAnsi" w:hAnsi="Cambria Math"/>
                    <w:kern w:val="2"/>
                    <w:sz w:val="14"/>
                    <w:szCs w:val="14"/>
                    <w14:ligatures w14:val="standardContextual"/>
                  </w:rPr>
                  <m:t xml:space="preserve">≫ </m:t>
                </m:r>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r</m:t>
                    </m:r>
                  </m:e>
                  <m:sub>
                    <m:r>
                      <w:rPr>
                        <w:rFonts w:ascii="Cambria Math" w:eastAsiaTheme="minorHAnsi" w:hAnsi="Cambria Math"/>
                        <w:kern w:val="2"/>
                        <w:sz w:val="14"/>
                        <w:szCs w:val="14"/>
                        <w14:ligatures w14:val="standardContextual"/>
                      </w:rPr>
                      <m:t>2</m:t>
                    </m:r>
                  </m:sub>
                </m:sSub>
              </m:oMath>
            </m:oMathPara>
          </w:p>
        </w:tc>
      </w:tr>
      <w:tr w:rsidR="00780634" w:rsidRPr="00780634" w14:paraId="10D25DDA" w14:textId="77777777" w:rsidTr="00B2471A">
        <w:tc>
          <w:tcPr>
            <w:tcW w:w="2830" w:type="dxa"/>
            <w:gridSpan w:val="2"/>
            <w:tcMar>
              <w:left w:w="28" w:type="dxa"/>
              <w:right w:w="28" w:type="dxa"/>
            </w:tcMar>
          </w:tcPr>
          <w:p w14:paraId="30AB3E32"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 xml:space="preserve">3. </w:t>
            </w:r>
            <m:oMath>
              <m:sSup>
                <m:sSupPr>
                  <m:ctrlPr>
                    <w:rPr>
                      <w:rFonts w:ascii="Cambria Math" w:eastAsiaTheme="minorHAnsi" w:hAnsi="Cambria Math"/>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M</m:t>
                  </m:r>
                </m:e>
                <m:sup>
                  <m:r>
                    <w:rPr>
                      <w:rFonts w:ascii="Cambria Math" w:eastAsiaTheme="minorHAnsi" w:hAnsi="Cambria Math"/>
                      <w:kern w:val="2"/>
                      <w:sz w:val="14"/>
                      <w:szCs w:val="14"/>
                      <w14:ligatures w14:val="standardContextual"/>
                    </w:rPr>
                    <m:t>z+1</m:t>
                  </m:r>
                </m:sup>
              </m:sSup>
              <m:r>
                <m:rPr>
                  <m:sty m:val="p"/>
                </m:rPr>
                <w:rPr>
                  <w:rFonts w:ascii="Cambria Math" w:eastAsiaTheme="minorHAnsi" w:hAnsi="Cambria Math"/>
                  <w:kern w:val="2"/>
                  <w:sz w:val="14"/>
                  <w:szCs w:val="14"/>
                  <w14:ligatures w14:val="standardContextual"/>
                </w:rPr>
                <m:t>OH + 2</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OH</m:t>
                  </m:r>
                </m:e>
                <m:sup>
                  <m:r>
                    <m:rPr>
                      <m:sty m:val="p"/>
                    </m:rPr>
                    <w:rPr>
                      <w:rFonts w:ascii="Cambria Math" w:eastAsiaTheme="minorHAnsi" w:hAnsi="Cambria Math"/>
                      <w:kern w:val="2"/>
                      <w:sz w:val="14"/>
                      <w:szCs w:val="14"/>
                      <w14:ligatures w14:val="standardContextual"/>
                    </w:rPr>
                    <m:t>-</m:t>
                  </m:r>
                </m:sup>
              </m:sSup>
              <m:r>
                <m:rPr>
                  <m:sty m:val="p"/>
                </m:rPr>
                <w:rPr>
                  <w:rFonts w:ascii="Cambria Math" w:eastAsiaTheme="minorHAnsi" w:hAnsi="Cambria Math"/>
                  <w:kern w:val="2"/>
                  <w:sz w:val="14"/>
                  <w:szCs w:val="14"/>
                  <w14:ligatures w14:val="standardContextual"/>
                </w:rPr>
                <m:t>→</m:t>
              </m:r>
              <m:sSup>
                <m:sSupPr>
                  <m:ctrlPr>
                    <w:rPr>
                      <w:rFonts w:ascii="Cambria Math" w:eastAsiaTheme="minorHAnsi" w:hAnsi="Cambria Math"/>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M</m:t>
                  </m:r>
                </m:e>
                <m:sup>
                  <m:r>
                    <w:rPr>
                      <w:rFonts w:ascii="Cambria Math" w:eastAsiaTheme="minorHAnsi" w:hAnsi="Cambria Math"/>
                      <w:kern w:val="2"/>
                      <w:sz w:val="14"/>
                      <w:szCs w:val="14"/>
                      <w14:ligatures w14:val="standardContextual"/>
                    </w:rPr>
                    <m:t>z</m:t>
                  </m:r>
                </m:sup>
              </m:sSup>
              <m:r>
                <m:rPr>
                  <m:sty m:val="p"/>
                </m:rPr>
                <w:rPr>
                  <w:rFonts w:ascii="Cambria Math" w:eastAsiaTheme="minorHAnsi" w:hAnsi="Cambria Math"/>
                  <w:kern w:val="2"/>
                  <w:sz w:val="14"/>
                  <w:szCs w:val="14"/>
                  <w14:ligatures w14:val="standardContextual"/>
                </w:rPr>
                <m:t xml:space="preserve">+ </m:t>
              </m:r>
              <m:sSub>
                <m:sSubPr>
                  <m:ctrlPr>
                    <w:rPr>
                      <w:rFonts w:ascii="Cambria Math" w:eastAsiaTheme="minorHAnsi" w:hAnsi="Cambria Math"/>
                      <w:kern w:val="2"/>
                      <w:sz w:val="14"/>
                      <w:szCs w:val="14"/>
                      <w14:ligatures w14:val="standardContextual"/>
                    </w:rPr>
                  </m:ctrlPr>
                </m:sSubPr>
                <m:e>
                  <m:r>
                    <m:rPr>
                      <m:sty m:val="p"/>
                    </m:rPr>
                    <w:rPr>
                      <w:rFonts w:ascii="Cambria Math" w:eastAsiaTheme="minorHAnsi" w:hAnsi="Cambria Math"/>
                      <w:kern w:val="2"/>
                      <w:sz w:val="14"/>
                      <w:szCs w:val="14"/>
                      <w14:ligatures w14:val="standardContextual"/>
                    </w:rPr>
                    <m:t>H</m:t>
                  </m:r>
                </m:e>
                <m:sub>
                  <m:r>
                    <m:rPr>
                      <m:sty m:val="p"/>
                    </m:rPr>
                    <w:rPr>
                      <w:rFonts w:ascii="Cambria Math" w:eastAsiaTheme="minorHAnsi" w:hAnsi="Cambria Math"/>
                      <w:kern w:val="2"/>
                      <w:sz w:val="14"/>
                      <w:szCs w:val="14"/>
                      <w14:ligatures w14:val="standardContextual"/>
                    </w:rPr>
                    <m:t>2</m:t>
                  </m:r>
                </m:sub>
              </m:sSub>
              <m:r>
                <m:rPr>
                  <m:sty m:val="p"/>
                </m:rPr>
                <w:rPr>
                  <w:rFonts w:ascii="Cambria Math" w:eastAsiaTheme="minorHAnsi" w:hAnsi="Cambria Math"/>
                  <w:kern w:val="2"/>
                  <w:sz w:val="14"/>
                  <w:szCs w:val="14"/>
                  <w14:ligatures w14:val="standardContextual"/>
                </w:rPr>
                <m:t xml:space="preserve">O+ </m:t>
              </m:r>
              <m:sSub>
                <m:sSubPr>
                  <m:ctrlPr>
                    <w:rPr>
                      <w:rFonts w:ascii="Cambria Math" w:eastAsiaTheme="minorHAnsi" w:hAnsi="Cambria Math"/>
                      <w:kern w:val="2"/>
                      <w:sz w:val="14"/>
                      <w:szCs w:val="14"/>
                      <w14:ligatures w14:val="standardContextual"/>
                    </w:rPr>
                  </m:ctrlPr>
                </m:sSubPr>
                <m:e>
                  <m:r>
                    <m:rPr>
                      <m:sty m:val="p"/>
                    </m:rPr>
                    <w:rPr>
                      <w:rFonts w:ascii="Cambria Math" w:eastAsiaTheme="minorHAnsi" w:hAnsi="Cambria Math"/>
                      <w:kern w:val="2"/>
                      <w:sz w:val="14"/>
                      <w:szCs w:val="14"/>
                      <w14:ligatures w14:val="standardContextual"/>
                    </w:rPr>
                    <m:t>O</m:t>
                  </m:r>
                </m:e>
                <m:sub>
                  <m:r>
                    <m:rPr>
                      <m:sty m:val="p"/>
                    </m:rPr>
                    <w:rPr>
                      <w:rFonts w:ascii="Cambria Math" w:eastAsiaTheme="minorHAnsi" w:hAnsi="Cambria Math"/>
                      <w:kern w:val="2"/>
                      <w:sz w:val="14"/>
                      <w:szCs w:val="14"/>
                      <w14:ligatures w14:val="standardContextual"/>
                    </w:rPr>
                    <m:t>2</m:t>
                  </m:r>
                </m:sub>
              </m:sSub>
            </m:oMath>
          </w:p>
        </w:tc>
        <w:tc>
          <w:tcPr>
            <w:tcW w:w="426" w:type="dxa"/>
            <w:tcMar>
              <w:left w:w="28" w:type="dxa"/>
              <w:right w:w="28" w:type="dxa"/>
            </w:tcMar>
          </w:tcPr>
          <w:p w14:paraId="347DD5C3"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708" w:type="dxa"/>
            <w:tcMar>
              <w:left w:w="28" w:type="dxa"/>
              <w:right w:w="28" w:type="dxa"/>
            </w:tcMar>
          </w:tcPr>
          <w:p w14:paraId="5A7E6C42"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/4</w:t>
            </w:r>
            <w:r w:rsidRPr="00780634">
              <w:rPr>
                <w:rFonts w:eastAsiaTheme="minorHAnsi"/>
                <w:i/>
                <w:iCs/>
                <w:kern w:val="2"/>
                <w:sz w:val="14"/>
                <w:szCs w:val="14"/>
                <w14:ligatures w14:val="standardContextual"/>
              </w:rPr>
              <w:t>F</w:t>
            </w:r>
          </w:p>
        </w:tc>
        <w:tc>
          <w:tcPr>
            <w:tcW w:w="709" w:type="dxa"/>
            <w:tcMar>
              <w:left w:w="28" w:type="dxa"/>
              <w:right w:w="28" w:type="dxa"/>
            </w:tcMar>
          </w:tcPr>
          <w:p w14:paraId="3F0C18B0" w14:textId="77777777" w:rsidR="00780634" w:rsidRPr="00780634" w:rsidRDefault="00780634" w:rsidP="00780634">
            <w:pPr>
              <w:jc w:val="center"/>
              <w:rPr>
                <w:rFonts w:eastAsiaTheme="minorHAnsi"/>
                <w:kern w:val="2"/>
                <w:sz w:val="14"/>
                <w:szCs w:val="14"/>
                <w14:ligatures w14:val="standardContextual"/>
              </w:rPr>
            </w:pPr>
            <m:oMathPara>
              <m:oMath>
                <m:r>
                  <w:rPr>
                    <w:rFonts w:ascii="Cambria Math" w:eastAsiaTheme="minorHAnsi" w:hAnsi="Cambria Math"/>
                    <w:kern w:val="2"/>
                    <w:sz w:val="14"/>
                    <w:szCs w:val="14"/>
                    <w14:ligatures w14:val="standardContextual"/>
                  </w:rPr>
                  <m:t>∞</m:t>
                </m:r>
              </m:oMath>
            </m:oMathPara>
          </w:p>
        </w:tc>
        <w:tc>
          <w:tcPr>
            <w:tcW w:w="709" w:type="dxa"/>
            <w:tcMar>
              <w:left w:w="28" w:type="dxa"/>
              <w:right w:w="28" w:type="dxa"/>
            </w:tcMar>
          </w:tcPr>
          <w:p w14:paraId="4E1BE351"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4</w:t>
            </w:r>
          </w:p>
        </w:tc>
        <w:tc>
          <w:tcPr>
            <w:tcW w:w="572" w:type="dxa"/>
            <w:gridSpan w:val="2"/>
            <w:tcMar>
              <w:left w:w="28" w:type="dxa"/>
              <w:right w:w="28" w:type="dxa"/>
            </w:tcMar>
          </w:tcPr>
          <w:p w14:paraId="1EEC69ED"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p>
        </w:tc>
        <w:tc>
          <w:tcPr>
            <w:tcW w:w="845" w:type="dxa"/>
            <w:gridSpan w:val="2"/>
            <w:tcMar>
              <w:left w:w="28" w:type="dxa"/>
              <w:right w:w="28" w:type="dxa"/>
            </w:tcMar>
          </w:tcPr>
          <w:p w14:paraId="6EA87838"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F</w:t>
            </w:r>
          </w:p>
        </w:tc>
        <w:tc>
          <w:tcPr>
            <w:tcW w:w="567" w:type="dxa"/>
            <w:tcMar>
              <w:left w:w="28" w:type="dxa"/>
              <w:right w:w="28" w:type="dxa"/>
            </w:tcMar>
          </w:tcPr>
          <w:p w14:paraId="5018F55A"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567" w:type="dxa"/>
            <w:tcMar>
              <w:left w:w="28" w:type="dxa"/>
              <w:right w:w="28" w:type="dxa"/>
            </w:tcMar>
          </w:tcPr>
          <w:p w14:paraId="68896505"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4</w:t>
            </w:r>
          </w:p>
        </w:tc>
        <w:tc>
          <w:tcPr>
            <w:tcW w:w="426" w:type="dxa"/>
            <w:tcMar>
              <w:left w:w="28" w:type="dxa"/>
              <w:right w:w="28" w:type="dxa"/>
            </w:tcMar>
          </w:tcPr>
          <w:p w14:paraId="79F55D29"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3</w:t>
            </w:r>
          </w:p>
        </w:tc>
        <w:tc>
          <w:tcPr>
            <w:tcW w:w="939" w:type="dxa"/>
            <w:gridSpan w:val="2"/>
            <w:tcMar>
              <w:left w:w="28" w:type="dxa"/>
              <w:right w:w="28" w:type="dxa"/>
            </w:tcMar>
          </w:tcPr>
          <w:p w14:paraId="5503E0C2" w14:textId="77777777" w:rsidR="00780634"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K</m:t>
                    </m:r>
                  </m:e>
                  <m:sub>
                    <m:r>
                      <w:rPr>
                        <w:rFonts w:ascii="Cambria Math" w:eastAsiaTheme="minorHAnsi" w:hAnsi="Cambria Math"/>
                        <w:kern w:val="2"/>
                        <w:sz w:val="14"/>
                        <w:szCs w:val="14"/>
                        <w14:ligatures w14:val="standardContextual"/>
                      </w:rPr>
                      <m:t>2</m:t>
                    </m:r>
                  </m:sub>
                </m:sSub>
                <m:r>
                  <w:rPr>
                    <w:rFonts w:ascii="Cambria Math" w:eastAsiaTheme="minorHAnsi" w:hAnsi="Cambria Math"/>
                    <w:kern w:val="2"/>
                    <w:sz w:val="14"/>
                    <w:szCs w:val="14"/>
                    <w14:ligatures w14:val="standardContextual"/>
                  </w:rPr>
                  <m:t xml:space="preserve"> ~ 1</m:t>
                </m:r>
              </m:oMath>
            </m:oMathPara>
          </w:p>
        </w:tc>
      </w:tr>
      <w:tr w:rsidR="00780634" w:rsidRPr="00780634" w14:paraId="6743F3F5" w14:textId="77777777" w:rsidTr="00B2471A">
        <w:tc>
          <w:tcPr>
            <w:tcW w:w="2830" w:type="dxa"/>
            <w:gridSpan w:val="2"/>
            <w:tcMar>
              <w:left w:w="28" w:type="dxa"/>
              <w:right w:w="28" w:type="dxa"/>
            </w:tcMar>
          </w:tcPr>
          <w:p w14:paraId="716732D5" w14:textId="77777777" w:rsidR="00780634" w:rsidRPr="00780634" w:rsidRDefault="00780634" w:rsidP="00780634">
            <w:pPr>
              <w:rPr>
                <w:rFonts w:eastAsiaTheme="minorHAnsi"/>
                <w:kern w:val="2"/>
                <w:sz w:val="14"/>
                <w:szCs w:val="14"/>
                <w14:ligatures w14:val="standardContextual"/>
              </w:rPr>
            </w:pPr>
          </w:p>
        </w:tc>
        <w:tc>
          <w:tcPr>
            <w:tcW w:w="426" w:type="dxa"/>
            <w:tcMar>
              <w:left w:w="28" w:type="dxa"/>
              <w:right w:w="28" w:type="dxa"/>
            </w:tcMar>
          </w:tcPr>
          <w:p w14:paraId="1F160FE4" w14:textId="77777777" w:rsidR="00780634" w:rsidRPr="00780634" w:rsidRDefault="00780634" w:rsidP="00780634">
            <w:pPr>
              <w:rPr>
                <w:rFonts w:eastAsiaTheme="minorHAnsi"/>
                <w:kern w:val="2"/>
                <w:sz w:val="14"/>
                <w:szCs w:val="14"/>
                <w14:ligatures w14:val="standardContextual"/>
              </w:rPr>
            </w:pPr>
          </w:p>
        </w:tc>
        <w:tc>
          <w:tcPr>
            <w:tcW w:w="708" w:type="dxa"/>
            <w:tcMar>
              <w:left w:w="28" w:type="dxa"/>
              <w:right w:w="28" w:type="dxa"/>
            </w:tcMar>
          </w:tcPr>
          <w:p w14:paraId="2C6C50B5"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5260F00B"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6BE5A9FD" w14:textId="77777777" w:rsidR="00780634" w:rsidRPr="00780634" w:rsidRDefault="00780634" w:rsidP="00780634">
            <w:pPr>
              <w:jc w:val="center"/>
              <w:rPr>
                <w:rFonts w:eastAsiaTheme="minorHAnsi"/>
                <w:kern w:val="2"/>
                <w:sz w:val="14"/>
                <w:szCs w:val="14"/>
                <w14:ligatures w14:val="standardContextual"/>
              </w:rPr>
            </w:pPr>
          </w:p>
        </w:tc>
        <w:tc>
          <w:tcPr>
            <w:tcW w:w="572" w:type="dxa"/>
            <w:gridSpan w:val="2"/>
            <w:tcMar>
              <w:left w:w="28" w:type="dxa"/>
              <w:right w:w="28" w:type="dxa"/>
            </w:tcMar>
          </w:tcPr>
          <w:p w14:paraId="64B74080" w14:textId="77777777" w:rsidR="00780634" w:rsidRPr="00780634" w:rsidRDefault="00780634" w:rsidP="00780634">
            <w:pPr>
              <w:jc w:val="center"/>
              <w:rPr>
                <w:rFonts w:eastAsiaTheme="minorHAnsi"/>
                <w:kern w:val="2"/>
                <w:sz w:val="14"/>
                <w:szCs w:val="14"/>
                <w14:ligatures w14:val="standardContextual"/>
              </w:rPr>
            </w:pPr>
          </w:p>
        </w:tc>
        <w:tc>
          <w:tcPr>
            <w:tcW w:w="845" w:type="dxa"/>
            <w:gridSpan w:val="2"/>
            <w:tcMar>
              <w:left w:w="28" w:type="dxa"/>
              <w:right w:w="28" w:type="dxa"/>
            </w:tcMar>
          </w:tcPr>
          <w:p w14:paraId="6532566C"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/4</w:t>
            </w:r>
            <w:r w:rsidRPr="00780634">
              <w:rPr>
                <w:rFonts w:eastAsiaTheme="minorHAnsi"/>
                <w:i/>
                <w:iCs/>
                <w:kern w:val="2"/>
                <w:sz w:val="14"/>
                <w:szCs w:val="14"/>
                <w14:ligatures w14:val="standardContextual"/>
              </w:rPr>
              <w:t>F</w:t>
            </w:r>
          </w:p>
        </w:tc>
        <w:tc>
          <w:tcPr>
            <w:tcW w:w="567" w:type="dxa"/>
            <w:tcMar>
              <w:left w:w="28" w:type="dxa"/>
              <w:right w:w="28" w:type="dxa"/>
            </w:tcMar>
          </w:tcPr>
          <w:p w14:paraId="572A6AF7"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/3</w:t>
            </w:r>
            <w:r w:rsidRPr="00780634">
              <w:rPr>
                <w:rFonts w:eastAsiaTheme="minorHAnsi"/>
                <w:i/>
                <w:iCs/>
                <w:kern w:val="2"/>
                <w:sz w:val="14"/>
                <w:szCs w:val="14"/>
                <w14:ligatures w14:val="standardContextual"/>
              </w:rPr>
              <w:t>F</w:t>
            </w:r>
          </w:p>
        </w:tc>
        <w:tc>
          <w:tcPr>
            <w:tcW w:w="567" w:type="dxa"/>
            <w:tcMar>
              <w:left w:w="28" w:type="dxa"/>
              <w:right w:w="28" w:type="dxa"/>
            </w:tcMar>
          </w:tcPr>
          <w:p w14:paraId="115657A1"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4</w:t>
            </w:r>
          </w:p>
        </w:tc>
        <w:tc>
          <w:tcPr>
            <w:tcW w:w="426" w:type="dxa"/>
            <w:tcMar>
              <w:left w:w="28" w:type="dxa"/>
              <w:right w:w="28" w:type="dxa"/>
            </w:tcMar>
          </w:tcPr>
          <w:p w14:paraId="386C836C"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3</w:t>
            </w:r>
          </w:p>
        </w:tc>
        <w:tc>
          <w:tcPr>
            <w:tcW w:w="939" w:type="dxa"/>
            <w:gridSpan w:val="2"/>
            <w:tcMar>
              <w:left w:w="28" w:type="dxa"/>
              <w:right w:w="28" w:type="dxa"/>
            </w:tcMar>
          </w:tcPr>
          <w:p w14:paraId="35FA8819" w14:textId="77777777" w:rsidR="00780634"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K</m:t>
                    </m:r>
                  </m:e>
                  <m:sub>
                    <m:r>
                      <w:rPr>
                        <w:rFonts w:ascii="Cambria Math" w:eastAsiaTheme="minorHAnsi" w:hAnsi="Cambria Math"/>
                        <w:kern w:val="2"/>
                        <w:sz w:val="14"/>
                        <w:szCs w:val="14"/>
                        <w14:ligatures w14:val="standardContextual"/>
                      </w:rPr>
                      <m:t>2</m:t>
                    </m:r>
                  </m:sub>
                </m:sSub>
                <m:r>
                  <w:rPr>
                    <w:rFonts w:ascii="Cambria Math" w:eastAsiaTheme="minorHAnsi" w:hAnsi="Cambria Math"/>
                    <w:kern w:val="2"/>
                    <w:sz w:val="14"/>
                    <w:szCs w:val="14"/>
                    <w14:ligatures w14:val="standardContextual"/>
                  </w:rPr>
                  <m:t>≪ 1</m:t>
                </m:r>
              </m:oMath>
            </m:oMathPara>
          </w:p>
        </w:tc>
      </w:tr>
      <w:tr w:rsidR="00780634" w:rsidRPr="00780634" w14:paraId="1C472295" w14:textId="77777777" w:rsidTr="00B2471A">
        <w:tc>
          <w:tcPr>
            <w:tcW w:w="2830" w:type="dxa"/>
            <w:gridSpan w:val="2"/>
            <w:tcMar>
              <w:left w:w="28" w:type="dxa"/>
              <w:right w:w="28" w:type="dxa"/>
            </w:tcMar>
          </w:tcPr>
          <w:p w14:paraId="34F2E5C8" w14:textId="77777777" w:rsidR="00780634" w:rsidRPr="00780634" w:rsidRDefault="00780634" w:rsidP="00780634">
            <w:pPr>
              <w:rPr>
                <w:rFonts w:eastAsiaTheme="minorHAnsi"/>
                <w:i/>
                <w:iCs/>
                <w:kern w:val="2"/>
                <w:sz w:val="14"/>
                <w:szCs w:val="14"/>
                <w14:ligatures w14:val="standardContextual"/>
              </w:rPr>
            </w:pPr>
            <w:r w:rsidRPr="00780634">
              <w:rPr>
                <w:rFonts w:eastAsiaTheme="minorHAnsi"/>
                <w:i/>
                <w:iCs/>
                <w:kern w:val="2"/>
                <w:sz w:val="14"/>
                <w:szCs w:val="14"/>
                <w14:ligatures w14:val="standardContextual"/>
              </w:rPr>
              <w:t xml:space="preserve">(V) </w:t>
            </w:r>
            <w:proofErr w:type="spellStart"/>
            <w:r w:rsidRPr="00780634">
              <w:rPr>
                <w:rFonts w:eastAsiaTheme="minorHAnsi"/>
                <w:i/>
                <w:iCs/>
                <w:kern w:val="2"/>
                <w:sz w:val="14"/>
                <w:szCs w:val="14"/>
                <w14:ligatures w14:val="standardContextual"/>
              </w:rPr>
              <w:t>Kobussen’s</w:t>
            </w:r>
            <w:proofErr w:type="spellEnd"/>
            <w:r w:rsidRPr="00780634">
              <w:rPr>
                <w:rFonts w:eastAsiaTheme="minorHAnsi"/>
                <w:i/>
                <w:iCs/>
                <w:kern w:val="2"/>
                <w:sz w:val="14"/>
                <w:szCs w:val="14"/>
                <w14:ligatures w14:val="standardContextual"/>
              </w:rPr>
              <w:t xml:space="preserve"> path</w:t>
            </w:r>
          </w:p>
        </w:tc>
        <w:tc>
          <w:tcPr>
            <w:tcW w:w="426" w:type="dxa"/>
            <w:tcMar>
              <w:left w:w="28" w:type="dxa"/>
              <w:right w:w="28" w:type="dxa"/>
            </w:tcMar>
          </w:tcPr>
          <w:p w14:paraId="6565F316" w14:textId="77777777" w:rsidR="00780634" w:rsidRPr="00780634" w:rsidRDefault="00780634" w:rsidP="00780634">
            <w:pPr>
              <w:rPr>
                <w:rFonts w:eastAsiaTheme="minorHAnsi"/>
                <w:kern w:val="2"/>
                <w:sz w:val="14"/>
                <w:szCs w:val="14"/>
                <w14:ligatures w14:val="standardContextual"/>
              </w:rPr>
            </w:pPr>
          </w:p>
        </w:tc>
        <w:tc>
          <w:tcPr>
            <w:tcW w:w="708" w:type="dxa"/>
            <w:tcMar>
              <w:left w:w="28" w:type="dxa"/>
              <w:right w:w="28" w:type="dxa"/>
            </w:tcMar>
          </w:tcPr>
          <w:p w14:paraId="132B6D22"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0406788A"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074AE8AE" w14:textId="77777777" w:rsidR="00780634" w:rsidRPr="00780634" w:rsidRDefault="00780634" w:rsidP="00780634">
            <w:pPr>
              <w:jc w:val="center"/>
              <w:rPr>
                <w:rFonts w:eastAsiaTheme="minorHAnsi"/>
                <w:kern w:val="2"/>
                <w:sz w:val="14"/>
                <w:szCs w:val="14"/>
                <w14:ligatures w14:val="standardContextual"/>
              </w:rPr>
            </w:pPr>
          </w:p>
        </w:tc>
        <w:tc>
          <w:tcPr>
            <w:tcW w:w="572" w:type="dxa"/>
            <w:gridSpan w:val="2"/>
            <w:tcMar>
              <w:left w:w="28" w:type="dxa"/>
              <w:right w:w="28" w:type="dxa"/>
            </w:tcMar>
          </w:tcPr>
          <w:p w14:paraId="5FCD0492" w14:textId="77777777" w:rsidR="00780634" w:rsidRPr="00780634" w:rsidRDefault="00780634" w:rsidP="00780634">
            <w:pPr>
              <w:jc w:val="center"/>
              <w:rPr>
                <w:rFonts w:eastAsiaTheme="minorHAnsi"/>
                <w:kern w:val="2"/>
                <w:sz w:val="14"/>
                <w:szCs w:val="14"/>
                <w14:ligatures w14:val="standardContextual"/>
              </w:rPr>
            </w:pPr>
          </w:p>
        </w:tc>
        <w:tc>
          <w:tcPr>
            <w:tcW w:w="845" w:type="dxa"/>
            <w:gridSpan w:val="2"/>
            <w:tcMar>
              <w:left w:w="28" w:type="dxa"/>
              <w:right w:w="28" w:type="dxa"/>
            </w:tcMar>
          </w:tcPr>
          <w:p w14:paraId="57353911" w14:textId="77777777" w:rsidR="00780634" w:rsidRPr="00780634" w:rsidRDefault="00780634" w:rsidP="00780634">
            <w:pPr>
              <w:jc w:val="center"/>
              <w:rPr>
                <w:rFonts w:eastAsiaTheme="minorHAnsi"/>
                <w:kern w:val="2"/>
                <w:sz w:val="14"/>
                <w:szCs w:val="14"/>
                <w14:ligatures w14:val="standardContextual"/>
              </w:rPr>
            </w:pPr>
          </w:p>
        </w:tc>
        <w:tc>
          <w:tcPr>
            <w:tcW w:w="567" w:type="dxa"/>
            <w:tcMar>
              <w:left w:w="28" w:type="dxa"/>
              <w:right w:w="28" w:type="dxa"/>
            </w:tcMar>
          </w:tcPr>
          <w:p w14:paraId="2FDB2DD3" w14:textId="77777777" w:rsidR="00780634" w:rsidRPr="00780634" w:rsidRDefault="00780634" w:rsidP="00780634">
            <w:pPr>
              <w:jc w:val="center"/>
              <w:rPr>
                <w:rFonts w:eastAsiaTheme="minorHAnsi"/>
                <w:kern w:val="2"/>
                <w:sz w:val="14"/>
                <w:szCs w:val="14"/>
                <w14:ligatures w14:val="standardContextual"/>
              </w:rPr>
            </w:pPr>
          </w:p>
        </w:tc>
        <w:tc>
          <w:tcPr>
            <w:tcW w:w="567" w:type="dxa"/>
            <w:tcMar>
              <w:left w:w="28" w:type="dxa"/>
              <w:right w:w="28" w:type="dxa"/>
            </w:tcMar>
          </w:tcPr>
          <w:p w14:paraId="0679B9AB" w14:textId="77777777" w:rsidR="00780634" w:rsidRPr="00780634" w:rsidRDefault="00780634" w:rsidP="00780634">
            <w:pPr>
              <w:jc w:val="center"/>
              <w:rPr>
                <w:rFonts w:eastAsiaTheme="minorHAnsi"/>
                <w:kern w:val="2"/>
                <w:sz w:val="14"/>
                <w:szCs w:val="14"/>
                <w14:ligatures w14:val="standardContextual"/>
              </w:rPr>
            </w:pPr>
          </w:p>
        </w:tc>
        <w:tc>
          <w:tcPr>
            <w:tcW w:w="426" w:type="dxa"/>
            <w:tcMar>
              <w:left w:w="28" w:type="dxa"/>
              <w:right w:w="28" w:type="dxa"/>
            </w:tcMar>
          </w:tcPr>
          <w:p w14:paraId="06D48993" w14:textId="77777777" w:rsidR="00780634" w:rsidRPr="00780634" w:rsidRDefault="00780634" w:rsidP="00780634">
            <w:pPr>
              <w:jc w:val="center"/>
              <w:rPr>
                <w:rFonts w:eastAsiaTheme="minorHAnsi"/>
                <w:kern w:val="2"/>
                <w:sz w:val="14"/>
                <w:szCs w:val="14"/>
                <w14:ligatures w14:val="standardContextual"/>
              </w:rPr>
            </w:pPr>
          </w:p>
        </w:tc>
        <w:tc>
          <w:tcPr>
            <w:tcW w:w="939" w:type="dxa"/>
            <w:gridSpan w:val="2"/>
            <w:tcMar>
              <w:left w:w="28" w:type="dxa"/>
              <w:right w:w="28" w:type="dxa"/>
            </w:tcMar>
          </w:tcPr>
          <w:p w14:paraId="22AE8593" w14:textId="77777777" w:rsidR="00780634" w:rsidRPr="00780634" w:rsidRDefault="00780634" w:rsidP="00780634">
            <w:pPr>
              <w:jc w:val="center"/>
              <w:rPr>
                <w:rFonts w:eastAsiaTheme="minorHAnsi"/>
                <w:kern w:val="2"/>
                <w:sz w:val="14"/>
                <w:szCs w:val="14"/>
                <w14:ligatures w14:val="standardContextual"/>
              </w:rPr>
            </w:pPr>
          </w:p>
        </w:tc>
      </w:tr>
      <w:tr w:rsidR="00780634" w:rsidRPr="00780634" w14:paraId="788F4BA3" w14:textId="77777777" w:rsidTr="00B2471A">
        <w:tc>
          <w:tcPr>
            <w:tcW w:w="2830" w:type="dxa"/>
            <w:gridSpan w:val="2"/>
            <w:tcMar>
              <w:left w:w="28" w:type="dxa"/>
              <w:right w:w="28" w:type="dxa"/>
            </w:tcMar>
          </w:tcPr>
          <w:p w14:paraId="70068139"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 xml:space="preserve">1. </w:t>
            </w:r>
            <m:oMath>
              <m:r>
                <m:rPr>
                  <m:sty m:val="p"/>
                </m:rPr>
                <w:rPr>
                  <w:rFonts w:ascii="Cambria Math" w:eastAsiaTheme="minorHAnsi" w:hAnsi="Cambria Math"/>
                  <w:kern w:val="2"/>
                  <w:sz w:val="14"/>
                  <w:szCs w:val="14"/>
                  <w14:ligatures w14:val="standardContextual"/>
                </w:rPr>
                <m:t xml:space="preserve">M+ </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OH</m:t>
                  </m:r>
                </m:e>
                <m:sup>
                  <m:r>
                    <m:rPr>
                      <m:sty m:val="p"/>
                    </m:rPr>
                    <w:rPr>
                      <w:rFonts w:ascii="Cambria Math" w:eastAsiaTheme="minorHAnsi" w:hAnsi="Cambria Math"/>
                      <w:kern w:val="2"/>
                      <w:sz w:val="14"/>
                      <w:szCs w:val="14"/>
                      <w14:ligatures w14:val="standardContextual"/>
                    </w:rPr>
                    <m:t>-</m:t>
                  </m:r>
                </m:sup>
              </m:sSup>
              <m:r>
                <m:rPr>
                  <m:sty m:val="p"/>
                </m:rPr>
                <w:rPr>
                  <w:rFonts w:ascii="Cambria Math" w:eastAsiaTheme="minorHAnsi" w:hAnsi="Cambria Math"/>
                  <w:kern w:val="2"/>
                  <w:sz w:val="14"/>
                  <w:szCs w:val="14"/>
                  <w14:ligatures w14:val="standardContextual"/>
                </w:rPr>
                <m:t xml:space="preserve"> →MOH+ </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e</m:t>
                  </m:r>
                </m:e>
                <m:sup>
                  <m:r>
                    <m:rPr>
                      <m:sty m:val="p"/>
                    </m:rPr>
                    <w:rPr>
                      <w:rFonts w:ascii="Cambria Math" w:eastAsiaTheme="minorHAnsi" w:hAnsi="Cambria Math"/>
                      <w:kern w:val="2"/>
                      <w:sz w:val="14"/>
                      <w:szCs w:val="14"/>
                      <w14:ligatures w14:val="standardContextual"/>
                    </w:rPr>
                    <m:t>-</m:t>
                  </m:r>
                </m:sup>
              </m:sSup>
            </m:oMath>
          </w:p>
        </w:tc>
        <w:tc>
          <w:tcPr>
            <w:tcW w:w="426" w:type="dxa"/>
            <w:tcMar>
              <w:left w:w="28" w:type="dxa"/>
              <w:right w:w="28" w:type="dxa"/>
            </w:tcMar>
          </w:tcPr>
          <w:p w14:paraId="44985268"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708" w:type="dxa"/>
            <w:tcMar>
              <w:left w:w="28" w:type="dxa"/>
              <w:right w:w="28" w:type="dxa"/>
            </w:tcMar>
          </w:tcPr>
          <w:p w14:paraId="229E2C6F"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709" w:type="dxa"/>
            <w:tcMar>
              <w:left w:w="28" w:type="dxa"/>
              <w:right w:w="28" w:type="dxa"/>
            </w:tcMar>
          </w:tcPr>
          <w:p w14:paraId="291B7132"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1CD260F6"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572" w:type="dxa"/>
            <w:gridSpan w:val="2"/>
            <w:tcMar>
              <w:left w:w="28" w:type="dxa"/>
              <w:right w:w="28" w:type="dxa"/>
            </w:tcMar>
          </w:tcPr>
          <w:p w14:paraId="4DDE7005" w14:textId="77777777" w:rsidR="00780634" w:rsidRPr="00780634" w:rsidRDefault="00780634" w:rsidP="00780634">
            <w:pPr>
              <w:jc w:val="center"/>
              <w:rPr>
                <w:rFonts w:eastAsiaTheme="minorHAnsi"/>
                <w:kern w:val="2"/>
                <w:sz w:val="14"/>
                <w:szCs w:val="14"/>
                <w14:ligatures w14:val="standardContextual"/>
              </w:rPr>
            </w:pPr>
          </w:p>
        </w:tc>
        <w:tc>
          <w:tcPr>
            <w:tcW w:w="845" w:type="dxa"/>
            <w:gridSpan w:val="2"/>
            <w:tcMar>
              <w:left w:w="28" w:type="dxa"/>
              <w:right w:w="28" w:type="dxa"/>
            </w:tcMar>
          </w:tcPr>
          <w:p w14:paraId="697C4190" w14:textId="77777777" w:rsidR="00780634" w:rsidRPr="00780634" w:rsidRDefault="00780634" w:rsidP="00780634">
            <w:pPr>
              <w:jc w:val="center"/>
              <w:rPr>
                <w:rFonts w:eastAsiaTheme="minorHAnsi"/>
                <w:kern w:val="2"/>
                <w:sz w:val="14"/>
                <w:szCs w:val="14"/>
                <w14:ligatures w14:val="standardContextual"/>
              </w:rPr>
            </w:pPr>
          </w:p>
        </w:tc>
        <w:tc>
          <w:tcPr>
            <w:tcW w:w="567" w:type="dxa"/>
            <w:tcMar>
              <w:left w:w="28" w:type="dxa"/>
              <w:right w:w="28" w:type="dxa"/>
            </w:tcMar>
          </w:tcPr>
          <w:p w14:paraId="5EEC11AB" w14:textId="77777777" w:rsidR="00780634" w:rsidRPr="00780634" w:rsidRDefault="00780634" w:rsidP="00780634">
            <w:pPr>
              <w:jc w:val="center"/>
              <w:rPr>
                <w:rFonts w:eastAsiaTheme="minorHAnsi"/>
                <w:kern w:val="2"/>
                <w:sz w:val="14"/>
                <w:szCs w:val="14"/>
                <w14:ligatures w14:val="standardContextual"/>
              </w:rPr>
            </w:pPr>
          </w:p>
        </w:tc>
        <w:tc>
          <w:tcPr>
            <w:tcW w:w="567" w:type="dxa"/>
            <w:tcMar>
              <w:left w:w="28" w:type="dxa"/>
              <w:right w:w="28" w:type="dxa"/>
            </w:tcMar>
          </w:tcPr>
          <w:p w14:paraId="216EBD97" w14:textId="77777777" w:rsidR="00780634" w:rsidRPr="00780634" w:rsidRDefault="00780634" w:rsidP="00780634">
            <w:pPr>
              <w:jc w:val="center"/>
              <w:rPr>
                <w:rFonts w:eastAsiaTheme="minorHAnsi"/>
                <w:kern w:val="2"/>
                <w:sz w:val="14"/>
                <w:szCs w:val="14"/>
                <w14:ligatures w14:val="standardContextual"/>
              </w:rPr>
            </w:pPr>
          </w:p>
        </w:tc>
        <w:tc>
          <w:tcPr>
            <w:tcW w:w="426" w:type="dxa"/>
            <w:tcMar>
              <w:left w:w="28" w:type="dxa"/>
              <w:right w:w="28" w:type="dxa"/>
            </w:tcMar>
          </w:tcPr>
          <w:p w14:paraId="306C15FC" w14:textId="77777777" w:rsidR="00780634" w:rsidRPr="00780634" w:rsidRDefault="00780634" w:rsidP="00780634">
            <w:pPr>
              <w:jc w:val="center"/>
              <w:rPr>
                <w:rFonts w:eastAsiaTheme="minorHAnsi"/>
                <w:kern w:val="2"/>
                <w:sz w:val="14"/>
                <w:szCs w:val="14"/>
                <w14:ligatures w14:val="standardContextual"/>
              </w:rPr>
            </w:pPr>
          </w:p>
        </w:tc>
        <w:tc>
          <w:tcPr>
            <w:tcW w:w="939" w:type="dxa"/>
            <w:gridSpan w:val="2"/>
            <w:tcMar>
              <w:left w:w="28" w:type="dxa"/>
              <w:right w:w="28" w:type="dxa"/>
            </w:tcMar>
          </w:tcPr>
          <w:p w14:paraId="3D942D01" w14:textId="77777777" w:rsidR="00780634" w:rsidRPr="00780634" w:rsidRDefault="00780634" w:rsidP="00780634">
            <w:pPr>
              <w:jc w:val="center"/>
              <w:rPr>
                <w:rFonts w:eastAsiaTheme="minorHAnsi"/>
                <w:kern w:val="2"/>
                <w:sz w:val="14"/>
                <w:szCs w:val="14"/>
                <w14:ligatures w14:val="standardContextual"/>
              </w:rPr>
            </w:pPr>
          </w:p>
        </w:tc>
      </w:tr>
      <w:tr w:rsidR="00F47166" w:rsidRPr="00780634" w14:paraId="64AB3C3A" w14:textId="77777777" w:rsidTr="00755418">
        <w:tc>
          <w:tcPr>
            <w:tcW w:w="2830" w:type="dxa"/>
            <w:gridSpan w:val="2"/>
            <w:tcMar>
              <w:left w:w="28" w:type="dxa"/>
              <w:right w:w="28" w:type="dxa"/>
            </w:tcMar>
          </w:tcPr>
          <w:p w14:paraId="2C55A8F9" w14:textId="77777777" w:rsidR="00F47166" w:rsidRPr="00780634" w:rsidRDefault="00F47166"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 xml:space="preserve">2. </w:t>
            </w:r>
            <m:oMath>
              <m:r>
                <m:rPr>
                  <m:sty m:val="p"/>
                </m:rPr>
                <w:rPr>
                  <w:rFonts w:ascii="Cambria Math" w:eastAsiaTheme="minorHAnsi" w:hAnsi="Cambria Math"/>
                  <w:kern w:val="2"/>
                  <w:sz w:val="14"/>
                  <w:szCs w:val="14"/>
                  <w14:ligatures w14:val="standardContextual"/>
                </w:rPr>
                <m:t xml:space="preserve">MOH + </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OH</m:t>
                  </m:r>
                </m:e>
                <m:sup>
                  <m:r>
                    <m:rPr>
                      <m:sty m:val="p"/>
                    </m:rPr>
                    <w:rPr>
                      <w:rFonts w:ascii="Cambria Math" w:eastAsiaTheme="minorHAnsi" w:hAnsi="Cambria Math"/>
                      <w:kern w:val="2"/>
                      <w:sz w:val="14"/>
                      <w:szCs w:val="14"/>
                      <w14:ligatures w14:val="standardContextual"/>
                    </w:rPr>
                    <m:t>-</m:t>
                  </m:r>
                </m:sup>
              </m:sSup>
              <m:r>
                <m:rPr>
                  <m:sty m:val="p"/>
                </m:rPr>
                <w:rPr>
                  <w:rFonts w:ascii="Cambria Math" w:eastAsiaTheme="minorHAnsi" w:hAnsi="Cambria Math"/>
                  <w:kern w:val="2"/>
                  <w:sz w:val="14"/>
                  <w:szCs w:val="14"/>
                  <w14:ligatures w14:val="standardContextual"/>
                </w:rPr>
                <m:t xml:space="preserve"> →MO+ </m:t>
              </m:r>
              <m:sSub>
                <m:sSubPr>
                  <m:ctrlPr>
                    <w:rPr>
                      <w:rFonts w:ascii="Cambria Math" w:eastAsiaTheme="minorHAnsi" w:hAnsi="Cambria Math"/>
                      <w:kern w:val="2"/>
                      <w:sz w:val="14"/>
                      <w:szCs w:val="14"/>
                      <w14:ligatures w14:val="standardContextual"/>
                    </w:rPr>
                  </m:ctrlPr>
                </m:sSubPr>
                <m:e>
                  <m:r>
                    <m:rPr>
                      <m:sty m:val="p"/>
                    </m:rPr>
                    <w:rPr>
                      <w:rFonts w:ascii="Cambria Math" w:eastAsiaTheme="minorHAnsi" w:hAnsi="Cambria Math"/>
                      <w:kern w:val="2"/>
                      <w:sz w:val="14"/>
                      <w:szCs w:val="14"/>
                      <w14:ligatures w14:val="standardContextual"/>
                    </w:rPr>
                    <m:t>H</m:t>
                  </m:r>
                </m:e>
                <m:sub>
                  <m:r>
                    <m:rPr>
                      <m:sty m:val="p"/>
                    </m:rPr>
                    <w:rPr>
                      <w:rFonts w:ascii="Cambria Math" w:eastAsiaTheme="minorHAnsi" w:hAnsi="Cambria Math"/>
                      <w:kern w:val="2"/>
                      <w:sz w:val="14"/>
                      <w:szCs w:val="14"/>
                      <w14:ligatures w14:val="standardContextual"/>
                    </w:rPr>
                    <m:t>2</m:t>
                  </m:r>
                </m:sub>
              </m:sSub>
              <m:r>
                <m:rPr>
                  <m:sty m:val="p"/>
                </m:rPr>
                <w:rPr>
                  <w:rFonts w:ascii="Cambria Math" w:eastAsiaTheme="minorHAnsi" w:hAnsi="Cambria Math"/>
                  <w:kern w:val="2"/>
                  <w:sz w:val="14"/>
                  <w:szCs w:val="14"/>
                  <w14:ligatures w14:val="standardContextual"/>
                </w:rPr>
                <m:t xml:space="preserve">O+ </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e</m:t>
                  </m:r>
                </m:e>
                <m:sup>
                  <m:r>
                    <m:rPr>
                      <m:sty m:val="p"/>
                    </m:rPr>
                    <w:rPr>
                      <w:rFonts w:ascii="Cambria Math" w:eastAsiaTheme="minorHAnsi" w:hAnsi="Cambria Math"/>
                      <w:kern w:val="2"/>
                      <w:sz w:val="14"/>
                      <w:szCs w:val="14"/>
                      <w14:ligatures w14:val="standardContextual"/>
                    </w:rPr>
                    <m:t>-</m:t>
                  </m:r>
                </m:sup>
              </m:sSup>
            </m:oMath>
          </w:p>
        </w:tc>
        <w:tc>
          <w:tcPr>
            <w:tcW w:w="426" w:type="dxa"/>
            <w:tcMar>
              <w:left w:w="28" w:type="dxa"/>
              <w:right w:w="28" w:type="dxa"/>
            </w:tcMar>
          </w:tcPr>
          <w:p w14:paraId="6D401C90" w14:textId="77777777" w:rsidR="00F47166" w:rsidRPr="00780634" w:rsidRDefault="00F47166"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708" w:type="dxa"/>
            <w:tcMar>
              <w:left w:w="28" w:type="dxa"/>
              <w:right w:w="28" w:type="dxa"/>
            </w:tcMar>
          </w:tcPr>
          <w:p w14:paraId="4F94C4C9"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/3</w:t>
            </w:r>
            <w:r w:rsidRPr="00780634">
              <w:rPr>
                <w:rFonts w:eastAsiaTheme="minorHAnsi"/>
                <w:i/>
                <w:iCs/>
                <w:kern w:val="2"/>
                <w:sz w:val="14"/>
                <w:szCs w:val="14"/>
                <w14:ligatures w14:val="standardContextual"/>
              </w:rPr>
              <w:t>F</w:t>
            </w:r>
          </w:p>
        </w:tc>
        <w:tc>
          <w:tcPr>
            <w:tcW w:w="709" w:type="dxa"/>
            <w:tcMar>
              <w:left w:w="28" w:type="dxa"/>
              <w:right w:w="28" w:type="dxa"/>
            </w:tcMar>
          </w:tcPr>
          <w:p w14:paraId="194E3242"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/3</w:t>
            </w:r>
            <w:r w:rsidRPr="00780634">
              <w:rPr>
                <w:rFonts w:eastAsiaTheme="minorHAnsi"/>
                <w:i/>
                <w:iCs/>
                <w:kern w:val="2"/>
                <w:sz w:val="14"/>
                <w:szCs w:val="14"/>
                <w14:ligatures w14:val="standardContextual"/>
              </w:rPr>
              <w:t>F</w:t>
            </w:r>
          </w:p>
        </w:tc>
        <w:tc>
          <w:tcPr>
            <w:tcW w:w="709" w:type="dxa"/>
            <w:tcMar>
              <w:left w:w="28" w:type="dxa"/>
              <w:right w:w="28" w:type="dxa"/>
            </w:tcMar>
          </w:tcPr>
          <w:p w14:paraId="67EABC48"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p>
        </w:tc>
        <w:tc>
          <w:tcPr>
            <w:tcW w:w="572" w:type="dxa"/>
            <w:gridSpan w:val="2"/>
            <w:tcMar>
              <w:left w:w="28" w:type="dxa"/>
              <w:right w:w="28" w:type="dxa"/>
            </w:tcMar>
          </w:tcPr>
          <w:p w14:paraId="3345F9BD"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1412" w:type="dxa"/>
            <w:gridSpan w:val="3"/>
            <w:tcMar>
              <w:left w:w="28" w:type="dxa"/>
              <w:right w:w="28" w:type="dxa"/>
            </w:tcMar>
          </w:tcPr>
          <w:p w14:paraId="43F004E0" w14:textId="3DF05CD9"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993" w:type="dxa"/>
            <w:gridSpan w:val="2"/>
            <w:tcMar>
              <w:left w:w="28" w:type="dxa"/>
              <w:right w:w="28" w:type="dxa"/>
            </w:tcMar>
          </w:tcPr>
          <w:p w14:paraId="650A34D9" w14:textId="768B0DF2"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939" w:type="dxa"/>
            <w:gridSpan w:val="2"/>
            <w:tcMar>
              <w:left w:w="28" w:type="dxa"/>
              <w:right w:w="28" w:type="dxa"/>
            </w:tcMar>
          </w:tcPr>
          <w:p w14:paraId="539A61EA" w14:textId="77777777" w:rsidR="00F47166"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r</m:t>
                    </m:r>
                  </m:e>
                  <m:sub>
                    <m:r>
                      <w:rPr>
                        <w:rFonts w:ascii="Cambria Math" w:eastAsiaTheme="minorHAnsi" w:hAnsi="Cambria Math"/>
                        <w:kern w:val="2"/>
                        <w:sz w:val="14"/>
                        <w:szCs w:val="14"/>
                        <w14:ligatures w14:val="standardContextual"/>
                      </w:rPr>
                      <m:t>OH</m:t>
                    </m:r>
                  </m:sub>
                </m:sSub>
                <m:r>
                  <w:rPr>
                    <w:rFonts w:ascii="Cambria Math" w:eastAsiaTheme="minorHAnsi" w:hAnsi="Cambria Math"/>
                    <w:kern w:val="2"/>
                    <w:sz w:val="14"/>
                    <w:szCs w:val="14"/>
                    <w14:ligatures w14:val="standardContextual"/>
                  </w:rPr>
                  <m:t xml:space="preserve"> ~ </m:t>
                </m:r>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r</m:t>
                    </m:r>
                  </m:e>
                  <m:sub>
                    <m:r>
                      <w:rPr>
                        <w:rFonts w:ascii="Cambria Math" w:eastAsiaTheme="minorHAnsi" w:hAnsi="Cambria Math"/>
                        <w:kern w:val="2"/>
                        <w:sz w:val="14"/>
                        <w:szCs w:val="14"/>
                        <w14:ligatures w14:val="standardContextual"/>
                      </w:rPr>
                      <m:t>O</m:t>
                    </m:r>
                  </m:sub>
                </m:sSub>
              </m:oMath>
            </m:oMathPara>
          </w:p>
        </w:tc>
      </w:tr>
      <w:tr w:rsidR="00F47166" w:rsidRPr="00780634" w14:paraId="437A304F" w14:textId="77777777" w:rsidTr="003C18BC">
        <w:tc>
          <w:tcPr>
            <w:tcW w:w="2830" w:type="dxa"/>
            <w:gridSpan w:val="2"/>
            <w:tcMar>
              <w:left w:w="28" w:type="dxa"/>
              <w:right w:w="28" w:type="dxa"/>
            </w:tcMar>
          </w:tcPr>
          <w:p w14:paraId="18325E54" w14:textId="77777777" w:rsidR="00F47166" w:rsidRPr="00780634" w:rsidRDefault="00F47166" w:rsidP="00780634">
            <w:pPr>
              <w:rPr>
                <w:rFonts w:eastAsiaTheme="minorHAnsi"/>
                <w:kern w:val="2"/>
                <w:sz w:val="14"/>
                <w:szCs w:val="14"/>
                <w14:ligatures w14:val="standardContextual"/>
              </w:rPr>
            </w:pPr>
          </w:p>
        </w:tc>
        <w:tc>
          <w:tcPr>
            <w:tcW w:w="426" w:type="dxa"/>
            <w:tcMar>
              <w:left w:w="28" w:type="dxa"/>
              <w:right w:w="28" w:type="dxa"/>
            </w:tcMar>
          </w:tcPr>
          <w:p w14:paraId="5F598D83" w14:textId="77777777" w:rsidR="00F47166" w:rsidRPr="00780634" w:rsidRDefault="00F47166" w:rsidP="00780634">
            <w:pPr>
              <w:rPr>
                <w:rFonts w:eastAsiaTheme="minorHAnsi"/>
                <w:kern w:val="2"/>
                <w:sz w:val="14"/>
                <w:szCs w:val="14"/>
                <w14:ligatures w14:val="standardContextual"/>
              </w:rPr>
            </w:pPr>
          </w:p>
        </w:tc>
        <w:tc>
          <w:tcPr>
            <w:tcW w:w="708" w:type="dxa"/>
            <w:tcMar>
              <w:left w:w="28" w:type="dxa"/>
              <w:right w:w="28" w:type="dxa"/>
            </w:tcMar>
          </w:tcPr>
          <w:p w14:paraId="0996C1FF" w14:textId="77777777" w:rsidR="00F47166" w:rsidRPr="00780634" w:rsidRDefault="00F47166" w:rsidP="00780634">
            <w:pPr>
              <w:jc w:val="center"/>
              <w:rPr>
                <w:rFonts w:eastAsiaTheme="minorHAnsi"/>
                <w:kern w:val="2"/>
                <w:sz w:val="14"/>
                <w:szCs w:val="14"/>
                <w14:ligatures w14:val="standardContextual"/>
              </w:rPr>
            </w:pPr>
          </w:p>
        </w:tc>
        <w:tc>
          <w:tcPr>
            <w:tcW w:w="709" w:type="dxa"/>
            <w:tcMar>
              <w:left w:w="28" w:type="dxa"/>
              <w:right w:w="28" w:type="dxa"/>
            </w:tcMar>
          </w:tcPr>
          <w:p w14:paraId="779CFA39" w14:textId="77777777" w:rsidR="00F47166" w:rsidRPr="00780634" w:rsidRDefault="00F47166" w:rsidP="00780634">
            <w:pPr>
              <w:jc w:val="center"/>
              <w:rPr>
                <w:rFonts w:eastAsiaTheme="minorHAnsi"/>
                <w:kern w:val="2"/>
                <w:sz w:val="14"/>
                <w:szCs w:val="14"/>
                <w14:ligatures w14:val="standardContextual"/>
              </w:rPr>
            </w:pPr>
          </w:p>
        </w:tc>
        <w:tc>
          <w:tcPr>
            <w:tcW w:w="709" w:type="dxa"/>
            <w:tcMar>
              <w:left w:w="28" w:type="dxa"/>
              <w:right w:w="28" w:type="dxa"/>
            </w:tcMar>
          </w:tcPr>
          <w:p w14:paraId="5C384B73" w14:textId="77777777" w:rsidR="00F47166" w:rsidRPr="00780634" w:rsidRDefault="00F47166" w:rsidP="00780634">
            <w:pPr>
              <w:jc w:val="center"/>
              <w:rPr>
                <w:rFonts w:eastAsiaTheme="minorHAnsi"/>
                <w:kern w:val="2"/>
                <w:sz w:val="14"/>
                <w:szCs w:val="14"/>
                <w14:ligatures w14:val="standardContextual"/>
              </w:rPr>
            </w:pPr>
          </w:p>
        </w:tc>
        <w:tc>
          <w:tcPr>
            <w:tcW w:w="572" w:type="dxa"/>
            <w:gridSpan w:val="2"/>
            <w:tcMar>
              <w:left w:w="28" w:type="dxa"/>
              <w:right w:w="28" w:type="dxa"/>
            </w:tcMar>
          </w:tcPr>
          <w:p w14:paraId="76B36672" w14:textId="77777777" w:rsidR="00F47166" w:rsidRPr="00780634" w:rsidRDefault="00F47166" w:rsidP="00780634">
            <w:pPr>
              <w:jc w:val="center"/>
              <w:rPr>
                <w:rFonts w:eastAsiaTheme="minorHAnsi"/>
                <w:kern w:val="2"/>
                <w:sz w:val="14"/>
                <w:szCs w:val="14"/>
                <w14:ligatures w14:val="standardContextual"/>
              </w:rPr>
            </w:pPr>
          </w:p>
        </w:tc>
        <w:tc>
          <w:tcPr>
            <w:tcW w:w="1412" w:type="dxa"/>
            <w:gridSpan w:val="3"/>
            <w:tcMar>
              <w:left w:w="28" w:type="dxa"/>
              <w:right w:w="28" w:type="dxa"/>
            </w:tcMar>
          </w:tcPr>
          <w:p w14:paraId="2B7314E8" w14:textId="363DBF90" w:rsidR="00F47166" w:rsidRPr="00780634" w:rsidRDefault="00F47166"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993" w:type="dxa"/>
            <w:gridSpan w:val="2"/>
            <w:tcMar>
              <w:left w:w="28" w:type="dxa"/>
              <w:right w:w="28" w:type="dxa"/>
            </w:tcMar>
          </w:tcPr>
          <w:p w14:paraId="0C102F84" w14:textId="171BAEFD"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1.5</w:t>
            </w:r>
          </w:p>
        </w:tc>
        <w:tc>
          <w:tcPr>
            <w:tcW w:w="939" w:type="dxa"/>
            <w:gridSpan w:val="2"/>
            <w:tcMar>
              <w:left w:w="28" w:type="dxa"/>
              <w:right w:w="28" w:type="dxa"/>
            </w:tcMar>
          </w:tcPr>
          <w:p w14:paraId="63FB8716" w14:textId="77777777" w:rsidR="00F47166"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r</m:t>
                    </m:r>
                  </m:e>
                  <m:sub>
                    <m:r>
                      <w:rPr>
                        <w:rFonts w:ascii="Cambria Math" w:eastAsiaTheme="minorHAnsi" w:hAnsi="Cambria Math"/>
                        <w:kern w:val="2"/>
                        <w:sz w:val="14"/>
                        <w:szCs w:val="14"/>
                        <w14:ligatures w14:val="standardContextual"/>
                      </w:rPr>
                      <m:t>OH</m:t>
                    </m:r>
                  </m:sub>
                </m:sSub>
                <m:r>
                  <w:rPr>
                    <w:rFonts w:ascii="Cambria Math" w:eastAsiaTheme="minorHAnsi" w:hAnsi="Cambria Math"/>
                    <w:kern w:val="2"/>
                    <w:sz w:val="14"/>
                    <w:szCs w:val="14"/>
                    <w14:ligatures w14:val="standardContextual"/>
                  </w:rPr>
                  <m:t xml:space="preserve">≫ </m:t>
                </m:r>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r</m:t>
                    </m:r>
                  </m:e>
                  <m:sub>
                    <m:r>
                      <w:rPr>
                        <w:rFonts w:ascii="Cambria Math" w:eastAsiaTheme="minorHAnsi" w:hAnsi="Cambria Math"/>
                        <w:kern w:val="2"/>
                        <w:sz w:val="14"/>
                        <w:szCs w:val="14"/>
                        <w14:ligatures w14:val="standardContextual"/>
                      </w:rPr>
                      <m:t>O</m:t>
                    </m:r>
                  </m:sub>
                </m:sSub>
              </m:oMath>
            </m:oMathPara>
          </w:p>
        </w:tc>
      </w:tr>
      <w:tr w:rsidR="00F47166" w:rsidRPr="00780634" w14:paraId="74BC5E9C" w14:textId="77777777" w:rsidTr="00BB687B">
        <w:tc>
          <w:tcPr>
            <w:tcW w:w="2830" w:type="dxa"/>
            <w:gridSpan w:val="2"/>
            <w:tcMar>
              <w:left w:w="28" w:type="dxa"/>
              <w:right w:w="28" w:type="dxa"/>
            </w:tcMar>
          </w:tcPr>
          <w:p w14:paraId="419C0DF5" w14:textId="77777777" w:rsidR="00F47166" w:rsidRPr="00780634" w:rsidRDefault="00F47166"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 xml:space="preserve">3. </w:t>
            </w:r>
            <m:oMath>
              <m:r>
                <m:rPr>
                  <m:sty m:val="p"/>
                </m:rPr>
                <w:rPr>
                  <w:rFonts w:ascii="Cambria Math" w:eastAsiaTheme="minorHAnsi" w:hAnsi="Cambria Math"/>
                  <w:kern w:val="2"/>
                  <w:sz w:val="14"/>
                  <w:szCs w:val="14"/>
                  <w14:ligatures w14:val="standardContextual"/>
                </w:rPr>
                <m:t xml:space="preserve">MO + </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OH</m:t>
                  </m:r>
                </m:e>
                <m:sup>
                  <m:r>
                    <m:rPr>
                      <m:sty m:val="p"/>
                    </m:rPr>
                    <w:rPr>
                      <w:rFonts w:ascii="Cambria Math" w:eastAsiaTheme="minorHAnsi" w:hAnsi="Cambria Math"/>
                      <w:kern w:val="2"/>
                      <w:sz w:val="14"/>
                      <w:szCs w:val="14"/>
                      <w14:ligatures w14:val="standardContextual"/>
                    </w:rPr>
                    <m:t>-</m:t>
                  </m:r>
                </m:sup>
              </m:sSup>
              <m:r>
                <m:rPr>
                  <m:sty m:val="p"/>
                </m:rPr>
                <w:rPr>
                  <w:rFonts w:ascii="Cambria Math" w:eastAsiaTheme="minorHAnsi" w:hAnsi="Cambria Math"/>
                  <w:kern w:val="2"/>
                  <w:sz w:val="14"/>
                  <w:szCs w:val="14"/>
                  <w14:ligatures w14:val="standardContextual"/>
                </w:rPr>
                <m:t xml:space="preserve"> →M</m:t>
              </m:r>
              <m:sSup>
                <m:sSupPr>
                  <m:ctrlPr>
                    <w:rPr>
                      <w:rFonts w:ascii="Cambria Math" w:eastAsiaTheme="minorHAnsi" w:hAnsi="Cambria Math"/>
                      <w:kern w:val="2"/>
                      <w:sz w:val="14"/>
                      <w:szCs w:val="14"/>
                      <w14:ligatures w14:val="standardContextual"/>
                    </w:rPr>
                  </m:ctrlPr>
                </m:sSupPr>
                <m:e>
                  <m:sSub>
                    <m:sSubPr>
                      <m:ctrlPr>
                        <w:rPr>
                          <w:rFonts w:ascii="Cambria Math" w:eastAsiaTheme="minorHAnsi" w:hAnsi="Cambria Math"/>
                          <w:kern w:val="2"/>
                          <w:sz w:val="14"/>
                          <w:szCs w:val="14"/>
                          <w14:ligatures w14:val="standardContextual"/>
                        </w:rPr>
                      </m:ctrlPr>
                    </m:sSubPr>
                    <m:e>
                      <m:r>
                        <m:rPr>
                          <m:sty m:val="p"/>
                        </m:rPr>
                        <w:rPr>
                          <w:rFonts w:ascii="Cambria Math" w:eastAsiaTheme="minorHAnsi" w:hAnsi="Cambria Math"/>
                          <w:kern w:val="2"/>
                          <w:sz w:val="14"/>
                          <w:szCs w:val="14"/>
                          <w14:ligatures w14:val="standardContextual"/>
                        </w:rPr>
                        <m:t>O</m:t>
                      </m:r>
                    </m:e>
                    <m:sub>
                      <m:r>
                        <w:rPr>
                          <w:rFonts w:ascii="Cambria Math" w:eastAsiaTheme="minorHAnsi" w:hAnsi="Cambria Math"/>
                          <w:kern w:val="2"/>
                          <w:sz w:val="14"/>
                          <w:szCs w:val="14"/>
                          <w14:ligatures w14:val="standardContextual"/>
                        </w:rPr>
                        <m:t>2</m:t>
                      </m:r>
                    </m:sub>
                  </m:sSub>
                  <m:r>
                    <m:rPr>
                      <m:sty m:val="p"/>
                    </m:rPr>
                    <w:rPr>
                      <w:rFonts w:ascii="Cambria Math" w:eastAsiaTheme="minorHAnsi" w:hAnsi="Cambria Math"/>
                      <w:kern w:val="2"/>
                      <w:sz w:val="14"/>
                      <w:szCs w:val="14"/>
                      <w14:ligatures w14:val="standardContextual"/>
                    </w:rPr>
                    <m:t>H</m:t>
                  </m:r>
                </m:e>
                <m:sup>
                  <m:r>
                    <w:rPr>
                      <w:rFonts w:ascii="Cambria Math" w:eastAsiaTheme="minorHAnsi" w:hAnsi="Cambria Math"/>
                      <w:kern w:val="2"/>
                      <w:sz w:val="14"/>
                      <w:szCs w:val="14"/>
                      <w14:ligatures w14:val="standardContextual"/>
                    </w:rPr>
                    <m:t>-</m:t>
                  </m:r>
                </m:sup>
              </m:sSup>
            </m:oMath>
          </w:p>
        </w:tc>
        <w:tc>
          <w:tcPr>
            <w:tcW w:w="426" w:type="dxa"/>
            <w:tcMar>
              <w:left w:w="28" w:type="dxa"/>
              <w:right w:w="28" w:type="dxa"/>
            </w:tcMar>
          </w:tcPr>
          <w:p w14:paraId="1AD03FE1" w14:textId="77777777" w:rsidR="00F47166" w:rsidRPr="00780634" w:rsidRDefault="00F47166"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708" w:type="dxa"/>
            <w:tcMar>
              <w:left w:w="28" w:type="dxa"/>
              <w:right w:w="28" w:type="dxa"/>
            </w:tcMar>
          </w:tcPr>
          <w:p w14:paraId="422F6657"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F</w:t>
            </w:r>
          </w:p>
        </w:tc>
        <w:tc>
          <w:tcPr>
            <w:tcW w:w="709" w:type="dxa"/>
            <w:tcMar>
              <w:left w:w="28" w:type="dxa"/>
              <w:right w:w="28" w:type="dxa"/>
            </w:tcMar>
          </w:tcPr>
          <w:p w14:paraId="2F75FC03" w14:textId="77777777" w:rsidR="00F47166" w:rsidRPr="00780634" w:rsidRDefault="00F47166" w:rsidP="00780634">
            <w:pPr>
              <w:jc w:val="center"/>
              <w:rPr>
                <w:rFonts w:eastAsiaTheme="minorHAnsi"/>
                <w:kern w:val="2"/>
                <w:sz w:val="14"/>
                <w:szCs w:val="14"/>
                <w14:ligatures w14:val="standardContextual"/>
              </w:rPr>
            </w:pPr>
            <m:oMathPara>
              <m:oMath>
                <m:r>
                  <w:rPr>
                    <w:rFonts w:ascii="Cambria Math" w:eastAsiaTheme="minorHAnsi" w:hAnsi="Cambria Math"/>
                    <w:kern w:val="2"/>
                    <w:sz w:val="14"/>
                    <w:szCs w:val="14"/>
                    <w14:ligatures w14:val="standardContextual"/>
                  </w:rPr>
                  <m:t>∞</m:t>
                </m:r>
              </m:oMath>
            </m:oMathPara>
          </w:p>
        </w:tc>
        <w:tc>
          <w:tcPr>
            <w:tcW w:w="709" w:type="dxa"/>
            <w:tcMar>
              <w:left w:w="28" w:type="dxa"/>
              <w:right w:w="28" w:type="dxa"/>
            </w:tcMar>
          </w:tcPr>
          <w:p w14:paraId="5C51C1D9"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3</w:t>
            </w:r>
          </w:p>
        </w:tc>
        <w:tc>
          <w:tcPr>
            <w:tcW w:w="572" w:type="dxa"/>
            <w:gridSpan w:val="2"/>
            <w:tcMar>
              <w:left w:w="28" w:type="dxa"/>
              <w:right w:w="28" w:type="dxa"/>
            </w:tcMar>
          </w:tcPr>
          <w:p w14:paraId="47869BF7"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1412" w:type="dxa"/>
            <w:gridSpan w:val="3"/>
            <w:tcMar>
              <w:left w:w="28" w:type="dxa"/>
              <w:right w:w="28" w:type="dxa"/>
            </w:tcMar>
          </w:tcPr>
          <w:p w14:paraId="1199E9CD" w14:textId="27C2AEE3" w:rsidR="00F47166" w:rsidRPr="00780634" w:rsidRDefault="00F47166" w:rsidP="00780634">
            <w:pPr>
              <w:jc w:val="center"/>
              <w:rPr>
                <w:rFonts w:eastAsiaTheme="minorHAnsi"/>
                <w:kern w:val="2"/>
                <w:sz w:val="14"/>
                <w:szCs w:val="14"/>
                <w14:ligatures w14:val="standardContextual"/>
              </w:rPr>
            </w:pPr>
            <m:oMathPara>
              <m:oMath>
                <m:r>
                  <w:rPr>
                    <w:rFonts w:ascii="Cambria Math" w:eastAsiaTheme="minorHAnsi" w:hAnsi="Cambria Math"/>
                    <w:kern w:val="2"/>
                    <w:sz w:val="14"/>
                    <w:szCs w:val="14"/>
                    <w14:ligatures w14:val="standardContextual"/>
                  </w:rPr>
                  <m:t>∞</m:t>
                </m:r>
              </m:oMath>
            </m:oMathPara>
          </w:p>
        </w:tc>
        <w:tc>
          <w:tcPr>
            <w:tcW w:w="993" w:type="dxa"/>
            <w:gridSpan w:val="2"/>
            <w:tcMar>
              <w:left w:w="28" w:type="dxa"/>
              <w:right w:w="28" w:type="dxa"/>
            </w:tcMar>
          </w:tcPr>
          <w:p w14:paraId="352C1228" w14:textId="12515CA1"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939" w:type="dxa"/>
            <w:gridSpan w:val="2"/>
            <w:tcMar>
              <w:left w:w="28" w:type="dxa"/>
              <w:right w:w="28" w:type="dxa"/>
            </w:tcMar>
          </w:tcPr>
          <w:p w14:paraId="76C167E9" w14:textId="77777777" w:rsidR="00F47166"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K</m:t>
                    </m:r>
                  </m:e>
                  <m:sub>
                    <m:r>
                      <w:rPr>
                        <w:rFonts w:ascii="Cambria Math" w:eastAsiaTheme="minorHAnsi" w:hAnsi="Cambria Math"/>
                        <w:kern w:val="2"/>
                        <w:sz w:val="14"/>
                        <w:szCs w:val="14"/>
                        <w14:ligatures w14:val="standardContextual"/>
                      </w:rPr>
                      <m:t>2</m:t>
                    </m:r>
                  </m:sub>
                </m:sSub>
                <m:r>
                  <w:rPr>
                    <w:rFonts w:ascii="Cambria Math" w:eastAsiaTheme="minorHAnsi" w:hAnsi="Cambria Math"/>
                    <w:kern w:val="2"/>
                    <w:sz w:val="14"/>
                    <w:szCs w:val="14"/>
                    <w14:ligatures w14:val="standardContextual"/>
                  </w:rPr>
                  <m:t xml:space="preserve"> ~ 1</m:t>
                </m:r>
              </m:oMath>
            </m:oMathPara>
          </w:p>
        </w:tc>
      </w:tr>
      <w:tr w:rsidR="00F47166" w:rsidRPr="00780634" w14:paraId="379F718E" w14:textId="77777777" w:rsidTr="00B70FCD">
        <w:tc>
          <w:tcPr>
            <w:tcW w:w="2830" w:type="dxa"/>
            <w:gridSpan w:val="2"/>
            <w:tcMar>
              <w:left w:w="28" w:type="dxa"/>
              <w:right w:w="28" w:type="dxa"/>
            </w:tcMar>
          </w:tcPr>
          <w:p w14:paraId="7986885F" w14:textId="77777777" w:rsidR="00F47166" w:rsidRPr="00780634" w:rsidRDefault="00F47166" w:rsidP="00780634">
            <w:pPr>
              <w:rPr>
                <w:rFonts w:eastAsiaTheme="minorHAnsi"/>
                <w:kern w:val="2"/>
                <w:sz w:val="14"/>
                <w:szCs w:val="14"/>
                <w14:ligatures w14:val="standardContextual"/>
              </w:rPr>
            </w:pPr>
          </w:p>
        </w:tc>
        <w:tc>
          <w:tcPr>
            <w:tcW w:w="426" w:type="dxa"/>
            <w:tcMar>
              <w:left w:w="28" w:type="dxa"/>
              <w:right w:w="28" w:type="dxa"/>
            </w:tcMar>
          </w:tcPr>
          <w:p w14:paraId="392A8E89" w14:textId="77777777" w:rsidR="00F47166" w:rsidRPr="00780634" w:rsidRDefault="00F47166" w:rsidP="00780634">
            <w:pPr>
              <w:rPr>
                <w:rFonts w:eastAsiaTheme="minorHAnsi"/>
                <w:kern w:val="2"/>
                <w:sz w:val="14"/>
                <w:szCs w:val="14"/>
                <w14:ligatures w14:val="standardContextual"/>
              </w:rPr>
            </w:pPr>
          </w:p>
        </w:tc>
        <w:tc>
          <w:tcPr>
            <w:tcW w:w="708" w:type="dxa"/>
            <w:tcMar>
              <w:left w:w="28" w:type="dxa"/>
              <w:right w:w="28" w:type="dxa"/>
            </w:tcMar>
          </w:tcPr>
          <w:p w14:paraId="30AAF882" w14:textId="77777777" w:rsidR="00F47166" w:rsidRPr="00780634" w:rsidRDefault="00F47166" w:rsidP="00780634">
            <w:pPr>
              <w:jc w:val="center"/>
              <w:rPr>
                <w:rFonts w:eastAsiaTheme="minorHAnsi"/>
                <w:kern w:val="2"/>
                <w:sz w:val="14"/>
                <w:szCs w:val="14"/>
                <w14:ligatures w14:val="standardContextual"/>
              </w:rPr>
            </w:pPr>
          </w:p>
        </w:tc>
        <w:tc>
          <w:tcPr>
            <w:tcW w:w="709" w:type="dxa"/>
            <w:tcMar>
              <w:left w:w="28" w:type="dxa"/>
              <w:right w:w="28" w:type="dxa"/>
            </w:tcMar>
          </w:tcPr>
          <w:p w14:paraId="2A0C6BCB" w14:textId="77777777" w:rsidR="00F47166" w:rsidRPr="00780634" w:rsidRDefault="00F47166" w:rsidP="00780634">
            <w:pPr>
              <w:jc w:val="center"/>
              <w:rPr>
                <w:rFonts w:eastAsiaTheme="minorHAnsi"/>
                <w:kern w:val="2"/>
                <w:sz w:val="14"/>
                <w:szCs w:val="14"/>
                <w14:ligatures w14:val="standardContextual"/>
              </w:rPr>
            </w:pPr>
          </w:p>
        </w:tc>
        <w:tc>
          <w:tcPr>
            <w:tcW w:w="709" w:type="dxa"/>
            <w:tcMar>
              <w:left w:w="28" w:type="dxa"/>
              <w:right w:w="28" w:type="dxa"/>
            </w:tcMar>
          </w:tcPr>
          <w:p w14:paraId="3990190C" w14:textId="77777777" w:rsidR="00F47166" w:rsidRPr="00780634" w:rsidRDefault="00F47166" w:rsidP="00780634">
            <w:pPr>
              <w:jc w:val="center"/>
              <w:rPr>
                <w:rFonts w:eastAsiaTheme="minorHAnsi"/>
                <w:kern w:val="2"/>
                <w:sz w:val="14"/>
                <w:szCs w:val="14"/>
                <w14:ligatures w14:val="standardContextual"/>
              </w:rPr>
            </w:pPr>
          </w:p>
        </w:tc>
        <w:tc>
          <w:tcPr>
            <w:tcW w:w="572" w:type="dxa"/>
            <w:gridSpan w:val="2"/>
            <w:tcMar>
              <w:left w:w="28" w:type="dxa"/>
              <w:right w:w="28" w:type="dxa"/>
            </w:tcMar>
          </w:tcPr>
          <w:p w14:paraId="681DB414" w14:textId="77777777" w:rsidR="00F47166" w:rsidRPr="00780634" w:rsidRDefault="00F47166" w:rsidP="00780634">
            <w:pPr>
              <w:jc w:val="center"/>
              <w:rPr>
                <w:rFonts w:eastAsiaTheme="minorHAnsi"/>
                <w:kern w:val="2"/>
                <w:sz w:val="14"/>
                <w:szCs w:val="14"/>
                <w14:ligatures w14:val="standardContextual"/>
              </w:rPr>
            </w:pPr>
          </w:p>
        </w:tc>
        <w:tc>
          <w:tcPr>
            <w:tcW w:w="1412" w:type="dxa"/>
            <w:gridSpan w:val="3"/>
            <w:tcMar>
              <w:left w:w="28" w:type="dxa"/>
              <w:right w:w="28" w:type="dxa"/>
            </w:tcMar>
          </w:tcPr>
          <w:p w14:paraId="464CE34E" w14:textId="349FAD58" w:rsidR="00F47166" w:rsidRPr="00780634" w:rsidRDefault="00F47166"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993" w:type="dxa"/>
            <w:gridSpan w:val="2"/>
            <w:tcMar>
              <w:left w:w="28" w:type="dxa"/>
              <w:right w:w="28" w:type="dxa"/>
            </w:tcMar>
          </w:tcPr>
          <w:p w14:paraId="691BBC47" w14:textId="65F60AA5"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p>
        </w:tc>
        <w:tc>
          <w:tcPr>
            <w:tcW w:w="939" w:type="dxa"/>
            <w:gridSpan w:val="2"/>
            <w:tcMar>
              <w:left w:w="28" w:type="dxa"/>
              <w:right w:w="28" w:type="dxa"/>
            </w:tcMar>
          </w:tcPr>
          <w:p w14:paraId="6812E31B" w14:textId="77777777" w:rsidR="00F47166"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K</m:t>
                    </m:r>
                  </m:e>
                  <m:sub>
                    <m:r>
                      <w:rPr>
                        <w:rFonts w:ascii="Cambria Math" w:eastAsiaTheme="minorHAnsi" w:hAnsi="Cambria Math"/>
                        <w:kern w:val="2"/>
                        <w:sz w:val="14"/>
                        <w:szCs w:val="14"/>
                        <w14:ligatures w14:val="standardContextual"/>
                      </w:rPr>
                      <m:t>2</m:t>
                    </m:r>
                  </m:sub>
                </m:sSub>
                <m:r>
                  <w:rPr>
                    <w:rFonts w:ascii="Cambria Math" w:eastAsiaTheme="minorHAnsi" w:hAnsi="Cambria Math"/>
                    <w:kern w:val="2"/>
                    <w:sz w:val="14"/>
                    <w:szCs w:val="14"/>
                    <w14:ligatures w14:val="standardContextual"/>
                  </w:rPr>
                  <m:t>≪ 1</m:t>
                </m:r>
              </m:oMath>
            </m:oMathPara>
          </w:p>
        </w:tc>
      </w:tr>
      <w:tr w:rsidR="00F47166" w:rsidRPr="00780634" w14:paraId="0D55472D" w14:textId="77777777" w:rsidTr="002E1E8A">
        <w:tc>
          <w:tcPr>
            <w:tcW w:w="2830" w:type="dxa"/>
            <w:gridSpan w:val="2"/>
            <w:tcMar>
              <w:left w:w="28" w:type="dxa"/>
              <w:right w:w="28" w:type="dxa"/>
            </w:tcMar>
          </w:tcPr>
          <w:p w14:paraId="7AD419E4" w14:textId="77777777" w:rsidR="00F47166" w:rsidRPr="00780634" w:rsidRDefault="00F47166"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 xml:space="preserve">4. </w:t>
            </w:r>
            <m:oMath>
              <m:r>
                <m:rPr>
                  <m:sty m:val="p"/>
                </m:rPr>
                <w:rPr>
                  <w:rFonts w:ascii="Cambria Math" w:eastAsiaTheme="minorHAnsi" w:hAnsi="Cambria Math"/>
                  <w:kern w:val="2"/>
                  <w:sz w:val="14"/>
                  <w:szCs w:val="14"/>
                  <w14:ligatures w14:val="standardContextual"/>
                </w:rPr>
                <m:t>M</m:t>
              </m:r>
              <m:sSub>
                <m:sSubPr>
                  <m:ctrlPr>
                    <w:rPr>
                      <w:rFonts w:ascii="Cambria Math" w:eastAsiaTheme="minorHAnsi" w:hAnsi="Cambria Math"/>
                      <w:iCs/>
                      <w:kern w:val="2"/>
                      <w:sz w:val="14"/>
                      <w:szCs w:val="14"/>
                      <w14:ligatures w14:val="standardContextual"/>
                    </w:rPr>
                  </m:ctrlPr>
                </m:sSubPr>
                <m:e>
                  <m:r>
                    <m:rPr>
                      <m:sty m:val="p"/>
                    </m:rPr>
                    <w:rPr>
                      <w:rFonts w:ascii="Cambria Math" w:eastAsiaTheme="minorHAnsi" w:hAnsi="Cambria Math"/>
                      <w:kern w:val="2"/>
                      <w:sz w:val="14"/>
                      <w:szCs w:val="14"/>
                      <w14:ligatures w14:val="standardContextual"/>
                    </w:rPr>
                    <m:t>O</m:t>
                  </m:r>
                </m:e>
                <m:sub>
                  <m:r>
                    <w:rPr>
                      <w:rFonts w:ascii="Cambria Math" w:eastAsiaTheme="minorHAnsi" w:hAnsi="Cambria Math"/>
                      <w:kern w:val="2"/>
                      <w:sz w:val="14"/>
                      <w:szCs w:val="14"/>
                      <w14:ligatures w14:val="standardContextual"/>
                    </w:rPr>
                    <m:t>2</m:t>
                  </m:r>
                </m:sub>
              </m:sSub>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H</m:t>
                  </m:r>
                </m:e>
                <m:sup>
                  <m:r>
                    <w:rPr>
                      <w:rFonts w:ascii="Cambria Math" w:eastAsiaTheme="minorHAnsi" w:hAnsi="Cambria Math"/>
                      <w:kern w:val="2"/>
                      <w:sz w:val="14"/>
                      <w:szCs w:val="14"/>
                      <w14:ligatures w14:val="standardContextual"/>
                    </w:rPr>
                    <m:t>-</m:t>
                  </m:r>
                </m:sup>
              </m:sSup>
              <m:r>
                <m:rPr>
                  <m:sty m:val="p"/>
                </m:rPr>
                <w:rPr>
                  <w:rFonts w:ascii="Cambria Math" w:eastAsiaTheme="minorHAnsi" w:hAnsi="Cambria Math"/>
                  <w:kern w:val="2"/>
                  <w:sz w:val="14"/>
                  <w:szCs w:val="14"/>
                  <w14:ligatures w14:val="standardContextual"/>
                </w:rPr>
                <m:t xml:space="preserve"> + </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OH</m:t>
                  </m:r>
                </m:e>
                <m:sup>
                  <m:r>
                    <m:rPr>
                      <m:sty m:val="p"/>
                    </m:rPr>
                    <w:rPr>
                      <w:rFonts w:ascii="Cambria Math" w:eastAsiaTheme="minorHAnsi" w:hAnsi="Cambria Math"/>
                      <w:kern w:val="2"/>
                      <w:sz w:val="14"/>
                      <w:szCs w:val="14"/>
                      <w14:ligatures w14:val="standardContextual"/>
                    </w:rPr>
                    <m:t>-</m:t>
                  </m:r>
                </m:sup>
              </m:sSup>
              <m:r>
                <m:rPr>
                  <m:sty m:val="p"/>
                </m:rPr>
                <w:rPr>
                  <w:rFonts w:ascii="Cambria Math" w:eastAsiaTheme="minorHAnsi" w:hAnsi="Cambria Math"/>
                  <w:kern w:val="2"/>
                  <w:sz w:val="14"/>
                  <w:szCs w:val="14"/>
                  <w14:ligatures w14:val="standardContextual"/>
                </w:rPr>
                <m:t xml:space="preserve"> →M</m:t>
              </m:r>
              <m:sSup>
                <m:sSupPr>
                  <m:ctrlPr>
                    <w:rPr>
                      <w:rFonts w:ascii="Cambria Math" w:eastAsiaTheme="minorHAnsi" w:hAnsi="Cambria Math"/>
                      <w:kern w:val="2"/>
                      <w:sz w:val="14"/>
                      <w:szCs w:val="14"/>
                      <w14:ligatures w14:val="standardContextual"/>
                    </w:rPr>
                  </m:ctrlPr>
                </m:sSupPr>
                <m:e>
                  <m:sSub>
                    <m:sSubPr>
                      <m:ctrlPr>
                        <w:rPr>
                          <w:rFonts w:ascii="Cambria Math" w:eastAsiaTheme="minorHAnsi" w:hAnsi="Cambria Math"/>
                          <w:kern w:val="2"/>
                          <w:sz w:val="14"/>
                          <w:szCs w:val="14"/>
                          <w14:ligatures w14:val="standardContextual"/>
                        </w:rPr>
                      </m:ctrlPr>
                    </m:sSubPr>
                    <m:e>
                      <m:r>
                        <m:rPr>
                          <m:sty m:val="p"/>
                        </m:rPr>
                        <w:rPr>
                          <w:rFonts w:ascii="Cambria Math" w:eastAsiaTheme="minorHAnsi" w:hAnsi="Cambria Math"/>
                          <w:kern w:val="2"/>
                          <w:sz w:val="14"/>
                          <w:szCs w:val="14"/>
                          <w14:ligatures w14:val="standardContextual"/>
                        </w:rPr>
                        <m:t>O</m:t>
                      </m:r>
                    </m:e>
                    <m:sub>
                      <m:r>
                        <w:rPr>
                          <w:rFonts w:ascii="Cambria Math" w:eastAsiaTheme="minorHAnsi" w:hAnsi="Cambria Math"/>
                          <w:kern w:val="2"/>
                          <w:sz w:val="14"/>
                          <w:szCs w:val="14"/>
                          <w14:ligatures w14:val="standardContextual"/>
                        </w:rPr>
                        <m:t>2</m:t>
                      </m:r>
                    </m:sub>
                  </m:sSub>
                </m:e>
                <m:sup>
                  <m:r>
                    <w:rPr>
                      <w:rFonts w:ascii="Cambria Math" w:eastAsiaTheme="minorHAnsi" w:hAnsi="Cambria Math"/>
                      <w:kern w:val="2"/>
                      <w:sz w:val="14"/>
                      <w:szCs w:val="14"/>
                      <w14:ligatures w14:val="standardContextual"/>
                    </w:rPr>
                    <m:t>-</m:t>
                  </m:r>
                </m:sup>
              </m:sSup>
              <m:r>
                <m:rPr>
                  <m:sty m:val="p"/>
                </m:rPr>
                <w:rPr>
                  <w:rFonts w:ascii="Cambria Math" w:eastAsiaTheme="minorHAnsi" w:hAnsi="Cambria Math"/>
                  <w:kern w:val="2"/>
                  <w:sz w:val="14"/>
                  <w:szCs w:val="14"/>
                  <w14:ligatures w14:val="standardContextual"/>
                </w:rPr>
                <m:t xml:space="preserve">+ </m:t>
              </m:r>
              <m:sSub>
                <m:sSubPr>
                  <m:ctrlPr>
                    <w:rPr>
                      <w:rFonts w:ascii="Cambria Math" w:eastAsiaTheme="minorHAnsi" w:hAnsi="Cambria Math"/>
                      <w:kern w:val="2"/>
                      <w:sz w:val="14"/>
                      <w:szCs w:val="14"/>
                      <w14:ligatures w14:val="standardContextual"/>
                    </w:rPr>
                  </m:ctrlPr>
                </m:sSubPr>
                <m:e>
                  <m:r>
                    <m:rPr>
                      <m:sty m:val="p"/>
                    </m:rPr>
                    <w:rPr>
                      <w:rFonts w:ascii="Cambria Math" w:eastAsiaTheme="minorHAnsi" w:hAnsi="Cambria Math"/>
                      <w:kern w:val="2"/>
                      <w:sz w:val="14"/>
                      <w:szCs w:val="14"/>
                      <w14:ligatures w14:val="standardContextual"/>
                    </w:rPr>
                    <m:t>H</m:t>
                  </m:r>
                </m:e>
                <m:sub>
                  <m:r>
                    <m:rPr>
                      <m:sty m:val="p"/>
                    </m:rPr>
                    <w:rPr>
                      <w:rFonts w:ascii="Cambria Math" w:eastAsiaTheme="minorHAnsi" w:hAnsi="Cambria Math"/>
                      <w:kern w:val="2"/>
                      <w:sz w:val="14"/>
                      <w:szCs w:val="14"/>
                      <w14:ligatures w14:val="standardContextual"/>
                    </w:rPr>
                    <m:t>2</m:t>
                  </m:r>
                </m:sub>
              </m:sSub>
              <m:r>
                <m:rPr>
                  <m:sty m:val="p"/>
                </m:rPr>
                <w:rPr>
                  <w:rFonts w:ascii="Cambria Math" w:eastAsiaTheme="minorHAnsi" w:hAnsi="Cambria Math"/>
                  <w:kern w:val="2"/>
                  <w:sz w:val="14"/>
                  <w:szCs w:val="14"/>
                  <w14:ligatures w14:val="standardContextual"/>
                </w:rPr>
                <m:t xml:space="preserve">O+ </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e</m:t>
                  </m:r>
                </m:e>
                <m:sup>
                  <m:r>
                    <m:rPr>
                      <m:sty m:val="p"/>
                    </m:rPr>
                    <w:rPr>
                      <w:rFonts w:ascii="Cambria Math" w:eastAsiaTheme="minorHAnsi" w:hAnsi="Cambria Math"/>
                      <w:kern w:val="2"/>
                      <w:sz w:val="14"/>
                      <w:szCs w:val="14"/>
                      <w14:ligatures w14:val="standardContextual"/>
                    </w:rPr>
                    <m:t>-</m:t>
                  </m:r>
                </m:sup>
              </m:sSup>
            </m:oMath>
          </w:p>
        </w:tc>
        <w:tc>
          <w:tcPr>
            <w:tcW w:w="426" w:type="dxa"/>
            <w:tcMar>
              <w:left w:w="28" w:type="dxa"/>
              <w:right w:w="28" w:type="dxa"/>
            </w:tcMar>
          </w:tcPr>
          <w:p w14:paraId="35F240B5" w14:textId="77777777" w:rsidR="00F47166" w:rsidRPr="00780634" w:rsidRDefault="00F47166"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708" w:type="dxa"/>
            <w:tcMar>
              <w:left w:w="28" w:type="dxa"/>
              <w:right w:w="28" w:type="dxa"/>
            </w:tcMar>
          </w:tcPr>
          <w:p w14:paraId="29A9236A"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/5</w:t>
            </w:r>
            <w:r w:rsidRPr="00780634">
              <w:rPr>
                <w:rFonts w:eastAsiaTheme="minorHAnsi"/>
                <w:i/>
                <w:iCs/>
                <w:kern w:val="2"/>
                <w:sz w:val="14"/>
                <w:szCs w:val="14"/>
                <w14:ligatures w14:val="standardContextual"/>
              </w:rPr>
              <w:t>F</w:t>
            </w:r>
          </w:p>
        </w:tc>
        <w:tc>
          <w:tcPr>
            <w:tcW w:w="709" w:type="dxa"/>
            <w:tcMar>
              <w:left w:w="28" w:type="dxa"/>
              <w:right w:w="28" w:type="dxa"/>
            </w:tcMar>
          </w:tcPr>
          <w:p w14:paraId="58C0742B"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709" w:type="dxa"/>
            <w:tcMar>
              <w:left w:w="28" w:type="dxa"/>
              <w:right w:w="28" w:type="dxa"/>
            </w:tcMar>
          </w:tcPr>
          <w:p w14:paraId="6A358D94"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4</w:t>
            </w:r>
          </w:p>
        </w:tc>
        <w:tc>
          <w:tcPr>
            <w:tcW w:w="572" w:type="dxa"/>
            <w:gridSpan w:val="2"/>
            <w:tcMar>
              <w:left w:w="28" w:type="dxa"/>
              <w:right w:w="28" w:type="dxa"/>
            </w:tcMar>
          </w:tcPr>
          <w:p w14:paraId="23855F8D" w14:textId="77777777"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1412" w:type="dxa"/>
            <w:gridSpan w:val="3"/>
            <w:tcMar>
              <w:left w:w="28" w:type="dxa"/>
              <w:right w:w="28" w:type="dxa"/>
            </w:tcMar>
          </w:tcPr>
          <w:p w14:paraId="3C648A6B" w14:textId="31A2B11B"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993" w:type="dxa"/>
            <w:gridSpan w:val="2"/>
            <w:tcMar>
              <w:left w:w="28" w:type="dxa"/>
              <w:right w:w="28" w:type="dxa"/>
            </w:tcMar>
          </w:tcPr>
          <w:p w14:paraId="5777DDA3" w14:textId="573F3ADC"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939" w:type="dxa"/>
            <w:gridSpan w:val="2"/>
            <w:tcMar>
              <w:left w:w="28" w:type="dxa"/>
              <w:right w:w="28" w:type="dxa"/>
            </w:tcMar>
          </w:tcPr>
          <w:p w14:paraId="2C7E88DD" w14:textId="77777777" w:rsidR="00F47166"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K</m:t>
                    </m:r>
                  </m:e>
                  <m:sub>
                    <m:r>
                      <w:rPr>
                        <w:rFonts w:ascii="Cambria Math" w:eastAsiaTheme="minorHAnsi" w:hAnsi="Cambria Math"/>
                        <w:kern w:val="2"/>
                        <w:sz w:val="14"/>
                        <w:szCs w:val="14"/>
                        <w14:ligatures w14:val="standardContextual"/>
                      </w:rPr>
                      <m:t>3</m:t>
                    </m:r>
                  </m:sub>
                </m:sSub>
                <m:r>
                  <w:rPr>
                    <w:rFonts w:ascii="Cambria Math" w:eastAsiaTheme="minorHAnsi" w:hAnsi="Cambria Math"/>
                    <w:kern w:val="2"/>
                    <w:sz w:val="14"/>
                    <w:szCs w:val="14"/>
                    <w14:ligatures w14:val="standardContextual"/>
                  </w:rPr>
                  <m:t xml:space="preserve"> ~ 1</m:t>
                </m:r>
              </m:oMath>
            </m:oMathPara>
          </w:p>
        </w:tc>
      </w:tr>
      <w:tr w:rsidR="00F47166" w:rsidRPr="00780634" w14:paraId="6D77EB98" w14:textId="77777777" w:rsidTr="00BD44C6">
        <w:tc>
          <w:tcPr>
            <w:tcW w:w="2830" w:type="dxa"/>
            <w:gridSpan w:val="2"/>
            <w:tcMar>
              <w:left w:w="28" w:type="dxa"/>
              <w:right w:w="28" w:type="dxa"/>
            </w:tcMar>
          </w:tcPr>
          <w:p w14:paraId="1B98485D" w14:textId="77777777" w:rsidR="00F47166" w:rsidRPr="00780634" w:rsidRDefault="00F47166" w:rsidP="00780634">
            <w:pPr>
              <w:rPr>
                <w:rFonts w:eastAsiaTheme="minorHAnsi"/>
                <w:kern w:val="2"/>
                <w:sz w:val="14"/>
                <w:szCs w:val="14"/>
                <w14:ligatures w14:val="standardContextual"/>
              </w:rPr>
            </w:pPr>
          </w:p>
        </w:tc>
        <w:tc>
          <w:tcPr>
            <w:tcW w:w="426" w:type="dxa"/>
            <w:tcMar>
              <w:left w:w="28" w:type="dxa"/>
              <w:right w:w="28" w:type="dxa"/>
            </w:tcMar>
          </w:tcPr>
          <w:p w14:paraId="3C1CE869" w14:textId="77777777" w:rsidR="00F47166" w:rsidRPr="00780634" w:rsidRDefault="00F47166" w:rsidP="00780634">
            <w:pPr>
              <w:rPr>
                <w:rFonts w:eastAsiaTheme="minorHAnsi"/>
                <w:kern w:val="2"/>
                <w:sz w:val="14"/>
                <w:szCs w:val="14"/>
                <w14:ligatures w14:val="standardContextual"/>
              </w:rPr>
            </w:pPr>
          </w:p>
        </w:tc>
        <w:tc>
          <w:tcPr>
            <w:tcW w:w="708" w:type="dxa"/>
            <w:tcMar>
              <w:left w:w="28" w:type="dxa"/>
              <w:right w:w="28" w:type="dxa"/>
            </w:tcMar>
          </w:tcPr>
          <w:p w14:paraId="3C0CC8B4" w14:textId="77777777" w:rsidR="00F47166" w:rsidRPr="00780634" w:rsidRDefault="00F47166" w:rsidP="00780634">
            <w:pPr>
              <w:jc w:val="center"/>
              <w:rPr>
                <w:rFonts w:eastAsiaTheme="minorHAnsi"/>
                <w:kern w:val="2"/>
                <w:sz w:val="14"/>
                <w:szCs w:val="14"/>
                <w14:ligatures w14:val="standardContextual"/>
              </w:rPr>
            </w:pPr>
          </w:p>
        </w:tc>
        <w:tc>
          <w:tcPr>
            <w:tcW w:w="709" w:type="dxa"/>
            <w:tcMar>
              <w:left w:w="28" w:type="dxa"/>
              <w:right w:w="28" w:type="dxa"/>
            </w:tcMar>
          </w:tcPr>
          <w:p w14:paraId="517C82F2" w14:textId="77777777" w:rsidR="00F47166" w:rsidRPr="00780634" w:rsidRDefault="00F47166" w:rsidP="00780634">
            <w:pPr>
              <w:jc w:val="center"/>
              <w:rPr>
                <w:rFonts w:eastAsiaTheme="minorHAnsi"/>
                <w:kern w:val="2"/>
                <w:sz w:val="14"/>
                <w:szCs w:val="14"/>
                <w14:ligatures w14:val="standardContextual"/>
              </w:rPr>
            </w:pPr>
          </w:p>
        </w:tc>
        <w:tc>
          <w:tcPr>
            <w:tcW w:w="709" w:type="dxa"/>
            <w:tcMar>
              <w:left w:w="28" w:type="dxa"/>
              <w:right w:w="28" w:type="dxa"/>
            </w:tcMar>
          </w:tcPr>
          <w:p w14:paraId="30B86AC9" w14:textId="77777777" w:rsidR="00F47166" w:rsidRPr="00780634" w:rsidRDefault="00F47166" w:rsidP="00780634">
            <w:pPr>
              <w:jc w:val="center"/>
              <w:rPr>
                <w:rFonts w:eastAsiaTheme="minorHAnsi"/>
                <w:kern w:val="2"/>
                <w:sz w:val="14"/>
                <w:szCs w:val="14"/>
                <w14:ligatures w14:val="standardContextual"/>
              </w:rPr>
            </w:pPr>
          </w:p>
        </w:tc>
        <w:tc>
          <w:tcPr>
            <w:tcW w:w="572" w:type="dxa"/>
            <w:gridSpan w:val="2"/>
            <w:tcMar>
              <w:left w:w="28" w:type="dxa"/>
              <w:right w:w="28" w:type="dxa"/>
            </w:tcMar>
          </w:tcPr>
          <w:p w14:paraId="2DE577F0" w14:textId="77777777" w:rsidR="00F47166" w:rsidRPr="00780634" w:rsidRDefault="00F47166" w:rsidP="00780634">
            <w:pPr>
              <w:jc w:val="center"/>
              <w:rPr>
                <w:rFonts w:eastAsiaTheme="minorHAnsi"/>
                <w:kern w:val="2"/>
                <w:sz w:val="14"/>
                <w:szCs w:val="14"/>
                <w14:ligatures w14:val="standardContextual"/>
              </w:rPr>
            </w:pPr>
          </w:p>
        </w:tc>
        <w:tc>
          <w:tcPr>
            <w:tcW w:w="1412" w:type="dxa"/>
            <w:gridSpan w:val="3"/>
            <w:tcMar>
              <w:left w:w="28" w:type="dxa"/>
              <w:right w:w="28" w:type="dxa"/>
            </w:tcMar>
          </w:tcPr>
          <w:p w14:paraId="74204DDF" w14:textId="3E873788"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993" w:type="dxa"/>
            <w:gridSpan w:val="2"/>
            <w:tcMar>
              <w:left w:w="28" w:type="dxa"/>
              <w:right w:w="28" w:type="dxa"/>
            </w:tcMar>
          </w:tcPr>
          <w:p w14:paraId="541B50FE" w14:textId="1648CA86" w:rsidR="00F47166" w:rsidRPr="00780634" w:rsidRDefault="00F47166"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p>
        </w:tc>
        <w:tc>
          <w:tcPr>
            <w:tcW w:w="939" w:type="dxa"/>
            <w:gridSpan w:val="2"/>
            <w:tcMar>
              <w:left w:w="28" w:type="dxa"/>
              <w:right w:w="28" w:type="dxa"/>
            </w:tcMar>
          </w:tcPr>
          <w:p w14:paraId="36FEF132" w14:textId="77777777" w:rsidR="00F47166"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K</m:t>
                    </m:r>
                  </m:e>
                  <m:sub>
                    <m:r>
                      <w:rPr>
                        <w:rFonts w:ascii="Cambria Math" w:eastAsiaTheme="minorHAnsi" w:hAnsi="Cambria Math"/>
                        <w:kern w:val="2"/>
                        <w:sz w:val="14"/>
                        <w:szCs w:val="14"/>
                        <w14:ligatures w14:val="standardContextual"/>
                      </w:rPr>
                      <m:t>3</m:t>
                    </m:r>
                  </m:sub>
                </m:sSub>
                <m:r>
                  <w:rPr>
                    <w:rFonts w:ascii="Cambria Math" w:eastAsiaTheme="minorHAnsi" w:hAnsi="Cambria Math"/>
                    <w:kern w:val="2"/>
                    <w:sz w:val="14"/>
                    <w:szCs w:val="14"/>
                    <w14:ligatures w14:val="standardContextual"/>
                  </w:rPr>
                  <m:t>≪ 1</m:t>
                </m:r>
              </m:oMath>
            </m:oMathPara>
          </w:p>
        </w:tc>
      </w:tr>
      <w:tr w:rsidR="00780634" w:rsidRPr="00780634" w14:paraId="01791AB7" w14:textId="77777777" w:rsidTr="00B2471A">
        <w:tc>
          <w:tcPr>
            <w:tcW w:w="2830" w:type="dxa"/>
            <w:gridSpan w:val="2"/>
            <w:tcMar>
              <w:left w:w="28" w:type="dxa"/>
              <w:right w:w="28" w:type="dxa"/>
            </w:tcMar>
          </w:tcPr>
          <w:p w14:paraId="2C961DA8"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 xml:space="preserve">5. </w:t>
            </w:r>
            <m:oMath>
              <m:r>
                <m:rPr>
                  <m:sty m:val="p"/>
                </m:rPr>
                <w:rPr>
                  <w:rFonts w:ascii="Cambria Math" w:eastAsiaTheme="minorHAnsi" w:hAnsi="Cambria Math"/>
                  <w:kern w:val="2"/>
                  <w:sz w:val="14"/>
                  <w:szCs w:val="14"/>
                  <w14:ligatures w14:val="standardContextual"/>
                </w:rPr>
                <m:t>M</m:t>
              </m:r>
              <m:sSup>
                <m:sSupPr>
                  <m:ctrlPr>
                    <w:rPr>
                      <w:rFonts w:ascii="Cambria Math" w:eastAsiaTheme="minorHAnsi" w:hAnsi="Cambria Math"/>
                      <w:kern w:val="2"/>
                      <w:sz w:val="14"/>
                      <w:szCs w:val="14"/>
                      <w14:ligatures w14:val="standardContextual"/>
                    </w:rPr>
                  </m:ctrlPr>
                </m:sSupPr>
                <m:e>
                  <m:sSub>
                    <m:sSubPr>
                      <m:ctrlPr>
                        <w:rPr>
                          <w:rFonts w:ascii="Cambria Math" w:eastAsiaTheme="minorHAnsi" w:hAnsi="Cambria Math"/>
                          <w:kern w:val="2"/>
                          <w:sz w:val="14"/>
                          <w:szCs w:val="14"/>
                          <w14:ligatures w14:val="standardContextual"/>
                        </w:rPr>
                      </m:ctrlPr>
                    </m:sSubPr>
                    <m:e>
                      <m:r>
                        <m:rPr>
                          <m:sty m:val="p"/>
                        </m:rPr>
                        <w:rPr>
                          <w:rFonts w:ascii="Cambria Math" w:eastAsiaTheme="minorHAnsi" w:hAnsi="Cambria Math"/>
                          <w:kern w:val="2"/>
                          <w:sz w:val="14"/>
                          <w:szCs w:val="14"/>
                          <w14:ligatures w14:val="standardContextual"/>
                        </w:rPr>
                        <m:t>O</m:t>
                      </m:r>
                    </m:e>
                    <m:sub>
                      <m:r>
                        <w:rPr>
                          <w:rFonts w:ascii="Cambria Math" w:eastAsiaTheme="minorHAnsi" w:hAnsi="Cambria Math"/>
                          <w:kern w:val="2"/>
                          <w:sz w:val="14"/>
                          <w:szCs w:val="14"/>
                          <w14:ligatures w14:val="standardContextual"/>
                        </w:rPr>
                        <m:t>2</m:t>
                      </m:r>
                    </m:sub>
                  </m:sSub>
                </m:e>
                <m:sup>
                  <m:r>
                    <w:rPr>
                      <w:rFonts w:ascii="Cambria Math" w:eastAsiaTheme="minorHAnsi" w:hAnsi="Cambria Math"/>
                      <w:kern w:val="2"/>
                      <w:sz w:val="14"/>
                      <w:szCs w:val="14"/>
                      <w14:ligatures w14:val="standardContextual"/>
                    </w:rPr>
                    <m:t>-</m:t>
                  </m:r>
                </m:sup>
              </m:sSup>
              <m:r>
                <m:rPr>
                  <m:sty m:val="p"/>
                </m:rPr>
                <w:rPr>
                  <w:rFonts w:ascii="Cambria Math" w:eastAsiaTheme="minorHAnsi" w:hAnsi="Cambria Math"/>
                  <w:kern w:val="2"/>
                  <w:sz w:val="14"/>
                  <w:szCs w:val="14"/>
                  <w14:ligatures w14:val="standardContextual"/>
                </w:rPr>
                <m:t xml:space="preserve"> →M+ </m:t>
              </m:r>
              <m:sSub>
                <m:sSubPr>
                  <m:ctrlPr>
                    <w:rPr>
                      <w:rFonts w:ascii="Cambria Math" w:eastAsiaTheme="minorHAnsi" w:hAnsi="Cambria Math"/>
                      <w:kern w:val="2"/>
                      <w:sz w:val="14"/>
                      <w:szCs w:val="14"/>
                      <w14:ligatures w14:val="standardContextual"/>
                    </w:rPr>
                  </m:ctrlPr>
                </m:sSubPr>
                <m:e>
                  <m:r>
                    <m:rPr>
                      <m:sty m:val="p"/>
                    </m:rPr>
                    <w:rPr>
                      <w:rFonts w:ascii="Cambria Math" w:eastAsiaTheme="minorHAnsi" w:hAnsi="Cambria Math"/>
                      <w:kern w:val="2"/>
                      <w:sz w:val="14"/>
                      <w:szCs w:val="14"/>
                      <w14:ligatures w14:val="standardContextual"/>
                    </w:rPr>
                    <m:t>O</m:t>
                  </m:r>
                </m:e>
                <m:sub>
                  <m:r>
                    <m:rPr>
                      <m:sty m:val="p"/>
                    </m:rPr>
                    <w:rPr>
                      <w:rFonts w:ascii="Cambria Math" w:eastAsiaTheme="minorHAnsi" w:hAnsi="Cambria Math"/>
                      <w:kern w:val="2"/>
                      <w:sz w:val="14"/>
                      <w:szCs w:val="14"/>
                      <w14:ligatures w14:val="standardContextual"/>
                    </w:rPr>
                    <m:t>2</m:t>
                  </m:r>
                </m:sub>
              </m:sSub>
              <m:r>
                <m:rPr>
                  <m:sty m:val="p"/>
                </m:rPr>
                <w:rPr>
                  <w:rFonts w:ascii="Cambria Math" w:eastAsiaTheme="minorHAnsi" w:hAnsi="Cambria Math"/>
                  <w:kern w:val="2"/>
                  <w:sz w:val="14"/>
                  <w:szCs w:val="14"/>
                  <w14:ligatures w14:val="standardContextual"/>
                </w:rPr>
                <m:t xml:space="preserve">+ </m:t>
              </m:r>
              <m:sSup>
                <m:sSupPr>
                  <m:ctrlPr>
                    <w:rPr>
                      <w:rFonts w:ascii="Cambria Math" w:eastAsiaTheme="minorHAnsi" w:hAnsi="Cambria Math"/>
                      <w:iCs/>
                      <w:kern w:val="2"/>
                      <w:sz w:val="14"/>
                      <w:szCs w:val="14"/>
                      <w14:ligatures w14:val="standardContextual"/>
                    </w:rPr>
                  </m:ctrlPr>
                </m:sSupPr>
                <m:e>
                  <m:r>
                    <m:rPr>
                      <m:sty m:val="p"/>
                    </m:rPr>
                    <w:rPr>
                      <w:rFonts w:ascii="Cambria Math" w:eastAsiaTheme="minorHAnsi" w:hAnsi="Cambria Math"/>
                      <w:kern w:val="2"/>
                      <w:sz w:val="14"/>
                      <w:szCs w:val="14"/>
                      <w14:ligatures w14:val="standardContextual"/>
                    </w:rPr>
                    <m:t>e</m:t>
                  </m:r>
                </m:e>
                <m:sup>
                  <m:r>
                    <m:rPr>
                      <m:sty m:val="p"/>
                    </m:rPr>
                    <w:rPr>
                      <w:rFonts w:ascii="Cambria Math" w:eastAsiaTheme="minorHAnsi" w:hAnsi="Cambria Math"/>
                      <w:kern w:val="2"/>
                      <w:sz w:val="14"/>
                      <w:szCs w:val="14"/>
                      <w14:ligatures w14:val="standardContextual"/>
                    </w:rPr>
                    <m:t>-</m:t>
                  </m:r>
                </m:sup>
              </m:sSup>
            </m:oMath>
          </w:p>
        </w:tc>
        <w:tc>
          <w:tcPr>
            <w:tcW w:w="426" w:type="dxa"/>
            <w:tcMar>
              <w:left w:w="28" w:type="dxa"/>
              <w:right w:w="28" w:type="dxa"/>
            </w:tcMar>
          </w:tcPr>
          <w:p w14:paraId="15FC7E0A" w14:textId="77777777" w:rsidR="00780634" w:rsidRPr="00780634" w:rsidRDefault="00780634" w:rsidP="00780634">
            <w:pP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708" w:type="dxa"/>
            <w:tcMar>
              <w:left w:w="28" w:type="dxa"/>
              <w:right w:w="28" w:type="dxa"/>
            </w:tcMar>
          </w:tcPr>
          <w:p w14:paraId="127C0E77"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/7</w:t>
            </w:r>
            <w:r w:rsidRPr="00780634">
              <w:rPr>
                <w:rFonts w:eastAsiaTheme="minorHAnsi"/>
                <w:i/>
                <w:iCs/>
                <w:kern w:val="2"/>
                <w:sz w:val="14"/>
                <w:szCs w:val="14"/>
                <w14:ligatures w14:val="standardContextual"/>
              </w:rPr>
              <w:t>F</w:t>
            </w:r>
          </w:p>
        </w:tc>
        <w:tc>
          <w:tcPr>
            <w:tcW w:w="709" w:type="dxa"/>
            <w:tcMar>
              <w:left w:w="28" w:type="dxa"/>
              <w:right w:w="28" w:type="dxa"/>
            </w:tcMar>
          </w:tcPr>
          <w:p w14:paraId="3C43B3FD" w14:textId="77777777" w:rsidR="00780634" w:rsidRPr="00780634" w:rsidRDefault="00780634" w:rsidP="00780634">
            <w:pPr>
              <w:jc w:val="center"/>
              <w:rPr>
                <w:rFonts w:eastAsiaTheme="minorHAnsi"/>
                <w:kern w:val="2"/>
                <w:sz w:val="14"/>
                <w:szCs w:val="14"/>
                <w14:ligatures w14:val="standardContextual"/>
              </w:rPr>
            </w:pPr>
            <m:oMathPara>
              <m:oMath>
                <m:r>
                  <w:rPr>
                    <w:rFonts w:ascii="Cambria Math" w:eastAsiaTheme="minorHAnsi" w:hAnsi="Cambria Math"/>
                    <w:kern w:val="2"/>
                    <w:sz w:val="14"/>
                    <w:szCs w:val="14"/>
                    <w14:ligatures w14:val="standardContextual"/>
                  </w:rPr>
                  <m:t>∞</m:t>
                </m:r>
              </m:oMath>
            </m:oMathPara>
          </w:p>
        </w:tc>
        <w:tc>
          <w:tcPr>
            <w:tcW w:w="709" w:type="dxa"/>
            <w:tcMar>
              <w:left w:w="28" w:type="dxa"/>
              <w:right w:w="28" w:type="dxa"/>
            </w:tcMar>
          </w:tcPr>
          <w:p w14:paraId="0C5CB2B3"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4</w:t>
            </w:r>
          </w:p>
        </w:tc>
        <w:tc>
          <w:tcPr>
            <w:tcW w:w="572" w:type="dxa"/>
            <w:gridSpan w:val="2"/>
            <w:tcMar>
              <w:left w:w="28" w:type="dxa"/>
              <w:right w:w="28" w:type="dxa"/>
            </w:tcMar>
          </w:tcPr>
          <w:p w14:paraId="5B4042EF"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0</w:t>
            </w:r>
          </w:p>
        </w:tc>
        <w:tc>
          <w:tcPr>
            <w:tcW w:w="845" w:type="dxa"/>
            <w:gridSpan w:val="2"/>
            <w:tcMar>
              <w:left w:w="28" w:type="dxa"/>
              <w:right w:w="28" w:type="dxa"/>
            </w:tcMar>
          </w:tcPr>
          <w:p w14:paraId="4B54B6B8"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567" w:type="dxa"/>
            <w:tcMar>
              <w:left w:w="28" w:type="dxa"/>
              <w:right w:w="28" w:type="dxa"/>
            </w:tcMar>
          </w:tcPr>
          <w:p w14:paraId="0BF2A044"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w:t>
            </w:r>
            <w:r w:rsidRPr="00780634">
              <w:rPr>
                <w:rFonts w:eastAsiaTheme="minorHAnsi"/>
                <w:i/>
                <w:iCs/>
                <w:kern w:val="2"/>
                <w:sz w:val="14"/>
                <w:szCs w:val="14"/>
                <w14:ligatures w14:val="standardContextual"/>
              </w:rPr>
              <w:t>F</w:t>
            </w:r>
          </w:p>
        </w:tc>
        <w:tc>
          <w:tcPr>
            <w:tcW w:w="567" w:type="dxa"/>
            <w:tcMar>
              <w:left w:w="28" w:type="dxa"/>
              <w:right w:w="28" w:type="dxa"/>
            </w:tcMar>
          </w:tcPr>
          <w:p w14:paraId="75FB07FF"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426" w:type="dxa"/>
            <w:tcMar>
              <w:left w:w="28" w:type="dxa"/>
              <w:right w:w="28" w:type="dxa"/>
            </w:tcMar>
          </w:tcPr>
          <w:p w14:paraId="3A6EC3CA"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0.5</w:t>
            </w:r>
          </w:p>
        </w:tc>
        <w:tc>
          <w:tcPr>
            <w:tcW w:w="939" w:type="dxa"/>
            <w:gridSpan w:val="2"/>
            <w:tcMar>
              <w:left w:w="28" w:type="dxa"/>
              <w:right w:w="28" w:type="dxa"/>
            </w:tcMar>
          </w:tcPr>
          <w:p w14:paraId="4659E37D" w14:textId="77777777" w:rsidR="00780634"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K</m:t>
                    </m:r>
                  </m:e>
                  <m:sub>
                    <m:r>
                      <w:rPr>
                        <w:rFonts w:ascii="Cambria Math" w:eastAsiaTheme="minorHAnsi" w:hAnsi="Cambria Math"/>
                        <w:kern w:val="2"/>
                        <w:sz w:val="14"/>
                        <w:szCs w:val="14"/>
                        <w14:ligatures w14:val="standardContextual"/>
                      </w:rPr>
                      <m:t>4</m:t>
                    </m:r>
                  </m:sub>
                </m:sSub>
                <m:r>
                  <w:rPr>
                    <w:rFonts w:ascii="Cambria Math" w:eastAsiaTheme="minorHAnsi" w:hAnsi="Cambria Math"/>
                    <w:kern w:val="2"/>
                    <w:sz w:val="14"/>
                    <w:szCs w:val="14"/>
                    <w14:ligatures w14:val="standardContextual"/>
                  </w:rPr>
                  <m:t xml:space="preserve"> ~ 1</m:t>
                </m:r>
              </m:oMath>
            </m:oMathPara>
          </w:p>
        </w:tc>
      </w:tr>
      <w:tr w:rsidR="00780634" w:rsidRPr="00780634" w14:paraId="3F25EF54" w14:textId="77777777" w:rsidTr="00B2471A">
        <w:tc>
          <w:tcPr>
            <w:tcW w:w="2830" w:type="dxa"/>
            <w:gridSpan w:val="2"/>
            <w:tcMar>
              <w:left w:w="28" w:type="dxa"/>
              <w:right w:w="28" w:type="dxa"/>
            </w:tcMar>
          </w:tcPr>
          <w:p w14:paraId="1E028BF7" w14:textId="77777777" w:rsidR="00780634" w:rsidRPr="00780634" w:rsidRDefault="00780634" w:rsidP="00780634">
            <w:pPr>
              <w:rPr>
                <w:rFonts w:eastAsiaTheme="minorHAnsi"/>
                <w:kern w:val="2"/>
                <w:sz w:val="14"/>
                <w:szCs w:val="14"/>
                <w14:ligatures w14:val="standardContextual"/>
              </w:rPr>
            </w:pPr>
          </w:p>
        </w:tc>
        <w:tc>
          <w:tcPr>
            <w:tcW w:w="426" w:type="dxa"/>
            <w:tcMar>
              <w:left w:w="28" w:type="dxa"/>
              <w:right w:w="28" w:type="dxa"/>
            </w:tcMar>
          </w:tcPr>
          <w:p w14:paraId="62C04005" w14:textId="77777777" w:rsidR="00780634" w:rsidRPr="00780634" w:rsidRDefault="00780634" w:rsidP="00780634">
            <w:pPr>
              <w:rPr>
                <w:rFonts w:eastAsiaTheme="minorHAnsi"/>
                <w:kern w:val="2"/>
                <w:sz w:val="14"/>
                <w:szCs w:val="14"/>
                <w14:ligatures w14:val="standardContextual"/>
              </w:rPr>
            </w:pPr>
          </w:p>
        </w:tc>
        <w:tc>
          <w:tcPr>
            <w:tcW w:w="708" w:type="dxa"/>
            <w:tcMar>
              <w:left w:w="28" w:type="dxa"/>
              <w:right w:w="28" w:type="dxa"/>
            </w:tcMar>
          </w:tcPr>
          <w:p w14:paraId="0464FB7D"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3110A95A" w14:textId="77777777" w:rsidR="00780634" w:rsidRPr="00780634" w:rsidRDefault="00780634" w:rsidP="00780634">
            <w:pPr>
              <w:jc w:val="center"/>
              <w:rPr>
                <w:rFonts w:eastAsiaTheme="minorHAnsi"/>
                <w:kern w:val="2"/>
                <w:sz w:val="14"/>
                <w:szCs w:val="14"/>
                <w14:ligatures w14:val="standardContextual"/>
              </w:rPr>
            </w:pPr>
          </w:p>
        </w:tc>
        <w:tc>
          <w:tcPr>
            <w:tcW w:w="709" w:type="dxa"/>
            <w:tcMar>
              <w:left w:w="28" w:type="dxa"/>
              <w:right w:w="28" w:type="dxa"/>
            </w:tcMar>
          </w:tcPr>
          <w:p w14:paraId="673DAB59" w14:textId="77777777" w:rsidR="00780634" w:rsidRPr="00780634" w:rsidRDefault="00780634" w:rsidP="00780634">
            <w:pPr>
              <w:jc w:val="center"/>
              <w:rPr>
                <w:rFonts w:eastAsiaTheme="minorHAnsi"/>
                <w:kern w:val="2"/>
                <w:sz w:val="14"/>
                <w:szCs w:val="14"/>
                <w14:ligatures w14:val="standardContextual"/>
              </w:rPr>
            </w:pPr>
          </w:p>
        </w:tc>
        <w:tc>
          <w:tcPr>
            <w:tcW w:w="572" w:type="dxa"/>
            <w:gridSpan w:val="2"/>
            <w:tcMar>
              <w:left w:w="28" w:type="dxa"/>
              <w:right w:w="28" w:type="dxa"/>
            </w:tcMar>
          </w:tcPr>
          <w:p w14:paraId="43E36460" w14:textId="77777777" w:rsidR="00780634" w:rsidRPr="00780634" w:rsidRDefault="00780634" w:rsidP="00780634">
            <w:pPr>
              <w:jc w:val="center"/>
              <w:rPr>
                <w:rFonts w:eastAsiaTheme="minorHAnsi"/>
                <w:kern w:val="2"/>
                <w:sz w:val="14"/>
                <w:szCs w:val="14"/>
                <w14:ligatures w14:val="standardContextual"/>
              </w:rPr>
            </w:pPr>
          </w:p>
        </w:tc>
        <w:tc>
          <w:tcPr>
            <w:tcW w:w="845" w:type="dxa"/>
            <w:gridSpan w:val="2"/>
            <w:tcMar>
              <w:left w:w="28" w:type="dxa"/>
              <w:right w:w="28" w:type="dxa"/>
            </w:tcMar>
          </w:tcPr>
          <w:p w14:paraId="058E9810"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F</w:t>
            </w:r>
          </w:p>
        </w:tc>
        <w:tc>
          <w:tcPr>
            <w:tcW w:w="567" w:type="dxa"/>
            <w:tcMar>
              <w:left w:w="28" w:type="dxa"/>
              <w:right w:w="28" w:type="dxa"/>
            </w:tcMar>
          </w:tcPr>
          <w:p w14:paraId="4A6C417A"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2</w:t>
            </w:r>
            <w:r w:rsidRPr="00780634">
              <w:rPr>
                <w:rFonts w:eastAsiaTheme="minorHAnsi"/>
                <w:i/>
                <w:iCs/>
                <w:kern w:val="2"/>
                <w:sz w:val="14"/>
                <w:szCs w:val="14"/>
                <w14:ligatures w14:val="standardContextual"/>
              </w:rPr>
              <w:t>RT</w:t>
            </w:r>
            <w:r w:rsidRPr="00780634">
              <w:rPr>
                <w:rFonts w:eastAsiaTheme="minorHAnsi"/>
                <w:kern w:val="2"/>
                <w:sz w:val="14"/>
                <w:szCs w:val="14"/>
                <w14:ligatures w14:val="standardContextual"/>
              </w:rPr>
              <w:t>/3</w:t>
            </w:r>
            <w:r w:rsidRPr="00780634">
              <w:rPr>
                <w:rFonts w:eastAsiaTheme="minorHAnsi"/>
                <w:i/>
                <w:iCs/>
                <w:kern w:val="2"/>
                <w:sz w:val="14"/>
                <w:szCs w:val="14"/>
                <w14:ligatures w14:val="standardContextual"/>
              </w:rPr>
              <w:t>F</w:t>
            </w:r>
          </w:p>
        </w:tc>
        <w:tc>
          <w:tcPr>
            <w:tcW w:w="567" w:type="dxa"/>
            <w:tcMar>
              <w:left w:w="28" w:type="dxa"/>
              <w:right w:w="28" w:type="dxa"/>
            </w:tcMar>
          </w:tcPr>
          <w:p w14:paraId="3618D0D8"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w:t>
            </w:r>
          </w:p>
        </w:tc>
        <w:tc>
          <w:tcPr>
            <w:tcW w:w="426" w:type="dxa"/>
            <w:tcMar>
              <w:left w:w="28" w:type="dxa"/>
              <w:right w:w="28" w:type="dxa"/>
            </w:tcMar>
          </w:tcPr>
          <w:p w14:paraId="7110BB0B" w14:textId="77777777" w:rsidR="00780634" w:rsidRPr="00780634" w:rsidRDefault="00780634" w:rsidP="00780634">
            <w:pPr>
              <w:jc w:val="center"/>
              <w:rPr>
                <w:rFonts w:eastAsiaTheme="minorHAnsi"/>
                <w:kern w:val="2"/>
                <w:sz w:val="14"/>
                <w:szCs w:val="14"/>
                <w14:ligatures w14:val="standardContextual"/>
              </w:rPr>
            </w:pPr>
            <w:r w:rsidRPr="00780634">
              <w:rPr>
                <w:rFonts w:eastAsiaTheme="minorHAnsi"/>
                <w:kern w:val="2"/>
                <w:sz w:val="14"/>
                <w:szCs w:val="14"/>
                <w14:ligatures w14:val="standardContextual"/>
              </w:rPr>
              <w:t>1.5</w:t>
            </w:r>
          </w:p>
        </w:tc>
        <w:tc>
          <w:tcPr>
            <w:tcW w:w="939" w:type="dxa"/>
            <w:gridSpan w:val="2"/>
            <w:tcMar>
              <w:left w:w="28" w:type="dxa"/>
              <w:right w:w="28" w:type="dxa"/>
            </w:tcMar>
          </w:tcPr>
          <w:p w14:paraId="29E48743" w14:textId="77777777" w:rsidR="00780634" w:rsidRPr="00780634" w:rsidRDefault="00000000" w:rsidP="00780634">
            <w:pPr>
              <w:jc w:val="center"/>
              <w:rPr>
                <w:rFonts w:eastAsiaTheme="minorHAnsi"/>
                <w:kern w:val="2"/>
                <w:sz w:val="14"/>
                <w:szCs w:val="14"/>
                <w14:ligatures w14:val="standardContextual"/>
              </w:rPr>
            </w:pPr>
            <m:oMathPara>
              <m:oMath>
                <m:sSub>
                  <m:sSubPr>
                    <m:ctrlPr>
                      <w:rPr>
                        <w:rFonts w:ascii="Cambria Math" w:eastAsiaTheme="minorHAnsi" w:hAnsi="Cambria Math"/>
                        <w:i/>
                        <w:kern w:val="2"/>
                        <w:sz w:val="14"/>
                        <w:szCs w:val="14"/>
                        <w14:ligatures w14:val="standardContextual"/>
                      </w:rPr>
                    </m:ctrlPr>
                  </m:sSubPr>
                  <m:e>
                    <m:r>
                      <w:rPr>
                        <w:rFonts w:ascii="Cambria Math" w:eastAsiaTheme="minorHAnsi" w:hAnsi="Cambria Math"/>
                        <w:kern w:val="2"/>
                        <w:sz w:val="14"/>
                        <w:szCs w:val="14"/>
                        <w14:ligatures w14:val="standardContextual"/>
                      </w:rPr>
                      <m:t>K</m:t>
                    </m:r>
                  </m:e>
                  <m:sub>
                    <m:r>
                      <w:rPr>
                        <w:rFonts w:ascii="Cambria Math" w:eastAsiaTheme="minorHAnsi" w:hAnsi="Cambria Math"/>
                        <w:kern w:val="2"/>
                        <w:sz w:val="14"/>
                        <w:szCs w:val="14"/>
                        <w14:ligatures w14:val="standardContextual"/>
                      </w:rPr>
                      <m:t>4</m:t>
                    </m:r>
                  </m:sub>
                </m:sSub>
                <m:r>
                  <w:rPr>
                    <w:rFonts w:ascii="Cambria Math" w:eastAsiaTheme="minorHAnsi" w:hAnsi="Cambria Math"/>
                    <w:kern w:val="2"/>
                    <w:sz w:val="14"/>
                    <w:szCs w:val="14"/>
                    <w14:ligatures w14:val="standardContextual"/>
                  </w:rPr>
                  <m:t>≪ 1</m:t>
                </m:r>
              </m:oMath>
            </m:oMathPara>
          </w:p>
        </w:tc>
      </w:tr>
    </w:tbl>
    <w:p w14:paraId="663EFC13" w14:textId="11BFE472" w:rsidR="006925EF" w:rsidRPr="00B17A80" w:rsidRDefault="004F0124" w:rsidP="006925EF">
      <w:pPr>
        <w:rPr>
          <w:sz w:val="20"/>
          <w:szCs w:val="20"/>
        </w:rPr>
      </w:pPr>
      <w:r w:rsidRPr="004F0124">
        <w:rPr>
          <w:rFonts w:ascii="Times-Roman" w:eastAsiaTheme="minorHAnsi" w:hAnsi="Times-Roman" w:cs="Times-Roman"/>
          <w:i/>
          <w:iCs/>
          <w:color w:val="000000"/>
          <w:sz w:val="20"/>
          <w:szCs w:val="20"/>
          <w:vertAlign w:val="superscript"/>
          <w:lang w:val="en-GB"/>
          <w14:ligatures w14:val="standardContextual"/>
        </w:rPr>
        <w:t>a</w:t>
      </w:r>
      <w:r>
        <w:rPr>
          <w:rFonts w:ascii="Times-Roman" w:eastAsiaTheme="minorHAnsi" w:hAnsi="Times-Roman" w:cs="Times-Roman"/>
          <w:color w:val="000000"/>
          <w:sz w:val="20"/>
          <w:szCs w:val="20"/>
          <w:lang w:val="en-GB"/>
          <w14:ligatures w14:val="standardContextual"/>
        </w:rPr>
        <w:t xml:space="preserve"> S</w:t>
      </w:r>
      <w:r w:rsidR="00B17A80" w:rsidRPr="00B17A80">
        <w:rPr>
          <w:rFonts w:ascii="Times-Roman" w:eastAsiaTheme="minorHAnsi" w:hAnsi="Times-Roman" w:cs="Times-Roman"/>
          <w:color w:val="000000"/>
          <w:sz w:val="20"/>
          <w:szCs w:val="20"/>
          <w:lang w:val="en-GB"/>
          <w14:ligatures w14:val="standardContextual"/>
        </w:rPr>
        <w:t>ymmetry factors</w:t>
      </w:r>
      <w:r w:rsidR="00B17A80">
        <w:rPr>
          <w:rFonts w:ascii="Times-Roman" w:eastAsiaTheme="minorHAnsi" w:hAnsi="Times-Roman" w:cs="Times-Roman"/>
          <w:color w:val="000000"/>
          <w:sz w:val="20"/>
          <w:szCs w:val="20"/>
          <w:lang w:val="en-GB"/>
          <w14:ligatures w14:val="standardContextual"/>
        </w:rPr>
        <w:t xml:space="preserve"> </w:t>
      </w:r>
      <w:r w:rsidR="00B17A80" w:rsidRPr="00B17A80">
        <w:rPr>
          <w:rFonts w:ascii="Times-Roman" w:eastAsiaTheme="minorHAnsi" w:hAnsi="Times-Roman" w:cs="Times-Roman"/>
          <w:color w:val="000000"/>
          <w:sz w:val="20"/>
          <w:szCs w:val="20"/>
          <w:lang w:val="en-GB"/>
          <w14:ligatures w14:val="standardContextual"/>
        </w:rPr>
        <w:t>were taken as</w:t>
      </w:r>
      <w:r w:rsidR="00B17A80">
        <w:rPr>
          <w:rFonts w:ascii="Times-Roman" w:eastAsiaTheme="minorHAnsi" w:hAnsi="Times-Roman" w:cs="Times-Roman"/>
          <w:color w:val="000000"/>
          <w:sz w:val="20"/>
          <w:szCs w:val="20"/>
          <w:lang w:val="en-GB"/>
          <w14:ligatures w14:val="standardContextual"/>
        </w:rPr>
        <w:t xml:space="preserve"> 0.5</w:t>
      </w:r>
      <w:r w:rsidR="00B17A80" w:rsidRPr="00B17A80">
        <w:rPr>
          <w:rFonts w:ascii="Times-Roman" w:eastAsiaTheme="minorHAnsi" w:hAnsi="Times-Roman" w:cs="Times-Roman"/>
          <w:color w:val="000000"/>
          <w:sz w:val="20"/>
          <w:szCs w:val="20"/>
          <w:lang w:val="en-GB"/>
          <w14:ligatures w14:val="standardContextual"/>
        </w:rPr>
        <w:t xml:space="preserve">. </w:t>
      </w:r>
      <w:r>
        <w:rPr>
          <w:rFonts w:ascii="Times-Roman" w:eastAsiaTheme="minorHAnsi" w:hAnsi="Times-Roman" w:cs="Times-Roman"/>
          <w:i/>
          <w:iCs/>
          <w:color w:val="000000"/>
          <w:sz w:val="20"/>
          <w:szCs w:val="20"/>
          <w:vertAlign w:val="superscript"/>
          <w:lang w:val="en-GB"/>
          <w14:ligatures w14:val="standardContextual"/>
        </w:rPr>
        <w:t>b</w:t>
      </w:r>
      <w:r>
        <w:rPr>
          <w:rFonts w:ascii="Times-Roman" w:eastAsiaTheme="minorHAnsi" w:hAnsi="Times-Roman" w:cs="Times-Roman"/>
          <w:color w:val="000000"/>
          <w:sz w:val="20"/>
          <w:szCs w:val="20"/>
          <w:lang w:val="en-GB"/>
          <w14:ligatures w14:val="standardContextual"/>
        </w:rPr>
        <w:t xml:space="preserve"> S</w:t>
      </w:r>
      <w:r w:rsidR="00B17A80" w:rsidRPr="00B17A80">
        <w:rPr>
          <w:rFonts w:ascii="Times-Roman" w:eastAsiaTheme="minorHAnsi" w:hAnsi="Times-Roman" w:cs="Times-Roman"/>
          <w:color w:val="000000"/>
          <w:sz w:val="20"/>
          <w:szCs w:val="20"/>
          <w:lang w:val="en-GB"/>
          <w14:ligatures w14:val="standardContextual"/>
        </w:rPr>
        <w:t>toichiometric number.</w:t>
      </w:r>
      <w:r>
        <w:rPr>
          <w:rFonts w:ascii="Times-Roman" w:eastAsiaTheme="minorHAnsi" w:hAnsi="Times-Roman" w:cs="Times-Roman"/>
          <w:color w:val="000000"/>
          <w:sz w:val="20"/>
          <w:szCs w:val="20"/>
          <w:lang w:val="en-GB"/>
          <w14:ligatures w14:val="standardContextual"/>
        </w:rPr>
        <w:t xml:space="preserve"> </w:t>
      </w:r>
      <w:r>
        <w:rPr>
          <w:rFonts w:ascii="Times-Roman" w:eastAsiaTheme="minorHAnsi" w:hAnsi="Times-Roman" w:cs="Times-Roman"/>
          <w:i/>
          <w:iCs/>
          <w:color w:val="000000"/>
          <w:sz w:val="20"/>
          <w:szCs w:val="20"/>
          <w:vertAlign w:val="superscript"/>
          <w:lang w:val="en-GB"/>
          <w14:ligatures w14:val="standardContextual"/>
        </w:rPr>
        <w:t>c</w:t>
      </w:r>
      <w:r w:rsidR="00F764AD">
        <w:rPr>
          <w:rFonts w:ascii="Times-Roman" w:eastAsiaTheme="minorHAnsi" w:hAnsi="Times-Roman" w:cs="Times-Roman"/>
          <w:color w:val="000000"/>
          <w:sz w:val="20"/>
          <w:szCs w:val="20"/>
          <w:lang w:val="en-GB"/>
          <w14:ligatures w14:val="standardContextual"/>
        </w:rPr>
        <w:t xml:space="preserve"> </w:t>
      </w:r>
      <m:oMath>
        <m:r>
          <m:rPr>
            <m:sty m:val="p"/>
          </m:rPr>
          <w:rPr>
            <w:rFonts w:ascii="Cambria Math" w:eastAsiaTheme="minorHAnsi" w:hAnsi="Cambria Math" w:cs="Times-Roman"/>
            <w:color w:val="000000"/>
            <w:sz w:val="20"/>
            <w:szCs w:val="20"/>
            <w:lang w:val="en-GB"/>
            <w14:ligatures w14:val="standardContextual"/>
          </w:rPr>
          <m:t>ζ</m:t>
        </m:r>
      </m:oMath>
      <w:r w:rsidR="00F764AD">
        <w:rPr>
          <w:rFonts w:ascii="Times-Roman" w:eastAsiaTheme="minorEastAsia" w:hAnsi="Times-Roman" w:cs="Times-Roman"/>
          <w:color w:val="000000"/>
          <w:sz w:val="20"/>
          <w:szCs w:val="20"/>
          <w:lang w:val="en-GB"/>
          <w14:ligatures w14:val="standardContextual"/>
        </w:rPr>
        <w:t xml:space="preserve"> </w:t>
      </w:r>
      <w:r w:rsidR="00F764AD">
        <w:rPr>
          <w:rFonts w:ascii="Times-Roman" w:eastAsiaTheme="minorHAnsi" w:hAnsi="Times-Roman" w:cs="Times-Roman"/>
          <w:color w:val="000000"/>
          <w:sz w:val="20"/>
          <w:szCs w:val="20"/>
          <w:lang w:val="en-GB"/>
          <w14:ligatures w14:val="standardContextual"/>
        </w:rPr>
        <w:t>is</w:t>
      </w:r>
      <w:r w:rsidR="00B17A80" w:rsidRPr="00B17A80">
        <w:rPr>
          <w:rFonts w:ascii="Times-Roman" w:eastAsiaTheme="minorHAnsi" w:hAnsi="Times-Roman" w:cs="Times-Roman"/>
          <w:color w:val="000000"/>
          <w:sz w:val="20"/>
          <w:szCs w:val="20"/>
          <w:lang w:val="en-GB"/>
          <w14:ligatures w14:val="standardContextual"/>
        </w:rPr>
        <w:t xml:space="preserve"> the potential difference between the outer Helmholtz plane and the bulk of the solution.</w:t>
      </w:r>
      <w:r>
        <w:rPr>
          <w:rFonts w:ascii="Times-Roman" w:eastAsiaTheme="minorHAnsi" w:hAnsi="Times-Roman" w:cs="Times-Roman"/>
          <w:color w:val="000000"/>
          <w:sz w:val="20"/>
          <w:szCs w:val="20"/>
          <w:lang w:val="en-GB"/>
          <w14:ligatures w14:val="standardContextual"/>
        </w:rPr>
        <w:t xml:space="preserve"> </w:t>
      </w:r>
      <w:r>
        <w:rPr>
          <w:rFonts w:ascii="Times-Roman" w:eastAsiaTheme="minorHAnsi" w:hAnsi="Times-Roman" w:cs="Times-Roman"/>
          <w:i/>
          <w:iCs/>
          <w:color w:val="000000"/>
          <w:sz w:val="20"/>
          <w:szCs w:val="20"/>
          <w:vertAlign w:val="superscript"/>
          <w:lang w:val="en-GB"/>
          <w14:ligatures w14:val="standardContextual"/>
        </w:rPr>
        <w:t>d</w:t>
      </w:r>
      <w:r>
        <w:rPr>
          <w:rFonts w:ascii="Times-Roman" w:eastAsiaTheme="minorHAnsi" w:hAnsi="Times-Roman" w:cs="Times-Roman"/>
          <w:color w:val="000000"/>
          <w:sz w:val="20"/>
          <w:szCs w:val="20"/>
          <w:lang w:val="en-GB"/>
          <w14:ligatures w14:val="standardContextual"/>
        </w:rPr>
        <w:t xml:space="preserve"> </w:t>
      </w:r>
      <w:r w:rsidR="00B17A80" w:rsidRPr="00B17A80">
        <w:rPr>
          <w:rFonts w:ascii="Times-Roman" w:eastAsiaTheme="minorHAnsi" w:hAnsi="Times-Roman" w:cs="Times-Roman"/>
          <w:color w:val="000000"/>
          <w:sz w:val="20"/>
          <w:szCs w:val="20"/>
          <w:lang w:val="en-GB"/>
          <w14:ligatures w14:val="standardContextual"/>
        </w:rPr>
        <w:t>Nonactivated desorption of</w:t>
      </w:r>
      <w:r w:rsidR="00F764AD">
        <w:rPr>
          <w:rFonts w:ascii="Times-Roman" w:eastAsiaTheme="minorHAnsi" w:hAnsi="Times-Roman" w:cs="Times-Roman"/>
          <w:color w:val="000000"/>
          <w:sz w:val="20"/>
          <w:szCs w:val="20"/>
          <w:lang w:val="en-GB"/>
          <w14:ligatures w14:val="standardContextual"/>
        </w:rPr>
        <w:t xml:space="preserve"> O</w:t>
      </w:r>
      <w:r w:rsidR="00F764AD" w:rsidRPr="00F764AD">
        <w:rPr>
          <w:rFonts w:ascii="Times-Roman" w:eastAsiaTheme="minorHAnsi" w:hAnsi="Times-Roman" w:cs="Times-Roman"/>
          <w:color w:val="000000"/>
          <w:sz w:val="20"/>
          <w:szCs w:val="20"/>
          <w:vertAlign w:val="subscript"/>
          <w:lang w:val="en-GB"/>
          <w14:ligatures w14:val="standardContextual"/>
        </w:rPr>
        <w:t>2</w:t>
      </w:r>
      <w:r w:rsidR="00B17A80" w:rsidRPr="00B17A80">
        <w:rPr>
          <w:rFonts w:ascii="Times-Roman" w:eastAsiaTheme="minorHAnsi" w:hAnsi="Times-Roman" w:cs="Times-Roman"/>
          <w:color w:val="000000"/>
          <w:sz w:val="20"/>
          <w:szCs w:val="20"/>
          <w:lang w:val="en-GB"/>
          <w14:ligatures w14:val="standardContextual"/>
        </w:rPr>
        <w:t>.</w:t>
      </w:r>
      <w:r>
        <w:rPr>
          <w:rFonts w:ascii="Times-Roman" w:eastAsiaTheme="minorHAnsi" w:hAnsi="Times-Roman" w:cs="Times-Roman"/>
          <w:color w:val="000000"/>
          <w:sz w:val="20"/>
          <w:szCs w:val="20"/>
          <w:lang w:val="en-GB"/>
          <w14:ligatures w14:val="standardContextual"/>
        </w:rPr>
        <w:t xml:space="preserve"> </w:t>
      </w:r>
      <w:r>
        <w:rPr>
          <w:rFonts w:ascii="Times-Roman" w:eastAsiaTheme="minorHAnsi" w:hAnsi="Times-Roman" w:cs="Times-Roman"/>
          <w:i/>
          <w:iCs/>
          <w:color w:val="000000"/>
          <w:sz w:val="20"/>
          <w:szCs w:val="20"/>
          <w:vertAlign w:val="superscript"/>
          <w:lang w:val="en-GB"/>
          <w14:ligatures w14:val="standardContextual"/>
        </w:rPr>
        <w:t>e</w:t>
      </w:r>
      <w:r>
        <w:rPr>
          <w:rFonts w:ascii="Times-Roman" w:eastAsiaTheme="minorHAnsi" w:hAnsi="Times-Roman" w:cs="Times-Roman"/>
          <w:color w:val="000000"/>
          <w:sz w:val="20"/>
          <w:szCs w:val="20"/>
          <w:lang w:val="en-GB"/>
          <w14:ligatures w14:val="standardContextual"/>
        </w:rPr>
        <w:t xml:space="preserve"> </w:t>
      </w:r>
      <w:r w:rsidR="00B17A80" w:rsidRPr="00B17A80">
        <w:rPr>
          <w:rFonts w:ascii="Times-Roman" w:eastAsiaTheme="minorHAnsi" w:hAnsi="Times-Roman" w:cs="Times-Roman"/>
          <w:color w:val="000000"/>
          <w:sz w:val="20"/>
          <w:szCs w:val="20"/>
          <w:lang w:val="en-GB"/>
          <w14:ligatures w14:val="standardContextual"/>
        </w:rPr>
        <w:t xml:space="preserve">Activated desorption of </w:t>
      </w:r>
      <w:r w:rsidR="00F764AD">
        <w:rPr>
          <w:rFonts w:ascii="Times-Roman" w:eastAsiaTheme="minorHAnsi" w:hAnsi="Times-Roman" w:cs="Times-Roman"/>
          <w:color w:val="000000"/>
          <w:sz w:val="20"/>
          <w:szCs w:val="20"/>
          <w:lang w:val="en-GB"/>
          <w14:ligatures w14:val="standardContextual"/>
        </w:rPr>
        <w:t>O</w:t>
      </w:r>
      <w:r w:rsidR="00F764AD" w:rsidRPr="00F764AD">
        <w:rPr>
          <w:rFonts w:ascii="Times-Roman" w:eastAsiaTheme="minorHAnsi" w:hAnsi="Times-Roman" w:cs="Times-Roman"/>
          <w:color w:val="000000"/>
          <w:sz w:val="20"/>
          <w:szCs w:val="20"/>
          <w:vertAlign w:val="subscript"/>
          <w:lang w:val="en-GB"/>
          <w14:ligatures w14:val="standardContextual"/>
        </w:rPr>
        <w:t>2</w:t>
      </w:r>
      <w:r w:rsidR="00B17A80" w:rsidRPr="00B17A80">
        <w:rPr>
          <w:rFonts w:ascii="Times-Roman" w:eastAsiaTheme="minorHAnsi" w:hAnsi="Times-Roman" w:cs="Times-Roman"/>
          <w:color w:val="000000"/>
          <w:sz w:val="20"/>
          <w:szCs w:val="20"/>
          <w:lang w:val="en-GB"/>
          <w14:ligatures w14:val="standardContextual"/>
        </w:rPr>
        <w:t>.</w:t>
      </w:r>
      <w:r w:rsidRPr="004F0124">
        <w:rPr>
          <w:rFonts w:ascii="Times-Roman" w:eastAsiaTheme="minorHAnsi" w:hAnsi="Times-Roman" w:cs="Times-Roman"/>
          <w:i/>
          <w:iCs/>
          <w:color w:val="000000"/>
          <w:sz w:val="20"/>
          <w:szCs w:val="20"/>
          <w:vertAlign w:val="superscript"/>
          <w:lang w:val="en-GB"/>
          <w14:ligatures w14:val="standardContextual"/>
        </w:rPr>
        <w:t xml:space="preserve"> </w:t>
      </w:r>
      <w:r>
        <w:rPr>
          <w:rFonts w:ascii="Times-Roman" w:eastAsiaTheme="minorHAnsi" w:hAnsi="Times-Roman" w:cs="Times-Roman"/>
          <w:i/>
          <w:iCs/>
          <w:color w:val="000000"/>
          <w:sz w:val="20"/>
          <w:szCs w:val="20"/>
          <w:vertAlign w:val="superscript"/>
          <w:lang w:val="en-GB"/>
          <w14:ligatures w14:val="standardContextual"/>
        </w:rPr>
        <w:t>f</w:t>
      </w:r>
      <w:r w:rsidR="00B17A80" w:rsidRPr="00B17A80">
        <w:rPr>
          <w:rFonts w:ascii="Times-Roman" w:eastAsiaTheme="minorHAnsi" w:hAnsi="Times-Roman" w:cs="Times-Roman"/>
          <w:color w:val="000000"/>
          <w:sz w:val="20"/>
          <w:szCs w:val="20"/>
          <w:lang w:val="en-GB"/>
          <w14:ligatures w14:val="standardContextual"/>
        </w:rPr>
        <w:t xml:space="preserve"> </w:t>
      </w:r>
      <w:r w:rsidR="00B17A80" w:rsidRPr="00F764AD">
        <w:rPr>
          <w:rFonts w:ascii="Times-Roman" w:eastAsiaTheme="minorHAnsi" w:hAnsi="Times-Roman" w:cs="Times-Roman"/>
          <w:i/>
          <w:iCs/>
          <w:color w:val="000000"/>
          <w:sz w:val="20"/>
          <w:szCs w:val="20"/>
          <w:lang w:val="en-GB"/>
          <w14:ligatures w14:val="standardContextual"/>
        </w:rPr>
        <w:t>r</w:t>
      </w:r>
      <w:r w:rsidR="00B17A80" w:rsidRPr="00B17A80">
        <w:rPr>
          <w:rFonts w:ascii="Times-Roman" w:eastAsiaTheme="minorHAnsi" w:hAnsi="Times-Roman" w:cs="Times-Roman"/>
          <w:color w:val="000000"/>
          <w:sz w:val="20"/>
          <w:szCs w:val="20"/>
          <w:lang w:val="en-GB"/>
          <w14:ligatures w14:val="standardContextual"/>
        </w:rPr>
        <w:t xml:space="preserve"> is a coefficient determining the variation of heat of adsorption of a particular species with coverage. Unless stated, </w:t>
      </w:r>
      <w:r w:rsidR="00B17A80" w:rsidRPr="00F764AD">
        <w:rPr>
          <w:rFonts w:ascii="Times-Roman" w:eastAsiaTheme="minorHAnsi" w:hAnsi="Times-Roman" w:cs="Times-Roman"/>
          <w:i/>
          <w:iCs/>
          <w:color w:val="000000"/>
          <w:sz w:val="20"/>
          <w:szCs w:val="20"/>
          <w:lang w:val="en-GB"/>
          <w14:ligatures w14:val="standardContextual"/>
        </w:rPr>
        <w:t>r</w:t>
      </w:r>
      <w:r w:rsidR="00B17A80" w:rsidRPr="00B17A80">
        <w:rPr>
          <w:rFonts w:ascii="Times-Roman" w:eastAsiaTheme="minorHAnsi" w:hAnsi="Times-Roman" w:cs="Times-Roman"/>
          <w:color w:val="000000"/>
          <w:sz w:val="20"/>
          <w:szCs w:val="20"/>
          <w:lang w:val="en-GB"/>
          <w14:ligatures w14:val="standardContextual"/>
        </w:rPr>
        <w:t xml:space="preserve"> values for each species were taken as equal. </w:t>
      </w:r>
      <w:r w:rsidR="00F764AD" w:rsidRPr="00F764AD">
        <w:rPr>
          <w:rFonts w:ascii="Times-Roman" w:eastAsiaTheme="minorHAnsi" w:hAnsi="Times-Roman" w:cs="Times-Roman"/>
          <w:i/>
          <w:iCs/>
          <w:color w:val="000000"/>
          <w:sz w:val="20"/>
          <w:szCs w:val="20"/>
          <w:lang w:val="en-GB"/>
          <w14:ligatures w14:val="standardContextual"/>
        </w:rPr>
        <w:t>K</w:t>
      </w:r>
      <w:r w:rsidR="00F764AD" w:rsidRPr="00F764AD">
        <w:rPr>
          <w:rFonts w:ascii="Times-Roman" w:eastAsiaTheme="minorHAnsi" w:hAnsi="Times-Roman" w:cs="Times-Roman"/>
          <w:i/>
          <w:iCs/>
          <w:color w:val="000000"/>
          <w:sz w:val="20"/>
          <w:szCs w:val="20"/>
          <w:vertAlign w:val="subscript"/>
          <w:lang w:val="en-GB"/>
          <w14:ligatures w14:val="standardContextual"/>
        </w:rPr>
        <w:t>i</w:t>
      </w:r>
      <w:r w:rsidR="00B17A80" w:rsidRPr="00B17A80">
        <w:rPr>
          <w:rFonts w:ascii="Times-Roman" w:eastAsiaTheme="minorHAnsi" w:hAnsi="Times-Roman" w:cs="Times-Roman"/>
          <w:color w:val="000000"/>
          <w:position w:val="-2"/>
          <w:sz w:val="20"/>
          <w:szCs w:val="20"/>
          <w:lang w:val="en-GB"/>
          <w14:ligatures w14:val="standardContextual"/>
        </w:rPr>
        <w:t xml:space="preserve"> </w:t>
      </w:r>
      <w:r w:rsidR="00B17A80" w:rsidRPr="00B17A80">
        <w:rPr>
          <w:rFonts w:ascii="Times-Roman" w:eastAsiaTheme="minorHAnsi" w:hAnsi="Times-Roman" w:cs="Times-Roman"/>
          <w:color w:val="000000"/>
          <w:sz w:val="20"/>
          <w:szCs w:val="20"/>
          <w:lang w:val="en-GB"/>
          <w14:ligatures w14:val="standardContextual"/>
        </w:rPr>
        <w:t xml:space="preserve">is the equilibrium constant of the </w:t>
      </w:r>
      <w:proofErr w:type="spellStart"/>
      <w:r w:rsidR="00B17A80" w:rsidRPr="00F764AD">
        <w:rPr>
          <w:rFonts w:ascii="Times-Roman" w:eastAsiaTheme="minorHAnsi" w:hAnsi="Times-Roman" w:cs="Times-Roman"/>
          <w:i/>
          <w:iCs/>
          <w:color w:val="000000"/>
          <w:sz w:val="20"/>
          <w:szCs w:val="20"/>
          <w:lang w:val="en-GB"/>
          <w14:ligatures w14:val="standardContextual"/>
        </w:rPr>
        <w:t>i</w:t>
      </w:r>
      <w:r w:rsidR="00B17A80" w:rsidRPr="00B17A80">
        <w:rPr>
          <w:rFonts w:ascii="Times-Roman" w:eastAsiaTheme="minorHAnsi" w:hAnsi="Times-Roman" w:cs="Times-Roman"/>
          <w:color w:val="000000"/>
          <w:sz w:val="20"/>
          <w:szCs w:val="20"/>
          <w:lang w:val="en-GB"/>
          <w14:ligatures w14:val="standardContextual"/>
        </w:rPr>
        <w:t>th</w:t>
      </w:r>
      <w:proofErr w:type="spellEnd"/>
      <w:r w:rsidR="00B17A80" w:rsidRPr="00B17A80">
        <w:rPr>
          <w:rFonts w:ascii="Times-Roman" w:eastAsiaTheme="minorHAnsi" w:hAnsi="Times-Roman" w:cs="Times-Roman"/>
          <w:color w:val="000000"/>
          <w:sz w:val="20"/>
          <w:szCs w:val="20"/>
          <w:lang w:val="en-GB"/>
          <w14:ligatures w14:val="standardContextual"/>
        </w:rPr>
        <w:t xml:space="preserve"> step.</w:t>
      </w:r>
      <w:r w:rsidRPr="004F0124">
        <w:rPr>
          <w:rFonts w:ascii="Times-Roman" w:eastAsiaTheme="minorHAnsi" w:hAnsi="Times-Roman" w:cs="Times-Roman"/>
          <w:i/>
          <w:iCs/>
          <w:color w:val="000000"/>
          <w:sz w:val="20"/>
          <w:szCs w:val="20"/>
          <w:vertAlign w:val="superscript"/>
          <w:lang w:val="en-GB"/>
          <w14:ligatures w14:val="standardContextual"/>
        </w:rPr>
        <w:t xml:space="preserve"> </w:t>
      </w:r>
      <w:r>
        <w:rPr>
          <w:rFonts w:ascii="Times-Roman" w:eastAsiaTheme="minorHAnsi" w:hAnsi="Times-Roman" w:cs="Times-Roman"/>
          <w:i/>
          <w:iCs/>
          <w:color w:val="000000"/>
          <w:sz w:val="20"/>
          <w:szCs w:val="20"/>
          <w:vertAlign w:val="superscript"/>
          <w:lang w:val="en-GB"/>
          <w14:ligatures w14:val="standardContextual"/>
        </w:rPr>
        <w:t>g</w:t>
      </w:r>
      <w:r w:rsidR="00B17A80" w:rsidRPr="00B17A80">
        <w:rPr>
          <w:rFonts w:ascii="Times-Roman" w:eastAsiaTheme="minorHAnsi" w:hAnsi="Times-Roman" w:cs="Times-Roman"/>
          <w:color w:val="000000"/>
          <w:sz w:val="20"/>
          <w:szCs w:val="20"/>
          <w:lang w:val="en-GB"/>
          <w14:ligatures w14:val="standardContextual"/>
        </w:rPr>
        <w:t xml:space="preserve"> </w:t>
      </w:r>
      <w:r w:rsidR="00F764AD" w:rsidRPr="00F764AD">
        <w:rPr>
          <w:rFonts w:ascii="Times-Roman" w:eastAsiaTheme="minorHAnsi" w:hAnsi="Times-Roman" w:cs="Times-Roman"/>
          <w:i/>
          <w:iCs/>
          <w:color w:val="000000"/>
          <w:position w:val="-2"/>
          <w:sz w:val="20"/>
          <w:szCs w:val="20"/>
          <w:lang w:val="en-GB"/>
          <w14:ligatures w14:val="standardContextual"/>
        </w:rPr>
        <w:t>r</w:t>
      </w:r>
      <w:r w:rsidR="00F764AD" w:rsidRPr="00F764AD">
        <w:rPr>
          <w:rFonts w:ascii="Times-Roman" w:eastAsiaTheme="minorHAnsi" w:hAnsi="Times-Roman" w:cs="Times-Roman"/>
          <w:color w:val="000000"/>
          <w:position w:val="-2"/>
          <w:sz w:val="20"/>
          <w:szCs w:val="20"/>
          <w:vertAlign w:val="subscript"/>
          <w:lang w:val="en-GB"/>
          <w14:ligatures w14:val="standardContextual"/>
        </w:rPr>
        <w:t>1</w:t>
      </w:r>
      <w:r w:rsidR="00F764AD">
        <w:rPr>
          <w:rFonts w:ascii="Times-Roman" w:eastAsiaTheme="minorHAnsi" w:hAnsi="Times-Roman" w:cs="Times-Roman"/>
          <w:color w:val="000000"/>
          <w:position w:val="-2"/>
          <w:sz w:val="20"/>
          <w:szCs w:val="20"/>
          <w:lang w:val="en-GB"/>
          <w14:ligatures w14:val="standardContextual"/>
        </w:rPr>
        <w:t xml:space="preserve"> </w:t>
      </w:r>
      <w:r w:rsidR="00B17A80" w:rsidRPr="00B17A80">
        <w:rPr>
          <w:rFonts w:ascii="Times-Roman" w:eastAsiaTheme="minorHAnsi" w:hAnsi="Times-Roman" w:cs="Times-Roman"/>
          <w:color w:val="000000"/>
          <w:sz w:val="20"/>
          <w:szCs w:val="20"/>
          <w:lang w:val="en-GB"/>
          <w14:ligatures w14:val="standardContextual"/>
        </w:rPr>
        <w:t>and</w:t>
      </w:r>
      <w:r w:rsidR="00F764AD">
        <w:rPr>
          <w:rFonts w:ascii="Times-Roman" w:eastAsiaTheme="minorHAnsi" w:hAnsi="Times-Roman" w:cs="Times-Roman"/>
          <w:color w:val="000000"/>
          <w:sz w:val="20"/>
          <w:szCs w:val="20"/>
          <w:lang w:val="en-GB"/>
          <w14:ligatures w14:val="standardContextual"/>
        </w:rPr>
        <w:t xml:space="preserve"> </w:t>
      </w:r>
      <w:r w:rsidR="00F764AD" w:rsidRPr="00F764AD">
        <w:rPr>
          <w:rFonts w:ascii="Times-Roman" w:eastAsiaTheme="minorHAnsi" w:hAnsi="Times-Roman" w:cs="Times-Roman"/>
          <w:i/>
          <w:iCs/>
          <w:color w:val="000000"/>
          <w:sz w:val="20"/>
          <w:szCs w:val="20"/>
          <w:lang w:val="en-GB"/>
          <w14:ligatures w14:val="standardContextual"/>
        </w:rPr>
        <w:t>r</w:t>
      </w:r>
      <w:r w:rsidR="00F764AD" w:rsidRPr="00F764AD">
        <w:rPr>
          <w:rFonts w:ascii="Times-Roman" w:eastAsiaTheme="minorHAnsi" w:hAnsi="Times-Roman" w:cs="Times-Roman"/>
          <w:color w:val="000000"/>
          <w:sz w:val="20"/>
          <w:szCs w:val="20"/>
          <w:vertAlign w:val="subscript"/>
          <w:lang w:val="en-GB"/>
          <w14:ligatures w14:val="standardContextual"/>
        </w:rPr>
        <w:t>2</w:t>
      </w:r>
      <w:r w:rsidR="00F764AD">
        <w:rPr>
          <w:rFonts w:ascii="Times-Roman" w:eastAsiaTheme="minorHAnsi" w:hAnsi="Times-Roman" w:cs="Times-Roman"/>
          <w:color w:val="000000"/>
          <w:sz w:val="20"/>
          <w:szCs w:val="20"/>
          <w:lang w:val="en-GB"/>
          <w14:ligatures w14:val="standardContextual"/>
        </w:rPr>
        <w:t xml:space="preserve"> </w:t>
      </w:r>
      <w:r w:rsidR="00B17A80" w:rsidRPr="00B17A80">
        <w:rPr>
          <w:rFonts w:ascii="Times-Roman" w:eastAsiaTheme="minorHAnsi" w:hAnsi="Times-Roman" w:cs="Times-Roman"/>
          <w:color w:val="000000"/>
          <w:sz w:val="20"/>
          <w:szCs w:val="20"/>
          <w:lang w:val="en-GB"/>
          <w14:ligatures w14:val="standardContextual"/>
        </w:rPr>
        <w:t xml:space="preserve">refer to </w:t>
      </w:r>
      <w:r w:rsidR="00B17A80" w:rsidRPr="00F764AD">
        <w:rPr>
          <w:rFonts w:ascii="Times-Roman" w:eastAsiaTheme="minorHAnsi" w:hAnsi="Times-Roman" w:cs="Times-Roman"/>
          <w:i/>
          <w:iCs/>
          <w:color w:val="000000"/>
          <w:sz w:val="20"/>
          <w:szCs w:val="20"/>
          <w:lang w:val="en-GB"/>
          <w14:ligatures w14:val="standardContextual"/>
        </w:rPr>
        <w:t>r</w:t>
      </w:r>
      <w:r w:rsidR="00B17A80" w:rsidRPr="00B17A80">
        <w:rPr>
          <w:rFonts w:ascii="Times-Roman" w:eastAsiaTheme="minorHAnsi" w:hAnsi="Times-Roman" w:cs="Times-Roman"/>
          <w:color w:val="000000"/>
          <w:sz w:val="20"/>
          <w:szCs w:val="20"/>
          <w:lang w:val="en-GB"/>
          <w14:ligatures w14:val="standardContextual"/>
        </w:rPr>
        <w:t xml:space="preserve"> for </w:t>
      </w:r>
      <w:r w:rsidRPr="00B17A80">
        <w:rPr>
          <w:rFonts w:ascii="Times-Roman" w:eastAsiaTheme="minorHAnsi" w:hAnsi="Times-Roman" w:cs="Times-Roman"/>
          <w:color w:val="000000"/>
          <w:sz w:val="20"/>
          <w:szCs w:val="20"/>
          <w:lang w:val="en-GB"/>
          <w14:ligatures w14:val="standardContextual"/>
        </w:rPr>
        <w:t>M</w:t>
      </w:r>
      <w:r w:rsidRPr="00F764AD">
        <w:rPr>
          <w:rFonts w:ascii="Times-Roman" w:eastAsiaTheme="minorHAnsi" w:hAnsi="Times-Roman" w:cs="Times-Roman"/>
          <w:color w:val="000000"/>
          <w:position w:val="8"/>
          <w:sz w:val="20"/>
          <w:szCs w:val="20"/>
          <w:vertAlign w:val="superscript"/>
          <w:lang w:val="en-GB"/>
          <w14:ligatures w14:val="standardContextual"/>
        </w:rPr>
        <w:t>z</w:t>
      </w:r>
      <w:r w:rsidR="00B17A80" w:rsidRPr="00B17A80">
        <w:rPr>
          <w:rFonts w:ascii="Times-Roman" w:eastAsiaTheme="minorHAnsi" w:hAnsi="Times-Roman" w:cs="Times-Roman"/>
          <w:color w:val="000000"/>
          <w:sz w:val="20"/>
          <w:szCs w:val="20"/>
          <w:lang w:val="en-GB"/>
          <w14:ligatures w14:val="standardContextual"/>
        </w:rPr>
        <w:t>OH and r for M</w:t>
      </w:r>
      <w:r w:rsidR="00B17A80" w:rsidRPr="00F764AD">
        <w:rPr>
          <w:rFonts w:ascii="Times-Roman" w:eastAsiaTheme="minorHAnsi" w:hAnsi="Times-Roman" w:cs="Times-Roman"/>
          <w:color w:val="000000"/>
          <w:position w:val="8"/>
          <w:sz w:val="20"/>
          <w:szCs w:val="20"/>
          <w:vertAlign w:val="superscript"/>
          <w:lang w:val="en-GB"/>
          <w14:ligatures w14:val="standardContextual"/>
        </w:rPr>
        <w:t>z</w:t>
      </w:r>
      <w:r w:rsidR="00F764AD" w:rsidRPr="00F764AD">
        <w:rPr>
          <w:rFonts w:ascii="Times-Roman" w:eastAsiaTheme="minorHAnsi" w:hAnsi="Times-Roman" w:cs="Times-Roman"/>
          <w:color w:val="000000"/>
          <w:position w:val="8"/>
          <w:sz w:val="20"/>
          <w:szCs w:val="20"/>
          <w:vertAlign w:val="superscript"/>
          <w:lang w:val="en-GB"/>
          <w14:ligatures w14:val="standardContextual"/>
        </w:rPr>
        <w:t>+1</w:t>
      </w:r>
      <w:r w:rsidR="00B17A80" w:rsidRPr="00B17A80">
        <w:rPr>
          <w:rFonts w:ascii="Times-Roman" w:eastAsiaTheme="minorHAnsi" w:hAnsi="Times-Roman" w:cs="Times-Roman"/>
          <w:color w:val="000000"/>
          <w:sz w:val="20"/>
          <w:szCs w:val="20"/>
          <w:lang w:val="en-GB"/>
          <w14:ligatures w14:val="standardContextual"/>
        </w:rPr>
        <w:t>OH, respectively.</w:t>
      </w:r>
    </w:p>
    <w:p w14:paraId="5177E99D" w14:textId="77777777" w:rsidR="00B17A80" w:rsidRDefault="00B17A80" w:rsidP="006925EF"/>
    <w:p w14:paraId="1B23BEAE" w14:textId="34EEF7E0" w:rsidR="00204D0E" w:rsidRDefault="00204D0E" w:rsidP="006925EF">
      <w:pPr>
        <w:ind w:firstLine="720"/>
      </w:pPr>
      <w:proofErr w:type="spellStart"/>
      <w:r>
        <w:t>Bockris</w:t>
      </w:r>
      <w:proofErr w:type="spellEnd"/>
      <w:r>
        <w:t xml:space="preserve"> and Otagawa</w:t>
      </w:r>
      <w:r>
        <w:fldChar w:fldCharType="begin"/>
      </w:r>
      <w:r w:rsidR="00FC5BEB">
        <w:instrText xml:space="preserve"> ADDIN EN.CITE &lt;EndNote&gt;&lt;Cite&gt;&lt;Author&gt;Bockris&lt;/Author&gt;&lt;Year&gt;1983&lt;/Year&gt;&lt;RecNum&gt;82&lt;/RecNum&gt;&lt;DisplayText&gt;&lt;style face="superscript"&gt;84&lt;/style&gt;&lt;/DisplayText&gt;&lt;record&gt;&lt;rec-number&gt;82&lt;/rec-number&gt;&lt;foreign-keys&gt;&lt;key app="EN" db-id="2xex0erf4eexr4e2dpbxpdd829xttesxxxdr" timestamp="1715075296"&gt;82&lt;/key&gt;&lt;/foreign-keys&gt;&lt;ref-type name="Journal Article"&gt;17&lt;/ref-type&gt;&lt;contributors&gt;&lt;authors&gt;&lt;author&gt;Bockris, John O&amp;apos;M&lt;/author&gt;&lt;author&gt;Otagawa, Takaaki&lt;/author&gt;&lt;/authors&gt;&lt;/contributors&gt;&lt;titles&gt;&lt;title&gt;Mechanism of oxygen evolution on perovskites&lt;/title&gt;&lt;secondary-title&gt;Journal of Physical Chemistry&lt;/secondary-title&gt;&lt;/titles&gt;&lt;periodical&gt;&lt;full-title&gt;Journal of Physical Chemistry&lt;/full-title&gt;&lt;abbr-1&gt;J. Phys. Chem.&lt;/abbr-1&gt;&lt;abbr-2&gt;J Phys Chem&lt;/abbr-2&gt;&lt;/periodical&gt;&lt;pages&gt;2960-2971&lt;/pages&gt;&lt;volume&gt;87&lt;/volume&gt;&lt;number&gt;15&lt;/number&gt;&lt;dates&gt;&lt;year&gt;1983&lt;/year&gt;&lt;pub-dates&gt;&lt;date&gt;1983/07/01&lt;/date&gt;&lt;/pub-dates&gt;&lt;/dates&gt;&lt;publisher&gt;American Chemical Society&lt;/publisher&gt;&lt;isbn&gt;0022-3654&lt;/isbn&gt;&lt;urls&gt;&lt;related-urls&gt;&lt;url&gt;https://doi.org/10.1021/j100238a048&lt;/url&gt;&lt;/related-urls&gt;&lt;/urls&gt;&lt;electronic-resource-num&gt;10.1021/j100238a048&lt;/electronic-resource-num&gt;&lt;/record&gt;&lt;/Cite&gt;&lt;/EndNote&gt;</w:instrText>
      </w:r>
      <w:r>
        <w:fldChar w:fldCharType="separate"/>
      </w:r>
      <w:r w:rsidR="00FC5BEB" w:rsidRPr="00FC5BEB">
        <w:rPr>
          <w:noProof/>
          <w:vertAlign w:val="superscript"/>
        </w:rPr>
        <w:t>84</w:t>
      </w:r>
      <w:r>
        <w:fldChar w:fldCharType="end"/>
      </w:r>
      <w:r>
        <w:t xml:space="preserve"> investigated almost 20 different perovskites synthesized by high-temperature solid-state reactions and evaluated their kinetic</w:t>
      </w:r>
      <w:r w:rsidR="00DF15B6">
        <w:t>s</w:t>
      </w:r>
      <w:r>
        <w:t xml:space="preserve"> in alkaline OER by steady-state polarization and temperature and pH dependence</w:t>
      </w:r>
      <w:r w:rsidR="00DF15B6">
        <w:t>, among others</w:t>
      </w:r>
      <w:r>
        <w:t xml:space="preserve">. </w:t>
      </w:r>
      <w:r w:rsidRPr="002E7320">
        <w:t>The Tafel slopes were 2</w:t>
      </w:r>
      <w:r w:rsidRPr="00C33518">
        <w:rPr>
          <w:i/>
          <w:iCs/>
        </w:rPr>
        <w:t>RT</w:t>
      </w:r>
      <w:r w:rsidRPr="002E7320">
        <w:t>/</w:t>
      </w:r>
      <w:r>
        <w:t>3</w:t>
      </w:r>
      <w:r w:rsidRPr="00C33518">
        <w:rPr>
          <w:i/>
          <w:iCs/>
        </w:rPr>
        <w:t>F</w:t>
      </w:r>
      <w:r w:rsidRPr="002E7320">
        <w:t xml:space="preserve">, </w:t>
      </w:r>
      <w:r w:rsidRPr="00C33518">
        <w:rPr>
          <w:i/>
          <w:iCs/>
        </w:rPr>
        <w:t>RT</w:t>
      </w:r>
      <w:r w:rsidRPr="002E7320">
        <w:t>/</w:t>
      </w:r>
      <w:r w:rsidRPr="00C33518">
        <w:rPr>
          <w:i/>
          <w:iCs/>
        </w:rPr>
        <w:t>F</w:t>
      </w:r>
      <w:r w:rsidRPr="002E7320">
        <w:t>, and 2</w:t>
      </w:r>
      <w:r w:rsidRPr="00C33518">
        <w:rPr>
          <w:i/>
          <w:iCs/>
        </w:rPr>
        <w:t>RT</w:t>
      </w:r>
      <w:r w:rsidRPr="002E7320">
        <w:t>/</w:t>
      </w:r>
      <w:r w:rsidRPr="00C33518">
        <w:rPr>
          <w:i/>
          <w:iCs/>
        </w:rPr>
        <w:t>F</w:t>
      </w:r>
      <w:r w:rsidRPr="002E7320">
        <w:t xml:space="preserve"> for the nickelates, </w:t>
      </w:r>
      <w:proofErr w:type="spellStart"/>
      <w:r w:rsidRPr="002E7320">
        <w:t>cobalt</w:t>
      </w:r>
      <w:r>
        <w:t>i</w:t>
      </w:r>
      <w:r w:rsidRPr="002E7320">
        <w:t>tes</w:t>
      </w:r>
      <w:proofErr w:type="spellEnd"/>
      <w:r w:rsidRPr="002E7320">
        <w:t xml:space="preserve">, and ferrites and/or </w:t>
      </w:r>
      <w:proofErr w:type="spellStart"/>
      <w:r w:rsidRPr="002E7320">
        <w:t>manganites</w:t>
      </w:r>
      <w:proofErr w:type="spellEnd"/>
      <w:r w:rsidRPr="002E7320">
        <w:t>, respectively</w:t>
      </w:r>
      <w:r w:rsidR="00CA0E04">
        <w:t xml:space="preserve">, see </w:t>
      </w:r>
      <w:r w:rsidR="00CA0E04">
        <w:fldChar w:fldCharType="begin"/>
      </w:r>
      <w:r w:rsidR="00CA0E04">
        <w:instrText xml:space="preserve"> REF _Ref159162214 \h </w:instrText>
      </w:r>
      <w:r w:rsidR="00CA0E04">
        <w:fldChar w:fldCharType="separate"/>
      </w:r>
      <w:r w:rsidR="00CA0E04" w:rsidRPr="00C05449">
        <w:rPr>
          <w:b/>
        </w:rPr>
        <w:t xml:space="preserve">Table </w:t>
      </w:r>
      <w:r w:rsidR="00CA0E04">
        <w:rPr>
          <w:b/>
          <w:noProof/>
        </w:rPr>
        <w:t>1</w:t>
      </w:r>
      <w:r w:rsidR="00CA0E04">
        <w:fldChar w:fldCharType="end"/>
      </w:r>
      <w:r w:rsidRPr="002E7320">
        <w:t xml:space="preserve">. </w:t>
      </w:r>
      <w:r w:rsidR="009C19D9">
        <w:t xml:space="preserve">(Note, these slopes </w:t>
      </w:r>
      <w:r w:rsidR="00CA0E04">
        <w:t>correspond to</w:t>
      </w:r>
      <w:r w:rsidR="009C19D9">
        <w:t xml:space="preserve"> </w:t>
      </w:r>
      <m:oMath>
        <m:r>
          <m:rPr>
            <m:sty m:val="p"/>
          </m:rPr>
          <w:rPr>
            <w:rFonts w:ascii="Cambria Math" w:hAnsi="Cambria Math"/>
          </w:rPr>
          <m:t>∂</m:t>
        </m:r>
        <m:r>
          <w:rPr>
            <w:rFonts w:ascii="Cambria Math" w:hAnsi="Cambria Math"/>
          </w:rPr>
          <m:t>η/</m:t>
        </m:r>
        <m:r>
          <m:rPr>
            <m:sty m:val="p"/>
          </m:rPr>
          <w:rPr>
            <w:rFonts w:ascii="Cambria Math" w:hAnsi="Cambria Math"/>
          </w:rPr>
          <m:t>∂</m:t>
        </m:r>
        <m:func>
          <m:funcPr>
            <m:ctrlPr>
              <w:rPr>
                <w:rFonts w:ascii="Cambria Math" w:hAnsi="Cambria Math"/>
                <w:bCs/>
                <w:i/>
              </w:rPr>
            </m:ctrlPr>
          </m:funcPr>
          <m:fName>
            <m:r>
              <m:rPr>
                <m:sty m:val="p"/>
              </m:rPr>
              <w:rPr>
                <w:rFonts w:ascii="Cambria Math" w:hAnsi="Cambria Math"/>
              </w:rPr>
              <m:t>ln</m:t>
            </m:r>
          </m:fName>
          <m:e>
            <m:r>
              <w:rPr>
                <w:rFonts w:ascii="Cambria Math" w:hAnsi="Cambria Math"/>
              </w:rPr>
              <m:t>i</m:t>
            </m:r>
          </m:e>
        </m:func>
        <m:r>
          <w:rPr>
            <w:rFonts w:ascii="Cambria Math" w:hAnsi="Cambria Math"/>
          </w:rPr>
          <m:t xml:space="preserve"> </m:t>
        </m:r>
      </m:oMath>
      <w:r w:rsidR="009C19D9">
        <w:rPr>
          <w:bCs/>
        </w:rPr>
        <w:t xml:space="preserve">plots, and hence, the factor 2.303 is absent, due to the use of base </w:t>
      </w:r>
      <w:r w:rsidR="009C19D9" w:rsidRPr="00C33518">
        <w:rPr>
          <w:bCs/>
          <w:i/>
          <w:iCs/>
        </w:rPr>
        <w:t>e</w:t>
      </w:r>
      <w:r w:rsidR="009C19D9">
        <w:rPr>
          <w:bCs/>
        </w:rPr>
        <w:t xml:space="preserve"> rather than base 10 logarithm.</w:t>
      </w:r>
      <w:r w:rsidR="009C19D9">
        <w:t xml:space="preserve">) </w:t>
      </w:r>
      <w:r w:rsidRPr="002E7320">
        <w:t>The 2</w:t>
      </w:r>
      <w:r w:rsidRPr="00C33518">
        <w:rPr>
          <w:i/>
          <w:iCs/>
        </w:rPr>
        <w:t>RT</w:t>
      </w:r>
      <w:r w:rsidRPr="002E7320">
        <w:t>/3</w:t>
      </w:r>
      <w:r w:rsidRPr="00C33518">
        <w:rPr>
          <w:i/>
          <w:iCs/>
        </w:rPr>
        <w:t>F</w:t>
      </w:r>
      <w:r w:rsidRPr="002E7320">
        <w:t xml:space="preserve"> slope was observed only in the pure nickelate, while a multiphase sample of the same substance gave a</w:t>
      </w:r>
      <w:r w:rsidR="00D72296">
        <w:t xml:space="preserve"> slope of</w:t>
      </w:r>
      <w:r w:rsidRPr="002E7320">
        <w:t xml:space="preserve"> </w:t>
      </w:r>
      <w:r w:rsidRPr="00C33518">
        <w:rPr>
          <w:i/>
          <w:iCs/>
        </w:rPr>
        <w:t>RT</w:t>
      </w:r>
      <w:r w:rsidRPr="002E7320">
        <w:t>/</w:t>
      </w:r>
      <w:r w:rsidRPr="00C33518">
        <w:rPr>
          <w:i/>
          <w:iCs/>
        </w:rPr>
        <w:t>F</w:t>
      </w:r>
      <w:r w:rsidRPr="002E7320">
        <w:t xml:space="preserve">. A change in Tafel slopes from </w:t>
      </w:r>
      <w:r w:rsidRPr="00C33518">
        <w:rPr>
          <w:i/>
          <w:iCs/>
        </w:rPr>
        <w:t>RT</w:t>
      </w:r>
      <w:r w:rsidRPr="002E7320">
        <w:t>/</w:t>
      </w:r>
      <w:r w:rsidRPr="00C33518">
        <w:rPr>
          <w:i/>
          <w:iCs/>
        </w:rPr>
        <w:t>F</w:t>
      </w:r>
      <w:r w:rsidRPr="002E7320">
        <w:t xml:space="preserve"> to 2</w:t>
      </w:r>
      <w:r w:rsidRPr="00C33518">
        <w:rPr>
          <w:i/>
          <w:iCs/>
        </w:rPr>
        <w:t>RT</w:t>
      </w:r>
      <w:r w:rsidRPr="002E7320">
        <w:t>/</w:t>
      </w:r>
      <w:r w:rsidRPr="00C33518">
        <w:rPr>
          <w:i/>
          <w:iCs/>
        </w:rPr>
        <w:t>F</w:t>
      </w:r>
      <w:r w:rsidRPr="002E7320">
        <w:t xml:space="preserve"> </w:t>
      </w:r>
      <w:r w:rsidR="00504A04">
        <w:t>at</w:t>
      </w:r>
      <w:r w:rsidR="00504A04" w:rsidRPr="002E7320">
        <w:t xml:space="preserve"> </w:t>
      </w:r>
      <w:r w:rsidRPr="002E7320">
        <w:t xml:space="preserve">higher overpotentials was observed on </w:t>
      </w:r>
      <w:proofErr w:type="spellStart"/>
      <w:r w:rsidRPr="002E7320">
        <w:t>cobalt</w:t>
      </w:r>
      <w:r>
        <w:t>i</w:t>
      </w:r>
      <w:r w:rsidRPr="002E7320">
        <w:t>tes</w:t>
      </w:r>
      <w:proofErr w:type="spellEnd"/>
      <w:r>
        <w:t xml:space="preserve">. </w:t>
      </w:r>
      <w:r w:rsidR="00504A04">
        <w:t>The r</w:t>
      </w:r>
      <w:r>
        <w:t>eaction order with respect to [OH</w:t>
      </w:r>
      <w:r w:rsidRPr="00696A19">
        <w:rPr>
          <w:vertAlign w:val="superscript"/>
        </w:rPr>
        <w:t>-</w:t>
      </w:r>
      <w:r>
        <w:t xml:space="preserve">] was found to be close to 1. They also found that the surface area-normalized current density at a constant 0.3 V overpotential showed a broad linear dependence on the enthalpy of formation of </w:t>
      </w:r>
      <w:r w:rsidR="00504A04">
        <w:t xml:space="preserve">the </w:t>
      </w:r>
      <w:r>
        <w:t xml:space="preserve">corresponding hydroxide. Hence, they assumed that these perovskites have a common mechanism and a common </w:t>
      </w:r>
      <w:r w:rsidR="00504A04">
        <w:t>RDS</w:t>
      </w:r>
      <w:r>
        <w:t xml:space="preserve">, </w:t>
      </w:r>
      <w:r w:rsidR="009C19D9">
        <w:t xml:space="preserve">the </w:t>
      </w:r>
      <w:r>
        <w:t xml:space="preserve">breaking of an M-OH bond. The authors calculated diagnostic criteria under Langmuir and/or Temkin adsorption conditions, which are reproduced in </w:t>
      </w:r>
      <w:r>
        <w:fldChar w:fldCharType="begin"/>
      </w:r>
      <w:r>
        <w:instrText xml:space="preserve"> REF _Ref159162214 \h </w:instrText>
      </w:r>
      <w:r>
        <w:fldChar w:fldCharType="separate"/>
      </w:r>
      <w:r w:rsidR="008C565B" w:rsidRPr="00C05449">
        <w:rPr>
          <w:b/>
        </w:rPr>
        <w:t xml:space="preserve">Table </w:t>
      </w:r>
      <w:r w:rsidR="008C565B">
        <w:rPr>
          <w:b/>
          <w:bCs/>
          <w:noProof/>
        </w:rPr>
        <w:t>1</w:t>
      </w:r>
      <w:r>
        <w:fldChar w:fldCharType="end"/>
      </w:r>
      <w:r>
        <w:t xml:space="preserve">, for five </w:t>
      </w:r>
      <w:r>
        <w:lastRenderedPageBreak/>
        <w:t>mechanisms</w:t>
      </w:r>
      <w:r w:rsidR="00504A04">
        <w:t xml:space="preserve"> often considered at that time</w:t>
      </w:r>
      <w:r>
        <w:t xml:space="preserve">. All these pathways start with a discharge of a hydroxide ion, which if rate limiting, would give a Tafel slope of </w:t>
      </w:r>
      <w:r>
        <w:rPr>
          <w:bCs/>
          <w:iCs/>
        </w:rPr>
        <w:t xml:space="preserve">118.4 mV/dec (first electron transfer step limiting) with the assumption of a symmetry factor of 0.5. Then, the mechanisms start to deviate. In </w:t>
      </w:r>
      <w:proofErr w:type="spellStart"/>
      <w:r>
        <w:rPr>
          <w:bCs/>
          <w:iCs/>
        </w:rPr>
        <w:t>Bock</w:t>
      </w:r>
      <w:r w:rsidR="00D72296">
        <w:rPr>
          <w:bCs/>
          <w:iCs/>
        </w:rPr>
        <w:t>r</w:t>
      </w:r>
      <w:r>
        <w:rPr>
          <w:bCs/>
          <w:iCs/>
        </w:rPr>
        <w:t>is’s</w:t>
      </w:r>
      <w:proofErr w:type="spellEnd"/>
      <w:r>
        <w:rPr>
          <w:bCs/>
          <w:iCs/>
        </w:rPr>
        <w:t xml:space="preserve"> oxide path we find a chemical step</w:t>
      </w:r>
      <w:r w:rsidR="00B43F1C">
        <w:rPr>
          <w:bCs/>
          <w:iCs/>
        </w:rPr>
        <w:t xml:space="preserve"> next</w:t>
      </w:r>
      <w:r>
        <w:rPr>
          <w:bCs/>
          <w:iCs/>
        </w:rPr>
        <w:t xml:space="preserve"> to form surface oxo, which then recombine in the formation of O</w:t>
      </w:r>
      <w:r w:rsidRPr="000A1EE9">
        <w:rPr>
          <w:bCs/>
          <w:iCs/>
          <w:vertAlign w:val="subscript"/>
        </w:rPr>
        <w:t>2</w:t>
      </w:r>
      <w:r>
        <w:rPr>
          <w:bCs/>
          <w:iCs/>
        </w:rPr>
        <w:t xml:space="preserve">. </w:t>
      </w:r>
      <w:proofErr w:type="spellStart"/>
      <w:r>
        <w:rPr>
          <w:bCs/>
          <w:iCs/>
        </w:rPr>
        <w:t>Bockris’s</w:t>
      </w:r>
      <w:proofErr w:type="spellEnd"/>
      <w:r>
        <w:rPr>
          <w:bCs/>
          <w:iCs/>
        </w:rPr>
        <w:t xml:space="preserve"> electrochemical path is similar, but in the second step the surface oxo forms in an electrochemical step. Depending on the surface coverage of </w:t>
      </w:r>
      <w:r>
        <w:t>OH</w:t>
      </w:r>
      <w:r w:rsidR="00B43F1C">
        <w:t>,</w:t>
      </w:r>
      <w:r>
        <w:t xml:space="preserve"> approaching zero or 1, the Tafel slope is then expected to be either 39.5 or 118.4 mV/dec when this step 2 is </w:t>
      </w:r>
      <w:r w:rsidR="00B43F1C">
        <w:t>the RDS</w:t>
      </w:r>
      <w:r>
        <w:t xml:space="preserve">. In </w:t>
      </w:r>
      <w:proofErr w:type="spellStart"/>
      <w:r w:rsidRPr="0014039F">
        <w:t>Krasil’shchikov’s</w:t>
      </w:r>
      <w:proofErr w:type="spellEnd"/>
      <w:r w:rsidRPr="0014039F">
        <w:t xml:space="preserve"> </w:t>
      </w:r>
      <w:r>
        <w:t>p</w:t>
      </w:r>
      <w:r w:rsidRPr="0014039F">
        <w:t>ath</w:t>
      </w:r>
      <w:r>
        <w:t xml:space="preserve"> we find a chemical second step followed by an electrochemical step to form an oxo species. These then recombine as in the previous two mechanisms. O’Grady’s path emphasizes the importance of metal redox. </w:t>
      </w:r>
      <w:proofErr w:type="spellStart"/>
      <w:r>
        <w:t>Kobussen’s</w:t>
      </w:r>
      <w:proofErr w:type="spellEnd"/>
      <w:r>
        <w:t xml:space="preserve"> mechanism</w:t>
      </w:r>
      <w:r>
        <w:fldChar w:fldCharType="begin"/>
      </w:r>
      <w:r w:rsidR="00FC5BEB">
        <w:instrText xml:space="preserve"> ADDIN EN.CITE &lt;EndNote&gt;&lt;Cite&gt;&lt;Author&gt;Kobussen&lt;/Author&gt;&lt;Year&gt;1981&lt;/Year&gt;&lt;RecNum&gt;84&lt;/RecNum&gt;&lt;DisplayText&gt;&lt;style face="superscript"&gt;86&lt;/style&gt;&lt;/DisplayText&gt;&lt;record&gt;&lt;rec-number&gt;84&lt;/rec-number&gt;&lt;foreign-keys&gt;&lt;key app="EN" db-id="2xex0erf4eexr4e2dpbxpdd829xttesxxxdr" timestamp="1715075296"&gt;84&lt;/key&gt;&lt;/foreign-keys&gt;&lt;ref-type name="Journal Article"&gt;17&lt;/ref-type&gt;&lt;contributors&gt;&lt;authors&gt;&lt;author&gt;Kobussen, A. G. C.&lt;/author&gt;&lt;author&gt;Broers, G. H. J.&lt;/author&gt;&lt;/authors&gt;&lt;/contributors&gt;&lt;titles&gt;&lt;title&gt;The oxygen evolution on La0.5Ba0.5CoO3: Theoretical impedance behaviour for a multi-step mechanism involving two adsorbates&lt;/title&gt;&lt;secondary-title&gt;J. Electroanal. Chem. Interfacial Electrochem.&lt;/secondary-title&gt;&lt;/titles&gt;&lt;periodical&gt;&lt;full-title&gt;J. Electroanal. Chem. Interfacial Electrochem.&lt;/full-title&gt;&lt;/periodical&gt;&lt;pages&gt;221-240&lt;/pages&gt;&lt;volume&gt;126&lt;/volume&gt;&lt;number&gt;1&lt;/number&gt;&lt;dates&gt;&lt;year&gt;1981&lt;/year&gt;&lt;pub-dates&gt;&lt;date&gt;1981/09/10/&lt;/date&gt;&lt;/pub-dates&gt;&lt;/dates&gt;&lt;isbn&gt;0022-0728&lt;/isbn&gt;&lt;urls&gt;&lt;related-urls&gt;&lt;url&gt;https://www.sciencedirect.com/science/article/pii/S0022072881804305&lt;/url&gt;&lt;/related-urls&gt;&lt;/urls&gt;&lt;electronic-resource-num&gt;https://doi.org/10.1016/S0022-0728(81)80430-5&lt;/electronic-resource-num&gt;&lt;/record&gt;&lt;/Cite&gt;&lt;/EndNote&gt;</w:instrText>
      </w:r>
      <w:r>
        <w:fldChar w:fldCharType="separate"/>
      </w:r>
      <w:r w:rsidR="00FC5BEB" w:rsidRPr="00FC5BEB">
        <w:rPr>
          <w:noProof/>
          <w:vertAlign w:val="superscript"/>
        </w:rPr>
        <w:t>86</w:t>
      </w:r>
      <w:r>
        <w:fldChar w:fldCharType="end"/>
      </w:r>
      <w:r>
        <w:t xml:space="preserve"> is the early version of the adsorbate evolution mechanism, which became the popular mechanism of the early DFT studies, see later. Comparing the</w:t>
      </w:r>
      <w:r w:rsidR="000B7BA7">
        <w:t>ir</w:t>
      </w:r>
      <w:r>
        <w:t xml:space="preserve"> observations with the 5 mechanisms, the authors find that either </w:t>
      </w:r>
      <w:proofErr w:type="spellStart"/>
      <w:r>
        <w:t>Bockris’s</w:t>
      </w:r>
      <w:proofErr w:type="spellEnd"/>
      <w:r>
        <w:t xml:space="preserve"> electrochemical oxide path with the second step</w:t>
      </w:r>
      <w:r w:rsidR="00AF7EBA">
        <w:t xml:space="preserve"> as the RDS,</w:t>
      </w:r>
      <w:r>
        <w:t xml:space="preserve"> or O’Grady’s path with the second step as </w:t>
      </w:r>
      <w:r w:rsidR="00AF7EBA">
        <w:t xml:space="preserve">the RDS, </w:t>
      </w:r>
      <w:r w:rsidRPr="004E7888">
        <w:t>might account for the observed Tafel slopes. They, however, argue that other observations and considerations make these mechanisms unlikely. Instead, they proposed a new mechanism, in which the electrochemical adsorption of OH</w:t>
      </w:r>
      <w:r w:rsidRPr="009C19D9">
        <w:rPr>
          <w:vertAlign w:val="superscript"/>
        </w:rPr>
        <w:t>-</w:t>
      </w:r>
      <w:r w:rsidRPr="004E7888">
        <w:t xml:space="preserve"> is followed by the rate-determining electrochemical</w:t>
      </w:r>
      <w:r>
        <w:t xml:space="preserve"> desorption of OH, forming H</w:t>
      </w:r>
      <w:r w:rsidRPr="001B148F">
        <w:rPr>
          <w:vertAlign w:val="subscript"/>
        </w:rPr>
        <w:t>2</w:t>
      </w:r>
      <w:r>
        <w:t>O</w:t>
      </w:r>
      <w:r w:rsidRPr="001B148F">
        <w:rPr>
          <w:vertAlign w:val="subscript"/>
        </w:rPr>
        <w:t>2</w:t>
      </w:r>
      <w:r>
        <w:t xml:space="preserve"> as an intermediate, which then undergoes catalytic decomposition to O</w:t>
      </w:r>
      <w:r w:rsidRPr="001B148F">
        <w:rPr>
          <w:vertAlign w:val="subscript"/>
        </w:rPr>
        <w:t>2</w:t>
      </w:r>
      <w:r>
        <w:t xml:space="preserve">. Although only 5 potential mechanisms were included in </w:t>
      </w:r>
      <w:r>
        <w:fldChar w:fldCharType="begin"/>
      </w:r>
      <w:r>
        <w:instrText xml:space="preserve"> REF _Ref159162214 \h </w:instrText>
      </w:r>
      <w:r>
        <w:fldChar w:fldCharType="separate"/>
      </w:r>
      <w:r w:rsidR="008C565B" w:rsidRPr="00C05449">
        <w:rPr>
          <w:b/>
        </w:rPr>
        <w:t xml:space="preserve">Table </w:t>
      </w:r>
      <w:r w:rsidR="008C565B">
        <w:rPr>
          <w:b/>
          <w:bCs/>
          <w:noProof/>
        </w:rPr>
        <w:t>1</w:t>
      </w:r>
      <w:r>
        <w:fldChar w:fldCharType="end"/>
      </w:r>
      <w:r>
        <w:t xml:space="preserve">, and one can envision </w:t>
      </w:r>
      <w:r w:rsidR="00AF7EBA">
        <w:t>many-many</w:t>
      </w:r>
      <w:r>
        <w:t xml:space="preserve"> more, the table highlights an obvious and inherent issue with such kinetic analysis, namely, that predicted Tafel slopes are not unique and one cannot prove a mechanism based on Tafel analysis of OER kinetics. </w:t>
      </w:r>
    </w:p>
    <w:p w14:paraId="4556E7F6" w14:textId="77777777" w:rsidR="00A44DA8" w:rsidRDefault="00204D0E" w:rsidP="00204D0E">
      <w:r>
        <w:tab/>
      </w:r>
    </w:p>
    <w:p w14:paraId="3BD414DD" w14:textId="4F13EA06" w:rsidR="006925EF" w:rsidRDefault="006925EF" w:rsidP="00204D0E">
      <w:r w:rsidRPr="00AC3B6D">
        <w:rPr>
          <w:noProof/>
        </w:rPr>
        <w:drawing>
          <wp:inline distT="0" distB="0" distL="0" distR="0" wp14:anchorId="4A05D19A" wp14:editId="10946BC6">
            <wp:extent cx="5731510" cy="4136362"/>
            <wp:effectExtent l="0" t="0" r="0" b="4445"/>
            <wp:docPr id="1248446318" name="Picture 1">
              <a:extLst xmlns:a="http://schemas.openxmlformats.org/drawingml/2006/main">
                <a:ext uri="{FF2B5EF4-FFF2-40B4-BE49-F238E27FC236}">
                  <a16:creationId xmlns:a16="http://schemas.microsoft.com/office/drawing/2014/main" id="{C65AD947-D125-7F16-C40B-CD76884D54F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C65AD947-D125-7F16-C40B-CD76884D54F0}"/>
                        </a:ext>
                      </a:extLst>
                    </pic:cNvPr>
                    <pic:cNvPicPr>
                      <a:picLocks noChangeAspect="1"/>
                    </pic:cNvPicPr>
                  </pic:nvPicPr>
                  <pic:blipFill>
                    <a:blip r:embed="rId13"/>
                    <a:stretch>
                      <a:fillRect/>
                    </a:stretch>
                  </pic:blipFill>
                  <pic:spPr>
                    <a:xfrm>
                      <a:off x="0" y="0"/>
                      <a:ext cx="5731510" cy="4136362"/>
                    </a:xfrm>
                    <a:prstGeom prst="rect">
                      <a:avLst/>
                    </a:prstGeom>
                  </pic:spPr>
                </pic:pic>
              </a:graphicData>
            </a:graphic>
          </wp:inline>
        </w:drawing>
      </w:r>
    </w:p>
    <w:p w14:paraId="504F1FE9" w14:textId="12283522" w:rsidR="006925EF" w:rsidRPr="000A5154" w:rsidRDefault="006925EF" w:rsidP="00FC0AD9">
      <w:pPr>
        <w:pStyle w:val="Caption"/>
        <w:rPr>
          <w:b/>
          <w:i/>
          <w:iCs/>
        </w:rPr>
      </w:pPr>
      <w:bookmarkStart w:id="34" w:name="_Ref159189443"/>
      <w:r w:rsidRPr="00C05449">
        <w:rPr>
          <w:b/>
          <w:bCs w:val="0"/>
          <w:sz w:val="22"/>
        </w:rPr>
        <w:t xml:space="preserve">Figure </w:t>
      </w:r>
      <w:r w:rsidRPr="00C05449">
        <w:rPr>
          <w:b/>
          <w:bCs w:val="0"/>
          <w:sz w:val="22"/>
        </w:rPr>
        <w:fldChar w:fldCharType="begin"/>
      </w:r>
      <w:r w:rsidRPr="00C05449">
        <w:rPr>
          <w:b/>
          <w:bCs w:val="0"/>
          <w:sz w:val="22"/>
        </w:rPr>
        <w:instrText xml:space="preserve"> SEQ Figure \* ARABIC </w:instrText>
      </w:r>
      <w:r w:rsidRPr="00C05449">
        <w:rPr>
          <w:b/>
          <w:bCs w:val="0"/>
          <w:sz w:val="22"/>
        </w:rPr>
        <w:fldChar w:fldCharType="separate"/>
      </w:r>
      <w:r w:rsidR="008C565B">
        <w:rPr>
          <w:b/>
          <w:bCs w:val="0"/>
          <w:noProof/>
          <w:sz w:val="22"/>
        </w:rPr>
        <w:t>3</w:t>
      </w:r>
      <w:r w:rsidRPr="00C05449">
        <w:rPr>
          <w:b/>
          <w:bCs w:val="0"/>
          <w:sz w:val="22"/>
        </w:rPr>
        <w:fldChar w:fldCharType="end"/>
      </w:r>
      <w:bookmarkEnd w:id="34"/>
      <w:r>
        <w:t xml:space="preserve"> OER mechanism at hydrous oxide coated Fe and Ni electrodes in alkaline solution, reproduced from Ref</w:t>
      </w:r>
      <w:r w:rsidRPr="008A6D06">
        <w:rPr>
          <w:bCs w:val="0"/>
        </w:rPr>
        <w:fldChar w:fldCharType="begin"/>
      </w:r>
      <w:r w:rsidR="00FC5BEB">
        <w:rPr>
          <w:bCs w:val="0"/>
        </w:rPr>
        <w:instrText xml:space="preserve"> ADDIN EN.CITE &lt;EndNote&gt;&lt;Cite&gt;&lt;Author&gt;Doyle&lt;/Author&gt;&lt;Year&gt;2013&lt;/Year&gt;&lt;RecNum&gt;83&lt;/RecNum&gt;&lt;DisplayText&gt;&lt;style face="superscript"&gt;85&lt;/style&gt;&lt;/DisplayText&gt;&lt;record&gt;&lt;rec-number&gt;83&lt;/rec-number&gt;&lt;foreign-keys&gt;&lt;key app="EN" db-id="2xex0erf4eexr4e2dpbxpdd829xttesxxxdr" timestamp="1715075296"&gt;83&lt;/key&gt;&lt;/foreign-keys&gt;&lt;ref-type name="Journal Article"&gt;17&lt;/ref-type&gt;&lt;contributors&gt;&lt;authors&gt;&lt;author&gt;Doyle, Richard L.&lt;/author&gt;&lt;author&gt;Godwin, Ian J.&lt;/author&gt;&lt;author&gt;Brandon, Michael P.&lt;/author&gt;&lt;author&gt;Lyons, Michael E. G.&lt;/author&gt;&lt;/authors&gt;&lt;/contributors&gt;&lt;titles&gt;&lt;title&gt;Redox and electrochemical water splitting catalytic properties of hydrated metal oxide modified electrodes&lt;/title&gt;&lt;secondary-title&gt;Physical Chemistry Chemical Physics&lt;/secondary-title&gt;&lt;/titles&gt;&lt;periodical&gt;&lt;full-title&gt;Physical Chemistry Chemical Physics&lt;/full-title&gt;&lt;abbr-1&gt;Phys. Chem. Chem. Phys.&lt;/abbr-1&gt;&lt;abbr-2&gt;Phys Chem Chem Phys&lt;/abbr-2&gt;&lt;/periodical&gt;&lt;pages&gt;13737-13783&lt;/pages&gt;&lt;volume&gt;15&lt;/volume&gt;&lt;number&gt;33&lt;/number&gt;&lt;dates&gt;&lt;year&gt;2013&lt;/year&gt;&lt;/dates&gt;&lt;publisher&gt;The Royal Society of Chemistry&lt;/publisher&gt;&lt;isbn&gt;1463-9076&lt;/isbn&gt;&lt;work-type&gt;10.1039/C3CP51213D&lt;/work-type&gt;&lt;urls&gt;&lt;related-urls&gt;&lt;url&gt;http://dx.doi.org/10.1039/C3CP51213D&lt;/url&gt;&lt;/related-urls&gt;&lt;/urls&gt;&lt;electronic-resource-num&gt;10.1039/C3CP51213D&lt;/electronic-resource-num&gt;&lt;/record&gt;&lt;/Cite&gt;&lt;/EndNote&gt;</w:instrText>
      </w:r>
      <w:r w:rsidRPr="008A6D06">
        <w:rPr>
          <w:bCs w:val="0"/>
        </w:rPr>
        <w:fldChar w:fldCharType="separate"/>
      </w:r>
      <w:r w:rsidR="00FC5BEB" w:rsidRPr="00FC5BEB">
        <w:rPr>
          <w:bCs w:val="0"/>
          <w:noProof/>
          <w:vertAlign w:val="superscript"/>
        </w:rPr>
        <w:t>85</w:t>
      </w:r>
      <w:r w:rsidRPr="008A6D06">
        <w:rPr>
          <w:bCs w:val="0"/>
        </w:rPr>
        <w:fldChar w:fldCharType="end"/>
      </w:r>
      <w:r>
        <w:t xml:space="preserve"> </w:t>
      </w:r>
      <w:r w:rsidR="00B81519" w:rsidRPr="00B81519">
        <w:rPr>
          <w:lang w:val="en-US"/>
        </w:rPr>
        <w:t>with permission from the PCCP Owner Societies</w:t>
      </w:r>
      <w:r>
        <w:t xml:space="preserve">. The symmetry factor is assumed to be 0.5, Langmuir adsorption and quasi-steady-state approximation was used to predict Tafel slopes and reaction orders. </w:t>
      </w:r>
    </w:p>
    <w:p w14:paraId="4643E4A4" w14:textId="77777777" w:rsidR="006925EF" w:rsidRDefault="006925EF" w:rsidP="00204D0E"/>
    <w:p w14:paraId="5BB98055" w14:textId="10E55540" w:rsidR="006925EF" w:rsidRDefault="000A5154" w:rsidP="006925EF">
      <w:pPr>
        <w:ind w:firstLine="720"/>
      </w:pPr>
      <w:r>
        <w:t xml:space="preserve">Doyle </w:t>
      </w:r>
      <w:r w:rsidR="00D72296">
        <w:t>e</w:t>
      </w:r>
      <w:r>
        <w:t>t al.</w:t>
      </w:r>
      <w:r>
        <w:fldChar w:fldCharType="begin"/>
      </w:r>
      <w:r w:rsidR="00FC5BEB">
        <w:instrText xml:space="preserve"> ADDIN EN.CITE &lt;EndNote&gt;&lt;Cite&gt;&lt;Author&gt;Doyle&lt;/Author&gt;&lt;Year&gt;2013&lt;/Year&gt;&lt;RecNum&gt;83&lt;/RecNum&gt;&lt;DisplayText&gt;&lt;style face="superscript"&gt;85&lt;/style&gt;&lt;/DisplayText&gt;&lt;record&gt;&lt;rec-number&gt;83&lt;/rec-number&gt;&lt;foreign-keys&gt;&lt;key app="EN" db-id="2xex0erf4eexr4e2dpbxpdd829xttesxxxdr" timestamp="1715075296"&gt;83&lt;/key&gt;&lt;/foreign-keys&gt;&lt;ref-type name="Journal Article"&gt;17&lt;/ref-type&gt;&lt;contributors&gt;&lt;authors&gt;&lt;author&gt;Doyle, Richard L.&lt;/author&gt;&lt;author&gt;Godwin, Ian J.&lt;/author&gt;&lt;author&gt;Brandon, Michael P.&lt;/author&gt;&lt;author&gt;Lyons, Michael E. G.&lt;/author&gt;&lt;/authors&gt;&lt;/contributors&gt;&lt;titles&gt;&lt;title&gt;Redox and electrochemical water splitting catalytic properties of hydrated metal oxide modified electrodes&lt;/title&gt;&lt;secondary-title&gt;Physical Chemistry Chemical Physics&lt;/secondary-title&gt;&lt;/titles&gt;&lt;periodical&gt;&lt;full-title&gt;Physical Chemistry Chemical Physics&lt;/full-title&gt;&lt;abbr-1&gt;Phys. Chem. Chem. Phys.&lt;/abbr-1&gt;&lt;abbr-2&gt;Phys Chem Chem Phys&lt;/abbr-2&gt;&lt;/periodical&gt;&lt;pages&gt;13737-13783&lt;/pages&gt;&lt;volume&gt;15&lt;/volume&gt;&lt;number&gt;33&lt;/number&gt;&lt;dates&gt;&lt;year&gt;2013&lt;/year&gt;&lt;/dates&gt;&lt;publisher&gt;The Royal Society of Chemistry&lt;/publisher&gt;&lt;isbn&gt;1463-9076&lt;/isbn&gt;&lt;work-type&gt;10.1039/C3CP51213D&lt;/work-type&gt;&lt;urls&gt;&lt;related-urls&gt;&lt;url&gt;http://dx.doi.org/10.1039/C3CP51213D&lt;/url&gt;&lt;/related-urls&gt;&lt;/urls&gt;&lt;electronic-resource-num&gt;10.1039/C3CP51213D&lt;/electronic-resource-num&gt;&lt;/record&gt;&lt;/Cite&gt;&lt;/EndNote&gt;</w:instrText>
      </w:r>
      <w:r>
        <w:fldChar w:fldCharType="separate"/>
      </w:r>
      <w:r w:rsidR="00FC5BEB" w:rsidRPr="00FC5BEB">
        <w:rPr>
          <w:noProof/>
          <w:vertAlign w:val="superscript"/>
        </w:rPr>
        <w:t>85</w:t>
      </w:r>
      <w:r>
        <w:fldChar w:fldCharType="end"/>
      </w:r>
      <w:r>
        <w:t xml:space="preserve"> reviewed the large body of experimental OER literature on various oxide and oxyhydroxide electrocatalysts and for hydrous oxide coated metal substrates came up with a </w:t>
      </w:r>
      <w:r>
        <w:lastRenderedPageBreak/>
        <w:t>mechanism inspired by the work of Kobussen</w:t>
      </w:r>
      <w:r>
        <w:fldChar w:fldCharType="begin"/>
      </w:r>
      <w:r w:rsidR="00FC5BEB">
        <w:instrText xml:space="preserve"> ADDIN EN.CITE &lt;EndNote&gt;&lt;Cite&gt;&lt;Author&gt;Kobussen&lt;/Author&gt;&lt;Year&gt;1981&lt;/Year&gt;&lt;RecNum&gt;84&lt;/RecNum&gt;&lt;DisplayText&gt;&lt;style face="superscript"&gt;86&lt;/style&gt;&lt;/DisplayText&gt;&lt;record&gt;&lt;rec-number&gt;84&lt;/rec-number&gt;&lt;foreign-keys&gt;&lt;key app="EN" db-id="2xex0erf4eexr4e2dpbxpdd829xttesxxxdr" timestamp="1715075296"&gt;84&lt;/key&gt;&lt;/foreign-keys&gt;&lt;ref-type name="Journal Article"&gt;17&lt;/ref-type&gt;&lt;contributors&gt;&lt;authors&gt;&lt;author&gt;Kobussen, A. G. C.&lt;/author&gt;&lt;author&gt;Broers, G. H. J.&lt;/author&gt;&lt;/authors&gt;&lt;/contributors&gt;&lt;titles&gt;&lt;title&gt;The oxygen evolution on La0.5Ba0.5CoO3: Theoretical impedance behaviour for a multi-step mechanism involving two adsorbates&lt;/title&gt;&lt;secondary-title&gt;J. Electroanal. Chem. Interfacial Electrochem.&lt;/secondary-title&gt;&lt;/titles&gt;&lt;periodical&gt;&lt;full-title&gt;J. Electroanal. Chem. Interfacial Electrochem.&lt;/full-title&gt;&lt;/periodical&gt;&lt;pages&gt;221-240&lt;/pages&gt;&lt;volume&gt;126&lt;/volume&gt;&lt;number&gt;1&lt;/number&gt;&lt;dates&gt;&lt;year&gt;1981&lt;/year&gt;&lt;pub-dates&gt;&lt;date&gt;1981/09/10/&lt;/date&gt;&lt;/pub-dates&gt;&lt;/dates&gt;&lt;isbn&gt;0022-0728&lt;/isbn&gt;&lt;urls&gt;&lt;related-urls&gt;&lt;url&gt;https://www.sciencedirect.com/science/article/pii/S0022072881804305&lt;/url&gt;&lt;/related-urls&gt;&lt;/urls&gt;&lt;electronic-resource-num&gt;https://doi.org/10.1016/S0022-0728(81)80430-5&lt;/electronic-resource-num&gt;&lt;/record&gt;&lt;/Cite&gt;&lt;/EndNote&gt;</w:instrText>
      </w:r>
      <w:r>
        <w:fldChar w:fldCharType="separate"/>
      </w:r>
      <w:r w:rsidR="00FC5BEB" w:rsidRPr="00FC5BEB">
        <w:rPr>
          <w:noProof/>
          <w:vertAlign w:val="superscript"/>
        </w:rPr>
        <w:t>86</w:t>
      </w:r>
      <w:r>
        <w:fldChar w:fldCharType="end"/>
      </w:r>
      <w:r>
        <w:t xml:space="preserve">, the DFT-based adsorbate evolution mechanism by </w:t>
      </w:r>
      <w:proofErr w:type="spellStart"/>
      <w:r>
        <w:t>Rossmeisl</w:t>
      </w:r>
      <w:proofErr w:type="spellEnd"/>
      <w:r>
        <w:t xml:space="preserve"> and colleagues</w:t>
      </w:r>
      <w:r>
        <w:fldChar w:fldCharType="begin">
          <w:fldData xml:space="preserve">PEVuZE5vdGU+PENpdGU+PEF1dGhvcj5Sb3NzbWVpc2w8L0F1dGhvcj48WWVhcj4yMDA1PC9ZZWFy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</w:fldData>
        </w:fldChar>
      </w:r>
      <w:r w:rsidR="00FC5BEB">
        <w:instrText xml:space="preserve"> ADDIN EN.CITE </w:instrText>
      </w:r>
      <w:r w:rsidR="00FC5BEB">
        <w:fldChar w:fldCharType="begin">
          <w:fldData xml:space="preserve">PEVuZE5vdGU+PENpdGU+PEF1dGhvcj5Sb3NzbWVpc2w8L0F1dGhvcj48WWVhcj4yMDA1PC9ZZWFy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</w:fldData>
        </w:fldChar>
      </w:r>
      <w:r w:rsidR="00FC5BEB">
        <w:instrText xml:space="preserve"> ADDIN EN.CITE.DATA </w:instrText>
      </w:r>
      <w:r w:rsidR="00FC5BEB">
        <w:fldChar w:fldCharType="end"/>
      </w:r>
      <w:r>
        <w:fldChar w:fldCharType="separate"/>
      </w:r>
      <w:r w:rsidR="00FC5BEB" w:rsidRPr="00FC5BEB">
        <w:rPr>
          <w:noProof/>
          <w:vertAlign w:val="superscript"/>
        </w:rPr>
        <w:t>87, 88</w:t>
      </w:r>
      <w:r>
        <w:fldChar w:fldCharType="end"/>
      </w:r>
      <w:r>
        <w:t xml:space="preserve"> and works done in the field of homogeneous oxygen evolution catalysis</w:t>
      </w:r>
      <w:r>
        <w:fldChar w:fldCharType="begin">
          <w:fldData xml:space="preserve">PEVuZE5vdGU+PENpdGU+PEF1dGhvcj5CdXNjaDwvQXV0aG9yPjxZZWFyPjIwMTE8L1llYXI+PFJl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==
</w:fldData>
        </w:fldChar>
      </w:r>
      <w:r w:rsidR="00FC5BEB">
        <w:instrText xml:space="preserve"> ADDIN EN.CITE </w:instrText>
      </w:r>
      <w:r w:rsidR="00FC5BEB">
        <w:fldChar w:fldCharType="begin">
          <w:fldData xml:space="preserve">PEVuZE5vdGU+PENpdGU+PEF1dGhvcj5CdXNjaDwvQXV0aG9yPjxZZWFyPjIwMTE8L1llYXI+PFJl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==
</w:fldData>
        </w:fldChar>
      </w:r>
      <w:r w:rsidR="00FC5BEB">
        <w:instrText xml:space="preserve"> ADDIN EN.CITE.DATA </w:instrText>
      </w:r>
      <w:r w:rsidR="00FC5BEB">
        <w:fldChar w:fldCharType="end"/>
      </w:r>
      <w:r>
        <w:fldChar w:fldCharType="separate"/>
      </w:r>
      <w:r w:rsidR="00FC5BEB" w:rsidRPr="00FC5BEB">
        <w:rPr>
          <w:noProof/>
          <w:vertAlign w:val="superscript"/>
        </w:rPr>
        <w:t>89, 90</w:t>
      </w:r>
      <w:r>
        <w:fldChar w:fldCharType="end"/>
      </w:r>
      <w:r>
        <w:t xml:space="preserve">. They interpreted the active sites </w:t>
      </w:r>
      <w:r w:rsidRPr="00024D24">
        <w:t>in terms of hydrated</w:t>
      </w:r>
      <w:r>
        <w:t xml:space="preserve"> </w:t>
      </w:r>
      <w:r w:rsidR="00A44DA8" w:rsidRPr="00024D24">
        <w:t xml:space="preserve">interlinked </w:t>
      </w:r>
      <w:proofErr w:type="spellStart"/>
      <w:r w:rsidR="00A44DA8" w:rsidRPr="00024D24">
        <w:t>oxymetal</w:t>
      </w:r>
      <w:proofErr w:type="spellEnd"/>
      <w:r w:rsidR="00A44DA8" w:rsidRPr="00024D24">
        <w:t xml:space="preserve"> complexes</w:t>
      </w:r>
      <w:r w:rsidR="00A44DA8">
        <w:t>, which they</w:t>
      </w:r>
      <w:r w:rsidR="00A44DA8" w:rsidRPr="00024D24">
        <w:t xml:space="preserve"> termed </w:t>
      </w:r>
      <w:r w:rsidR="00A44DA8">
        <w:t xml:space="preserve">as </w:t>
      </w:r>
      <w:proofErr w:type="spellStart"/>
      <w:r w:rsidR="00A44DA8" w:rsidRPr="00024D24">
        <w:t>surfaquo</w:t>
      </w:r>
      <w:proofErr w:type="spellEnd"/>
      <w:r w:rsidR="00A44DA8" w:rsidRPr="00024D24">
        <w:t xml:space="preserve"> groups</w:t>
      </w:r>
      <w:r w:rsidR="008A6D5D">
        <w:t xml:space="preserve">; </w:t>
      </w:r>
      <w:r w:rsidR="00A44DA8">
        <w:t xml:space="preserve">their mechanism is summarized in </w:t>
      </w:r>
      <w:r w:rsidR="00A44DA8">
        <w:fldChar w:fldCharType="begin"/>
      </w:r>
      <w:r w:rsidR="00A44DA8">
        <w:instrText xml:space="preserve"> REF _Ref159189443 \h </w:instrText>
      </w:r>
      <w:r w:rsidR="00A44DA8">
        <w:fldChar w:fldCharType="separate"/>
      </w:r>
      <w:r w:rsidR="008C565B" w:rsidRPr="00C05449">
        <w:rPr>
          <w:b/>
        </w:rPr>
        <w:t xml:space="preserve">Figure </w:t>
      </w:r>
      <w:r w:rsidR="008C565B">
        <w:rPr>
          <w:b/>
          <w:bCs/>
          <w:noProof/>
        </w:rPr>
        <w:t>3</w:t>
      </w:r>
      <w:r w:rsidR="00A44DA8">
        <w:fldChar w:fldCharType="end"/>
      </w:r>
      <w:r w:rsidR="00A44DA8">
        <w:t xml:space="preserve">. </w:t>
      </w:r>
      <w:r w:rsidR="00A44DA8" w:rsidRPr="005D0861">
        <w:t xml:space="preserve">Langmuir adsorption and </w:t>
      </w:r>
      <w:r w:rsidR="008A6D5D">
        <w:t xml:space="preserve">the </w:t>
      </w:r>
      <w:r w:rsidR="00A44DA8" w:rsidRPr="005D0861">
        <w:t>quasi-steady-state approximation was used to predict Tafel slopes and reaction orders.</w:t>
      </w:r>
      <w:r w:rsidR="006925EF" w:rsidRPr="006925EF">
        <w:t xml:space="preserve"> </w:t>
      </w:r>
      <w:r w:rsidR="006925EF">
        <w:t>Under strongly alkaline conditions water deprotonation is facile and appears as a pre-step in the reaction cycle. As we have seen before with first electron transfer steps being the RDS, a first discharge step of adsorbed OH</w:t>
      </w:r>
      <w:r w:rsidR="006925EF" w:rsidRPr="00062A46">
        <w:rPr>
          <w:vertAlign w:val="superscript"/>
        </w:rPr>
        <w:t>-</w:t>
      </w:r>
      <w:r w:rsidR="006925EF">
        <w:t xml:space="preserve"> would give rise to a Tafel slope of 118.4 mV/dec. The reaction order with respect to the electrolyte [OH</w:t>
      </w:r>
      <w:r w:rsidR="006925EF" w:rsidRPr="00696A19">
        <w:rPr>
          <w:vertAlign w:val="superscript"/>
        </w:rPr>
        <w:t>-</w:t>
      </w:r>
      <w:r w:rsidR="006925EF">
        <w:t>] is then zero. The next step is chemical in nature and gives a Tafel slope of 59.2 mV/dec and the reaction order is expected to be 1. The electrochemical oxo generation step in the limit of low surface coverage is expected to give rise a Tafel slope of 39.5 mV/dec but at high overpotentials and high coverage the slope would be 118.4 mV/dec. In both cases the reaction order comes out as first order. The authors mention that instead of M(V)=O, the species might be a metal</w:t>
      </w:r>
      <w:r w:rsidR="008A6D06">
        <w:t>-</w:t>
      </w:r>
      <w:proofErr w:type="spellStart"/>
      <w:r w:rsidR="006925EF">
        <w:t>oxyl</w:t>
      </w:r>
      <w:proofErr w:type="spellEnd"/>
      <w:r w:rsidR="006925EF">
        <w:t xml:space="preserve"> moiety, M(IV)-O*. Then they proposed </w:t>
      </w:r>
      <w:proofErr w:type="spellStart"/>
      <w:r w:rsidR="006925EF">
        <w:t>hydroperoxo</w:t>
      </w:r>
      <w:proofErr w:type="spellEnd"/>
      <w:r w:rsidR="006925EF">
        <w:t xml:space="preserve"> and superoxo formation steps completed with an O</w:t>
      </w:r>
      <w:r w:rsidR="006925EF" w:rsidRPr="008D6B8B">
        <w:rPr>
          <w:vertAlign w:val="subscript"/>
        </w:rPr>
        <w:t>2</w:t>
      </w:r>
      <w:r w:rsidR="006925EF">
        <w:t xml:space="preserve"> desorption and concomitant OH</w:t>
      </w:r>
      <w:r w:rsidR="006925EF" w:rsidRPr="008D6B8B">
        <w:rPr>
          <w:vertAlign w:val="superscript"/>
        </w:rPr>
        <w:t>-</w:t>
      </w:r>
      <w:r w:rsidR="006925EF">
        <w:t xml:space="preserve"> adsorption step. The authors argue that </w:t>
      </w:r>
      <w:r w:rsidR="006925EF" w:rsidRPr="008D6B8B">
        <w:rPr>
          <w:lang w:val="en-GB"/>
        </w:rPr>
        <w:t xml:space="preserve">this mechanism is </w:t>
      </w:r>
      <w:r w:rsidR="006925EF">
        <w:rPr>
          <w:lang w:val="en-GB"/>
        </w:rPr>
        <w:t>in line</w:t>
      </w:r>
      <w:r w:rsidR="006925EF" w:rsidRPr="008D6B8B">
        <w:rPr>
          <w:lang w:val="en-GB"/>
        </w:rPr>
        <w:t xml:space="preserve"> with th</w:t>
      </w:r>
      <w:r w:rsidR="006925EF">
        <w:rPr>
          <w:lang w:val="en-GB"/>
        </w:rPr>
        <w:t xml:space="preserve">eir </w:t>
      </w:r>
      <w:r w:rsidR="006925EF" w:rsidRPr="008D6B8B">
        <w:rPr>
          <w:lang w:val="en-GB"/>
        </w:rPr>
        <w:t>kinetic data for hydrous Fe and Ni oxide films. In the limit of low surface coverage of intermediates, step</w:t>
      </w:r>
      <w:r w:rsidR="006925EF">
        <w:rPr>
          <w:lang w:val="en-GB"/>
        </w:rPr>
        <w:t xml:space="preserve"> 2</w:t>
      </w:r>
      <w:r w:rsidR="006925EF" w:rsidRPr="008D6B8B">
        <w:rPr>
          <w:lang w:val="en-GB"/>
        </w:rPr>
        <w:t xml:space="preserve"> is rate-determining for hydrous Ni oxide films in low base concentrations and for hydrous Fe oxide films grown in high base concentrations</w:t>
      </w:r>
      <w:r w:rsidR="006925EF">
        <w:rPr>
          <w:lang w:val="en-GB"/>
        </w:rPr>
        <w:t>,</w:t>
      </w:r>
      <w:r w:rsidR="006925EF" w:rsidRPr="008D6B8B">
        <w:rPr>
          <w:lang w:val="en-GB"/>
        </w:rPr>
        <w:t xml:space="preserve"> whereas step </w:t>
      </w:r>
      <w:r w:rsidR="006925EF">
        <w:rPr>
          <w:lang w:val="en-GB"/>
        </w:rPr>
        <w:t>3</w:t>
      </w:r>
      <w:r w:rsidR="006925EF" w:rsidRPr="008D6B8B">
        <w:rPr>
          <w:lang w:val="en-GB"/>
        </w:rPr>
        <w:t xml:space="preserve"> is </w:t>
      </w:r>
      <w:r w:rsidR="006925EF">
        <w:rPr>
          <w:lang w:val="en-GB"/>
        </w:rPr>
        <w:t xml:space="preserve">assumed to be </w:t>
      </w:r>
      <w:r w:rsidR="006925EF" w:rsidRPr="008D6B8B">
        <w:rPr>
          <w:lang w:val="en-GB"/>
        </w:rPr>
        <w:t>rate-determining for hydrous Ni oxide films in concentrated base solutions and for Fe hydrous oxide films</w:t>
      </w:r>
      <w:r w:rsidR="006925EF">
        <w:rPr>
          <w:lang w:val="en-GB"/>
        </w:rPr>
        <w:t xml:space="preserve"> </w:t>
      </w:r>
      <w:r w:rsidR="006925EF" w:rsidRPr="008D6B8B">
        <w:rPr>
          <w:lang w:val="en-GB"/>
        </w:rPr>
        <w:t xml:space="preserve">grown in </w:t>
      </w:r>
      <w:r w:rsidR="006925EF">
        <w:rPr>
          <w:lang w:val="en-GB"/>
        </w:rPr>
        <w:t>low</w:t>
      </w:r>
      <w:r w:rsidR="006925EF" w:rsidRPr="008D6B8B">
        <w:rPr>
          <w:lang w:val="en-GB"/>
        </w:rPr>
        <w:t xml:space="preserve"> base concentrations</w:t>
      </w:r>
      <w:r w:rsidR="006925EF">
        <w:rPr>
          <w:lang w:val="en-GB"/>
        </w:rPr>
        <w:t xml:space="preserve"> (&lt;1.0 M)</w:t>
      </w:r>
      <w:r w:rsidR="006925EF" w:rsidRPr="008D6B8B">
        <w:rPr>
          <w:lang w:val="en-GB"/>
        </w:rPr>
        <w:t xml:space="preserve">. On the other hand, at high overpotentials the surface coverage tends towards unity and step </w:t>
      </w:r>
      <w:r w:rsidR="006925EF">
        <w:rPr>
          <w:lang w:val="en-GB"/>
        </w:rPr>
        <w:t>3</w:t>
      </w:r>
      <w:r w:rsidR="006925EF" w:rsidRPr="008D6B8B">
        <w:rPr>
          <w:lang w:val="en-GB"/>
        </w:rPr>
        <w:t xml:space="preserve"> becomes rate-determining for the whole range of hydrous oxide </w:t>
      </w:r>
      <w:r w:rsidR="006925EF">
        <w:rPr>
          <w:lang w:val="en-GB"/>
        </w:rPr>
        <w:t>catalysts</w:t>
      </w:r>
      <w:r w:rsidR="006925EF" w:rsidRPr="008D6B8B">
        <w:rPr>
          <w:lang w:val="en-GB"/>
        </w:rPr>
        <w:t>.</w:t>
      </w:r>
      <w:r w:rsidR="006925EF">
        <w:t xml:space="preserve"> Although the authors base their mechanistic model on a large body of experimental evidence, their model rests on a large number of assumptions we encountered in this chapter. We also note </w:t>
      </w:r>
      <w:r w:rsidR="006925EF" w:rsidRPr="00BC70A0">
        <w:t>that in both of our examples the Tafel slopes were estimated at limiting low and high coverage</w:t>
      </w:r>
      <w:r w:rsidR="006925EF">
        <w:t xml:space="preserve"> situations. In the next section </w:t>
      </w:r>
      <w:r w:rsidR="00C80B22">
        <w:fldChar w:fldCharType="begin"/>
      </w:r>
      <w:r w:rsidR="00C80B22">
        <w:instrText xml:space="preserve"> REF _Ref159882450 \r \h </w:instrText>
      </w:r>
      <w:r w:rsidR="00C80B22">
        <w:fldChar w:fldCharType="separate"/>
      </w:r>
      <w:r w:rsidR="00C80B22">
        <w:t>2.3</w:t>
      </w:r>
      <w:r w:rsidR="00C80B22">
        <w:fldChar w:fldCharType="end"/>
      </w:r>
      <w:r w:rsidR="00C80B22">
        <w:t xml:space="preserve"> </w:t>
      </w:r>
      <w:r w:rsidR="006925EF">
        <w:t>we explore what happens when this limit is lifted and how the Tafel slopes behave when the coverage is allowed to change.</w:t>
      </w:r>
    </w:p>
    <w:p w14:paraId="0E0FD5E4" w14:textId="77777777" w:rsidR="00204D0E" w:rsidRPr="00C773FB" w:rsidRDefault="00204D0E" w:rsidP="00204D0E"/>
    <w:p w14:paraId="108D3DA9" w14:textId="7D150185" w:rsidR="00204D0E" w:rsidRPr="00AB463D" w:rsidRDefault="00204D0E" w:rsidP="00BC7855">
      <w:pPr>
        <w:pStyle w:val="Heading2"/>
      </w:pPr>
      <w:bookmarkStart w:id="35" w:name="_Toc159281598"/>
      <w:bookmarkStart w:id="36" w:name="_Toc159371024"/>
      <w:bookmarkStart w:id="37" w:name="_Ref159882450"/>
      <w:bookmarkStart w:id="38" w:name="_Ref159882697"/>
      <w:bookmarkStart w:id="39" w:name="_Ref159951287"/>
      <w:bookmarkStart w:id="40" w:name="_Toc166441728"/>
      <w:r w:rsidRPr="00AB463D">
        <w:t>Coverage</w:t>
      </w:r>
      <w:r w:rsidR="006A2F78">
        <w:t>-</w:t>
      </w:r>
      <w:r w:rsidRPr="00AB463D">
        <w:t>dependent Tafel slopes</w:t>
      </w:r>
      <w:bookmarkEnd w:id="35"/>
      <w:bookmarkEnd w:id="36"/>
      <w:bookmarkEnd w:id="37"/>
      <w:bookmarkEnd w:id="38"/>
      <w:bookmarkEnd w:id="39"/>
      <w:bookmarkEnd w:id="40"/>
      <w:r w:rsidRPr="00AB463D">
        <w:t xml:space="preserve"> </w:t>
      </w:r>
    </w:p>
    <w:p w14:paraId="15833EDC" w14:textId="77777777" w:rsidR="00204D0E" w:rsidRDefault="00204D0E" w:rsidP="00204D0E"/>
    <w:p w14:paraId="670F35D1" w14:textId="4BCB524A" w:rsidR="00204D0E" w:rsidRDefault="00204D0E" w:rsidP="000A5154">
      <w:pPr>
        <w:ind w:firstLine="720"/>
        <w:rPr>
          <w:lang w:val="en-GB"/>
        </w:rPr>
      </w:pPr>
      <w:r w:rsidRPr="0063133C">
        <w:t>The use of Tafel slope</w:t>
      </w:r>
      <w:r w:rsidR="008A6D5D">
        <w:t>s</w:t>
      </w:r>
      <w:r w:rsidRPr="0063133C">
        <w:t xml:space="preserve"> </w:t>
      </w:r>
      <w:r>
        <w:t xml:space="preserve">in the kinetic studies of electrocatalytic reactions is ubiquitous, though in </w:t>
      </w:r>
      <w:r w:rsidR="008A6D5D">
        <w:t xml:space="preserve">much </w:t>
      </w:r>
      <w:r>
        <w:t>of the contemporary literature, Tafel analysis is either an afterthought or emphasized only when a particularly low slope is found to highlight the “quality” of the electrocatalyst. Both our previous examples have one point in common</w:t>
      </w:r>
      <w:r w:rsidR="00450C21">
        <w:t>:</w:t>
      </w:r>
      <w:r>
        <w:t xml:space="preserve"> for the very same </w:t>
      </w:r>
      <w:r w:rsidR="008A6D5D">
        <w:t>RDS</w:t>
      </w:r>
      <w:r>
        <w:t>, different Tafel slopes might be predicted at the surface coverage limits. Hence, there needs to be a transient and a bending section of the slope as the coverage of the rate limiting species changes. In a thought exercise, Shinagawa et al.</w:t>
      </w:r>
      <w:r>
        <w:fldChar w:fldCharType="begin"/>
      </w:r>
      <w:r w:rsidR="00FC5BEB">
        <w:instrText xml:space="preserve"> ADDIN EN.CITE &lt;EndNote&gt;&lt;Cite&gt;&lt;Author&gt;Shinagawa&lt;/Author&gt;&lt;Year&gt;2015&lt;/Year&gt;&lt;RecNum&gt;89&lt;/RecNum&gt;&lt;DisplayText&gt;&lt;style face="superscript"&gt;91&lt;/style&gt;&lt;/DisplayText&gt;&lt;record&gt;&lt;rec-number&gt;89&lt;/rec-number&gt;&lt;foreign-keys&gt;&lt;key app="EN" db-id="2xex0erf4eexr4e2dpbxpdd829xttesxxxdr" timestamp="1715075296"&gt;89&lt;/key&gt;&lt;/foreign-keys&gt;&lt;ref-type name="Journal Article"&gt;17&lt;/ref-type&gt;&lt;contributors&gt;&lt;authors&gt;&lt;author&gt;Shinagawa, T.&lt;/author&gt;&lt;author&gt;Garcia-Esparza, A. T.&lt;/author&gt;&lt;author&gt;Takanabe, K.&lt;/author&gt;&lt;/authors&gt;&lt;/contributors&gt;&lt;auth-address&gt;Division of Physical Sciences and Engineering, KAUST Catalysis Center (KCC), King Abdullah University of Science and Technology (KAUST), 4700 KAUST, Thuwal, 23955-6900, Saudi Arabia.&lt;/auth-address&gt;&lt;titles&gt;&lt;title&gt;Insight on Tafel slopes from a microkinetic analysis of aqueous electrocatalysis for energy conversion&lt;/title&gt;&lt;secondary-title&gt;Sci Rep&lt;/secondary-title&gt;&lt;/titles&gt;&lt;pages&gt;13801&lt;/pages&gt;&lt;volume&gt;5&lt;/volume&gt;&lt;edition&gt;20150908&lt;/edition&gt;&lt;dates&gt;&lt;year&gt;2015&lt;/year&gt;&lt;pub-dates&gt;&lt;date&gt;Sep 8&lt;/date&gt;&lt;/pub-dates&gt;&lt;/dates&gt;&lt;isbn&gt;2045-2322 (Electronic)&amp;#xD;2045-2322 (Linking)&lt;/isbn&gt;&lt;accession-num&gt;26348156&lt;/accession-num&gt;&lt;urls&gt;&lt;related-urls&gt;&lt;url&gt;https://www.ncbi.nlm.nih.gov/pubmed/26348156&lt;/url&gt;&lt;/related-urls&gt;&lt;/urls&gt;&lt;custom2&gt;PMC4642571&lt;/custom2&gt;&lt;electronic-resource-num&gt;10.1038/srep13801&lt;/electronic-resource-num&gt;&lt;remote-database-name&gt;PubMed-not-MEDLINE&lt;/remote-database-name&gt;&lt;remote-database-provider&gt;NLM&lt;/remote-database-provider&gt;&lt;/record&gt;&lt;/Cite&gt;&lt;/EndNote&gt;</w:instrText>
      </w:r>
      <w:r>
        <w:fldChar w:fldCharType="separate"/>
      </w:r>
      <w:r w:rsidR="00FC5BEB" w:rsidRPr="00FC5BEB">
        <w:rPr>
          <w:noProof/>
          <w:vertAlign w:val="superscript"/>
        </w:rPr>
        <w:t>91</w:t>
      </w:r>
      <w:r>
        <w:fldChar w:fldCharType="end"/>
      </w:r>
      <w:r>
        <w:t xml:space="preserve"> performed a theoretical</w:t>
      </w:r>
      <w:r w:rsidRPr="00D10822">
        <w:t xml:space="preserve"> </w:t>
      </w:r>
      <w:r>
        <w:t>micro</w:t>
      </w:r>
      <w:r w:rsidRPr="00D10822">
        <w:t>kinetic analys</w:t>
      </w:r>
      <w:r>
        <w:t>i</w:t>
      </w:r>
      <w:r w:rsidRPr="00D10822">
        <w:t>s describing coverage-dependent Tafel slopes for</w:t>
      </w:r>
      <w:r>
        <w:t xml:space="preserve"> hydrogen evolution (HER) and oxidation (HOR) as well as oxygen evolution (OER) and reduction (ORR) reactions within the context of certain mechanisms with any of the steps potentially rate limiting. They were not interested in knowing the Tafel slopes at the limits of coverages, rather, they wanted to understand how the coverage changes by changing the overpotential </w:t>
      </w:r>
      <w:r w:rsidR="00FC3325">
        <w:t>with</w:t>
      </w:r>
      <w:r>
        <w:t xml:space="preserve">in a framework of a particular mechanism and selected </w:t>
      </w:r>
      <w:r w:rsidR="00BB353B">
        <w:t xml:space="preserve">RDS </w:t>
      </w:r>
      <w:r>
        <w:t>and what effect this has on the Tafel slope. They assumed plausible reaction mechanisms</w:t>
      </w:r>
      <w:r w:rsidR="00093123">
        <w:t xml:space="preserve"> and</w:t>
      </w:r>
      <w:r>
        <w:t xml:space="preserve"> wrote down the kinetic equations of every reaction step. Electrochemical steps were assumed to be potential dependent, conform</w:t>
      </w:r>
      <w:r w:rsidRPr="00966641">
        <w:t xml:space="preserve">ing </w:t>
      </w:r>
      <w:r>
        <w:t xml:space="preserve">with </w:t>
      </w:r>
      <w:r w:rsidRPr="00966641">
        <w:t xml:space="preserve">our </w:t>
      </w:r>
      <w:r w:rsidRPr="00966641">
        <w:fldChar w:fldCharType="begin"/>
      </w:r>
      <w:r w:rsidRPr="00966641">
        <w:instrText xml:space="preserve"> REF _Ref159245687 \h  \* MERGEFORMAT </w:instrText>
      </w:r>
      <w:r w:rsidRPr="00966641">
        <w:fldChar w:fldCharType="separate"/>
      </w:r>
      <w:r w:rsidR="008C565B" w:rsidRPr="008C565B">
        <w:t xml:space="preserve">Equation </w:t>
      </w:r>
      <w:r w:rsidR="008C565B" w:rsidRPr="008C565B">
        <w:rPr>
          <w:noProof/>
        </w:rPr>
        <w:t>5</w:t>
      </w:r>
      <w:r w:rsidRPr="00966641">
        <w:fldChar w:fldCharType="end"/>
      </w:r>
      <w:r>
        <w:t xml:space="preserve">, using a symmetry factor of 0.5. Simulations were carried out with fixed electrolyte activities and by arbitrarily selected rate constants to conform the choice of the </w:t>
      </w:r>
      <w:r w:rsidR="008A6D5D">
        <w:t>RDS</w:t>
      </w:r>
      <w:r>
        <w:t xml:space="preserve">. Steps before the </w:t>
      </w:r>
      <w:r w:rsidR="008A6D5D">
        <w:t xml:space="preserve">RDS </w:t>
      </w:r>
      <w:r>
        <w:t xml:space="preserve">were assumed to be quasi-equilibrated. For </w:t>
      </w:r>
      <w:r w:rsidR="008A6D5D">
        <w:t xml:space="preserve">the </w:t>
      </w:r>
      <w:r>
        <w:t xml:space="preserve">OER, they considered the alkaline adsorbate evolution mechanism on a single active site, well known from DFT works, see later, and very similar to the </w:t>
      </w:r>
      <w:proofErr w:type="spellStart"/>
      <w:r>
        <w:t>Kobussen</w:t>
      </w:r>
      <w:proofErr w:type="spellEnd"/>
      <w:r>
        <w:t xml:space="preserve"> path in</w:t>
      </w:r>
      <w:r w:rsidRPr="00021227">
        <w:t xml:space="preserve"> </w:t>
      </w:r>
      <w:r w:rsidRPr="00021227">
        <w:fldChar w:fldCharType="begin"/>
      </w:r>
      <w:r w:rsidRPr="00021227">
        <w:instrText xml:space="preserve"> REF _Ref159162214 \h  \* MERGEFORMAT </w:instrText>
      </w:r>
      <w:r w:rsidRPr="00021227">
        <w:fldChar w:fldCharType="separate"/>
      </w:r>
      <w:r w:rsidR="008C565B" w:rsidRPr="008C565B">
        <w:t xml:space="preserve">Table </w:t>
      </w:r>
      <w:r w:rsidR="008C565B" w:rsidRPr="008C565B">
        <w:rPr>
          <w:noProof/>
        </w:rPr>
        <w:t>1</w:t>
      </w:r>
      <w:r w:rsidRPr="00021227">
        <w:fldChar w:fldCharType="end"/>
      </w:r>
      <w:r>
        <w:t xml:space="preserve">, with the only difference that the </w:t>
      </w:r>
      <w:proofErr w:type="spellStart"/>
      <w:r>
        <w:t>hydroperoxo</w:t>
      </w:r>
      <w:proofErr w:type="spellEnd"/>
      <w:r>
        <w:t xml:space="preserve"> species forming in step 3 in Shinagawa does not have a negative charge. The authors observe a </w:t>
      </w:r>
      <w:r w:rsidRPr="00A73E15">
        <w:rPr>
          <w:lang w:val="en-GB"/>
        </w:rPr>
        <w:t>Tafel slope of 120</w:t>
      </w:r>
      <w:r>
        <w:rPr>
          <w:lang w:val="en-GB"/>
        </w:rPr>
        <w:t xml:space="preserve"> </w:t>
      </w:r>
      <w:r w:rsidRPr="00A73E15">
        <w:rPr>
          <w:lang w:val="en-GB"/>
        </w:rPr>
        <w:t>mV</w:t>
      </w:r>
      <w:r>
        <w:rPr>
          <w:lang w:val="en-GB"/>
        </w:rPr>
        <w:t>/</w:t>
      </w:r>
      <w:r w:rsidRPr="00A73E15">
        <w:rPr>
          <w:lang w:val="en-GB"/>
        </w:rPr>
        <w:t>de</w:t>
      </w:r>
      <w:r>
        <w:rPr>
          <w:lang w:val="en-GB"/>
        </w:rPr>
        <w:t>c</w:t>
      </w:r>
      <w:r w:rsidRPr="00A73E15">
        <w:rPr>
          <w:lang w:val="en-GB"/>
        </w:rPr>
        <w:t xml:space="preserve"> when the surface species formed in the step just before the rate-determining step is predominant</w:t>
      </w:r>
      <w:r>
        <w:rPr>
          <w:lang w:val="en-GB"/>
        </w:rPr>
        <w:t>.</w:t>
      </w:r>
      <w:r w:rsidRPr="00A73E15">
        <w:rPr>
          <w:lang w:val="en-GB"/>
        </w:rPr>
        <w:t xml:space="preserve"> </w:t>
      </w:r>
      <w:r>
        <w:rPr>
          <w:lang w:val="en-GB"/>
        </w:rPr>
        <w:t xml:space="preserve">(120 mV/dec is the rounded version of 118.4 mV/dec discussed before.) </w:t>
      </w:r>
      <w:r w:rsidRPr="00A73E15">
        <w:rPr>
          <w:lang w:val="en-GB"/>
        </w:rPr>
        <w:t>In the other cases, the Tafel slope is lower than 120</w:t>
      </w:r>
      <w:r>
        <w:rPr>
          <w:lang w:val="en-GB"/>
        </w:rPr>
        <w:t xml:space="preserve"> mV/dec. In case the first step (discharge of an OH</w:t>
      </w:r>
      <w:r w:rsidRPr="00A73E15">
        <w:rPr>
          <w:vertAlign w:val="superscript"/>
          <w:lang w:val="en-GB"/>
        </w:rPr>
        <w:t>-</w:t>
      </w:r>
      <w:r>
        <w:rPr>
          <w:lang w:val="en-GB"/>
        </w:rPr>
        <w:t xml:space="preserve">) is </w:t>
      </w:r>
      <w:r w:rsidR="008A6D5D">
        <w:rPr>
          <w:lang w:val="en-GB"/>
        </w:rPr>
        <w:t>the RDS</w:t>
      </w:r>
      <w:r>
        <w:rPr>
          <w:lang w:val="en-GB"/>
        </w:rPr>
        <w:t>, the Tafel slope is 120 mV/dec and the active surface site is empty</w:t>
      </w:r>
      <w:r w:rsidR="00DC7D29">
        <w:rPr>
          <w:lang w:val="en-GB"/>
        </w:rPr>
        <w:t xml:space="preserve"> throughout the whole potential window</w:t>
      </w:r>
      <w:r>
        <w:rPr>
          <w:lang w:val="en-GB"/>
        </w:rPr>
        <w:t>. When the second step (discharge of the second OH</w:t>
      </w:r>
      <w:r w:rsidRPr="00A73E15">
        <w:rPr>
          <w:vertAlign w:val="superscript"/>
          <w:lang w:val="en-GB"/>
        </w:rPr>
        <w:t>-</w:t>
      </w:r>
      <w:r>
        <w:rPr>
          <w:lang w:val="en-GB"/>
        </w:rPr>
        <w:t xml:space="preserve"> to form a surface oxo) is </w:t>
      </w:r>
      <w:r w:rsidR="008A6D5D">
        <w:rPr>
          <w:lang w:val="en-GB"/>
        </w:rPr>
        <w:t>the RDS</w:t>
      </w:r>
      <w:r>
        <w:rPr>
          <w:lang w:val="en-GB"/>
        </w:rPr>
        <w:t xml:space="preserve">, the initial Tafel slope is </w:t>
      </w:r>
      <w:r>
        <w:rPr>
          <w:lang w:val="en-GB"/>
        </w:rPr>
        <w:lastRenderedPageBreak/>
        <w:t xml:space="preserve">30 mV/dec and the surface is predominantly empty. Then the coverage of OH (the surface species before the </w:t>
      </w:r>
      <w:r w:rsidR="00BB353B">
        <w:rPr>
          <w:lang w:val="en-GB"/>
        </w:rPr>
        <w:t>RDS</w:t>
      </w:r>
      <w:r>
        <w:rPr>
          <w:lang w:val="en-GB"/>
        </w:rPr>
        <w:t>) builds up and the Tafel slope bends. As the OH coverage is close to 1, the Tafel slope reaches 120 mV/dec. In case the 3</w:t>
      </w:r>
      <w:r w:rsidRPr="00A73E15">
        <w:rPr>
          <w:vertAlign w:val="superscript"/>
          <w:lang w:val="en-GB"/>
        </w:rPr>
        <w:t>rd</w:t>
      </w:r>
      <w:r>
        <w:rPr>
          <w:lang w:val="en-GB"/>
        </w:rPr>
        <w:t xml:space="preserve"> step</w:t>
      </w:r>
      <w:r w:rsidR="008A6D5D">
        <w:rPr>
          <w:lang w:val="en-GB"/>
        </w:rPr>
        <w:t xml:space="preserve"> is</w:t>
      </w:r>
      <w:r>
        <w:rPr>
          <w:lang w:val="en-GB"/>
        </w:rPr>
        <w:t xml:space="preserve"> rate limiting, the Tafel slope starts at 21 mV/dec and the surface is predominantly empty, followed by the build-up of OH intermediate and the concomitant increase of the Tafel slope to 40 mV/dec. At even higher overpotentials (and current densities), the OH intermediate turns to O and the Tafel slope is back to 120 mV/dec. When later steps are </w:t>
      </w:r>
      <w:r w:rsidR="008A6D5D">
        <w:rPr>
          <w:lang w:val="en-GB"/>
        </w:rPr>
        <w:t>the RDS</w:t>
      </w:r>
      <w:r>
        <w:rPr>
          <w:lang w:val="en-GB"/>
        </w:rPr>
        <w:t>, more intermediate species build up and transform in waves, giving rise to changes in the concomitant Tafel slopes. Also, these authors</w:t>
      </w:r>
      <w:r>
        <w:t xml:space="preserve"> find</w:t>
      </w:r>
      <w:r>
        <w:rPr>
          <w:lang w:val="en-GB"/>
        </w:rPr>
        <w:t xml:space="preserve"> that certain Tafel slopes (not only 120 mV/dec) appear more than once, that is, different combinations of predominant intermediate species and rate limiting steps can </w:t>
      </w:r>
      <w:r w:rsidR="00FC3325">
        <w:rPr>
          <w:lang w:val="en-GB"/>
        </w:rPr>
        <w:t>yield</w:t>
      </w:r>
      <w:r>
        <w:rPr>
          <w:lang w:val="en-GB"/>
        </w:rPr>
        <w:t xml:space="preserve"> the same Tafel slope. Hence Tafel slopes alone, even considering only one single reaction mechanism, is not predictive enough to prove a </w:t>
      </w:r>
      <w:r w:rsidR="008A6D5D">
        <w:rPr>
          <w:lang w:val="en-GB"/>
        </w:rPr>
        <w:t>particular step is the RDS</w:t>
      </w:r>
      <w:r>
        <w:rPr>
          <w:lang w:val="en-GB"/>
        </w:rPr>
        <w:t xml:space="preserve">. </w:t>
      </w:r>
    </w:p>
    <w:p w14:paraId="52A1C569" w14:textId="77777777" w:rsidR="003A5762" w:rsidRDefault="003A5762" w:rsidP="000A5154">
      <w:pPr>
        <w:ind w:firstLine="720"/>
        <w:rPr>
          <w:lang w:val="en-GB"/>
        </w:rPr>
      </w:pPr>
    </w:p>
    <w:p w14:paraId="4D908019" w14:textId="3CB498E6" w:rsidR="00204D0E" w:rsidRDefault="00204D0E" w:rsidP="000A5154">
      <w:pPr>
        <w:ind w:firstLine="720"/>
        <w:rPr>
          <w:lang w:val="en-GB"/>
        </w:rPr>
      </w:pPr>
      <w:r>
        <w:rPr>
          <w:lang w:val="en-GB"/>
        </w:rPr>
        <w:t xml:space="preserve">Others have also </w:t>
      </w:r>
      <w:r w:rsidR="00DC7D29">
        <w:rPr>
          <w:lang w:val="en-GB"/>
        </w:rPr>
        <w:t>repeated</w:t>
      </w:r>
      <w:r w:rsidR="008A6D5D">
        <w:rPr>
          <w:lang w:val="en-GB"/>
        </w:rPr>
        <w:t>,</w:t>
      </w:r>
      <w:r>
        <w:rPr>
          <w:lang w:val="en-GB"/>
        </w:rPr>
        <w:t xml:space="preserve"> and </w:t>
      </w:r>
      <w:r w:rsidR="004939C4">
        <w:rPr>
          <w:lang w:val="en-GB"/>
        </w:rPr>
        <w:t xml:space="preserve">to a </w:t>
      </w:r>
      <w:r>
        <w:rPr>
          <w:lang w:val="en-GB"/>
        </w:rPr>
        <w:t>certain extent even extended</w:t>
      </w:r>
      <w:r w:rsidR="008A6D5D">
        <w:rPr>
          <w:lang w:val="en-GB"/>
        </w:rPr>
        <w:t>,</w:t>
      </w:r>
      <w:r>
        <w:rPr>
          <w:lang w:val="en-GB"/>
        </w:rPr>
        <w:t xml:space="preserve"> these Tafel slope simulations.</w:t>
      </w:r>
      <w:r w:rsidR="00622633">
        <w:rPr>
          <w:lang w:val="en-GB"/>
        </w:rPr>
        <w:fldChar w:fldCharType="begin">
          <w:fldData xml:space="preserve">PEVuZE5vdGU+PENpdGU+PEF1dGhvcj5BbHNhw6c8L0F1dGhvcj48WWVhcj4yMDIxPC9ZZWFyPjxS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</w:fldData>
        </w:fldChar>
      </w:r>
      <w:r w:rsidR="00FC5BEB">
        <w:rPr>
          <w:lang w:val="en-GB"/>
        </w:rPr>
        <w:instrText xml:space="preserve"> ADDIN EN.CITE </w:instrText>
      </w:r>
      <w:r w:rsidR="00FC5BEB">
        <w:rPr>
          <w:lang w:val="en-GB"/>
        </w:rPr>
        <w:fldChar w:fldCharType="begin">
          <w:fldData xml:space="preserve">PEVuZE5vdGU+PENpdGU+PEF1dGhvcj5BbHNhw6c8L0F1dGhvcj48WWVhcj4yMDIxPC9ZZWFyPjxS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</w:fldData>
        </w:fldChar>
      </w:r>
      <w:r w:rsidR="00FC5BEB">
        <w:rPr>
          <w:lang w:val="en-GB"/>
        </w:rPr>
        <w:instrText xml:space="preserve"> ADDIN EN.CITE.DATA </w:instrText>
      </w:r>
      <w:r w:rsidR="00FC5BEB">
        <w:rPr>
          <w:lang w:val="en-GB"/>
        </w:rPr>
      </w:r>
      <w:r w:rsidR="00FC5BEB">
        <w:rPr>
          <w:lang w:val="en-GB"/>
        </w:rPr>
        <w:fldChar w:fldCharType="end"/>
      </w:r>
      <w:r w:rsidR="00622633">
        <w:rPr>
          <w:lang w:val="en-GB"/>
        </w:rPr>
      </w:r>
      <w:r w:rsidR="00622633">
        <w:rPr>
          <w:lang w:val="en-GB"/>
        </w:rPr>
        <w:fldChar w:fldCharType="separate"/>
      </w:r>
      <w:r w:rsidR="00FC5BEB" w:rsidRPr="00FC5BEB">
        <w:rPr>
          <w:noProof/>
          <w:vertAlign w:val="superscript"/>
          <w:lang w:val="en-GB"/>
        </w:rPr>
        <w:t>19, 92</w:t>
      </w:r>
      <w:r w:rsidR="00622633">
        <w:rPr>
          <w:lang w:val="en-GB"/>
        </w:rPr>
        <w:fldChar w:fldCharType="end"/>
      </w:r>
      <w:r>
        <w:rPr>
          <w:lang w:val="en-GB"/>
        </w:rPr>
        <w:t xml:space="preserve"> Here, we reproduce one such prediction from a review by </w:t>
      </w:r>
      <w:proofErr w:type="spellStart"/>
      <w:r>
        <w:rPr>
          <w:lang w:val="en-GB"/>
        </w:rPr>
        <w:t>Alsac</w:t>
      </w:r>
      <w:proofErr w:type="spellEnd"/>
      <w:r>
        <w:rPr>
          <w:lang w:val="en-GB"/>
        </w:rPr>
        <w:t xml:space="preserve"> et al</w:t>
      </w:r>
      <w:r w:rsidR="008A6D5D">
        <w:rPr>
          <w:lang w:val="en-GB"/>
        </w:rPr>
        <w:t>.</w:t>
      </w:r>
      <w:r>
        <w:rPr>
          <w:lang w:val="en-GB"/>
        </w:rPr>
        <w:t>, as it provides some additional insights.</w:t>
      </w:r>
      <w:r>
        <w:rPr>
          <w:lang w:val="en-GB"/>
        </w:rPr>
        <w:fldChar w:fldCharType="begin"/>
      </w:r>
      <w:r w:rsidR="00FC5BEB">
        <w:rPr>
          <w:lang w:val="en-GB"/>
        </w:rPr>
        <w:instrText xml:space="preserve"> ADDIN EN.CITE &lt;EndNote&gt;&lt;Cite&gt;&lt;Author&gt;Alsaç&lt;/Author&gt;&lt;Year&gt;2021&lt;/Year&gt;&lt;RecNum&gt;90&lt;/RecNum&gt;&lt;DisplayText&gt;&lt;style face="superscript"&gt;92&lt;/style&gt;&lt;/DisplayText&gt;&lt;record&gt;&lt;rec-number&gt;90&lt;/rec-number&gt;&lt;foreign-keys&gt;&lt;key app="EN" db-id="2xex0erf4eexr4e2dpbxpdd829xttesxxxdr" timestamp="1715075296"&gt;90&lt;/key&gt;&lt;/foreign-keys&gt;&lt;ref-type name="Journal Article"&gt;17&lt;/ref-type&gt;&lt;contributors&gt;&lt;authors&gt;&lt;author&gt;Alsaç, Elif Pınar&lt;/author&gt;&lt;author&gt;Bodappa, Nataraju&lt;/author&gt;&lt;author&gt;Whittingham, Alexander W. H.&lt;/author&gt;&lt;author&gt;Liu, Yutong&lt;/author&gt;&lt;author&gt;de Lazzari, Adriana&lt;/author&gt;&lt;author&gt;Smith, Rodney D. L.&lt;/author&gt;&lt;/authors&gt;&lt;/contributors&gt;&lt;titles&gt;&lt;title&gt;Structure–property correlations for analysis of heterogeneous electrocatalysts&lt;/title&gt;&lt;secondary-title&gt;Chem. Phys. Rev.&lt;/secondary-title&gt;&lt;/titles&gt;&lt;periodical&gt;&lt;full-title&gt;Chem. Phys. Rev.&lt;/full-title&gt;&lt;/periodical&gt;&lt;volume&gt;2&lt;/volume&gt;&lt;number&gt;3&lt;/number&gt;&lt;dates&gt;&lt;year&gt;2021&lt;/year&gt;&lt;/dates&gt;&lt;isbn&gt;2688-4070&lt;/isbn&gt;&lt;urls&gt;&lt;related-urls&gt;&lt;url&gt;https://doi.org/10.1063/5.0058704&lt;/url&gt;&lt;/related-urls&gt;&lt;/urls&gt;&lt;custom1&gt;031306&lt;/custom1&gt;&lt;electronic-resource-num&gt;10.1063/5.0058704&lt;/electronic-resource-num&gt;&lt;access-date&gt;11/8/2023&lt;/access-date&gt;&lt;/record&gt;&lt;/Cite&gt;&lt;/EndNote&gt;</w:instrText>
      </w:r>
      <w:r>
        <w:rPr>
          <w:lang w:val="en-GB"/>
        </w:rPr>
        <w:fldChar w:fldCharType="separate"/>
      </w:r>
      <w:r w:rsidR="00FC5BEB" w:rsidRPr="00FC5BEB">
        <w:rPr>
          <w:noProof/>
          <w:vertAlign w:val="superscript"/>
          <w:lang w:val="en-GB"/>
        </w:rPr>
        <w:t>92</w:t>
      </w:r>
      <w:r>
        <w:rPr>
          <w:lang w:val="en-GB"/>
        </w:rPr>
        <w:fldChar w:fldCharType="end"/>
      </w:r>
      <w:r>
        <w:rPr>
          <w:lang w:val="en-GB"/>
        </w:rPr>
        <w:t xml:space="preserve"> Again, inspired by DFT, they used a slightly modified version of the single-site adsorbate evolution mechanism; their four steps read:</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4"/>
        <w:gridCol w:w="6142"/>
        <w:gridCol w:w="2070"/>
      </w:tblGrid>
      <w:tr w:rsidR="00204D0E" w:rsidRPr="00DE0988" w14:paraId="17990411" w14:textId="77777777" w:rsidTr="000A5154">
        <w:tc>
          <w:tcPr>
            <w:tcW w:w="845" w:type="dxa"/>
            <w:vAlign w:val="center"/>
          </w:tcPr>
          <w:p w14:paraId="3B8F0B82" w14:textId="77777777" w:rsidR="00204D0E" w:rsidRPr="00DE0988" w:rsidRDefault="00204D0E" w:rsidP="009360A3">
            <w:pPr>
              <w:rPr>
                <w:sz w:val="20"/>
                <w:szCs w:val="20"/>
              </w:rPr>
            </w:pPr>
          </w:p>
        </w:tc>
        <w:tc>
          <w:tcPr>
            <w:tcW w:w="6385" w:type="dxa"/>
            <w:vAlign w:val="center"/>
          </w:tcPr>
          <w:p w14:paraId="79B95E8D" w14:textId="4FBC6968" w:rsidR="00204D0E" w:rsidRPr="004939C4" w:rsidRDefault="00000000" w:rsidP="009360A3">
            <w:pPr>
              <w:rPr>
                <w:iCs/>
                <w:sz w:val="20"/>
                <w:szCs w:val="20"/>
              </w:rPr>
            </w:pPr>
            <m:oMathPara>
              <m:oMath>
                <m:sSup>
                  <m:sSupPr>
                    <m:ctrlPr>
                      <w:rPr>
                        <w:rFonts w:ascii="Cambria Math" w:hAnsi="Cambria Math"/>
                        <w:iCs/>
                        <w:sz w:val="20"/>
                        <w:szCs w:val="20"/>
                      </w:rPr>
                    </m:ctrlPr>
                  </m:sSupPr>
                  <m:e>
                    <m:r>
                      <m:rPr>
                        <m:sty m:val="p"/>
                      </m:rPr>
                      <w:rPr>
                        <w:rFonts w:ascii="Cambria Math" w:hAnsi="Cambria Math"/>
                        <w:sz w:val="20"/>
                        <w:szCs w:val="20"/>
                      </w:rPr>
                      <m:t>M</m:t>
                    </m:r>
                  </m:e>
                  <m:sup>
                    <m:r>
                      <m:rPr>
                        <m:sty m:val="p"/>
                      </m:rPr>
                      <w:rPr>
                        <w:rFonts w:ascii="Cambria Math" w:hAnsi="Cambria Math"/>
                        <w:sz w:val="20"/>
                        <w:szCs w:val="20"/>
                      </w:rPr>
                      <m:t>II</m:t>
                    </m:r>
                  </m:sup>
                </m:sSup>
                <m:r>
                  <m:rPr>
                    <m:sty m:val="p"/>
                  </m:rPr>
                  <w:rPr>
                    <w:rFonts w:ascii="Cambria Math" w:hAnsi="Cambria Math"/>
                    <w:sz w:val="20"/>
                    <w:szCs w:val="20"/>
                  </w:rPr>
                  <m:t>(OH</m:t>
                </m:r>
                <m:sSub>
                  <m:sSubPr>
                    <m:ctrlPr>
                      <w:rPr>
                        <w:rFonts w:ascii="Cambria Math" w:hAnsi="Cambria Math"/>
                        <w:iCs/>
                        <w:sz w:val="20"/>
                        <w:szCs w:val="20"/>
                      </w:rPr>
                    </m:ctrlPr>
                  </m:sSubPr>
                  <m:e>
                    <m:r>
                      <m:rPr>
                        <m:sty m:val="p"/>
                      </m:rPr>
                      <w:rPr>
                        <w:rFonts w:ascii="Cambria Math" w:hAnsi="Cambria Math"/>
                        <w:sz w:val="20"/>
                        <w:szCs w:val="20"/>
                      </w:rPr>
                      <m:t>)</m:t>
                    </m:r>
                  </m:e>
                  <m:sub>
                    <m:r>
                      <m:rPr>
                        <m:sty m:val="p"/>
                      </m:rPr>
                      <w:rPr>
                        <w:rFonts w:ascii="Cambria Math" w:hAnsi="Cambria Math"/>
                        <w:sz w:val="20"/>
                        <w:szCs w:val="20"/>
                      </w:rPr>
                      <m:t>2</m:t>
                    </m:r>
                  </m:sub>
                </m:sSub>
                <m:r>
                  <m:rPr>
                    <m:sty m:val="p"/>
                  </m:rPr>
                  <w:rPr>
                    <w:rFonts w:ascii="Cambria Math" w:hAnsi="Cambria Math"/>
                    <w:sz w:val="20"/>
                    <w:szCs w:val="20"/>
                  </w:rPr>
                  <m:t xml:space="preserve">+ </m:t>
                </m:r>
                <m:sSup>
                  <m:sSupPr>
                    <m:ctrlPr>
                      <w:rPr>
                        <w:rFonts w:ascii="Cambria Math" w:hAnsi="Cambria Math"/>
                        <w:iCs/>
                        <w:sz w:val="20"/>
                        <w:szCs w:val="20"/>
                      </w:rPr>
                    </m:ctrlPr>
                  </m:sSupPr>
                  <m:e>
                    <m:r>
                      <m:rPr>
                        <m:sty m:val="p"/>
                      </m:rPr>
                      <w:rPr>
                        <w:rFonts w:ascii="Cambria Math" w:hAnsi="Cambria Math"/>
                        <w:sz w:val="20"/>
                        <w:szCs w:val="20"/>
                      </w:rPr>
                      <m:t>OH</m:t>
                    </m:r>
                  </m:e>
                  <m:sup>
                    <m:r>
                      <m:rPr>
                        <m:sty m:val="p"/>
                      </m:rPr>
                      <w:rPr>
                        <w:rFonts w:ascii="Cambria Math" w:hAnsi="Cambria Math"/>
                        <w:sz w:val="20"/>
                        <w:szCs w:val="20"/>
                      </w:rPr>
                      <m:t>-</m:t>
                    </m:r>
                  </m:sup>
                </m:sSup>
                <m:r>
                  <m:rPr>
                    <m:sty m:val="p"/>
                  </m:rPr>
                  <w:rPr>
                    <w:rFonts w:ascii="Cambria Math" w:hAnsi="Cambria Math"/>
                    <w:sz w:val="20"/>
                    <w:szCs w:val="20"/>
                  </w:rPr>
                  <m:t xml:space="preserve"> ⇋ </m:t>
                </m:r>
                <m:sSup>
                  <m:sSupPr>
                    <m:ctrlPr>
                      <w:rPr>
                        <w:rFonts w:ascii="Cambria Math" w:hAnsi="Cambria Math"/>
                        <w:iCs/>
                        <w:sz w:val="20"/>
                        <w:szCs w:val="20"/>
                      </w:rPr>
                    </m:ctrlPr>
                  </m:sSupPr>
                  <m:e>
                    <m:r>
                      <m:rPr>
                        <m:sty m:val="p"/>
                      </m:rPr>
                      <w:rPr>
                        <w:rFonts w:ascii="Cambria Math" w:hAnsi="Cambria Math"/>
                        <w:sz w:val="20"/>
                        <w:szCs w:val="20"/>
                      </w:rPr>
                      <m:t>M</m:t>
                    </m:r>
                  </m:e>
                  <m:sup>
                    <m:r>
                      <m:rPr>
                        <m:sty m:val="p"/>
                      </m:rPr>
                      <w:rPr>
                        <w:rFonts w:ascii="Cambria Math" w:hAnsi="Cambria Math"/>
                        <w:sz w:val="20"/>
                        <w:szCs w:val="20"/>
                      </w:rPr>
                      <m:t>III</m:t>
                    </m:r>
                  </m:sup>
                </m:sSup>
                <m:r>
                  <m:rPr>
                    <m:sty m:val="p"/>
                  </m:rPr>
                  <w:rPr>
                    <w:rFonts w:ascii="Cambria Math" w:hAnsi="Cambria Math"/>
                    <w:sz w:val="20"/>
                    <w:szCs w:val="20"/>
                  </w:rPr>
                  <m:t>O</m:t>
                </m:r>
                <m:d>
                  <m:dPr>
                    <m:ctrlPr>
                      <w:rPr>
                        <w:rFonts w:ascii="Cambria Math" w:hAnsi="Cambria Math"/>
                        <w:iCs/>
                        <w:sz w:val="20"/>
                        <w:szCs w:val="20"/>
                      </w:rPr>
                    </m:ctrlPr>
                  </m:dPr>
                  <m:e>
                    <m:r>
                      <m:rPr>
                        <m:sty m:val="p"/>
                      </m:rPr>
                      <w:rPr>
                        <w:rFonts w:ascii="Cambria Math" w:hAnsi="Cambria Math"/>
                        <w:sz w:val="20"/>
                        <w:szCs w:val="20"/>
                      </w:rPr>
                      <m:t>OH</m:t>
                    </m:r>
                  </m:e>
                </m:d>
                <m:r>
                  <m:rPr>
                    <m:sty m:val="p"/>
                  </m:rPr>
                  <w:rPr>
                    <w:rFonts w:ascii="Cambria Math" w:hAnsi="Cambria Math"/>
                    <w:sz w:val="20"/>
                    <w:szCs w:val="20"/>
                  </w:rPr>
                  <m:t>+</m:t>
                </m:r>
                <m:sSup>
                  <m:sSupPr>
                    <m:ctrlPr>
                      <w:rPr>
                        <w:rFonts w:ascii="Cambria Math" w:hAnsi="Cambria Math"/>
                        <w:iCs/>
                        <w:sz w:val="20"/>
                        <w:szCs w:val="20"/>
                      </w:rPr>
                    </m:ctrlPr>
                  </m:sSupPr>
                  <m:e>
                    <m:r>
                      <m:rPr>
                        <m:sty m:val="p"/>
                      </m:rPr>
                      <w:rPr>
                        <w:rFonts w:ascii="Cambria Math" w:hAnsi="Cambria Math"/>
                        <w:sz w:val="20"/>
                        <w:szCs w:val="20"/>
                      </w:rPr>
                      <m:t xml:space="preserve"> e</m:t>
                    </m:r>
                  </m:e>
                  <m:sup>
                    <m:r>
                      <m:rPr>
                        <m:sty m:val="p"/>
                      </m:rPr>
                      <w:rPr>
                        <w:rFonts w:ascii="Cambria Math" w:hAnsi="Cambria Math"/>
                        <w:sz w:val="20"/>
                        <w:szCs w:val="20"/>
                      </w:rPr>
                      <m:t>-</m:t>
                    </m:r>
                  </m:sup>
                </m:sSup>
                <m:r>
                  <m:rPr>
                    <m:sty m:val="p"/>
                  </m:rPr>
                  <w:rPr>
                    <w:rFonts w:ascii="Cambria Math" w:hAnsi="Cambria Math"/>
                    <w:sz w:val="20"/>
                    <w:szCs w:val="20"/>
                  </w:rPr>
                  <m:t>+</m:t>
                </m:r>
                <m:sSub>
                  <m:sSubPr>
                    <m:ctrlPr>
                      <w:rPr>
                        <w:rFonts w:ascii="Cambria Math" w:hAnsi="Cambria Math"/>
                        <w:iCs/>
                        <w:sz w:val="20"/>
                        <w:szCs w:val="20"/>
                      </w:rPr>
                    </m:ctrlPr>
                  </m:sSubPr>
                  <m:e>
                    <m:r>
                      <m:rPr>
                        <m:sty m:val="p"/>
                      </m:rPr>
                      <w:rPr>
                        <w:rFonts w:ascii="Cambria Math" w:hAnsi="Cambria Math"/>
                        <w:sz w:val="20"/>
                        <w:szCs w:val="20"/>
                      </w:rPr>
                      <m:t>H</m:t>
                    </m:r>
                  </m:e>
                  <m:sub>
                    <m:r>
                      <m:rPr>
                        <m:sty m:val="p"/>
                      </m:rPr>
                      <w:rPr>
                        <w:rFonts w:ascii="Cambria Math" w:hAnsi="Cambria Math"/>
                        <w:sz w:val="20"/>
                        <w:szCs w:val="20"/>
                      </w:rPr>
                      <m:t>2</m:t>
                    </m:r>
                  </m:sub>
                </m:sSub>
                <m:r>
                  <m:rPr>
                    <m:sty m:val="p"/>
                  </m:rPr>
                  <w:rPr>
                    <w:rFonts w:ascii="Cambria Math" w:hAnsi="Cambria Math"/>
                    <w:sz w:val="20"/>
                    <w:szCs w:val="20"/>
                  </w:rPr>
                  <m:t>O</m:t>
                </m:r>
              </m:oMath>
            </m:oMathPara>
          </w:p>
        </w:tc>
        <w:tc>
          <w:tcPr>
            <w:tcW w:w="2130" w:type="dxa"/>
            <w:vAlign w:val="center"/>
          </w:tcPr>
          <w:p w14:paraId="576D4FBE" w14:textId="22A87F6F" w:rsidR="00204D0E" w:rsidRPr="00DE0988" w:rsidRDefault="00204D0E" w:rsidP="009360A3">
            <w:pPr>
              <w:rPr>
                <w:sz w:val="20"/>
                <w:szCs w:val="20"/>
              </w:rPr>
            </w:pPr>
            <w:bookmarkStart w:id="41" w:name="_Ref159270251"/>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8C565B">
              <w:rPr>
                <w:noProof/>
                <w:sz w:val="20"/>
                <w:szCs w:val="20"/>
              </w:rPr>
              <w:t>16</w:t>
            </w:r>
            <w:r w:rsidRPr="00DE0988">
              <w:rPr>
                <w:sz w:val="20"/>
                <w:szCs w:val="20"/>
              </w:rPr>
              <w:fldChar w:fldCharType="end"/>
            </w:r>
            <w:bookmarkEnd w:id="41"/>
          </w:p>
        </w:tc>
      </w:tr>
      <w:tr w:rsidR="00204D0E" w:rsidRPr="00DE0988" w14:paraId="38A9D245" w14:textId="77777777" w:rsidTr="000A5154">
        <w:tc>
          <w:tcPr>
            <w:tcW w:w="845" w:type="dxa"/>
            <w:vAlign w:val="center"/>
          </w:tcPr>
          <w:p w14:paraId="643DC40F" w14:textId="77777777" w:rsidR="00204D0E" w:rsidRPr="00DE0988" w:rsidRDefault="00204D0E" w:rsidP="009360A3">
            <w:pPr>
              <w:rPr>
                <w:sz w:val="20"/>
                <w:szCs w:val="20"/>
              </w:rPr>
            </w:pPr>
          </w:p>
        </w:tc>
        <w:tc>
          <w:tcPr>
            <w:tcW w:w="6385" w:type="dxa"/>
            <w:vAlign w:val="center"/>
          </w:tcPr>
          <w:p w14:paraId="30976305" w14:textId="7BA98E55" w:rsidR="00204D0E" w:rsidRPr="004939C4" w:rsidRDefault="00000000" w:rsidP="009360A3">
            <w:pPr>
              <w:rPr>
                <w:iCs/>
                <w:sz w:val="20"/>
                <w:szCs w:val="20"/>
              </w:rPr>
            </w:pPr>
            <m:oMathPara>
              <m:oMath>
                <m:sSup>
                  <m:sSupPr>
                    <m:ctrlPr>
                      <w:rPr>
                        <w:rFonts w:ascii="Cambria Math" w:hAnsi="Cambria Math"/>
                        <w:iCs/>
                        <w:sz w:val="20"/>
                        <w:szCs w:val="20"/>
                      </w:rPr>
                    </m:ctrlPr>
                  </m:sSupPr>
                  <m:e>
                    <m:r>
                      <m:rPr>
                        <m:sty m:val="p"/>
                      </m:rPr>
                      <w:rPr>
                        <w:rFonts w:ascii="Cambria Math" w:hAnsi="Cambria Math"/>
                        <w:sz w:val="20"/>
                        <w:szCs w:val="20"/>
                      </w:rPr>
                      <m:t>M</m:t>
                    </m:r>
                  </m:e>
                  <m:sup>
                    <m:r>
                      <m:rPr>
                        <m:sty m:val="p"/>
                      </m:rPr>
                      <w:rPr>
                        <w:rFonts w:ascii="Cambria Math" w:hAnsi="Cambria Math"/>
                        <w:sz w:val="20"/>
                        <w:szCs w:val="20"/>
                      </w:rPr>
                      <m:t>III</m:t>
                    </m:r>
                  </m:sup>
                </m:sSup>
                <m:r>
                  <m:rPr>
                    <m:sty m:val="p"/>
                  </m:rPr>
                  <w:rPr>
                    <w:rFonts w:ascii="Cambria Math" w:hAnsi="Cambria Math"/>
                    <w:sz w:val="20"/>
                    <w:szCs w:val="20"/>
                  </w:rPr>
                  <m:t>O</m:t>
                </m:r>
                <m:d>
                  <m:dPr>
                    <m:ctrlPr>
                      <w:rPr>
                        <w:rFonts w:ascii="Cambria Math" w:hAnsi="Cambria Math"/>
                        <w:iCs/>
                        <w:sz w:val="20"/>
                        <w:szCs w:val="20"/>
                      </w:rPr>
                    </m:ctrlPr>
                  </m:dPr>
                  <m:e>
                    <m:r>
                      <m:rPr>
                        <m:sty m:val="p"/>
                      </m:rPr>
                      <w:rPr>
                        <w:rFonts w:ascii="Cambria Math" w:hAnsi="Cambria Math"/>
                        <w:sz w:val="20"/>
                        <w:szCs w:val="20"/>
                      </w:rPr>
                      <m:t>OH</m:t>
                    </m:r>
                  </m:e>
                </m:d>
                <m:r>
                  <m:rPr>
                    <m:sty m:val="p"/>
                  </m:rPr>
                  <w:rPr>
                    <w:rFonts w:ascii="Cambria Math" w:hAnsi="Cambria Math"/>
                    <w:sz w:val="20"/>
                    <w:szCs w:val="20"/>
                  </w:rPr>
                  <m:t>+</m:t>
                </m:r>
                <m:sSup>
                  <m:sSupPr>
                    <m:ctrlPr>
                      <w:rPr>
                        <w:rFonts w:ascii="Cambria Math" w:hAnsi="Cambria Math"/>
                        <w:iCs/>
                        <w:sz w:val="20"/>
                        <w:szCs w:val="20"/>
                      </w:rPr>
                    </m:ctrlPr>
                  </m:sSupPr>
                  <m:e>
                    <m:r>
                      <m:rPr>
                        <m:sty m:val="p"/>
                      </m:rPr>
                      <w:rPr>
                        <w:rFonts w:ascii="Cambria Math" w:hAnsi="Cambria Math"/>
                        <w:sz w:val="20"/>
                        <w:szCs w:val="20"/>
                      </w:rPr>
                      <m:t>OH</m:t>
                    </m:r>
                  </m:e>
                  <m:sup>
                    <m:r>
                      <m:rPr>
                        <m:sty m:val="p"/>
                      </m:rPr>
                      <w:rPr>
                        <w:rFonts w:ascii="Cambria Math" w:hAnsi="Cambria Math"/>
                        <w:sz w:val="20"/>
                        <w:szCs w:val="20"/>
                      </w:rPr>
                      <m:t>-</m:t>
                    </m:r>
                  </m:sup>
                </m:sSup>
                <m:r>
                  <m:rPr>
                    <m:sty m:val="p"/>
                  </m:rPr>
                  <w:rPr>
                    <w:rFonts w:ascii="Cambria Math" w:hAnsi="Cambria Math"/>
                    <w:sz w:val="20"/>
                    <w:szCs w:val="20"/>
                  </w:rPr>
                  <m:t xml:space="preserve"> ⇋ </m:t>
                </m:r>
                <m:sSup>
                  <m:sSupPr>
                    <m:ctrlPr>
                      <w:rPr>
                        <w:rFonts w:ascii="Cambria Math" w:hAnsi="Cambria Math"/>
                        <w:iCs/>
                        <w:sz w:val="20"/>
                        <w:szCs w:val="20"/>
                      </w:rPr>
                    </m:ctrlPr>
                  </m:sSupPr>
                  <m:e>
                    <m:r>
                      <m:rPr>
                        <m:sty m:val="p"/>
                      </m:rPr>
                      <w:rPr>
                        <w:rFonts w:ascii="Cambria Math" w:hAnsi="Cambria Math"/>
                        <w:sz w:val="20"/>
                        <w:szCs w:val="20"/>
                      </w:rPr>
                      <m:t>M</m:t>
                    </m:r>
                  </m:e>
                  <m:sup>
                    <m:r>
                      <m:rPr>
                        <m:sty m:val="p"/>
                      </m:rPr>
                      <w:rPr>
                        <w:rFonts w:ascii="Cambria Math" w:hAnsi="Cambria Math"/>
                        <w:sz w:val="20"/>
                        <w:szCs w:val="20"/>
                      </w:rPr>
                      <m:t>IV</m:t>
                    </m:r>
                  </m:sup>
                </m:sSup>
                <m:r>
                  <m:rPr>
                    <m:sty m:val="p"/>
                  </m:rPr>
                  <w:rPr>
                    <w:rFonts w:ascii="Cambria Math" w:hAnsi="Cambria Math"/>
                    <w:sz w:val="20"/>
                    <w:szCs w:val="20"/>
                  </w:rPr>
                  <m:t xml:space="preserve">OO+ </m:t>
                </m:r>
                <m:sSup>
                  <m:sSupPr>
                    <m:ctrlPr>
                      <w:rPr>
                        <w:rFonts w:ascii="Cambria Math" w:hAnsi="Cambria Math"/>
                        <w:iCs/>
                        <w:sz w:val="20"/>
                        <w:szCs w:val="20"/>
                      </w:rPr>
                    </m:ctrlPr>
                  </m:sSupPr>
                  <m:e>
                    <m:r>
                      <m:rPr>
                        <m:sty m:val="p"/>
                      </m:rPr>
                      <w:rPr>
                        <w:rFonts w:ascii="Cambria Math" w:hAnsi="Cambria Math"/>
                        <w:sz w:val="20"/>
                        <w:szCs w:val="20"/>
                      </w:rPr>
                      <m:t xml:space="preserve"> e</m:t>
                    </m:r>
                  </m:e>
                  <m:sup>
                    <m:r>
                      <m:rPr>
                        <m:sty m:val="p"/>
                      </m:rPr>
                      <w:rPr>
                        <w:rFonts w:ascii="Cambria Math" w:hAnsi="Cambria Math"/>
                        <w:sz w:val="20"/>
                        <w:szCs w:val="20"/>
                      </w:rPr>
                      <m:t>-</m:t>
                    </m:r>
                  </m:sup>
                </m:sSup>
                <m:r>
                  <m:rPr>
                    <m:sty m:val="p"/>
                  </m:rPr>
                  <w:rPr>
                    <w:rFonts w:ascii="Cambria Math" w:hAnsi="Cambria Math"/>
                    <w:sz w:val="20"/>
                    <w:szCs w:val="20"/>
                  </w:rPr>
                  <m:t>+</m:t>
                </m:r>
                <m:sSub>
                  <m:sSubPr>
                    <m:ctrlPr>
                      <w:rPr>
                        <w:rFonts w:ascii="Cambria Math" w:hAnsi="Cambria Math"/>
                        <w:iCs/>
                        <w:sz w:val="20"/>
                        <w:szCs w:val="20"/>
                      </w:rPr>
                    </m:ctrlPr>
                  </m:sSubPr>
                  <m:e>
                    <m:r>
                      <m:rPr>
                        <m:sty m:val="p"/>
                      </m:rPr>
                      <w:rPr>
                        <w:rFonts w:ascii="Cambria Math" w:hAnsi="Cambria Math"/>
                        <w:sz w:val="20"/>
                        <w:szCs w:val="20"/>
                      </w:rPr>
                      <m:t>H</m:t>
                    </m:r>
                  </m:e>
                  <m:sub>
                    <m:r>
                      <m:rPr>
                        <m:sty m:val="p"/>
                      </m:rPr>
                      <w:rPr>
                        <w:rFonts w:ascii="Cambria Math" w:hAnsi="Cambria Math"/>
                        <w:sz w:val="20"/>
                        <w:szCs w:val="20"/>
                      </w:rPr>
                      <m:t>2</m:t>
                    </m:r>
                  </m:sub>
                </m:sSub>
                <m:r>
                  <m:rPr>
                    <m:sty m:val="p"/>
                  </m:rPr>
                  <w:rPr>
                    <w:rFonts w:ascii="Cambria Math" w:hAnsi="Cambria Math"/>
                    <w:sz w:val="20"/>
                    <w:szCs w:val="20"/>
                  </w:rPr>
                  <m:t>O</m:t>
                </m:r>
              </m:oMath>
            </m:oMathPara>
          </w:p>
        </w:tc>
        <w:tc>
          <w:tcPr>
            <w:tcW w:w="2130" w:type="dxa"/>
            <w:vAlign w:val="center"/>
          </w:tcPr>
          <w:p w14:paraId="3ABE7C0D" w14:textId="340A34EC" w:rsidR="00204D0E" w:rsidRPr="00DE0988" w:rsidRDefault="00204D0E" w:rsidP="009360A3">
            <w:pPr>
              <w:rPr>
                <w:sz w:val="20"/>
                <w:szCs w:val="20"/>
              </w:rPr>
            </w:pPr>
            <w:bookmarkStart w:id="42" w:name="_Ref159270254"/>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8C565B">
              <w:rPr>
                <w:noProof/>
                <w:sz w:val="20"/>
                <w:szCs w:val="20"/>
              </w:rPr>
              <w:t>17</w:t>
            </w:r>
            <w:r w:rsidRPr="00DE0988">
              <w:rPr>
                <w:sz w:val="20"/>
                <w:szCs w:val="20"/>
              </w:rPr>
              <w:fldChar w:fldCharType="end"/>
            </w:r>
            <w:bookmarkEnd w:id="42"/>
          </w:p>
        </w:tc>
      </w:tr>
      <w:tr w:rsidR="00204D0E" w:rsidRPr="00DE0988" w14:paraId="66596143" w14:textId="77777777" w:rsidTr="000A5154">
        <w:tc>
          <w:tcPr>
            <w:tcW w:w="845" w:type="dxa"/>
            <w:vAlign w:val="center"/>
          </w:tcPr>
          <w:p w14:paraId="65F468D9" w14:textId="77777777" w:rsidR="00204D0E" w:rsidRPr="00DE0988" w:rsidRDefault="00204D0E" w:rsidP="009360A3">
            <w:pPr>
              <w:rPr>
                <w:sz w:val="20"/>
                <w:szCs w:val="20"/>
              </w:rPr>
            </w:pPr>
          </w:p>
        </w:tc>
        <w:tc>
          <w:tcPr>
            <w:tcW w:w="6385" w:type="dxa"/>
            <w:vAlign w:val="center"/>
          </w:tcPr>
          <w:p w14:paraId="6C67271E" w14:textId="08006CD3" w:rsidR="00204D0E" w:rsidRPr="004939C4" w:rsidRDefault="00000000" w:rsidP="009360A3">
            <w:pPr>
              <w:rPr>
                <w:iCs/>
                <w:sz w:val="20"/>
                <w:szCs w:val="20"/>
              </w:rPr>
            </w:pPr>
            <m:oMathPara>
              <m:oMath>
                <m:sSup>
                  <m:sSupPr>
                    <m:ctrlPr>
                      <w:rPr>
                        <w:rFonts w:ascii="Cambria Math" w:hAnsi="Cambria Math"/>
                        <w:iCs/>
                        <w:sz w:val="20"/>
                        <w:szCs w:val="20"/>
                      </w:rPr>
                    </m:ctrlPr>
                  </m:sSupPr>
                  <m:e>
                    <m:r>
                      <m:rPr>
                        <m:sty m:val="p"/>
                      </m:rPr>
                      <w:rPr>
                        <w:rFonts w:ascii="Cambria Math" w:hAnsi="Cambria Math"/>
                        <w:sz w:val="20"/>
                        <w:szCs w:val="20"/>
                      </w:rPr>
                      <m:t>M</m:t>
                    </m:r>
                  </m:e>
                  <m:sup>
                    <m:r>
                      <m:rPr>
                        <m:sty m:val="p"/>
                      </m:rPr>
                      <w:rPr>
                        <w:rFonts w:ascii="Cambria Math" w:hAnsi="Cambria Math"/>
                        <w:sz w:val="20"/>
                        <w:szCs w:val="20"/>
                      </w:rPr>
                      <m:t>IV</m:t>
                    </m:r>
                  </m:sup>
                </m:sSup>
                <m:r>
                  <m:rPr>
                    <m:sty m:val="p"/>
                  </m:rPr>
                  <w:rPr>
                    <w:rFonts w:ascii="Cambria Math" w:hAnsi="Cambria Math"/>
                    <w:sz w:val="20"/>
                    <w:szCs w:val="20"/>
                  </w:rPr>
                  <m:t xml:space="preserve">OO+ </m:t>
                </m:r>
                <m:sSup>
                  <m:sSupPr>
                    <m:ctrlPr>
                      <w:rPr>
                        <w:rFonts w:ascii="Cambria Math" w:hAnsi="Cambria Math"/>
                        <w:iCs/>
                        <w:sz w:val="20"/>
                        <w:szCs w:val="20"/>
                      </w:rPr>
                    </m:ctrlPr>
                  </m:sSupPr>
                  <m:e>
                    <m:r>
                      <m:rPr>
                        <m:sty m:val="p"/>
                      </m:rPr>
                      <w:rPr>
                        <w:rFonts w:ascii="Cambria Math" w:hAnsi="Cambria Math"/>
                        <w:sz w:val="20"/>
                        <w:szCs w:val="20"/>
                      </w:rPr>
                      <m:t>OH</m:t>
                    </m:r>
                  </m:e>
                  <m:sup>
                    <m:r>
                      <m:rPr>
                        <m:sty m:val="p"/>
                      </m:rPr>
                      <w:rPr>
                        <w:rFonts w:ascii="Cambria Math" w:hAnsi="Cambria Math"/>
                        <w:sz w:val="20"/>
                        <w:szCs w:val="20"/>
                      </w:rPr>
                      <m:t>-</m:t>
                    </m:r>
                  </m:sup>
                </m:sSup>
                <m:r>
                  <m:rPr>
                    <m:sty m:val="p"/>
                  </m:rPr>
                  <w:rPr>
                    <w:rFonts w:ascii="Cambria Math" w:hAnsi="Cambria Math"/>
                    <w:sz w:val="20"/>
                    <w:szCs w:val="20"/>
                  </w:rPr>
                  <m:t xml:space="preserve"> ⇋ </m:t>
                </m:r>
                <m:sSup>
                  <m:sSupPr>
                    <m:ctrlPr>
                      <w:rPr>
                        <w:rFonts w:ascii="Cambria Math" w:hAnsi="Cambria Math"/>
                        <w:iCs/>
                        <w:sz w:val="20"/>
                        <w:szCs w:val="20"/>
                      </w:rPr>
                    </m:ctrlPr>
                  </m:sSupPr>
                  <m:e>
                    <m:r>
                      <m:rPr>
                        <m:sty m:val="p"/>
                      </m:rPr>
                      <w:rPr>
                        <w:rFonts w:ascii="Cambria Math" w:hAnsi="Cambria Math"/>
                        <w:sz w:val="20"/>
                        <w:szCs w:val="20"/>
                      </w:rPr>
                      <m:t>M</m:t>
                    </m:r>
                  </m:e>
                  <m:sup>
                    <m:r>
                      <m:rPr>
                        <m:sty m:val="p"/>
                      </m:rPr>
                      <w:rPr>
                        <w:rFonts w:ascii="Cambria Math" w:hAnsi="Cambria Math"/>
                        <w:sz w:val="20"/>
                        <w:szCs w:val="20"/>
                      </w:rPr>
                      <m:t>II</m:t>
                    </m:r>
                  </m:sup>
                </m:sSup>
                <m:r>
                  <m:rPr>
                    <m:sty m:val="p"/>
                  </m:rPr>
                  <w:rPr>
                    <w:rFonts w:ascii="Cambria Math" w:hAnsi="Cambria Math"/>
                    <w:sz w:val="20"/>
                    <w:szCs w:val="20"/>
                  </w:rPr>
                  <m:t>O(OOH</m:t>
                </m:r>
                <m:sSup>
                  <m:sSupPr>
                    <m:ctrlPr>
                      <w:rPr>
                        <w:rFonts w:ascii="Cambria Math" w:hAnsi="Cambria Math"/>
                        <w:iCs/>
                        <w:sz w:val="20"/>
                        <w:szCs w:val="20"/>
                      </w:rPr>
                    </m:ctrlPr>
                  </m:sSupPr>
                  <m:e>
                    <m:r>
                      <m:rPr>
                        <m:sty m:val="p"/>
                      </m:rPr>
                      <w:rPr>
                        <w:rFonts w:ascii="Cambria Math" w:hAnsi="Cambria Math"/>
                        <w:sz w:val="20"/>
                        <w:szCs w:val="20"/>
                      </w:rPr>
                      <m:t>)</m:t>
                    </m:r>
                  </m:e>
                  <m:sup>
                    <m:r>
                      <m:rPr>
                        <m:sty m:val="p"/>
                      </m:rPr>
                      <w:rPr>
                        <w:rFonts w:ascii="Cambria Math" w:hAnsi="Cambria Math"/>
                        <w:sz w:val="20"/>
                        <w:szCs w:val="20"/>
                      </w:rPr>
                      <m:t>-</m:t>
                    </m:r>
                  </m:sup>
                </m:sSup>
              </m:oMath>
            </m:oMathPara>
          </w:p>
        </w:tc>
        <w:tc>
          <w:tcPr>
            <w:tcW w:w="2130" w:type="dxa"/>
            <w:vAlign w:val="center"/>
          </w:tcPr>
          <w:p w14:paraId="4C54A561" w14:textId="6884B188" w:rsidR="00204D0E" w:rsidRPr="00DE0988" w:rsidRDefault="00204D0E" w:rsidP="009360A3">
            <w:pPr>
              <w:rPr>
                <w:sz w:val="20"/>
                <w:szCs w:val="20"/>
              </w:rPr>
            </w:pPr>
            <w:bookmarkStart w:id="43" w:name="_Ref159270283"/>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8C565B">
              <w:rPr>
                <w:noProof/>
                <w:sz w:val="20"/>
                <w:szCs w:val="20"/>
              </w:rPr>
              <w:t>18</w:t>
            </w:r>
            <w:r w:rsidRPr="00DE0988">
              <w:rPr>
                <w:sz w:val="20"/>
                <w:szCs w:val="20"/>
              </w:rPr>
              <w:fldChar w:fldCharType="end"/>
            </w:r>
            <w:bookmarkEnd w:id="43"/>
          </w:p>
        </w:tc>
      </w:tr>
      <w:tr w:rsidR="00204D0E" w:rsidRPr="00DE0988" w14:paraId="1B2A0FF9" w14:textId="77777777" w:rsidTr="000A5154">
        <w:tc>
          <w:tcPr>
            <w:tcW w:w="845" w:type="dxa"/>
            <w:vAlign w:val="center"/>
          </w:tcPr>
          <w:p w14:paraId="0DF53E2E" w14:textId="77777777" w:rsidR="00204D0E" w:rsidRPr="00DE0988" w:rsidRDefault="00204D0E" w:rsidP="009360A3">
            <w:pPr>
              <w:rPr>
                <w:sz w:val="20"/>
                <w:szCs w:val="20"/>
              </w:rPr>
            </w:pPr>
          </w:p>
        </w:tc>
        <w:tc>
          <w:tcPr>
            <w:tcW w:w="6385" w:type="dxa"/>
            <w:vAlign w:val="center"/>
          </w:tcPr>
          <w:p w14:paraId="145F2156" w14:textId="0450D68C" w:rsidR="00204D0E" w:rsidRPr="004939C4" w:rsidRDefault="00000000" w:rsidP="009360A3">
            <w:pPr>
              <w:rPr>
                <w:iCs/>
                <w:sz w:val="20"/>
                <w:szCs w:val="20"/>
              </w:rPr>
            </w:pPr>
            <m:oMathPara>
              <m:oMath>
                <m:sSup>
                  <m:sSupPr>
                    <m:ctrlPr>
                      <w:rPr>
                        <w:rFonts w:ascii="Cambria Math" w:hAnsi="Cambria Math"/>
                        <w:iCs/>
                        <w:sz w:val="20"/>
                        <w:szCs w:val="20"/>
                      </w:rPr>
                    </m:ctrlPr>
                  </m:sSupPr>
                  <m:e>
                    <m:r>
                      <m:rPr>
                        <m:sty m:val="p"/>
                      </m:rPr>
                      <w:rPr>
                        <w:rFonts w:ascii="Cambria Math" w:hAnsi="Cambria Math"/>
                        <w:sz w:val="20"/>
                        <w:szCs w:val="20"/>
                      </w:rPr>
                      <m:t>M</m:t>
                    </m:r>
                  </m:e>
                  <m:sup>
                    <m:r>
                      <m:rPr>
                        <m:sty m:val="p"/>
                      </m:rPr>
                      <w:rPr>
                        <w:rFonts w:ascii="Cambria Math" w:hAnsi="Cambria Math"/>
                        <w:sz w:val="20"/>
                        <w:szCs w:val="20"/>
                      </w:rPr>
                      <m:t>II</m:t>
                    </m:r>
                  </m:sup>
                </m:sSup>
                <m:r>
                  <m:rPr>
                    <m:sty m:val="p"/>
                  </m:rPr>
                  <w:rPr>
                    <w:rFonts w:ascii="Cambria Math" w:hAnsi="Cambria Math"/>
                    <w:sz w:val="20"/>
                    <w:szCs w:val="20"/>
                  </w:rPr>
                  <m:t>O(OOH</m:t>
                </m:r>
                <m:sSup>
                  <m:sSupPr>
                    <m:ctrlPr>
                      <w:rPr>
                        <w:rFonts w:ascii="Cambria Math" w:hAnsi="Cambria Math"/>
                        <w:iCs/>
                        <w:sz w:val="20"/>
                        <w:szCs w:val="20"/>
                      </w:rPr>
                    </m:ctrlPr>
                  </m:sSupPr>
                  <m:e>
                    <m:r>
                      <m:rPr>
                        <m:sty m:val="p"/>
                      </m:rPr>
                      <w:rPr>
                        <w:rFonts w:ascii="Cambria Math" w:hAnsi="Cambria Math"/>
                        <w:sz w:val="20"/>
                        <w:szCs w:val="20"/>
                      </w:rPr>
                      <m:t>)</m:t>
                    </m:r>
                  </m:e>
                  <m:sup>
                    <m:r>
                      <m:rPr>
                        <m:sty m:val="p"/>
                      </m:rPr>
                      <w:rPr>
                        <w:rFonts w:ascii="Cambria Math" w:hAnsi="Cambria Math"/>
                        <w:sz w:val="20"/>
                        <w:szCs w:val="20"/>
                      </w:rPr>
                      <m:t>-</m:t>
                    </m:r>
                  </m:sup>
                </m:sSup>
                <m:r>
                  <m:rPr>
                    <m:sty m:val="p"/>
                  </m:rPr>
                  <w:rPr>
                    <w:rFonts w:ascii="Cambria Math" w:hAnsi="Cambria Math"/>
                    <w:sz w:val="20"/>
                    <w:szCs w:val="20"/>
                  </w:rPr>
                  <m:t xml:space="preserve">+ </m:t>
                </m:r>
                <m:sSup>
                  <m:sSupPr>
                    <m:ctrlPr>
                      <w:rPr>
                        <w:rFonts w:ascii="Cambria Math" w:hAnsi="Cambria Math"/>
                        <w:iCs/>
                        <w:sz w:val="20"/>
                        <w:szCs w:val="20"/>
                      </w:rPr>
                    </m:ctrlPr>
                  </m:sSupPr>
                  <m:e>
                    <m:r>
                      <m:rPr>
                        <m:sty m:val="p"/>
                      </m:rPr>
                      <w:rPr>
                        <w:rFonts w:ascii="Cambria Math" w:hAnsi="Cambria Math"/>
                        <w:sz w:val="20"/>
                        <w:szCs w:val="20"/>
                      </w:rPr>
                      <m:t>OH</m:t>
                    </m:r>
                  </m:e>
                  <m:sup>
                    <m:r>
                      <m:rPr>
                        <m:sty m:val="p"/>
                      </m:rPr>
                      <w:rPr>
                        <w:rFonts w:ascii="Cambria Math" w:hAnsi="Cambria Math"/>
                        <w:sz w:val="20"/>
                        <w:szCs w:val="20"/>
                      </w:rPr>
                      <m:t>-</m:t>
                    </m:r>
                  </m:sup>
                </m:sSup>
                <m:r>
                  <m:rPr>
                    <m:sty m:val="p"/>
                  </m:rPr>
                  <w:rPr>
                    <w:rFonts w:ascii="Cambria Math" w:hAnsi="Cambria Math"/>
                    <w:sz w:val="20"/>
                    <w:szCs w:val="20"/>
                  </w:rPr>
                  <m:t xml:space="preserve"> ⇋</m:t>
                </m:r>
                <m:sSup>
                  <m:sSupPr>
                    <m:ctrlPr>
                      <w:rPr>
                        <w:rFonts w:ascii="Cambria Math" w:hAnsi="Cambria Math"/>
                        <w:iCs/>
                        <w:sz w:val="20"/>
                        <w:szCs w:val="20"/>
                      </w:rPr>
                    </m:ctrlPr>
                  </m:sSupPr>
                  <m:e>
                    <m:r>
                      <m:rPr>
                        <m:sty m:val="p"/>
                      </m:rPr>
                      <w:rPr>
                        <w:rFonts w:ascii="Cambria Math" w:hAnsi="Cambria Math"/>
                        <w:sz w:val="20"/>
                        <w:szCs w:val="20"/>
                      </w:rPr>
                      <m:t>M</m:t>
                    </m:r>
                  </m:e>
                  <m:sup>
                    <m:r>
                      <m:rPr>
                        <m:sty m:val="p"/>
                      </m:rPr>
                      <w:rPr>
                        <w:rFonts w:ascii="Cambria Math" w:hAnsi="Cambria Math"/>
                        <w:sz w:val="20"/>
                        <w:szCs w:val="20"/>
                      </w:rPr>
                      <m:t>II</m:t>
                    </m:r>
                  </m:sup>
                </m:sSup>
                <m:r>
                  <m:rPr>
                    <m:sty m:val="p"/>
                  </m:rPr>
                  <w:rPr>
                    <w:rFonts w:ascii="Cambria Math" w:hAnsi="Cambria Math"/>
                    <w:sz w:val="20"/>
                    <w:szCs w:val="20"/>
                  </w:rPr>
                  <m:t>(OH</m:t>
                </m:r>
                <m:sSub>
                  <m:sSubPr>
                    <m:ctrlPr>
                      <w:rPr>
                        <w:rFonts w:ascii="Cambria Math" w:hAnsi="Cambria Math"/>
                        <w:iCs/>
                        <w:sz w:val="20"/>
                        <w:szCs w:val="20"/>
                      </w:rPr>
                    </m:ctrlPr>
                  </m:sSubPr>
                  <m:e>
                    <m:r>
                      <m:rPr>
                        <m:sty m:val="p"/>
                      </m:rPr>
                      <w:rPr>
                        <w:rFonts w:ascii="Cambria Math" w:hAnsi="Cambria Math"/>
                        <w:sz w:val="20"/>
                        <w:szCs w:val="20"/>
                      </w:rPr>
                      <m:t>)</m:t>
                    </m:r>
                  </m:e>
                  <m:sub>
                    <m:r>
                      <m:rPr>
                        <m:sty m:val="p"/>
                      </m:rPr>
                      <w:rPr>
                        <w:rFonts w:ascii="Cambria Math" w:hAnsi="Cambria Math"/>
                        <w:sz w:val="20"/>
                        <w:szCs w:val="20"/>
                      </w:rPr>
                      <m:t>2</m:t>
                    </m:r>
                  </m:sub>
                </m:sSub>
                <m:r>
                  <m:rPr>
                    <m:sty m:val="p"/>
                  </m:rPr>
                  <w:rPr>
                    <w:rFonts w:ascii="Cambria Math" w:hAnsi="Cambria Math"/>
                    <w:sz w:val="20"/>
                    <w:szCs w:val="20"/>
                  </w:rPr>
                  <m:t>+</m:t>
                </m:r>
                <m:sSup>
                  <m:sSupPr>
                    <m:ctrlPr>
                      <w:rPr>
                        <w:rFonts w:ascii="Cambria Math" w:hAnsi="Cambria Math"/>
                        <w:iCs/>
                        <w:sz w:val="20"/>
                        <w:szCs w:val="20"/>
                      </w:rPr>
                    </m:ctrlPr>
                  </m:sSupPr>
                  <m:e>
                    <m:r>
                      <m:rPr>
                        <m:sty m:val="p"/>
                      </m:rPr>
                      <w:rPr>
                        <w:rFonts w:ascii="Cambria Math" w:hAnsi="Cambria Math"/>
                        <w:sz w:val="20"/>
                        <w:szCs w:val="20"/>
                      </w:rPr>
                      <m:t xml:space="preserve"> 2e</m:t>
                    </m:r>
                  </m:e>
                  <m:sup>
                    <m:r>
                      <m:rPr>
                        <m:sty m:val="p"/>
                      </m:rPr>
                      <w:rPr>
                        <w:rFonts w:ascii="Cambria Math" w:hAnsi="Cambria Math"/>
                        <w:sz w:val="20"/>
                        <w:szCs w:val="20"/>
                      </w:rPr>
                      <m:t>-</m:t>
                    </m:r>
                  </m:sup>
                </m:sSup>
                <m:r>
                  <m:rPr>
                    <m:sty m:val="p"/>
                  </m:rPr>
                  <w:rPr>
                    <w:rFonts w:ascii="Cambria Math" w:hAnsi="Cambria Math"/>
                    <w:sz w:val="20"/>
                    <w:szCs w:val="20"/>
                  </w:rPr>
                  <m:t>+</m:t>
                </m:r>
                <m:sSub>
                  <m:sSubPr>
                    <m:ctrlPr>
                      <w:rPr>
                        <w:rFonts w:ascii="Cambria Math" w:hAnsi="Cambria Math"/>
                        <w:iCs/>
                        <w:sz w:val="20"/>
                        <w:szCs w:val="20"/>
                      </w:rPr>
                    </m:ctrlPr>
                  </m:sSubPr>
                  <m:e>
                    <m:r>
                      <m:rPr>
                        <m:sty m:val="p"/>
                      </m:rPr>
                      <w:rPr>
                        <w:rFonts w:ascii="Cambria Math" w:hAnsi="Cambria Math"/>
                        <w:sz w:val="20"/>
                        <w:szCs w:val="20"/>
                      </w:rPr>
                      <m:t>O</m:t>
                    </m:r>
                  </m:e>
                  <m:sub>
                    <m:r>
                      <m:rPr>
                        <m:sty m:val="p"/>
                      </m:rPr>
                      <w:rPr>
                        <w:rFonts w:ascii="Cambria Math" w:hAnsi="Cambria Math"/>
                        <w:sz w:val="20"/>
                        <w:szCs w:val="20"/>
                      </w:rPr>
                      <m:t>2</m:t>
                    </m:r>
                  </m:sub>
                </m:sSub>
              </m:oMath>
            </m:oMathPara>
          </w:p>
        </w:tc>
        <w:tc>
          <w:tcPr>
            <w:tcW w:w="2130" w:type="dxa"/>
            <w:vAlign w:val="center"/>
          </w:tcPr>
          <w:p w14:paraId="208EA3AE" w14:textId="1EA1E5DF" w:rsidR="00204D0E" w:rsidRPr="00DE0988" w:rsidRDefault="00204D0E" w:rsidP="009360A3">
            <w:pPr>
              <w:rPr>
                <w:sz w:val="20"/>
                <w:szCs w:val="20"/>
              </w:rPr>
            </w:pPr>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8C565B">
              <w:rPr>
                <w:noProof/>
                <w:sz w:val="20"/>
                <w:szCs w:val="20"/>
              </w:rPr>
              <w:t>19</w:t>
            </w:r>
            <w:r w:rsidRPr="00DE0988">
              <w:rPr>
                <w:sz w:val="20"/>
                <w:szCs w:val="20"/>
              </w:rPr>
              <w:fldChar w:fldCharType="end"/>
            </w:r>
          </w:p>
        </w:tc>
      </w:tr>
    </w:tbl>
    <w:p w14:paraId="37B37B0E" w14:textId="3A676854" w:rsidR="00204D0E" w:rsidRDefault="00204D0E" w:rsidP="00204D0E">
      <w:pPr>
        <w:rPr>
          <w:lang w:val="en-GB"/>
        </w:rPr>
      </w:pPr>
      <w:r>
        <w:rPr>
          <w:lang w:val="en-GB"/>
        </w:rPr>
        <w:t xml:space="preserve">where M is a single transition metal site. They used the steady-state approximation and considered the situations, where </w:t>
      </w:r>
      <w:r>
        <w:rPr>
          <w:lang w:val="en-GB"/>
        </w:rPr>
        <w:fldChar w:fldCharType="begin"/>
      </w:r>
      <w:r>
        <w:rPr>
          <w:lang w:val="en-GB"/>
        </w:rPr>
        <w:instrText xml:space="preserve"> REF _Ref159270254 \h  \* MERGEFORMAT </w:instrText>
      </w:r>
      <w:r>
        <w:rPr>
          <w:lang w:val="en-GB"/>
        </w:rPr>
      </w:r>
      <w:r>
        <w:rPr>
          <w:lang w:val="en-GB"/>
        </w:rPr>
        <w:fldChar w:fldCharType="separate"/>
      </w:r>
      <w:r w:rsidR="008C565B" w:rsidRPr="008C565B">
        <w:t xml:space="preserve">Equation </w:t>
      </w:r>
      <w:r w:rsidR="008C565B" w:rsidRPr="008C565B">
        <w:rPr>
          <w:noProof/>
        </w:rPr>
        <w:t>17</w:t>
      </w:r>
      <w:r>
        <w:rPr>
          <w:lang w:val="en-GB"/>
        </w:rPr>
        <w:fldChar w:fldCharType="end"/>
      </w:r>
      <w:r>
        <w:rPr>
          <w:lang w:val="en-GB"/>
        </w:rPr>
        <w:t xml:space="preserve"> or </w:t>
      </w:r>
      <w:r>
        <w:rPr>
          <w:lang w:val="en-GB"/>
        </w:rPr>
        <w:fldChar w:fldCharType="begin"/>
      </w:r>
      <w:r>
        <w:rPr>
          <w:lang w:val="en-GB"/>
        </w:rPr>
        <w:instrText xml:space="preserve"> REF _Ref159270283 \h  \* MERGEFORMAT </w:instrText>
      </w:r>
      <w:r>
        <w:rPr>
          <w:lang w:val="en-GB"/>
        </w:rPr>
      </w:r>
      <w:r>
        <w:rPr>
          <w:lang w:val="en-GB"/>
        </w:rPr>
        <w:fldChar w:fldCharType="separate"/>
      </w:r>
      <w:r w:rsidR="008C565B" w:rsidRPr="008C565B">
        <w:t xml:space="preserve">Equation </w:t>
      </w:r>
      <w:r w:rsidR="008C565B" w:rsidRPr="008C565B">
        <w:rPr>
          <w:noProof/>
        </w:rPr>
        <w:t>18</w:t>
      </w:r>
      <w:r>
        <w:rPr>
          <w:lang w:val="en-GB"/>
        </w:rPr>
        <w:fldChar w:fldCharType="end"/>
      </w:r>
      <w:r>
        <w:rPr>
          <w:lang w:val="en-GB"/>
        </w:rPr>
        <w:t xml:space="preserve"> is the rate determining step.</w:t>
      </w:r>
    </w:p>
    <w:p w14:paraId="7B849961" w14:textId="77777777" w:rsidR="00204D0E" w:rsidRDefault="00204D0E" w:rsidP="00204D0E">
      <w:pPr>
        <w:rPr>
          <w:lang w:val="en-GB"/>
        </w:rPr>
      </w:pPr>
    </w:p>
    <w:p w14:paraId="28FD2184" w14:textId="5F1C03CF" w:rsidR="00204D0E" w:rsidRPr="00F86EF8" w:rsidRDefault="00982D2D" w:rsidP="00204D0E">
      <w:pPr>
        <w:rPr>
          <w:lang w:val="en-GB"/>
        </w:rPr>
      </w:pPr>
      <w:r>
        <w:rPr>
          <w:noProof/>
          <w:lang w:val="en-GB"/>
          <w14:ligatures w14:val="standardContextual"/>
        </w:rPr>
        <w:drawing>
          <wp:inline distT="0" distB="0" distL="0" distR="0" wp14:anchorId="50CAFC2F" wp14:editId="0D1A805D">
            <wp:extent cx="5731510" cy="1892300"/>
            <wp:effectExtent l="0" t="0" r="0" b="0"/>
            <wp:docPr id="4450756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075616" name="Picture 445075616"/>
                    <pic:cNvPicPr/>
                  </pic:nvPicPr>
                  <pic:blipFill rotWithShape="1">
                    <a:blip r:embed="rId14" cstate="print">
                      <a:extLst>
                        <a:ext uri="{28A0092B-C50C-407E-A947-70E740481C1C}">
                          <a14:useLocalDpi xmlns:a14="http://schemas.microsoft.com/office/drawing/2010/main" val="0"/>
                        </a:ext>
                      </a:extLst>
                    </a:blip>
                    <a:srcRect t="10243" b="31061"/>
                    <a:stretch/>
                  </pic:blipFill>
                  <pic:spPr bwMode="auto">
                    <a:xfrm>
                      <a:off x="0" y="0"/>
                      <a:ext cx="5731510" cy="1892300"/>
                    </a:xfrm>
                    <a:prstGeom prst="rect">
                      <a:avLst/>
                    </a:prstGeom>
                    <a:ln>
                      <a:noFill/>
                    </a:ln>
                    <a:extLst>
                      <a:ext uri="{53640926-AAD7-44D8-BBD7-CCE9431645EC}">
                        <a14:shadowObscured xmlns:a14="http://schemas.microsoft.com/office/drawing/2010/main"/>
                      </a:ext>
                    </a:extLst>
                  </pic:spPr>
                </pic:pic>
              </a:graphicData>
            </a:graphic>
          </wp:inline>
        </w:drawing>
      </w:r>
    </w:p>
    <w:p w14:paraId="11FB816C" w14:textId="6F6636D2" w:rsidR="00204D0E" w:rsidRPr="00704C0E" w:rsidRDefault="00204D0E" w:rsidP="00204D0E">
      <w:pPr>
        <w:rPr>
          <w:sz w:val="20"/>
          <w:szCs w:val="20"/>
        </w:rPr>
      </w:pPr>
      <w:bookmarkStart w:id="44" w:name="_Ref159271011"/>
      <w:r w:rsidRPr="00BC70A0">
        <w:rPr>
          <w:b/>
          <w:bCs/>
        </w:rPr>
        <w:t xml:space="preserve">Figure </w:t>
      </w:r>
      <w:r w:rsidRPr="00BC70A0">
        <w:rPr>
          <w:b/>
          <w:bCs/>
        </w:rPr>
        <w:fldChar w:fldCharType="begin"/>
      </w:r>
      <w:r w:rsidRPr="00BC70A0">
        <w:rPr>
          <w:b/>
          <w:bCs/>
        </w:rPr>
        <w:instrText xml:space="preserve"> SEQ Figure \* ARABIC </w:instrText>
      </w:r>
      <w:r w:rsidRPr="00BC70A0">
        <w:rPr>
          <w:b/>
          <w:bCs/>
        </w:rPr>
        <w:fldChar w:fldCharType="separate"/>
      </w:r>
      <w:r w:rsidR="008C565B">
        <w:rPr>
          <w:b/>
          <w:bCs/>
          <w:noProof/>
        </w:rPr>
        <w:t>4</w:t>
      </w:r>
      <w:r w:rsidRPr="00BC70A0">
        <w:rPr>
          <w:b/>
          <w:bCs/>
        </w:rPr>
        <w:fldChar w:fldCharType="end"/>
      </w:r>
      <w:bookmarkEnd w:id="44"/>
      <w:r w:rsidRPr="00AA7525">
        <w:t xml:space="preserve"> </w:t>
      </w:r>
      <w:r w:rsidRPr="008A6D06">
        <w:rPr>
          <w:rFonts w:eastAsiaTheme="minorHAnsi"/>
          <w:sz w:val="20"/>
          <w:szCs w:val="20"/>
        </w:rPr>
        <w:t xml:space="preserve">Electrocatalytic behavior and relative surface speciation for the situation where </w:t>
      </w:r>
      <w:r w:rsidRPr="008A6D06">
        <w:rPr>
          <w:rFonts w:eastAsiaTheme="minorHAnsi"/>
          <w:sz w:val="20"/>
          <w:szCs w:val="20"/>
        </w:rPr>
        <w:fldChar w:fldCharType="begin"/>
      </w:r>
      <w:r w:rsidRPr="008A6D06">
        <w:rPr>
          <w:rFonts w:eastAsiaTheme="minorHAnsi"/>
          <w:sz w:val="20"/>
          <w:szCs w:val="20"/>
        </w:rPr>
        <w:instrText xml:space="preserve"> REF _Ref159270254 \h  \* MERGEFORMAT </w:instrText>
      </w:r>
      <w:r w:rsidRPr="008A6D06">
        <w:rPr>
          <w:rFonts w:eastAsiaTheme="minorHAnsi"/>
          <w:sz w:val="20"/>
          <w:szCs w:val="20"/>
        </w:rPr>
      </w:r>
      <w:r w:rsidRPr="008A6D06">
        <w:rPr>
          <w:rFonts w:eastAsiaTheme="minorHAnsi"/>
          <w:sz w:val="20"/>
          <w:szCs w:val="20"/>
        </w:rPr>
        <w:fldChar w:fldCharType="separate"/>
      </w:r>
      <w:r w:rsidR="008C565B" w:rsidRPr="00DE0988">
        <w:rPr>
          <w:sz w:val="20"/>
          <w:szCs w:val="20"/>
        </w:rPr>
        <w:t xml:space="preserve">Equation </w:t>
      </w:r>
      <w:r w:rsidR="008C565B">
        <w:rPr>
          <w:noProof/>
          <w:sz w:val="20"/>
          <w:szCs w:val="20"/>
        </w:rPr>
        <w:t>17</w:t>
      </w:r>
      <w:r w:rsidRPr="008A6D06">
        <w:rPr>
          <w:rFonts w:eastAsiaTheme="minorHAnsi"/>
          <w:sz w:val="20"/>
          <w:szCs w:val="20"/>
        </w:rPr>
        <w:fldChar w:fldCharType="end"/>
      </w:r>
      <w:r w:rsidRPr="008A6D06">
        <w:rPr>
          <w:rFonts w:eastAsiaTheme="minorHAnsi"/>
          <w:sz w:val="20"/>
          <w:szCs w:val="20"/>
        </w:rPr>
        <w:t xml:space="preserve"> is rate limiting for OER. (a) Predicted Tafel plots and relative concentration of reactants and intermediates. (b) Catalytic performance as a function of transition metal oxidation state. (c) Oxidation state and voltage as a function of Tafel slope with hollow black and blue circles signifying oxidation states within their respective colored regions. Dotted lines in panels (b) and (c) indicate changes in current as a function of </w:t>
      </w:r>
      <m:oMath>
        <m:sSubSup>
          <m:sSubSupPr>
            <m:ctrlPr>
              <w:rPr>
                <w:rFonts w:ascii="Cambria Math" w:eastAsiaTheme="minorHAnsi" w:hAnsi="Cambria Math"/>
                <w:sz w:val="20"/>
                <w:szCs w:val="20"/>
              </w:rPr>
            </m:ctrlPr>
          </m:sSubSupPr>
          <m:e>
            <m:r>
              <w:rPr>
                <w:rFonts w:ascii="Cambria Math" w:eastAsiaTheme="minorHAnsi" w:hAnsi="Cambria Math"/>
                <w:sz w:val="20"/>
                <w:szCs w:val="20"/>
              </w:rPr>
              <m:t>E</m:t>
            </m:r>
          </m:e>
          <m:sub>
            <m:r>
              <m:rPr>
                <m:sty m:val="p"/>
              </m:rPr>
              <w:rPr>
                <w:rFonts w:ascii="Cambria Math" w:eastAsiaTheme="minorHAnsi" w:hAnsi="Cambria Math"/>
                <w:sz w:val="20"/>
                <w:szCs w:val="20"/>
              </w:rPr>
              <m:t>2</m:t>
            </m:r>
          </m:sub>
          <m:sup>
            <m:r>
              <m:rPr>
                <m:sty m:val="p"/>
              </m:rPr>
              <w:rPr>
                <w:rFonts w:ascii="Cambria Math" w:eastAsiaTheme="minorHAnsi" w:hAnsi="Cambria Math"/>
                <w:sz w:val="20"/>
                <w:szCs w:val="20"/>
              </w:rPr>
              <m:t>0</m:t>
            </m:r>
          </m:sup>
        </m:sSubSup>
      </m:oMath>
      <w:r w:rsidRPr="008A6D06">
        <w:rPr>
          <w:rFonts w:eastAsiaTheme="minorHAnsi"/>
          <w:sz w:val="20"/>
          <w:szCs w:val="20"/>
        </w:rPr>
        <w:t>. Black, red, and blue segments demonstrate the same regions across the three panels.</w:t>
      </w:r>
      <w:r w:rsidR="00204A43" w:rsidRPr="008A6D06">
        <w:rPr>
          <w:rFonts w:eastAsiaTheme="minorHAnsi"/>
          <w:sz w:val="20"/>
          <w:szCs w:val="20"/>
        </w:rPr>
        <w:t xml:space="preserve"> </w:t>
      </w:r>
      <w:r w:rsidR="00204A43" w:rsidRPr="008A6D06">
        <w:rPr>
          <w:sz w:val="20"/>
          <w:szCs w:val="20"/>
          <w:lang w:val="en-GB"/>
        </w:rPr>
        <w:t>Reproduced with permission from Ref</w:t>
      </w:r>
      <w:r w:rsidR="00204A43" w:rsidRPr="008A6D06">
        <w:rPr>
          <w:sz w:val="20"/>
          <w:szCs w:val="20"/>
          <w:lang w:val="en-GB"/>
        </w:rPr>
        <w:fldChar w:fldCharType="begin"/>
      </w:r>
      <w:r w:rsidR="00FC5BEB">
        <w:rPr>
          <w:sz w:val="20"/>
          <w:szCs w:val="20"/>
          <w:lang w:val="en-GB"/>
        </w:rPr>
        <w:instrText xml:space="preserve"> ADDIN EN.CITE &lt;EndNote&gt;&lt;Cite&gt;&lt;Author&gt;Alsaç&lt;/Author&gt;&lt;Year&gt;2021&lt;/Year&gt;&lt;RecNum&gt;90&lt;/RecNum&gt;&lt;DisplayText&gt;&lt;style face="superscript"&gt;92&lt;/style&gt;&lt;/DisplayText&gt;&lt;record&gt;&lt;rec-number&gt;90&lt;/rec-number&gt;&lt;foreign-keys&gt;&lt;key app="EN" db-id="2xex0erf4eexr4e2dpbxpdd829xttesxxxdr" timestamp="1715075296"&gt;90&lt;/key&gt;&lt;/foreign-keys&gt;&lt;ref-type name="Journal Article"&gt;17&lt;/ref-type&gt;&lt;contributors&gt;&lt;authors&gt;&lt;author&gt;Alsaç, Elif Pınar&lt;/author&gt;&lt;author&gt;Bodappa, Nataraju&lt;/author&gt;&lt;author&gt;Whittingham, Alexander W. H.&lt;/author&gt;&lt;author&gt;Liu, Yutong&lt;/author&gt;&lt;author&gt;de Lazzari, Adriana&lt;/author&gt;&lt;author&gt;Smith, Rodney D. L.&lt;/author&gt;&lt;/authors&gt;&lt;/contributors&gt;&lt;titles&gt;&lt;title&gt;Structure–property correlations for analysis of heterogeneous electrocatalysts&lt;/title&gt;&lt;secondary-title&gt;Chem. Phys. Rev.&lt;/secondary-title&gt;&lt;/titles&gt;&lt;periodical&gt;&lt;full-title&gt;Chem. Phys. Rev.&lt;/full-title&gt;&lt;/periodical&gt;&lt;volume&gt;2&lt;/volume&gt;&lt;number&gt;3&lt;/number&gt;&lt;dates&gt;&lt;year&gt;2021&lt;/year&gt;&lt;/dates&gt;&lt;isbn&gt;2688-4070&lt;/isbn&gt;&lt;urls&gt;&lt;related-urls&gt;&lt;url&gt;https://doi.org/10.1063/5.0058704&lt;/url&gt;&lt;/related-urls&gt;&lt;/urls&gt;&lt;custom1&gt;031306&lt;/custom1&gt;&lt;electronic-resource-num&gt;10.1063/5.0058704&lt;/electronic-resource-num&gt;&lt;access-date&gt;11/8/2023&lt;/access-date&gt;&lt;/record&gt;&lt;/Cite&gt;&lt;/EndNote&gt;</w:instrText>
      </w:r>
      <w:r w:rsidR="00204A43" w:rsidRPr="008A6D06">
        <w:rPr>
          <w:sz w:val="20"/>
          <w:szCs w:val="20"/>
          <w:lang w:val="en-GB"/>
        </w:rPr>
        <w:fldChar w:fldCharType="separate"/>
      </w:r>
      <w:r w:rsidR="00FC5BEB" w:rsidRPr="00FC5BEB">
        <w:rPr>
          <w:noProof/>
          <w:sz w:val="20"/>
          <w:szCs w:val="20"/>
          <w:vertAlign w:val="superscript"/>
          <w:lang w:val="en-GB"/>
        </w:rPr>
        <w:t>92</w:t>
      </w:r>
      <w:r w:rsidR="00204A43" w:rsidRPr="008A6D06">
        <w:rPr>
          <w:sz w:val="20"/>
          <w:szCs w:val="20"/>
          <w:lang w:val="en-GB"/>
        </w:rPr>
        <w:fldChar w:fldCharType="end"/>
      </w:r>
      <w:r w:rsidR="00B41E9B" w:rsidRPr="008A6D06">
        <w:rPr>
          <w:sz w:val="20"/>
          <w:szCs w:val="20"/>
          <w:lang w:val="en-GB"/>
        </w:rPr>
        <w:t>.</w:t>
      </w:r>
      <w:r w:rsidR="0058757C">
        <w:rPr>
          <w:sz w:val="20"/>
          <w:szCs w:val="20"/>
          <w:lang w:val="en-GB"/>
        </w:rPr>
        <w:t xml:space="preserve"> </w:t>
      </w:r>
      <w:r w:rsidR="0058757C" w:rsidRPr="0058757C">
        <w:rPr>
          <w:sz w:val="20"/>
          <w:szCs w:val="20"/>
        </w:rPr>
        <w:t>Copyright 2021 AIP Publishing.</w:t>
      </w:r>
    </w:p>
    <w:p w14:paraId="78A0D61C" w14:textId="77777777" w:rsidR="000A5154" w:rsidRDefault="000A5154" w:rsidP="00204D0E"/>
    <w:p w14:paraId="4D42F41F" w14:textId="36E316BA" w:rsidR="00204D0E" w:rsidRDefault="00204D0E" w:rsidP="00204D0E">
      <w:pPr>
        <w:rPr>
          <w:rFonts w:eastAsiaTheme="minorHAnsi"/>
          <w:lang w:val="en-GB"/>
        </w:rPr>
      </w:pPr>
      <w:r>
        <w:t xml:space="preserve">For our discussion, we reproduce only the </w:t>
      </w:r>
      <w:r w:rsidR="008923BD">
        <w:t xml:space="preserve">first </w:t>
      </w:r>
      <w:r>
        <w:t>case, in which</w:t>
      </w:r>
      <w:r w:rsidRPr="00AA7525">
        <w:rPr>
          <w:rFonts w:eastAsiaTheme="minorHAnsi"/>
        </w:rPr>
        <w:t xml:space="preserve"> </w:t>
      </w:r>
      <w:r w:rsidRPr="00AA7525">
        <w:rPr>
          <w:rFonts w:eastAsiaTheme="minorHAnsi"/>
        </w:rPr>
        <w:fldChar w:fldCharType="begin"/>
      </w:r>
      <w:r w:rsidRPr="00AA7525">
        <w:rPr>
          <w:rFonts w:eastAsiaTheme="minorHAnsi"/>
        </w:rPr>
        <w:instrText xml:space="preserve"> REF _Ref159270254 \h  \* MERGEFORMAT </w:instrText>
      </w:r>
      <w:r w:rsidRPr="00AA7525">
        <w:rPr>
          <w:rFonts w:eastAsiaTheme="minorHAnsi"/>
        </w:rPr>
      </w:r>
      <w:r w:rsidRPr="00AA7525">
        <w:rPr>
          <w:rFonts w:eastAsiaTheme="minorHAnsi"/>
        </w:rPr>
        <w:fldChar w:fldCharType="separate"/>
      </w:r>
      <w:r w:rsidR="008C565B" w:rsidRPr="008C565B">
        <w:t xml:space="preserve">Equation </w:t>
      </w:r>
      <w:r w:rsidR="008C565B" w:rsidRPr="008C565B">
        <w:rPr>
          <w:noProof/>
        </w:rPr>
        <w:t>17</w:t>
      </w:r>
      <w:r w:rsidRPr="00AA7525">
        <w:rPr>
          <w:rFonts w:eastAsiaTheme="minorHAnsi"/>
        </w:rPr>
        <w:fldChar w:fldCharType="end"/>
      </w:r>
      <w:r>
        <w:rPr>
          <w:rFonts w:eastAsiaTheme="minorHAnsi"/>
        </w:rPr>
        <w:t xml:space="preserve"> is </w:t>
      </w:r>
      <w:r w:rsidR="008A6D5D">
        <w:rPr>
          <w:rFonts w:eastAsiaTheme="minorHAnsi"/>
        </w:rPr>
        <w:t>the RDS</w:t>
      </w:r>
      <w:r w:rsidR="00DC7D29">
        <w:rPr>
          <w:rFonts w:eastAsiaTheme="minorHAnsi"/>
        </w:rPr>
        <w:t xml:space="preserve">, but the overall conclusions were the same for </w:t>
      </w:r>
      <w:r w:rsidR="00DC7D29" w:rsidRPr="00705F6E">
        <w:rPr>
          <w:rFonts w:eastAsiaTheme="minorHAnsi"/>
          <w:szCs w:val="22"/>
        </w:rPr>
        <w:fldChar w:fldCharType="begin"/>
      </w:r>
      <w:r w:rsidR="00DC7D29" w:rsidRPr="00705F6E">
        <w:rPr>
          <w:rFonts w:eastAsiaTheme="minorHAnsi"/>
          <w:szCs w:val="22"/>
        </w:rPr>
        <w:instrText xml:space="preserve"> REF _Ref159270283 \h </w:instrText>
      </w:r>
      <w:r w:rsidR="00705F6E">
        <w:rPr>
          <w:rFonts w:eastAsiaTheme="minorHAnsi"/>
          <w:szCs w:val="22"/>
        </w:rPr>
        <w:instrText xml:space="preserve"> \* MERGEFORMAT </w:instrText>
      </w:r>
      <w:r w:rsidR="00DC7D29" w:rsidRPr="00705F6E">
        <w:rPr>
          <w:rFonts w:eastAsiaTheme="minorHAnsi"/>
          <w:szCs w:val="22"/>
        </w:rPr>
      </w:r>
      <w:r w:rsidR="00DC7D29" w:rsidRPr="00705F6E">
        <w:rPr>
          <w:rFonts w:eastAsiaTheme="minorHAnsi"/>
          <w:szCs w:val="22"/>
        </w:rPr>
        <w:fldChar w:fldCharType="separate"/>
      </w:r>
      <w:r w:rsidR="008C565B" w:rsidRPr="008C565B">
        <w:rPr>
          <w:szCs w:val="22"/>
        </w:rPr>
        <w:t xml:space="preserve">Equation </w:t>
      </w:r>
      <w:r w:rsidR="008C565B" w:rsidRPr="008C565B">
        <w:rPr>
          <w:noProof/>
          <w:szCs w:val="22"/>
        </w:rPr>
        <w:t>18</w:t>
      </w:r>
      <w:r w:rsidR="00DC7D29" w:rsidRPr="00705F6E">
        <w:rPr>
          <w:rFonts w:eastAsiaTheme="minorHAnsi"/>
          <w:szCs w:val="22"/>
        </w:rPr>
        <w:fldChar w:fldCharType="end"/>
      </w:r>
      <w:r w:rsidR="00DC7D29">
        <w:rPr>
          <w:rFonts w:eastAsiaTheme="minorHAnsi"/>
        </w:rPr>
        <w:t>, as well</w:t>
      </w:r>
      <w:r>
        <w:rPr>
          <w:rFonts w:eastAsiaTheme="minorHAnsi"/>
        </w:rPr>
        <w:t>.</w:t>
      </w:r>
      <w:r w:rsidRPr="0053642B">
        <w:rPr>
          <w:rFonts w:eastAsiaTheme="minorHAnsi"/>
          <w:lang w:val="en-GB"/>
        </w:rPr>
        <w:t xml:space="preserve"> </w:t>
      </w:r>
      <w:r>
        <w:rPr>
          <w:rFonts w:eastAsiaTheme="minorHAnsi"/>
          <w:lang w:val="en-GB"/>
        </w:rPr>
        <w:t>V</w:t>
      </w:r>
      <w:r w:rsidRPr="0053642B">
        <w:rPr>
          <w:rFonts w:eastAsiaTheme="minorHAnsi"/>
          <w:lang w:val="en-GB"/>
        </w:rPr>
        <w:t>oltage-dependent changes in electrocatalytic performance, transition metal oxidation state changes, and performance descriptors are</w:t>
      </w:r>
      <w:r>
        <w:rPr>
          <w:rFonts w:eastAsiaTheme="minorHAnsi"/>
          <w:lang w:val="en-GB"/>
        </w:rPr>
        <w:t xml:space="preserve"> shown in </w:t>
      </w:r>
      <w:r w:rsidRPr="00C05449">
        <w:rPr>
          <w:rFonts w:eastAsiaTheme="minorHAnsi"/>
          <w:b/>
          <w:bCs/>
          <w:szCs w:val="22"/>
          <w:lang w:val="en-GB"/>
        </w:rPr>
        <w:fldChar w:fldCharType="begin"/>
      </w:r>
      <w:r w:rsidRPr="00C05449">
        <w:rPr>
          <w:rFonts w:eastAsiaTheme="minorHAnsi"/>
          <w:b/>
          <w:bCs/>
          <w:szCs w:val="22"/>
          <w:lang w:val="en-GB"/>
        </w:rPr>
        <w:instrText xml:space="preserve"> REF _Ref159271011 \h  \* MERGEFORMAT </w:instrText>
      </w:r>
      <w:r w:rsidRPr="00C05449">
        <w:rPr>
          <w:rFonts w:eastAsiaTheme="minorHAnsi"/>
          <w:b/>
          <w:bCs/>
          <w:szCs w:val="22"/>
          <w:lang w:val="en-GB"/>
        </w:rPr>
      </w:r>
      <w:r w:rsidRPr="00C05449">
        <w:rPr>
          <w:rFonts w:eastAsiaTheme="minorHAnsi"/>
          <w:b/>
          <w:bCs/>
          <w:szCs w:val="22"/>
          <w:lang w:val="en-GB"/>
        </w:rPr>
        <w:fldChar w:fldCharType="separate"/>
      </w:r>
      <w:r w:rsidR="008C565B" w:rsidRPr="008C565B">
        <w:rPr>
          <w:b/>
          <w:bCs/>
          <w:szCs w:val="22"/>
        </w:rPr>
        <w:t xml:space="preserve">Figure </w:t>
      </w:r>
      <w:r w:rsidR="008C565B" w:rsidRPr="008C565B">
        <w:rPr>
          <w:b/>
          <w:bCs/>
          <w:noProof/>
          <w:szCs w:val="22"/>
        </w:rPr>
        <w:t>4</w:t>
      </w:r>
      <w:r w:rsidRPr="00C05449">
        <w:rPr>
          <w:rFonts w:eastAsiaTheme="minorHAnsi"/>
          <w:b/>
          <w:bCs/>
          <w:szCs w:val="22"/>
          <w:lang w:val="en-GB"/>
        </w:rPr>
        <w:fldChar w:fldCharType="end"/>
      </w:r>
      <w:r>
        <w:rPr>
          <w:rFonts w:eastAsiaTheme="minorHAnsi"/>
          <w:lang w:val="en-GB"/>
        </w:rPr>
        <w:t xml:space="preserve">. As expected, only intermediates preceding the </w:t>
      </w:r>
      <w:r w:rsidR="008A6D5D">
        <w:rPr>
          <w:rFonts w:eastAsiaTheme="minorHAnsi"/>
          <w:lang w:val="en-GB"/>
        </w:rPr>
        <w:t xml:space="preserve">RDS </w:t>
      </w:r>
      <w:r>
        <w:rPr>
          <w:rFonts w:eastAsiaTheme="minorHAnsi"/>
          <w:lang w:val="en-GB"/>
        </w:rPr>
        <w:t>are found</w:t>
      </w:r>
      <w:r w:rsidR="008A6D5D">
        <w:rPr>
          <w:rFonts w:eastAsiaTheme="minorHAnsi"/>
          <w:lang w:val="en-GB"/>
        </w:rPr>
        <w:t>,</w:t>
      </w:r>
      <w:r>
        <w:rPr>
          <w:rFonts w:eastAsiaTheme="minorHAnsi"/>
          <w:lang w:val="en-GB"/>
        </w:rPr>
        <w:t xml:space="preserve"> and in line with the </w:t>
      </w:r>
      <w:r w:rsidRPr="0053642B">
        <w:rPr>
          <w:rFonts w:eastAsiaTheme="minorHAnsi"/>
          <w:lang w:val="en-GB"/>
        </w:rPr>
        <w:t xml:space="preserve">predictions of </w:t>
      </w:r>
      <w:r w:rsidRPr="0053642B">
        <w:t>Shinagawa</w:t>
      </w:r>
      <w:r>
        <w:t xml:space="preserve"> et al.</w:t>
      </w:r>
      <w:r>
        <w:fldChar w:fldCharType="begin"/>
      </w:r>
      <w:r w:rsidR="00FC5BEB">
        <w:instrText xml:space="preserve"> ADDIN EN.CITE &lt;EndNote&gt;&lt;Cite&gt;&lt;Author&gt;Shinagawa&lt;/Author&gt;&lt;Year&gt;2015&lt;/Year&gt;&lt;RecNum&gt;89&lt;/RecNum&gt;&lt;DisplayText&gt;&lt;style face="superscript"&gt;91&lt;/style&gt;&lt;/DisplayText&gt;&lt;record&gt;&lt;rec-number&gt;89&lt;/rec-number&gt;&lt;foreign-keys&gt;&lt;key app="EN" db-id="2xex0erf4eexr4e2dpbxpdd829xttesxxxdr" timestamp="1715075296"&gt;89&lt;/key&gt;&lt;/foreign-keys&gt;&lt;ref-type name="Journal Article"&gt;17&lt;/ref-type&gt;&lt;contributors&gt;&lt;authors&gt;&lt;author&gt;Shinagawa, T.&lt;/author&gt;&lt;author&gt;Garcia-Esparza, A. T.&lt;/author&gt;&lt;author&gt;Takanabe, K.&lt;/author&gt;&lt;/authors&gt;&lt;/contributors&gt;&lt;auth-address&gt;Division of Physical Sciences and Engineering, KAUST Catalysis Center (KCC), King Abdullah University of Science and Technology (KAUST), 4700 KAUST, Thuwal, 23955-6900, Saudi Arabia.&lt;/auth-address&gt;&lt;titles&gt;&lt;title&gt;Insight on Tafel slopes from a microkinetic analysis of aqueous electrocatalysis for energy conversion&lt;/title&gt;&lt;secondary-title&gt;Sci Rep&lt;/secondary-title&gt;&lt;/titles&gt;&lt;pages&gt;13801&lt;/pages&gt;&lt;volume&gt;5&lt;/volume&gt;&lt;edition&gt;20150908&lt;/edition&gt;&lt;dates&gt;&lt;year&gt;2015&lt;/year&gt;&lt;pub-dates&gt;&lt;date&gt;Sep 8&lt;/date&gt;&lt;/pub-dates&gt;&lt;/dates&gt;&lt;isbn&gt;2045-2322 (Electronic)&amp;#xD;2045-2322 (Linking)&lt;/isbn&gt;&lt;accession-num&gt;26348156&lt;/accession-num&gt;&lt;urls&gt;&lt;related-urls&gt;&lt;url&gt;https://www.ncbi.nlm.nih.gov/pubmed/26348156&lt;/url&gt;&lt;/related-urls&gt;&lt;/urls&gt;&lt;custom2&gt;PMC4642571&lt;/custom2&gt;&lt;electronic-resource-num&gt;10.1038/srep13801&lt;/electronic-resource-num&gt;&lt;remote-database-name&gt;PubMed-not-MEDLINE&lt;/remote-database-name&gt;&lt;remote-database-provider&gt;NLM&lt;/remote-database-provider&gt;&lt;/record&gt;&lt;/Cite&gt;&lt;/EndNote&gt;</w:instrText>
      </w:r>
      <w:r>
        <w:fldChar w:fldCharType="separate"/>
      </w:r>
      <w:r w:rsidR="00FC5BEB" w:rsidRPr="00FC5BEB">
        <w:rPr>
          <w:noProof/>
          <w:vertAlign w:val="superscript"/>
        </w:rPr>
        <w:t>91</w:t>
      </w:r>
      <w:r>
        <w:fldChar w:fldCharType="end"/>
      </w:r>
      <w:r>
        <w:t>, the Tafel slope is a straight line in the regions where no visible coverage change occurs. T</w:t>
      </w:r>
      <w:r w:rsidR="00DC7D29">
        <w:t xml:space="preserve">hat is, </w:t>
      </w:r>
      <w:r w:rsidR="008A6D5D">
        <w:t xml:space="preserve">the </w:t>
      </w:r>
      <w:r w:rsidR="00DC7D29">
        <w:t>T</w:t>
      </w:r>
      <w:r>
        <w:t>afel slope change is restricted to the potential window in which significant coverage change happens. T</w:t>
      </w:r>
      <w:r w:rsidRPr="00AC6A0B">
        <w:t xml:space="preserve">he influence of the formal reduction potential of the second </w:t>
      </w:r>
      <w:r>
        <w:t xml:space="preserve">(rate limiting) </w:t>
      </w:r>
      <w:r w:rsidRPr="00AC6A0B">
        <w:t>electron</w:t>
      </w:r>
      <w:r>
        <w:rPr>
          <w:rFonts w:eastAsiaTheme="minorHAnsi"/>
          <w:lang w:val="en-GB"/>
        </w:rPr>
        <w:t xml:space="preserve"> transfer step (</w:t>
      </w:r>
      <m:oMath>
        <m:sSubSup>
          <m:sSubSupPr>
            <m:ctrlPr>
              <w:rPr>
                <w:rFonts w:ascii="Cambria Math" w:eastAsiaTheme="minorHAnsi" w:hAnsi="Cambria Math"/>
                <w:i/>
              </w:rPr>
            </m:ctrlPr>
          </m:sSubSupPr>
          <m:e>
            <m:r>
              <w:rPr>
                <w:rFonts w:ascii="Cambria Math" w:eastAsiaTheme="minorHAnsi" w:hAnsi="Cambria Math"/>
              </w:rPr>
              <m:t>E</m:t>
            </m:r>
          </m:e>
          <m:sub>
            <m:r>
              <m:rPr>
                <m:sty m:val="p"/>
              </m:rPr>
              <w:rPr>
                <w:rFonts w:ascii="Cambria Math" w:eastAsiaTheme="minorHAnsi" w:hAnsi="Cambria Math"/>
              </w:rPr>
              <m:t>2</m:t>
            </m:r>
          </m:sub>
          <m:sup>
            <m:r>
              <m:rPr>
                <m:sty m:val="p"/>
              </m:rPr>
              <w:rPr>
                <w:rFonts w:ascii="Cambria Math" w:eastAsiaTheme="minorHAnsi" w:hAnsi="Cambria Math"/>
              </w:rPr>
              <m:t>0</m:t>
            </m:r>
          </m:sup>
        </m:sSubSup>
      </m:oMath>
      <w:r>
        <w:rPr>
          <w:rFonts w:eastAsiaTheme="minorHAnsi"/>
          <w:lang w:val="en-GB"/>
        </w:rPr>
        <w:t xml:space="preserve">) shifts the current density curves when </w:t>
      </w:r>
      <m:oMath>
        <m:sSubSup>
          <m:sSubSupPr>
            <m:ctrlPr>
              <w:rPr>
                <w:rFonts w:ascii="Cambria Math" w:eastAsiaTheme="minorHAnsi" w:hAnsi="Cambria Math"/>
                <w:i/>
              </w:rPr>
            </m:ctrlPr>
          </m:sSubSupPr>
          <m:e>
            <m:r>
              <w:rPr>
                <w:rFonts w:ascii="Cambria Math" w:eastAsiaTheme="minorHAnsi" w:hAnsi="Cambria Math"/>
              </w:rPr>
              <m:t>E</m:t>
            </m:r>
          </m:e>
          <m:sub>
            <m:r>
              <m:rPr>
                <m:sty m:val="p"/>
              </m:rPr>
              <w:rPr>
                <w:rFonts w:ascii="Cambria Math" w:eastAsiaTheme="minorHAnsi" w:hAnsi="Cambria Math"/>
              </w:rPr>
              <m:t>2</m:t>
            </m:r>
          </m:sub>
          <m:sup>
            <m:r>
              <m:rPr>
                <m:sty m:val="p"/>
              </m:rPr>
              <w:rPr>
                <w:rFonts w:ascii="Cambria Math" w:eastAsiaTheme="minorHAnsi" w:hAnsi="Cambria Math"/>
              </w:rPr>
              <m:t>0</m:t>
            </m:r>
          </m:sup>
        </m:sSubSup>
      </m:oMath>
      <w:r>
        <w:rPr>
          <w:rFonts w:eastAsiaTheme="minorHAnsi"/>
          <w:lang w:val="en-GB"/>
        </w:rPr>
        <w:t xml:space="preserve"> shifts cathodically. </w:t>
      </w:r>
      <w:r w:rsidRPr="00AC6A0B">
        <w:rPr>
          <w:rFonts w:eastAsiaTheme="minorHAnsi"/>
          <w:lang w:val="en-GB"/>
        </w:rPr>
        <w:t>T</w:t>
      </w:r>
      <w:r>
        <w:rPr>
          <w:rFonts w:eastAsiaTheme="minorHAnsi"/>
          <w:lang w:val="en-GB"/>
        </w:rPr>
        <w:t>ransformation of the mainly OH covered surface to an oxyhydroxide</w:t>
      </w:r>
      <w:r w:rsidR="00DC7D29">
        <w:rPr>
          <w:rFonts w:eastAsiaTheme="minorHAnsi"/>
          <w:lang w:val="en-GB"/>
        </w:rPr>
        <w:t>,</w:t>
      </w:r>
      <w:r>
        <w:rPr>
          <w:rFonts w:eastAsiaTheme="minorHAnsi"/>
          <w:lang w:val="en-GB"/>
        </w:rPr>
        <w:t xml:space="preserve"> </w:t>
      </w:r>
      <m:oMath>
        <m:sSup>
          <m:sSupPr>
            <m:ctrlPr>
              <w:rPr>
                <w:rFonts w:ascii="Cambria Math" w:hAnsi="Cambria Math"/>
                <w:i/>
              </w:rPr>
            </m:ctrlPr>
          </m:sSupPr>
          <m:e>
            <m:r>
              <w:rPr>
                <w:rFonts w:ascii="Cambria Math" w:hAnsi="Cambria Math"/>
              </w:rPr>
              <m:t>M</m:t>
            </m:r>
          </m:e>
          <m:sup>
            <m:r>
              <w:rPr>
                <w:rFonts w:ascii="Cambria Math" w:hAnsi="Cambria Math"/>
              </w:rPr>
              <m:t>III</m:t>
            </m:r>
          </m:sup>
        </m:sSup>
        <m:r>
          <w:rPr>
            <w:rFonts w:ascii="Cambria Math" w:hAnsi="Cambria Math"/>
          </w:rPr>
          <m:t>O</m:t>
        </m:r>
        <m:d>
          <m:dPr>
            <m:ctrlPr>
              <w:rPr>
                <w:rFonts w:ascii="Cambria Math" w:hAnsi="Cambria Math"/>
                <w:i/>
              </w:rPr>
            </m:ctrlPr>
          </m:dPr>
          <m:e>
            <m:r>
              <w:rPr>
                <w:rFonts w:ascii="Cambria Math" w:hAnsi="Cambria Math"/>
              </w:rPr>
              <m:t>OH</m:t>
            </m:r>
          </m:e>
        </m:d>
      </m:oMath>
      <w:r w:rsidR="00DC7D29">
        <w:rPr>
          <w:rFonts w:eastAsiaTheme="minorHAnsi"/>
          <w:lang w:val="en-GB"/>
        </w:rPr>
        <w:t>,</w:t>
      </w:r>
      <w:r>
        <w:rPr>
          <w:rFonts w:eastAsiaTheme="minorHAnsi"/>
          <w:lang w:val="en-GB"/>
        </w:rPr>
        <w:t xml:space="preserve"> </w:t>
      </w:r>
      <w:r w:rsidRPr="00AC6A0B">
        <w:rPr>
          <w:rFonts w:eastAsiaTheme="minorHAnsi"/>
          <w:lang w:val="en-GB"/>
        </w:rPr>
        <w:t>will</w:t>
      </w:r>
      <w:r>
        <w:rPr>
          <w:rFonts w:eastAsiaTheme="minorHAnsi"/>
          <w:lang w:val="en-GB"/>
        </w:rPr>
        <w:t xml:space="preserve"> </w:t>
      </w:r>
      <w:r w:rsidRPr="00AC6A0B">
        <w:rPr>
          <w:rFonts w:eastAsiaTheme="minorHAnsi"/>
          <w:lang w:val="en-GB"/>
        </w:rPr>
        <w:t>alter</w:t>
      </w:r>
      <w:r>
        <w:rPr>
          <w:rFonts w:eastAsiaTheme="minorHAnsi"/>
          <w:lang w:val="en-GB"/>
        </w:rPr>
        <w:t xml:space="preserve"> </w:t>
      </w:r>
      <w:r w:rsidRPr="00AC6A0B">
        <w:rPr>
          <w:rFonts w:eastAsiaTheme="minorHAnsi"/>
          <w:lang w:val="en-GB"/>
        </w:rPr>
        <w:t>oxidation</w:t>
      </w:r>
      <w:r>
        <w:rPr>
          <w:rFonts w:eastAsiaTheme="minorHAnsi"/>
          <w:lang w:val="en-GB"/>
        </w:rPr>
        <w:t xml:space="preserve"> </w:t>
      </w:r>
      <w:r w:rsidRPr="00AC6A0B">
        <w:rPr>
          <w:rFonts w:eastAsiaTheme="minorHAnsi"/>
          <w:lang w:val="en-GB"/>
        </w:rPr>
        <w:t>states</w:t>
      </w:r>
      <w:r>
        <w:rPr>
          <w:rFonts w:eastAsiaTheme="minorHAnsi"/>
          <w:lang w:val="en-GB"/>
        </w:rPr>
        <w:t xml:space="preserve"> </w:t>
      </w:r>
      <w:r w:rsidRPr="00AC6A0B">
        <w:rPr>
          <w:rFonts w:eastAsiaTheme="minorHAnsi"/>
          <w:lang w:val="en-GB"/>
        </w:rPr>
        <w:t>in</w:t>
      </w:r>
      <w:r>
        <w:rPr>
          <w:rFonts w:eastAsiaTheme="minorHAnsi"/>
          <w:lang w:val="en-GB"/>
        </w:rPr>
        <w:t xml:space="preserve"> </w:t>
      </w:r>
      <w:r w:rsidRPr="00AC6A0B">
        <w:rPr>
          <w:rFonts w:eastAsiaTheme="minorHAnsi"/>
          <w:lang w:val="en-GB"/>
        </w:rPr>
        <w:t>the</w:t>
      </w:r>
      <w:r>
        <w:rPr>
          <w:rFonts w:eastAsiaTheme="minorHAnsi"/>
          <w:lang w:val="en-GB"/>
        </w:rPr>
        <w:t xml:space="preserve"> </w:t>
      </w:r>
      <w:r w:rsidRPr="00AC6A0B">
        <w:rPr>
          <w:rFonts w:eastAsiaTheme="minorHAnsi"/>
          <w:lang w:val="en-GB"/>
        </w:rPr>
        <w:t>sample, enabling the data to be recast as log(</w:t>
      </w:r>
      <w:r w:rsidRPr="003A5762">
        <w:rPr>
          <w:rFonts w:eastAsiaTheme="minorHAnsi"/>
          <w:i/>
          <w:iCs/>
          <w:lang w:val="en-GB"/>
        </w:rPr>
        <w:t>j</w:t>
      </w:r>
      <w:r w:rsidRPr="00AC6A0B">
        <w:rPr>
          <w:rFonts w:eastAsiaTheme="minorHAnsi"/>
          <w:lang w:val="en-GB"/>
        </w:rPr>
        <w:t>) vs metal oxidation state</w:t>
      </w:r>
      <w:r w:rsidR="00DC7D29">
        <w:rPr>
          <w:rFonts w:eastAsiaTheme="minorHAnsi"/>
          <w:lang w:val="en-GB"/>
        </w:rPr>
        <w:t xml:space="preserve"> plot</w:t>
      </w:r>
      <w:r>
        <w:rPr>
          <w:rFonts w:eastAsiaTheme="minorHAnsi"/>
          <w:lang w:val="en-GB"/>
        </w:rPr>
        <w:t xml:space="preserve">, </w:t>
      </w:r>
      <w:r w:rsidRPr="00C05449">
        <w:rPr>
          <w:rFonts w:eastAsiaTheme="minorHAnsi"/>
          <w:b/>
          <w:bCs/>
          <w:lang w:val="en-GB"/>
        </w:rPr>
        <w:fldChar w:fldCharType="begin"/>
      </w:r>
      <w:r w:rsidRPr="00C05449">
        <w:rPr>
          <w:rFonts w:eastAsiaTheme="minorHAnsi"/>
          <w:b/>
          <w:bCs/>
          <w:lang w:val="en-GB"/>
        </w:rPr>
        <w:instrText xml:space="preserve"> REF _Ref159271011 \h  \* MERGEFORMAT </w:instrText>
      </w:r>
      <w:r w:rsidRPr="00C05449">
        <w:rPr>
          <w:rFonts w:eastAsiaTheme="minorHAnsi"/>
          <w:b/>
          <w:bCs/>
          <w:lang w:val="en-GB"/>
        </w:rPr>
      </w:r>
      <w:r w:rsidRPr="00C05449">
        <w:rPr>
          <w:rFonts w:eastAsiaTheme="minorHAnsi"/>
          <w:b/>
          <w:bCs/>
          <w:lang w:val="en-GB"/>
        </w:rPr>
        <w:fldChar w:fldCharType="separate"/>
      </w:r>
      <w:r w:rsidR="008C565B" w:rsidRPr="00BC70A0">
        <w:rPr>
          <w:b/>
          <w:bCs/>
        </w:rPr>
        <w:t xml:space="preserve">Figure </w:t>
      </w:r>
      <w:r w:rsidR="008C565B">
        <w:rPr>
          <w:b/>
          <w:bCs/>
          <w:noProof/>
        </w:rPr>
        <w:t>4</w:t>
      </w:r>
      <w:r w:rsidRPr="00C05449">
        <w:rPr>
          <w:rFonts w:eastAsiaTheme="minorHAnsi"/>
          <w:b/>
          <w:bCs/>
          <w:lang w:val="en-GB"/>
        </w:rPr>
        <w:fldChar w:fldCharType="end"/>
      </w:r>
      <w:r w:rsidRPr="00967BAD">
        <w:rPr>
          <w:rFonts w:eastAsiaTheme="minorHAnsi"/>
          <w:b/>
          <w:bCs/>
          <w:lang w:val="en-GB"/>
        </w:rPr>
        <w:t>b</w:t>
      </w:r>
      <w:r>
        <w:rPr>
          <w:rFonts w:eastAsiaTheme="minorHAnsi"/>
          <w:lang w:val="en-GB"/>
        </w:rPr>
        <w:t>. The result suggests that, as</w:t>
      </w:r>
      <w:r w:rsidR="008A6D5D">
        <w:rPr>
          <w:rFonts w:eastAsiaTheme="minorHAnsi"/>
          <w:lang w:val="en-GB"/>
        </w:rPr>
        <w:t xml:space="preserve"> with</w:t>
      </w:r>
      <w:r>
        <w:rPr>
          <w:rFonts w:eastAsiaTheme="minorHAnsi"/>
          <w:lang w:val="en-GB"/>
        </w:rPr>
        <w:t xml:space="preserve"> the coverage, oxidation state change will only be observed in the transition period, where the Tafel slope changes, </w:t>
      </w:r>
      <w:r w:rsidRPr="00C05449">
        <w:rPr>
          <w:rFonts w:eastAsiaTheme="minorHAnsi"/>
          <w:b/>
          <w:bCs/>
          <w:lang w:val="en-GB"/>
        </w:rPr>
        <w:fldChar w:fldCharType="begin"/>
      </w:r>
      <w:r w:rsidRPr="00C05449">
        <w:rPr>
          <w:rFonts w:eastAsiaTheme="minorHAnsi"/>
          <w:b/>
          <w:bCs/>
          <w:lang w:val="en-GB"/>
        </w:rPr>
        <w:instrText xml:space="preserve"> REF _Ref159271011 \h  \* MERGEFORMAT </w:instrText>
      </w:r>
      <w:r w:rsidRPr="00C05449">
        <w:rPr>
          <w:rFonts w:eastAsiaTheme="minorHAnsi"/>
          <w:b/>
          <w:bCs/>
          <w:lang w:val="en-GB"/>
        </w:rPr>
      </w:r>
      <w:r w:rsidRPr="00C05449">
        <w:rPr>
          <w:rFonts w:eastAsiaTheme="minorHAnsi"/>
          <w:b/>
          <w:bCs/>
          <w:lang w:val="en-GB"/>
        </w:rPr>
        <w:fldChar w:fldCharType="separate"/>
      </w:r>
      <w:r w:rsidR="008C565B" w:rsidRPr="00BC70A0">
        <w:rPr>
          <w:b/>
          <w:bCs/>
        </w:rPr>
        <w:t xml:space="preserve">Figure </w:t>
      </w:r>
      <w:r w:rsidR="008C565B">
        <w:rPr>
          <w:b/>
          <w:bCs/>
          <w:noProof/>
        </w:rPr>
        <w:t>4</w:t>
      </w:r>
      <w:r w:rsidRPr="00C05449">
        <w:rPr>
          <w:rFonts w:eastAsiaTheme="minorHAnsi"/>
          <w:b/>
          <w:bCs/>
          <w:lang w:val="en-GB"/>
        </w:rPr>
        <w:fldChar w:fldCharType="end"/>
      </w:r>
      <w:r w:rsidRPr="00967BAD">
        <w:rPr>
          <w:rFonts w:eastAsiaTheme="minorHAnsi"/>
          <w:b/>
          <w:bCs/>
          <w:lang w:val="en-GB"/>
        </w:rPr>
        <w:t>c</w:t>
      </w:r>
      <w:r>
        <w:rPr>
          <w:rFonts w:eastAsiaTheme="minorHAnsi"/>
          <w:lang w:val="en-GB"/>
        </w:rPr>
        <w:t xml:space="preserve">. As we have seen before, </w:t>
      </w:r>
      <w:r>
        <w:rPr>
          <w:rFonts w:eastAsiaTheme="minorHAnsi"/>
          <w:lang w:val="en-GB"/>
        </w:rPr>
        <w:lastRenderedPageBreak/>
        <w:t xml:space="preserve">when the second electron transfer step is </w:t>
      </w:r>
      <w:r w:rsidR="008A6D5D">
        <w:rPr>
          <w:rFonts w:eastAsiaTheme="minorHAnsi"/>
          <w:lang w:val="en-GB"/>
        </w:rPr>
        <w:t>the RDS</w:t>
      </w:r>
      <w:r>
        <w:rPr>
          <w:rFonts w:eastAsiaTheme="minorHAnsi"/>
          <w:lang w:val="en-GB"/>
        </w:rPr>
        <w:t xml:space="preserve">, as with </w:t>
      </w:r>
      <w:r>
        <w:rPr>
          <w:rFonts w:eastAsiaTheme="minorHAnsi"/>
          <w:lang w:val="en-GB"/>
        </w:rPr>
        <w:fldChar w:fldCharType="begin"/>
      </w:r>
      <w:r>
        <w:rPr>
          <w:rFonts w:eastAsiaTheme="minorHAnsi"/>
          <w:lang w:val="en-GB"/>
        </w:rPr>
        <w:instrText xml:space="preserve"> REF _Ref159270254 \h  \* MERGEFORMAT </w:instrText>
      </w:r>
      <w:r>
        <w:rPr>
          <w:rFonts w:eastAsiaTheme="minorHAnsi"/>
          <w:lang w:val="en-GB"/>
        </w:rPr>
      </w:r>
      <w:r>
        <w:rPr>
          <w:rFonts w:eastAsiaTheme="minorHAnsi"/>
          <w:lang w:val="en-GB"/>
        </w:rPr>
        <w:fldChar w:fldCharType="separate"/>
      </w:r>
      <w:r w:rsidR="008C565B" w:rsidRPr="008C565B">
        <w:t xml:space="preserve">Equation </w:t>
      </w:r>
      <w:r w:rsidR="008C565B" w:rsidRPr="008C565B">
        <w:rPr>
          <w:noProof/>
        </w:rPr>
        <w:t>17</w:t>
      </w:r>
      <w:r>
        <w:rPr>
          <w:rFonts w:eastAsiaTheme="minorHAnsi"/>
          <w:lang w:val="en-GB"/>
        </w:rPr>
        <w:fldChar w:fldCharType="end"/>
      </w:r>
      <w:r>
        <w:rPr>
          <w:rFonts w:eastAsiaTheme="minorHAnsi"/>
          <w:lang w:val="en-GB"/>
        </w:rPr>
        <w:t xml:space="preserve">, the Tafel slope is 39.5 mV/dec. This, however, only applies in the potential window until the coverage of the reacting species of the </w:t>
      </w:r>
      <w:r w:rsidR="008A6D5D">
        <w:rPr>
          <w:rFonts w:eastAsiaTheme="minorHAnsi"/>
          <w:lang w:val="en-GB"/>
        </w:rPr>
        <w:t xml:space="preserve">RDS </w:t>
      </w:r>
      <w:r>
        <w:rPr>
          <w:rFonts w:eastAsiaTheme="minorHAnsi"/>
          <w:lang w:val="en-GB"/>
        </w:rPr>
        <w:t xml:space="preserve">is </w:t>
      </w:r>
      <w:r w:rsidR="00DC7D29">
        <w:rPr>
          <w:rFonts w:eastAsiaTheme="minorHAnsi"/>
          <w:lang w:val="en-GB"/>
        </w:rPr>
        <w:t>negligible</w:t>
      </w:r>
      <w:r>
        <w:rPr>
          <w:rFonts w:eastAsiaTheme="minorHAnsi"/>
          <w:lang w:val="en-GB"/>
        </w:rPr>
        <w:t xml:space="preserve">. Once deprotonation of OH in the first step is complete, the Tafel slope is 118.4 mV/dec. As pointed out by </w:t>
      </w:r>
      <w:proofErr w:type="spellStart"/>
      <w:r>
        <w:rPr>
          <w:rFonts w:eastAsiaTheme="minorHAnsi"/>
          <w:lang w:val="en-GB"/>
        </w:rPr>
        <w:t>Alsac</w:t>
      </w:r>
      <w:proofErr w:type="spellEnd"/>
      <w:r>
        <w:rPr>
          <w:rFonts w:eastAsiaTheme="minorHAnsi"/>
          <w:lang w:val="en-GB"/>
        </w:rPr>
        <w:t xml:space="preserve"> et al., once the first step</w:t>
      </w:r>
      <w:r w:rsidRPr="0050795F">
        <w:rPr>
          <w:rFonts w:eastAsiaTheme="minorHAnsi"/>
          <w:lang w:val="en-GB"/>
        </w:rPr>
        <w:t xml:space="preserve"> has been completed, the catalytic cycle is best viewed as starting from a new point in the overall cycle</w:t>
      </w:r>
      <w:r>
        <w:rPr>
          <w:rFonts w:eastAsiaTheme="minorHAnsi"/>
          <w:lang w:val="en-GB"/>
        </w:rPr>
        <w:t xml:space="preserve">, in which </w:t>
      </w:r>
      <w:r>
        <w:rPr>
          <w:rFonts w:eastAsiaTheme="minorHAnsi"/>
          <w:lang w:val="en-GB"/>
        </w:rPr>
        <w:fldChar w:fldCharType="begin"/>
      </w:r>
      <w:r>
        <w:rPr>
          <w:rFonts w:eastAsiaTheme="minorHAnsi"/>
          <w:lang w:val="en-GB"/>
        </w:rPr>
        <w:instrText xml:space="preserve"> REF _Ref159270254 \h  \* MERGEFORMAT </w:instrText>
      </w:r>
      <w:r>
        <w:rPr>
          <w:rFonts w:eastAsiaTheme="minorHAnsi"/>
          <w:lang w:val="en-GB"/>
        </w:rPr>
      </w:r>
      <w:r>
        <w:rPr>
          <w:rFonts w:eastAsiaTheme="minorHAnsi"/>
          <w:lang w:val="en-GB"/>
        </w:rPr>
        <w:fldChar w:fldCharType="separate"/>
      </w:r>
      <w:r w:rsidR="008C565B" w:rsidRPr="008C565B">
        <w:t xml:space="preserve">Equation </w:t>
      </w:r>
      <w:r w:rsidR="008C565B" w:rsidRPr="008C565B">
        <w:rPr>
          <w:noProof/>
        </w:rPr>
        <w:t>17</w:t>
      </w:r>
      <w:r>
        <w:rPr>
          <w:rFonts w:eastAsiaTheme="minorHAnsi"/>
          <w:lang w:val="en-GB"/>
        </w:rPr>
        <w:fldChar w:fldCharType="end"/>
      </w:r>
      <w:r>
        <w:rPr>
          <w:rFonts w:eastAsiaTheme="minorHAnsi"/>
          <w:lang w:val="en-GB"/>
        </w:rPr>
        <w:t xml:space="preserve"> </w:t>
      </w:r>
      <w:r w:rsidRPr="0050795F">
        <w:rPr>
          <w:rFonts w:eastAsiaTheme="minorHAnsi"/>
          <w:lang w:val="en-GB"/>
        </w:rPr>
        <w:t>becomes the first step</w:t>
      </w:r>
      <w:r>
        <w:rPr>
          <w:rFonts w:eastAsiaTheme="minorHAnsi"/>
          <w:lang w:val="en-GB"/>
        </w:rPr>
        <w:t>, and hence the 118.4 mV/dec Tafel slope. This exercise was based on a hypothetical mechanism, but there are frequently cases in the experimental literature when a close to 40 mV/dec Tafel slope is found, which at higher potentials start</w:t>
      </w:r>
      <w:r w:rsidR="008A6D5D">
        <w:rPr>
          <w:rFonts w:eastAsiaTheme="minorHAnsi"/>
          <w:lang w:val="en-GB"/>
        </w:rPr>
        <w:t>s</w:t>
      </w:r>
      <w:r>
        <w:rPr>
          <w:rFonts w:eastAsiaTheme="minorHAnsi"/>
          <w:lang w:val="en-GB"/>
        </w:rPr>
        <w:t xml:space="preserve"> to bend. Such a situation can be found in Nong et al.</w:t>
      </w:r>
      <w:r>
        <w:rPr>
          <w:rFonts w:eastAsiaTheme="minorHAnsi"/>
          <w:lang w:val="en-GB"/>
        </w:rPr>
        <w:fldChar w:fldCharType="begin"/>
      </w:r>
      <w:r w:rsidR="009F6662">
        <w:rPr>
          <w:rFonts w:eastAsiaTheme="minorHAnsi"/>
          <w:lang w:val="en-GB"/>
        </w:rPr>
        <w:instrText xml:space="preserve"> ADDIN EN.CITE &lt;EndNote&gt;&lt;Cite&gt;&lt;Author&gt;Nong&lt;/Author&gt;&lt;Year&gt;2020&lt;/Year&gt;&lt;RecNum&gt;63&lt;/RecNum&gt;&lt;DisplayText&gt;&lt;style face="superscript"&gt;63&lt;/style&gt;&lt;/DisplayText&gt;&lt;record&gt;&lt;rec-number&gt;63&lt;/rec-number&gt;&lt;foreign-keys&gt;&lt;key app="EN" db-id="2xex0erf4eexr4e2dpbxpdd829xttesxxxdr" timestamp="1715075296"&gt;63&lt;/key&gt;&lt;/foreign-keys&gt;&lt;ref-type name="Journal Article"&gt;17&lt;/ref-type&gt;&lt;contributors&gt;&lt;authors&gt;&lt;author&gt;Nong, Hong Nhan&lt;/author&gt;&lt;author&gt;Falling, Lorenz J.&lt;/author&gt;&lt;author&gt;Bergmann, Arno&lt;/author&gt;&lt;author&gt;Klingenhof, Malte&lt;/author&gt;&lt;author&gt;Tran, Hoang Phi&lt;/author&gt;&lt;author&gt;Spöri, Camillo&lt;/author&gt;&lt;author&gt;Mom, Rik&lt;/author&gt;&lt;author&gt;Timoshenko, Janis&lt;/author&gt;&lt;author&gt;Zichittella, Guido&lt;/author&gt;&lt;author&gt;Knop-Gericke, Axel&lt;/author&gt;&lt;author&gt;Piccinin, Simone&lt;/author&gt;&lt;author&gt;Pérez-Ramírez, Javier&lt;/author&gt;&lt;author&gt;Cuenya, Beatriz Roldan&lt;/author&gt;&lt;author&gt;Schlögl, Robert&lt;/author&gt;&lt;author&gt;Strasser, Peter&lt;/author&gt;&lt;author&gt;Teschner, Detre&lt;/author&gt;&lt;author&gt;Jones, Travis E.&lt;/author&gt;&lt;/authors&gt;&lt;/contributors&gt;&lt;titles&gt;&lt;title&gt;Key role of chemistry versus bias in electrocatalytic oxygen evolution&lt;/title&gt;&lt;secondary-title&gt;Nature&lt;/secondary-title&gt;&lt;/titles&gt;&lt;pages&gt;408-413&lt;/pages&gt;&lt;volume&gt;587&lt;/volume&gt;&lt;number&gt;7834&lt;/number&gt;&lt;dates&gt;&lt;year&gt;2020&lt;/year&gt;&lt;pub-dates&gt;&lt;date&gt;2020/11/01&lt;/date&gt;&lt;/pub-dates&gt;&lt;/dates&gt;&lt;isbn&gt;1476-4687&lt;/isbn&gt;&lt;urls&gt;&lt;related-urls&gt;&lt;url&gt;https://doi.org/10.1038/s41586-020-2908-2&lt;/url&gt;&lt;/related-urls&gt;&lt;/urls&gt;&lt;electronic-resource-num&gt;10.1038/s41586-020-2908-2&lt;/electronic-resource-num&gt;&lt;/record&gt;&lt;/Cite&gt;&lt;/EndNote&gt;</w:instrText>
      </w:r>
      <w:r>
        <w:rPr>
          <w:rFonts w:eastAsiaTheme="minorHAnsi"/>
          <w:lang w:val="en-GB"/>
        </w:rPr>
        <w:fldChar w:fldCharType="separate"/>
      </w:r>
      <w:r w:rsidR="009F6662" w:rsidRPr="009F6662">
        <w:rPr>
          <w:rFonts w:eastAsiaTheme="minorHAnsi"/>
          <w:noProof/>
          <w:vertAlign w:val="superscript"/>
          <w:lang w:val="en-GB"/>
        </w:rPr>
        <w:t>63</w:t>
      </w:r>
      <w:r>
        <w:rPr>
          <w:rFonts w:eastAsiaTheme="minorHAnsi"/>
          <w:lang w:val="en-GB"/>
        </w:rPr>
        <w:fldChar w:fldCharType="end"/>
      </w:r>
      <w:r>
        <w:rPr>
          <w:rFonts w:eastAsiaTheme="minorHAnsi"/>
          <w:lang w:val="en-GB"/>
        </w:rPr>
        <w:t xml:space="preserve">, with an amorphous iridium oxide OER catalyst. </w:t>
      </w:r>
    </w:p>
    <w:p w14:paraId="1C9C1E28" w14:textId="77777777" w:rsidR="00204D0E" w:rsidRDefault="00DE0C14" w:rsidP="00204D0E">
      <w:r>
        <w:rPr>
          <w:noProof/>
          <w14:ligatures w14:val="standardContextual"/>
        </w:rPr>
        <w:drawing>
          <wp:inline distT="0" distB="0" distL="0" distR="0" wp14:anchorId="69E224EA" wp14:editId="23AF1C39">
            <wp:extent cx="5731510" cy="4145280"/>
            <wp:effectExtent l="0" t="0" r="0" b="0"/>
            <wp:docPr id="16031785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317853" name="Picture 160317853"/>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31510" cy="4145280"/>
                    </a:xfrm>
                    <a:prstGeom prst="rect">
                      <a:avLst/>
                    </a:prstGeom>
                  </pic:spPr>
                </pic:pic>
              </a:graphicData>
            </a:graphic>
          </wp:inline>
        </w:drawing>
      </w:r>
    </w:p>
    <w:p w14:paraId="2C3DB6A7" w14:textId="74E5A19F" w:rsidR="00204D0E" w:rsidRPr="00704C0E" w:rsidRDefault="00204D0E" w:rsidP="00204D0E">
      <w:pPr>
        <w:rPr>
          <w:bCs/>
        </w:rPr>
      </w:pPr>
      <w:bookmarkStart w:id="45" w:name="_Ref159273731"/>
      <w:r w:rsidRPr="00BC70A0">
        <w:rPr>
          <w:b/>
        </w:rPr>
        <w:t xml:space="preserve">Figure </w:t>
      </w:r>
      <w:r w:rsidRPr="00BC70A0">
        <w:rPr>
          <w:b/>
        </w:rPr>
        <w:fldChar w:fldCharType="begin"/>
      </w:r>
      <w:r w:rsidRPr="00BC70A0">
        <w:rPr>
          <w:b/>
        </w:rPr>
        <w:instrText xml:space="preserve"> SEQ Figure \* ARABIC </w:instrText>
      </w:r>
      <w:r w:rsidRPr="00BC70A0">
        <w:rPr>
          <w:b/>
        </w:rPr>
        <w:fldChar w:fldCharType="separate"/>
      </w:r>
      <w:r w:rsidR="008C565B">
        <w:rPr>
          <w:b/>
          <w:noProof/>
        </w:rPr>
        <w:t>5</w:t>
      </w:r>
      <w:r w:rsidRPr="00BC70A0">
        <w:rPr>
          <w:b/>
        </w:rPr>
        <w:fldChar w:fldCharType="end"/>
      </w:r>
      <w:bookmarkEnd w:id="45"/>
      <w:r>
        <w:rPr>
          <w:b/>
          <w:i/>
          <w:iCs/>
        </w:rPr>
        <w:t xml:space="preserve"> </w:t>
      </w:r>
      <w:r w:rsidRPr="006E7C22">
        <w:rPr>
          <w:sz w:val="20"/>
          <w:szCs w:val="20"/>
        </w:rPr>
        <w:t xml:space="preserve">Electrocatalytic and </w:t>
      </w:r>
      <w:r w:rsidR="00FE64CB" w:rsidRPr="006E7C22">
        <w:rPr>
          <w:i/>
          <w:iCs/>
          <w:sz w:val="20"/>
          <w:szCs w:val="20"/>
        </w:rPr>
        <w:t>operando</w:t>
      </w:r>
      <w:r w:rsidRPr="006E7C22">
        <w:rPr>
          <w:sz w:val="20"/>
          <w:szCs w:val="20"/>
        </w:rPr>
        <w:t xml:space="preserve"> X-ray absorption experiments with an amorphous </w:t>
      </w:r>
      <w:proofErr w:type="spellStart"/>
      <w:r w:rsidRPr="006E7C22">
        <w:rPr>
          <w:sz w:val="20"/>
          <w:szCs w:val="20"/>
        </w:rPr>
        <w:t>Ir</w:t>
      </w:r>
      <w:proofErr w:type="spellEnd"/>
      <w:r w:rsidRPr="006E7C22">
        <w:rPr>
          <w:sz w:val="20"/>
          <w:szCs w:val="20"/>
        </w:rPr>
        <w:t>-oxide (</w:t>
      </w:r>
      <w:proofErr w:type="spellStart"/>
      <w:r w:rsidRPr="006E7C22">
        <w:rPr>
          <w:sz w:val="20"/>
          <w:szCs w:val="20"/>
          <w:lang w:val="en-GB"/>
        </w:rPr>
        <w:t>IrO</w:t>
      </w:r>
      <w:r w:rsidRPr="006E7C22">
        <w:rPr>
          <w:sz w:val="20"/>
          <w:szCs w:val="20"/>
          <w:vertAlign w:val="subscript"/>
          <w:lang w:val="en-GB"/>
        </w:rPr>
        <w:t>x</w:t>
      </w:r>
      <w:proofErr w:type="spellEnd"/>
      <w:r w:rsidRPr="006E7C22">
        <w:rPr>
          <w:sz w:val="20"/>
          <w:szCs w:val="20"/>
          <w:lang w:val="en-GB"/>
        </w:rPr>
        <w:t>/Ti-250 °C</w:t>
      </w:r>
      <w:r w:rsidRPr="006E7C22">
        <w:rPr>
          <w:sz w:val="20"/>
          <w:szCs w:val="20"/>
        </w:rPr>
        <w:t xml:space="preserve">) catalysts. (a) </w:t>
      </w:r>
      <w:r w:rsidR="00B41E9B" w:rsidRPr="006E7C22">
        <w:rPr>
          <w:sz w:val="20"/>
          <w:szCs w:val="20"/>
          <w:lang w:val="en-GB"/>
        </w:rPr>
        <w:t xml:space="preserve">Section of the pulse voltammetry protocol (black) showing an oxidative and reductive pulse with the current response (red). The cathodic current response </w:t>
      </w:r>
      <w:r w:rsidR="004939C4" w:rsidRPr="006E7C22">
        <w:rPr>
          <w:sz w:val="20"/>
          <w:szCs w:val="20"/>
          <w:lang w:val="en-GB"/>
        </w:rPr>
        <w:t xml:space="preserve">is </w:t>
      </w:r>
      <w:r w:rsidR="00B41E9B" w:rsidRPr="006E7C22">
        <w:rPr>
          <w:sz w:val="20"/>
          <w:szCs w:val="20"/>
          <w:lang w:val="en-GB"/>
        </w:rPr>
        <w:t xml:space="preserve">integrated. (b) </w:t>
      </w:r>
      <w:r w:rsidRPr="006E7C22">
        <w:rPr>
          <w:sz w:val="20"/>
          <w:szCs w:val="20"/>
          <w:lang w:val="en-GB"/>
        </w:rPr>
        <w:t>Tafel plot (potential versus</w:t>
      </w:r>
      <w:r w:rsidRPr="006E7C22">
        <w:rPr>
          <w:rFonts w:ascii="Times-Roman" w:eastAsiaTheme="minorHAnsi" w:hAnsi="Times-Roman" w:cs="Times-Roman"/>
          <w:color w:val="000000"/>
          <w:sz w:val="20"/>
          <w:szCs w:val="20"/>
          <w:lang w:val="en-GB"/>
        </w:rPr>
        <w:t xml:space="preserve"> </w:t>
      </w:r>
      <w:r w:rsidRPr="006E7C22">
        <w:rPr>
          <w:sz w:val="20"/>
          <w:szCs w:val="20"/>
          <w:lang w:val="en-GB"/>
        </w:rPr>
        <w:t>log(current) in milliamperes) from pulse voltammetry</w:t>
      </w:r>
      <w:r w:rsidRPr="006E7C22">
        <w:rPr>
          <w:sz w:val="20"/>
          <w:szCs w:val="20"/>
        </w:rPr>
        <w:t xml:space="preserve"> (c) </w:t>
      </w:r>
      <w:r w:rsidR="00B41E9B" w:rsidRPr="006E7C22">
        <w:rPr>
          <w:sz w:val="20"/>
          <w:szCs w:val="20"/>
          <w:lang w:val="en-GB"/>
        </w:rPr>
        <w:t xml:space="preserve">Charge integral versus potential from pulse voltammetry </w:t>
      </w:r>
      <w:r w:rsidR="000110AD" w:rsidRPr="006E7C22">
        <w:rPr>
          <w:sz w:val="20"/>
          <w:szCs w:val="20"/>
          <w:lang w:val="en-GB"/>
        </w:rPr>
        <w:t xml:space="preserve">(d) </w:t>
      </w:r>
      <w:proofErr w:type="spellStart"/>
      <w:r w:rsidR="000110AD" w:rsidRPr="006E7C22">
        <w:rPr>
          <w:i/>
          <w:iCs/>
          <w:sz w:val="20"/>
          <w:szCs w:val="20"/>
          <w:lang w:val="en-GB"/>
        </w:rPr>
        <w:t>C</w:t>
      </w:r>
      <w:r w:rsidR="000110AD" w:rsidRPr="006E7C22">
        <w:rPr>
          <w:sz w:val="20"/>
          <w:szCs w:val="20"/>
          <w:vertAlign w:val="subscript"/>
          <w:lang w:val="en-GB"/>
        </w:rPr>
        <w:t>dl</w:t>
      </w:r>
      <w:proofErr w:type="spellEnd"/>
      <w:r w:rsidR="000110AD" w:rsidRPr="006E7C22">
        <w:rPr>
          <w:sz w:val="20"/>
          <w:szCs w:val="20"/>
          <w:lang w:val="en-GB"/>
        </w:rPr>
        <w:t>-type capacitance derived from fitting the current profiles of the pulse voltammetry measurement</w:t>
      </w:r>
      <w:r w:rsidR="000110AD" w:rsidRPr="006E7C22">
        <w:rPr>
          <w:sz w:val="20"/>
          <w:szCs w:val="20"/>
        </w:rPr>
        <w:t xml:space="preserve"> </w:t>
      </w:r>
      <w:r w:rsidRPr="006E7C22">
        <w:rPr>
          <w:sz w:val="20"/>
          <w:szCs w:val="20"/>
        </w:rPr>
        <w:t xml:space="preserve">(e) </w:t>
      </w:r>
      <w:r w:rsidR="000110AD" w:rsidRPr="006E7C22">
        <w:rPr>
          <w:sz w:val="20"/>
          <w:szCs w:val="20"/>
          <w:lang w:val="en-GB"/>
        </w:rPr>
        <w:t>Cyclic voltammetry between 0.4 V to 1.4 V vs. RHE with 100 mV s</w:t>
      </w:r>
      <w:r w:rsidR="000110AD" w:rsidRPr="006E7C22">
        <w:rPr>
          <w:sz w:val="20"/>
          <w:szCs w:val="20"/>
          <w:vertAlign w:val="superscript"/>
          <w:lang w:val="en-GB"/>
        </w:rPr>
        <w:t>-1</w:t>
      </w:r>
      <w:r w:rsidR="000110AD" w:rsidRPr="006E7C22">
        <w:rPr>
          <w:sz w:val="20"/>
          <w:szCs w:val="20"/>
          <w:lang w:val="en-GB"/>
        </w:rPr>
        <w:t xml:space="preserve"> scan rate.</w:t>
      </w:r>
      <w:r w:rsidR="000110AD" w:rsidRPr="006E7C22">
        <w:rPr>
          <w:sz w:val="20"/>
          <w:szCs w:val="20"/>
        </w:rPr>
        <w:t xml:space="preserve"> </w:t>
      </w:r>
      <w:r w:rsidRPr="006E7C22">
        <w:rPr>
          <w:sz w:val="20"/>
          <w:szCs w:val="20"/>
        </w:rPr>
        <w:t xml:space="preserve">(f) </w:t>
      </w:r>
      <w:r w:rsidR="000110AD" w:rsidRPr="006E7C22">
        <w:rPr>
          <w:sz w:val="20"/>
          <w:szCs w:val="20"/>
          <w:lang w:val="en-GB"/>
        </w:rPr>
        <w:t>Effective capacitance (derived from PEIS fitting) as a function of potential.</w:t>
      </w:r>
      <w:r w:rsidR="000110AD" w:rsidRPr="006E7C22">
        <w:rPr>
          <w:sz w:val="20"/>
          <w:szCs w:val="20"/>
        </w:rPr>
        <w:t xml:space="preserve"> </w:t>
      </w:r>
      <w:r w:rsidRPr="006E7C22">
        <w:rPr>
          <w:sz w:val="20"/>
          <w:szCs w:val="20"/>
        </w:rPr>
        <w:t xml:space="preserve">(g) </w:t>
      </w:r>
      <w:r w:rsidRPr="006E7C22">
        <w:rPr>
          <w:sz w:val="20"/>
          <w:szCs w:val="20"/>
          <w:lang w:val="en-GB"/>
        </w:rPr>
        <w:t>Charge determined by integral pulse voltammetry in the broad potential window</w:t>
      </w:r>
      <w:r w:rsidRPr="006E7C22">
        <w:rPr>
          <w:sz w:val="20"/>
          <w:szCs w:val="20"/>
        </w:rPr>
        <w:t xml:space="preserve"> (h) </w:t>
      </w:r>
      <w:r w:rsidRPr="006E7C22">
        <w:rPr>
          <w:sz w:val="20"/>
          <w:szCs w:val="20"/>
          <w:lang w:val="en-GB"/>
        </w:rPr>
        <w:t>The L</w:t>
      </w:r>
      <w:r w:rsidRPr="006E7C22">
        <w:rPr>
          <w:sz w:val="20"/>
          <w:szCs w:val="20"/>
          <w:vertAlign w:val="subscript"/>
          <w:lang w:val="en-GB"/>
        </w:rPr>
        <w:t>3</w:t>
      </w:r>
      <w:r w:rsidRPr="006E7C22">
        <w:rPr>
          <w:sz w:val="20"/>
          <w:szCs w:val="20"/>
          <w:lang w:val="en-GB"/>
        </w:rPr>
        <w:t xml:space="preserve"> + L</w:t>
      </w:r>
      <w:r w:rsidRPr="006E7C22">
        <w:rPr>
          <w:sz w:val="20"/>
          <w:szCs w:val="20"/>
          <w:vertAlign w:val="subscript"/>
          <w:lang w:val="en-GB"/>
        </w:rPr>
        <w:t>2</w:t>
      </w:r>
      <w:r w:rsidRPr="006E7C22">
        <w:rPr>
          <w:sz w:val="20"/>
          <w:szCs w:val="20"/>
          <w:lang w:val="en-GB"/>
        </w:rPr>
        <w:t xml:space="preserve"> integrated white line area as a measure of </w:t>
      </w:r>
      <w:proofErr w:type="spellStart"/>
      <w:r w:rsidRPr="006E7C22">
        <w:rPr>
          <w:sz w:val="20"/>
          <w:szCs w:val="20"/>
          <w:lang w:val="en-GB"/>
        </w:rPr>
        <w:t>Ir</w:t>
      </w:r>
      <w:proofErr w:type="spellEnd"/>
      <w:r w:rsidRPr="006E7C22">
        <w:rPr>
          <w:sz w:val="20"/>
          <w:szCs w:val="20"/>
          <w:lang w:val="en-GB"/>
        </w:rPr>
        <w:t xml:space="preserve"> oxidation (left) and the normalized fluorescence yield (FY) signal at 11,221.5 eV (right) of steady-state </w:t>
      </w:r>
      <w:r w:rsidR="00FE64CB" w:rsidRPr="006E7C22">
        <w:rPr>
          <w:i/>
          <w:iCs/>
          <w:sz w:val="20"/>
          <w:szCs w:val="20"/>
          <w:lang w:val="en-GB"/>
        </w:rPr>
        <w:t>operando</w:t>
      </w:r>
      <w:r w:rsidRPr="006E7C22">
        <w:rPr>
          <w:sz w:val="20"/>
          <w:szCs w:val="20"/>
          <w:lang w:val="en-GB"/>
        </w:rPr>
        <w:t xml:space="preserve"> </w:t>
      </w:r>
      <w:proofErr w:type="spellStart"/>
      <w:r w:rsidRPr="006E7C22">
        <w:rPr>
          <w:sz w:val="20"/>
          <w:szCs w:val="20"/>
          <w:lang w:val="en-GB"/>
        </w:rPr>
        <w:t>Ir</w:t>
      </w:r>
      <w:proofErr w:type="spellEnd"/>
      <w:r w:rsidRPr="006E7C22">
        <w:rPr>
          <w:sz w:val="20"/>
          <w:szCs w:val="20"/>
          <w:lang w:val="en-GB"/>
        </w:rPr>
        <w:t xml:space="preserve"> L-edge XAS versus the potential, together with the dry sample and reference IrO</w:t>
      </w:r>
      <w:r w:rsidRPr="006E7C22">
        <w:rPr>
          <w:sz w:val="20"/>
          <w:szCs w:val="20"/>
          <w:vertAlign w:val="subscript"/>
          <w:lang w:val="en-GB"/>
        </w:rPr>
        <w:t>2</w:t>
      </w:r>
      <w:r w:rsidRPr="006E7C22">
        <w:rPr>
          <w:sz w:val="20"/>
          <w:szCs w:val="20"/>
        </w:rPr>
        <w:t xml:space="preserve"> (</w:t>
      </w:r>
      <w:proofErr w:type="spellStart"/>
      <w:r w:rsidRPr="006E7C22">
        <w:rPr>
          <w:sz w:val="20"/>
          <w:szCs w:val="20"/>
        </w:rPr>
        <w:t>i</w:t>
      </w:r>
      <w:proofErr w:type="spellEnd"/>
      <w:r w:rsidRPr="006E7C22">
        <w:rPr>
          <w:sz w:val="20"/>
          <w:szCs w:val="20"/>
        </w:rPr>
        <w:t xml:space="preserve">) </w:t>
      </w:r>
      <w:r w:rsidRPr="006E7C22">
        <w:rPr>
          <w:sz w:val="20"/>
          <w:szCs w:val="20"/>
          <w:lang w:val="en-GB"/>
        </w:rPr>
        <w:t xml:space="preserve">Correlation of the signal change of the </w:t>
      </w:r>
      <w:proofErr w:type="spellStart"/>
      <w:r w:rsidRPr="006E7C22">
        <w:rPr>
          <w:sz w:val="20"/>
          <w:szCs w:val="20"/>
          <w:lang w:val="en-GB"/>
        </w:rPr>
        <w:t>Ir</w:t>
      </w:r>
      <w:proofErr w:type="spellEnd"/>
      <w:r w:rsidRPr="006E7C22">
        <w:rPr>
          <w:sz w:val="20"/>
          <w:szCs w:val="20"/>
          <w:lang w:val="en-GB"/>
        </w:rPr>
        <w:t xml:space="preserve"> L</w:t>
      </w:r>
      <w:r w:rsidRPr="006E7C22">
        <w:rPr>
          <w:sz w:val="20"/>
          <w:szCs w:val="20"/>
          <w:vertAlign w:val="subscript"/>
          <w:lang w:val="en-GB"/>
        </w:rPr>
        <w:t>3</w:t>
      </w:r>
      <w:r w:rsidRPr="006E7C22">
        <w:rPr>
          <w:sz w:val="20"/>
          <w:szCs w:val="20"/>
          <w:lang w:val="en-GB"/>
        </w:rPr>
        <w:t xml:space="preserve"> edge at 11,221.5 eV versus total charge during a broad potential window pulse voltammetry.</w:t>
      </w:r>
      <w:r w:rsidR="00B52987" w:rsidRPr="006E7C22">
        <w:rPr>
          <w:sz w:val="20"/>
          <w:szCs w:val="20"/>
          <w:lang w:val="en-GB"/>
        </w:rPr>
        <w:t xml:space="preserve"> Reproduced with permission from</w:t>
      </w:r>
      <w:r w:rsidR="00204A43" w:rsidRPr="006E7C22">
        <w:rPr>
          <w:sz w:val="20"/>
          <w:szCs w:val="20"/>
          <w:lang w:val="en-GB"/>
        </w:rPr>
        <w:t xml:space="preserve"> Ref</w:t>
      </w:r>
      <w:r w:rsidR="00B52987" w:rsidRPr="006E7C22">
        <w:rPr>
          <w:sz w:val="20"/>
          <w:szCs w:val="20"/>
          <w:lang w:val="en-GB"/>
        </w:rPr>
        <w:t>.</w:t>
      </w:r>
      <w:r w:rsidR="009F6662" w:rsidRPr="009F6662">
        <w:rPr>
          <w:bCs/>
        </w:rPr>
        <w:fldChar w:fldCharType="begin"/>
      </w:r>
      <w:r w:rsidR="009F6662" w:rsidRPr="009F6662">
        <w:rPr>
          <w:bCs/>
        </w:rPr>
        <w:instrText xml:space="preserve"> ADDIN EN.CITE &lt;EndNote&gt;&lt;Cite&gt;&lt;Author&gt;Nong&lt;/Author&gt;&lt;Year&gt;2020&lt;/Year&gt;&lt;RecNum&gt;63&lt;/RecNum&gt;&lt;DisplayText&gt;&lt;style face="superscript"&gt;63&lt;/style&gt;&lt;/DisplayText&gt;&lt;record&gt;&lt;rec-number&gt;63&lt;/rec-number&gt;&lt;foreign-keys&gt;&lt;key app="EN" db-id="2xex0erf4eexr4e2dpbxpdd829xttesxxxdr" timestamp="1715075296"&gt;63&lt;/key&gt;&lt;/foreign-keys&gt;&lt;ref-type name="Journal Article"&gt;17&lt;/ref-type&gt;&lt;contributors&gt;&lt;authors&gt;&lt;author&gt;Nong, Hong Nhan&lt;/author&gt;&lt;author&gt;Falling, Lorenz J.&lt;/author&gt;&lt;author&gt;Bergmann, Arno&lt;/author&gt;&lt;author&gt;Klingenhof, Malte&lt;/author&gt;&lt;author&gt;Tran, Hoang Phi&lt;/author&gt;&lt;author&gt;Spöri, Camillo&lt;/author&gt;&lt;author&gt;Mom, Rik&lt;/author&gt;&lt;author&gt;Timoshenko, Janis&lt;/author&gt;&lt;author&gt;Zichittella, Guido&lt;/author&gt;&lt;author&gt;Knop-Gericke, Axel&lt;/author&gt;&lt;author&gt;Piccinin, Simone&lt;/author&gt;&lt;author&gt;Pérez-Ramírez, Javier&lt;/author&gt;&lt;author&gt;Cuenya, Beatriz Roldan&lt;/author&gt;&lt;author&gt;Schlögl, Robert&lt;/author&gt;&lt;author&gt;Strasser, Peter&lt;/author&gt;&lt;author&gt;Teschner, Detre&lt;/author&gt;&lt;author&gt;Jones, Travis E.&lt;/author&gt;&lt;/authors&gt;&lt;/contributors&gt;&lt;titles&gt;&lt;title&gt;Key role of chemistry versus bias in electrocatalytic oxygen evolution&lt;/title&gt;&lt;secondary-title&gt;Nature&lt;/secondary-title&gt;&lt;/titles&gt;&lt;pages&gt;408-413&lt;/pages&gt;&lt;volume&gt;587&lt;/volume&gt;&lt;number&gt;7834&lt;/number&gt;&lt;dates&gt;&lt;year&gt;2020&lt;/year&gt;&lt;pub-dates&gt;&lt;date&gt;2020/11/01&lt;/date&gt;&lt;/pub-dates&gt;&lt;/dates&gt;&lt;isbn&gt;1476-4687&lt;/isbn&gt;&lt;urls&gt;&lt;related-urls&gt;&lt;url&gt;https://doi.org/10.1038/s41586-020-2908-2&lt;/url&gt;&lt;/related-urls&gt;&lt;/urls&gt;&lt;electronic-resource-num&gt;10.1038/s41586-020-2908-2&lt;/electronic-resource-num&gt;&lt;/record&gt;&lt;/Cite&gt;&lt;/EndNote&gt;</w:instrText>
      </w:r>
      <w:r w:rsidR="009F6662" w:rsidRPr="009F6662">
        <w:rPr>
          <w:bCs/>
        </w:rPr>
        <w:fldChar w:fldCharType="separate"/>
      </w:r>
      <w:r w:rsidR="009F6662" w:rsidRPr="009F6662">
        <w:rPr>
          <w:bCs/>
          <w:noProof/>
          <w:vertAlign w:val="superscript"/>
        </w:rPr>
        <w:t>63</w:t>
      </w:r>
      <w:r w:rsidR="009F6662" w:rsidRPr="009F6662">
        <w:rPr>
          <w:bCs/>
        </w:rPr>
        <w:fldChar w:fldCharType="end"/>
      </w:r>
      <w:r w:rsidR="0058757C">
        <w:rPr>
          <w:bCs/>
        </w:rPr>
        <w:t xml:space="preserve"> </w:t>
      </w:r>
      <w:r w:rsidR="0058757C" w:rsidRPr="0058757C">
        <w:rPr>
          <w:bCs/>
        </w:rPr>
        <w:t>Copyright 2020 Springer Nature.</w:t>
      </w:r>
    </w:p>
    <w:p w14:paraId="56950181" w14:textId="77777777" w:rsidR="00204D0E" w:rsidRDefault="00204D0E" w:rsidP="00204D0E"/>
    <w:p w14:paraId="485B6679" w14:textId="37D1C06E" w:rsidR="00A101DA" w:rsidRDefault="007D6E11" w:rsidP="008C4356">
      <w:pPr>
        <w:ind w:firstLine="720"/>
        <w:rPr>
          <w:rFonts w:eastAsiaTheme="minorHAnsi"/>
          <w:lang w:val="en-GB"/>
        </w:rPr>
      </w:pPr>
      <w:r>
        <w:rPr>
          <w:rFonts w:eastAsiaTheme="minorHAnsi"/>
          <w:lang w:val="en-GB"/>
        </w:rPr>
        <w:t>Nong et al.</w:t>
      </w:r>
      <w:r w:rsidR="009F6662">
        <w:rPr>
          <w:rFonts w:eastAsiaTheme="minorHAnsi"/>
          <w:lang w:val="en-GB"/>
        </w:rPr>
        <w:fldChar w:fldCharType="begin"/>
      </w:r>
      <w:r w:rsidR="009F6662">
        <w:rPr>
          <w:rFonts w:eastAsiaTheme="minorHAnsi"/>
          <w:lang w:val="en-GB"/>
        </w:rPr>
        <w:instrText xml:space="preserve"> ADDIN EN.CITE &lt;EndNote&gt;&lt;Cite&gt;&lt;Author&gt;Nong&lt;/Author&gt;&lt;Year&gt;2020&lt;/Year&gt;&lt;RecNum&gt;63&lt;/RecNum&gt;&lt;DisplayText&gt;&lt;style face="superscript"&gt;63&lt;/style&gt;&lt;/DisplayText&gt;&lt;record&gt;&lt;rec-number&gt;63&lt;/rec-number&gt;&lt;foreign-keys&gt;&lt;key app="EN" db-id="2xex0erf4eexr4e2dpbxpdd829xttesxxxdr" timestamp="1715075296"&gt;63&lt;/key&gt;&lt;/foreign-keys&gt;&lt;ref-type name="Journal Article"&gt;17&lt;/ref-type&gt;&lt;contributors&gt;&lt;authors&gt;&lt;author&gt;Nong, Hong Nhan&lt;/author&gt;&lt;author&gt;Falling, Lorenz J.&lt;/author&gt;&lt;author&gt;Bergmann, Arno&lt;/author&gt;&lt;author&gt;Klingenhof, Malte&lt;/author&gt;&lt;author&gt;Tran, Hoang Phi&lt;/author&gt;&lt;author&gt;Spöri, Camillo&lt;/author&gt;&lt;author&gt;Mom, Rik&lt;/author&gt;&lt;author&gt;Timoshenko, Janis&lt;/author&gt;&lt;author&gt;Zichittella, Guido&lt;/author&gt;&lt;author&gt;Knop-Gericke, Axel&lt;/author&gt;&lt;author&gt;Piccinin, Simone&lt;/author&gt;&lt;author&gt;Pérez-Ramírez, Javier&lt;/author&gt;&lt;author&gt;Cuenya, Beatriz Roldan&lt;/author&gt;&lt;author&gt;Schlögl, Robert&lt;/author&gt;&lt;author&gt;Strasser, Peter&lt;/author&gt;&lt;author&gt;Teschner, Detre&lt;/author&gt;&lt;author&gt;Jones, Travis E.&lt;/author&gt;&lt;/authors&gt;&lt;/contributors&gt;&lt;titles&gt;&lt;title&gt;Key role of chemistry versus bias in electrocatalytic oxygen evolution&lt;/title&gt;&lt;secondary-title&gt;Nature&lt;/secondary-title&gt;&lt;/titles&gt;&lt;pages&gt;408-413&lt;/pages&gt;&lt;volume&gt;587&lt;/volume&gt;&lt;number&gt;7834&lt;/number&gt;&lt;dates&gt;&lt;year&gt;2020&lt;/year&gt;&lt;pub-dates&gt;&lt;date&gt;2020/11/01&lt;/date&gt;&lt;/pub-dates&gt;&lt;/dates&gt;&lt;isbn&gt;1476-4687&lt;/isbn&gt;&lt;urls&gt;&lt;related-urls&gt;&lt;url&gt;https://doi.org/10.1038/s41586-020-2908-2&lt;/url&gt;&lt;/related-urls&gt;&lt;/urls&gt;&lt;electronic-resource-num&gt;10.1038/s41586-020-2908-2&lt;/electronic-resource-num&gt;&lt;/record&gt;&lt;/Cite&gt;&lt;/EndNote&gt;</w:instrText>
      </w:r>
      <w:r w:rsidR="009F6662">
        <w:rPr>
          <w:rFonts w:eastAsiaTheme="minorHAnsi"/>
          <w:lang w:val="en-GB"/>
        </w:rPr>
        <w:fldChar w:fldCharType="separate"/>
      </w:r>
      <w:r w:rsidR="009F6662" w:rsidRPr="009F6662">
        <w:rPr>
          <w:rFonts w:eastAsiaTheme="minorHAnsi"/>
          <w:noProof/>
          <w:vertAlign w:val="superscript"/>
          <w:lang w:val="en-GB"/>
        </w:rPr>
        <w:t>63</w:t>
      </w:r>
      <w:r w:rsidR="009F6662">
        <w:rPr>
          <w:rFonts w:eastAsiaTheme="minorHAnsi"/>
          <w:lang w:val="en-GB"/>
        </w:rPr>
        <w:fldChar w:fldCharType="end"/>
      </w:r>
      <w:r>
        <w:rPr>
          <w:rFonts w:eastAsiaTheme="minorHAnsi"/>
          <w:lang w:val="en-GB"/>
        </w:rPr>
        <w:t xml:space="preserve"> used pulse voltammetry, </w:t>
      </w:r>
      <w:r w:rsidR="00FE64CB" w:rsidRPr="00FE64CB">
        <w:rPr>
          <w:rFonts w:eastAsiaTheme="minorHAnsi"/>
          <w:i/>
          <w:iCs/>
          <w:lang w:val="en-GB"/>
        </w:rPr>
        <w:t>operando</w:t>
      </w:r>
      <w:r>
        <w:rPr>
          <w:rFonts w:eastAsiaTheme="minorHAnsi"/>
          <w:lang w:val="en-GB"/>
        </w:rPr>
        <w:t xml:space="preserve"> X-ray absorption spectroscopy </w:t>
      </w:r>
      <w:r w:rsidR="004F30CB">
        <w:rPr>
          <w:rFonts w:eastAsiaTheme="minorHAnsi"/>
          <w:lang w:val="en-GB"/>
        </w:rPr>
        <w:t xml:space="preserve">(XAS) </w:t>
      </w:r>
      <w:r>
        <w:rPr>
          <w:rFonts w:eastAsiaTheme="minorHAnsi"/>
          <w:lang w:val="en-GB"/>
        </w:rPr>
        <w:t xml:space="preserve">and a number of standard electrochemical methods in conjunction with DFT calculations to understand the OER mechanism of </w:t>
      </w:r>
      <w:proofErr w:type="spellStart"/>
      <w:r>
        <w:rPr>
          <w:rFonts w:eastAsiaTheme="minorHAnsi"/>
          <w:lang w:val="en-GB"/>
        </w:rPr>
        <w:t>Ir</w:t>
      </w:r>
      <w:proofErr w:type="spellEnd"/>
      <w:r>
        <w:rPr>
          <w:rFonts w:eastAsiaTheme="minorHAnsi"/>
          <w:lang w:val="en-GB"/>
        </w:rPr>
        <w:t>-based catalysts</w:t>
      </w:r>
      <w:r w:rsidR="003416CC">
        <w:rPr>
          <w:rFonts w:eastAsiaTheme="minorHAnsi"/>
          <w:lang w:val="en-GB"/>
        </w:rPr>
        <w:t xml:space="preserve"> under acidic conditions</w:t>
      </w:r>
      <w:r>
        <w:rPr>
          <w:rFonts w:eastAsiaTheme="minorHAnsi"/>
          <w:lang w:val="en-GB"/>
        </w:rPr>
        <w:t xml:space="preserve">. Some of the DFT results will be </w:t>
      </w:r>
      <w:r w:rsidR="008A6D5D">
        <w:rPr>
          <w:rFonts w:eastAsiaTheme="minorHAnsi"/>
          <w:lang w:val="en-GB"/>
        </w:rPr>
        <w:t xml:space="preserve">reviewed </w:t>
      </w:r>
      <w:r>
        <w:rPr>
          <w:rFonts w:eastAsiaTheme="minorHAnsi"/>
          <w:lang w:val="en-GB"/>
        </w:rPr>
        <w:t xml:space="preserve">in later chapters, so </w:t>
      </w:r>
      <w:r w:rsidR="003A7544">
        <w:rPr>
          <w:rFonts w:eastAsiaTheme="minorHAnsi"/>
          <w:lang w:val="en-GB"/>
        </w:rPr>
        <w:t xml:space="preserve">here </w:t>
      </w:r>
      <w:r>
        <w:rPr>
          <w:rFonts w:eastAsiaTheme="minorHAnsi"/>
          <w:lang w:val="en-GB"/>
        </w:rPr>
        <w:t>we</w:t>
      </w:r>
      <w:r w:rsidR="003A7544">
        <w:rPr>
          <w:rFonts w:eastAsiaTheme="minorHAnsi"/>
          <w:lang w:val="en-GB"/>
        </w:rPr>
        <w:t xml:space="preserve"> will</w:t>
      </w:r>
      <w:r>
        <w:rPr>
          <w:rFonts w:eastAsiaTheme="minorHAnsi"/>
          <w:lang w:val="en-GB"/>
        </w:rPr>
        <w:t xml:space="preserve"> only discuss their experimental results, which can be nicely compared and contrasted to the above thought experiment by </w:t>
      </w:r>
      <w:proofErr w:type="spellStart"/>
      <w:r>
        <w:rPr>
          <w:rFonts w:eastAsiaTheme="minorHAnsi"/>
          <w:lang w:val="en-GB"/>
        </w:rPr>
        <w:t>Alsac</w:t>
      </w:r>
      <w:proofErr w:type="spellEnd"/>
      <w:r>
        <w:rPr>
          <w:rFonts w:eastAsiaTheme="minorHAnsi"/>
          <w:lang w:val="en-GB"/>
        </w:rPr>
        <w:t xml:space="preserve"> et al.</w:t>
      </w:r>
    </w:p>
    <w:p w14:paraId="6C3D81FF" w14:textId="134B74EE" w:rsidR="004F30CB" w:rsidRDefault="007D6E11" w:rsidP="008C4356">
      <w:pPr>
        <w:ind w:firstLine="720"/>
        <w:rPr>
          <w:rFonts w:eastAsiaTheme="minorHAnsi"/>
          <w:lang w:val="en-GB"/>
        </w:rPr>
      </w:pPr>
      <w:r>
        <w:rPr>
          <w:rFonts w:eastAsiaTheme="minorHAnsi"/>
          <w:lang w:val="en-GB"/>
        </w:rPr>
        <w:t xml:space="preserve"> </w:t>
      </w:r>
      <w:r w:rsidRPr="00C05449">
        <w:rPr>
          <w:rFonts w:eastAsiaTheme="minorHAnsi"/>
          <w:b/>
          <w:bCs/>
          <w:lang w:val="en-GB"/>
        </w:rPr>
        <w:fldChar w:fldCharType="begin"/>
      </w:r>
      <w:r w:rsidRPr="00C05449">
        <w:rPr>
          <w:rFonts w:eastAsiaTheme="minorHAnsi"/>
          <w:b/>
          <w:bCs/>
          <w:lang w:val="en-GB"/>
        </w:rPr>
        <w:instrText xml:space="preserve"> REF _Ref159273731 \h  \* MERGEFORMAT </w:instrText>
      </w:r>
      <w:r w:rsidRPr="00C05449">
        <w:rPr>
          <w:rFonts w:eastAsiaTheme="minorHAnsi"/>
          <w:b/>
          <w:bCs/>
          <w:lang w:val="en-GB"/>
        </w:rPr>
      </w:r>
      <w:r w:rsidRPr="00C05449">
        <w:rPr>
          <w:rFonts w:eastAsiaTheme="minorHAnsi"/>
          <w:b/>
          <w:bCs/>
          <w:lang w:val="en-GB"/>
        </w:rPr>
        <w:fldChar w:fldCharType="separate"/>
      </w:r>
      <w:r w:rsidR="008C565B" w:rsidRPr="008C565B">
        <w:rPr>
          <w:b/>
          <w:bCs/>
        </w:rPr>
        <w:t xml:space="preserve">Figure </w:t>
      </w:r>
      <w:r w:rsidR="008C565B" w:rsidRPr="008C565B">
        <w:rPr>
          <w:b/>
          <w:bCs/>
          <w:noProof/>
        </w:rPr>
        <w:t>5</w:t>
      </w:r>
      <w:r w:rsidRPr="00C05449">
        <w:rPr>
          <w:rFonts w:eastAsiaTheme="minorHAnsi"/>
          <w:b/>
          <w:bCs/>
          <w:lang w:val="en-GB"/>
        </w:rPr>
        <w:fldChar w:fldCharType="end"/>
      </w:r>
      <w:r>
        <w:rPr>
          <w:rFonts w:eastAsiaTheme="minorHAnsi"/>
          <w:lang w:val="en-GB"/>
        </w:rPr>
        <w:t xml:space="preserve"> highlights the relevant results of </w:t>
      </w:r>
      <w:r w:rsidR="0053698D">
        <w:rPr>
          <w:rFonts w:eastAsiaTheme="minorHAnsi"/>
          <w:lang w:val="en-GB"/>
        </w:rPr>
        <w:t xml:space="preserve">an amorphous </w:t>
      </w:r>
      <w:proofErr w:type="spellStart"/>
      <w:r w:rsidR="0053698D">
        <w:rPr>
          <w:rFonts w:eastAsiaTheme="minorHAnsi"/>
          <w:lang w:val="en-GB"/>
        </w:rPr>
        <w:t>Ir</w:t>
      </w:r>
      <w:proofErr w:type="spellEnd"/>
      <w:r w:rsidR="0053698D">
        <w:rPr>
          <w:rFonts w:eastAsiaTheme="minorHAnsi"/>
          <w:lang w:val="en-GB"/>
        </w:rPr>
        <w:t xml:space="preserve">-oxide, adapted from </w:t>
      </w:r>
      <w:r>
        <w:rPr>
          <w:rFonts w:eastAsiaTheme="minorHAnsi"/>
          <w:lang w:val="en-GB"/>
        </w:rPr>
        <w:t>Nong et al.</w:t>
      </w:r>
      <w:r w:rsidR="008923BD">
        <w:rPr>
          <w:rFonts w:eastAsiaTheme="minorHAnsi"/>
          <w:lang w:val="en-GB"/>
        </w:rPr>
        <w:t xml:space="preserve"> The core idea of their work </w:t>
      </w:r>
      <w:r w:rsidR="003416CC">
        <w:rPr>
          <w:rFonts w:eastAsiaTheme="minorHAnsi"/>
          <w:lang w:val="en-GB"/>
        </w:rPr>
        <w:t>is</w:t>
      </w:r>
      <w:r w:rsidR="008923BD">
        <w:rPr>
          <w:rFonts w:eastAsiaTheme="minorHAnsi"/>
          <w:lang w:val="en-GB"/>
        </w:rPr>
        <w:t xml:space="preserve"> </w:t>
      </w:r>
      <w:r w:rsidR="00DE0C14">
        <w:rPr>
          <w:rFonts w:eastAsiaTheme="minorHAnsi"/>
          <w:lang w:val="en-GB"/>
        </w:rPr>
        <w:t>that the degree of surface deprotonation has a strong influence on the OER performance and that the deprotonation under</w:t>
      </w:r>
      <w:r w:rsidR="008A6D5D">
        <w:rPr>
          <w:rFonts w:eastAsiaTheme="minorHAnsi"/>
          <w:lang w:val="en-GB"/>
        </w:rPr>
        <w:t xml:space="preserve"> the</w:t>
      </w:r>
      <w:r w:rsidR="00DE0C14">
        <w:rPr>
          <w:rFonts w:eastAsiaTheme="minorHAnsi"/>
          <w:lang w:val="en-GB"/>
        </w:rPr>
        <w:t xml:space="preserve"> OER can be followed by pulse voltammetry. </w:t>
      </w:r>
      <w:r w:rsidR="00B52987">
        <w:rPr>
          <w:rFonts w:eastAsiaTheme="minorHAnsi"/>
          <w:lang w:val="en-GB"/>
        </w:rPr>
        <w:lastRenderedPageBreak/>
        <w:t>As we have seen above</w:t>
      </w:r>
      <w:r w:rsidR="00F06658">
        <w:rPr>
          <w:rFonts w:eastAsiaTheme="minorHAnsi"/>
          <w:lang w:val="en-GB"/>
        </w:rPr>
        <w:t xml:space="preserve"> in various mechanisms</w:t>
      </w:r>
      <w:r w:rsidR="00B52987">
        <w:rPr>
          <w:rFonts w:eastAsiaTheme="minorHAnsi"/>
          <w:lang w:val="en-GB"/>
        </w:rPr>
        <w:t xml:space="preserve">, surface deprotonated sites play </w:t>
      </w:r>
      <w:r w:rsidR="00F06658">
        <w:rPr>
          <w:rFonts w:eastAsiaTheme="minorHAnsi"/>
          <w:lang w:val="en-GB"/>
        </w:rPr>
        <w:t>a role as active sites in the OER reaction cycle. The authors</w:t>
      </w:r>
      <w:r w:rsidR="008C4356">
        <w:rPr>
          <w:rFonts w:eastAsiaTheme="minorHAnsi"/>
          <w:lang w:val="en-GB"/>
        </w:rPr>
        <w:t xml:space="preserve"> devised a pulse protocol between a fixed cathodic potential below the onset of </w:t>
      </w:r>
      <w:r w:rsidR="008A6D5D">
        <w:rPr>
          <w:rFonts w:eastAsiaTheme="minorHAnsi"/>
          <w:lang w:val="en-GB"/>
        </w:rPr>
        <w:t xml:space="preserve">the </w:t>
      </w:r>
      <w:r w:rsidR="008C4356">
        <w:rPr>
          <w:rFonts w:eastAsiaTheme="minorHAnsi"/>
          <w:lang w:val="en-GB"/>
        </w:rPr>
        <w:t>OER and changing anodic potentials. The cathodic current spikes emerging upon reversing the potential from anodic to cathodic</w:t>
      </w:r>
      <w:r w:rsidR="00B52987">
        <w:rPr>
          <w:rFonts w:eastAsiaTheme="minorHAnsi"/>
          <w:lang w:val="en-GB"/>
        </w:rPr>
        <w:t xml:space="preserve"> points</w:t>
      </w:r>
      <w:r w:rsidR="008C4356">
        <w:rPr>
          <w:rFonts w:eastAsiaTheme="minorHAnsi"/>
          <w:lang w:val="en-GB"/>
        </w:rPr>
        <w:t>,</w:t>
      </w:r>
      <w:r w:rsidR="008C4356" w:rsidRPr="008C4356">
        <w:rPr>
          <w:rFonts w:eastAsiaTheme="minorHAnsi"/>
          <w:lang w:val="en-GB"/>
        </w:rPr>
        <w:t xml:space="preserve"> </w:t>
      </w:r>
      <w:r w:rsidR="008C4356" w:rsidRPr="00C05449">
        <w:rPr>
          <w:rFonts w:eastAsiaTheme="minorHAnsi"/>
          <w:b/>
          <w:bCs/>
          <w:lang w:val="en-GB"/>
        </w:rPr>
        <w:fldChar w:fldCharType="begin"/>
      </w:r>
      <w:r w:rsidR="008C4356" w:rsidRPr="00C05449">
        <w:rPr>
          <w:rFonts w:eastAsiaTheme="minorHAnsi"/>
          <w:b/>
          <w:bCs/>
          <w:lang w:val="en-GB"/>
        </w:rPr>
        <w:instrText xml:space="preserve"> REF _Ref159273731 \h  \* MERGEFORMAT </w:instrText>
      </w:r>
      <w:r w:rsidR="008C4356" w:rsidRPr="00C05449">
        <w:rPr>
          <w:rFonts w:eastAsiaTheme="minorHAnsi"/>
          <w:b/>
          <w:bCs/>
          <w:lang w:val="en-GB"/>
        </w:rPr>
      </w:r>
      <w:r w:rsidR="008C4356" w:rsidRPr="00C05449">
        <w:rPr>
          <w:rFonts w:eastAsiaTheme="minorHAnsi"/>
          <w:b/>
          <w:bCs/>
          <w:lang w:val="en-GB"/>
        </w:rPr>
        <w:fldChar w:fldCharType="separate"/>
      </w:r>
      <w:r w:rsidR="008C565B" w:rsidRPr="008C565B">
        <w:rPr>
          <w:b/>
          <w:bCs/>
        </w:rPr>
        <w:t xml:space="preserve">Figure </w:t>
      </w:r>
      <w:r w:rsidR="008C565B" w:rsidRPr="008C565B">
        <w:rPr>
          <w:b/>
          <w:bCs/>
          <w:noProof/>
        </w:rPr>
        <w:t>5</w:t>
      </w:r>
      <w:r w:rsidR="008C4356" w:rsidRPr="00C05449">
        <w:rPr>
          <w:rFonts w:eastAsiaTheme="minorHAnsi"/>
          <w:b/>
          <w:bCs/>
          <w:lang w:val="en-GB"/>
        </w:rPr>
        <w:fldChar w:fldCharType="end"/>
      </w:r>
      <w:r w:rsidR="008C4356" w:rsidRPr="00967BAD">
        <w:rPr>
          <w:rFonts w:eastAsiaTheme="minorHAnsi"/>
          <w:b/>
          <w:bCs/>
          <w:lang w:val="en-GB"/>
        </w:rPr>
        <w:t>a</w:t>
      </w:r>
      <w:r w:rsidR="008C4356">
        <w:rPr>
          <w:rFonts w:eastAsiaTheme="minorHAnsi"/>
          <w:lang w:val="en-GB"/>
        </w:rPr>
        <w:t xml:space="preserve">, were integrated. </w:t>
      </w:r>
      <w:r w:rsidR="0053698D">
        <w:rPr>
          <w:rFonts w:eastAsiaTheme="minorHAnsi"/>
          <w:lang w:val="en-GB"/>
        </w:rPr>
        <w:t>The absolute value of t</w:t>
      </w:r>
      <w:r w:rsidR="008C4356">
        <w:rPr>
          <w:rFonts w:eastAsiaTheme="minorHAnsi"/>
          <w:lang w:val="en-GB"/>
        </w:rPr>
        <w:t>his integral reflects the positive charge accumulated at the certain anodic potential with respect to the cathodic (reference) potential</w:t>
      </w:r>
      <w:r w:rsidR="00F06658">
        <w:rPr>
          <w:rFonts w:eastAsiaTheme="minorHAnsi"/>
          <w:lang w:val="en-GB"/>
        </w:rPr>
        <w:t xml:space="preserve">, and hence can be related to the </w:t>
      </w:r>
      <w:r w:rsidR="0053698D">
        <w:rPr>
          <w:rFonts w:eastAsiaTheme="minorHAnsi"/>
          <w:lang w:val="en-GB"/>
        </w:rPr>
        <w:t xml:space="preserve">steady-state </w:t>
      </w:r>
      <w:r w:rsidR="00470156">
        <w:rPr>
          <w:rFonts w:eastAsiaTheme="minorHAnsi"/>
          <w:lang w:val="en-GB"/>
        </w:rPr>
        <w:t>concentration</w:t>
      </w:r>
      <w:r w:rsidR="00F06658">
        <w:rPr>
          <w:rFonts w:eastAsiaTheme="minorHAnsi"/>
          <w:lang w:val="en-GB"/>
        </w:rPr>
        <w:t xml:space="preserve"> of deprotonated sites created by the magnitude of the anodic bias</w:t>
      </w:r>
      <w:r w:rsidR="008C4356">
        <w:rPr>
          <w:rFonts w:eastAsiaTheme="minorHAnsi"/>
          <w:lang w:val="en-GB"/>
        </w:rPr>
        <w:t xml:space="preserve">. </w:t>
      </w:r>
      <w:r w:rsidR="00B52987">
        <w:rPr>
          <w:rFonts w:eastAsiaTheme="minorHAnsi"/>
          <w:lang w:val="en-GB"/>
        </w:rPr>
        <w:t>In practice, t</w:t>
      </w:r>
      <w:r w:rsidR="00DE0C14" w:rsidRPr="00DE0C14">
        <w:rPr>
          <w:rFonts w:eastAsiaTheme="minorHAnsi"/>
          <w:lang w:val="en-GB"/>
        </w:rPr>
        <w:t>he potential was kept at a low potential (</w:t>
      </w:r>
      <w:proofErr w:type="spellStart"/>
      <w:r w:rsidR="00DE0C14" w:rsidRPr="00DE0C14">
        <w:rPr>
          <w:rFonts w:eastAsiaTheme="minorHAnsi"/>
          <w:i/>
          <w:iCs/>
          <w:lang w:val="en-GB"/>
        </w:rPr>
        <w:t>E</w:t>
      </w:r>
      <w:r w:rsidR="008C4356">
        <w:rPr>
          <w:rFonts w:eastAsiaTheme="minorHAnsi"/>
          <w:vertAlign w:val="subscript"/>
          <w:lang w:val="en-GB"/>
        </w:rPr>
        <w:t>c</w:t>
      </w:r>
      <w:r w:rsidR="003416CC">
        <w:rPr>
          <w:rFonts w:eastAsiaTheme="minorHAnsi"/>
          <w:vertAlign w:val="subscript"/>
          <w:lang w:val="en-GB"/>
        </w:rPr>
        <w:t>at</w:t>
      </w:r>
      <w:proofErr w:type="spellEnd"/>
      <w:r w:rsidR="00DE0C14" w:rsidRPr="00DE0C14">
        <w:rPr>
          <w:rFonts w:eastAsiaTheme="minorHAnsi"/>
          <w:lang w:val="en-GB"/>
        </w:rPr>
        <w:t xml:space="preserve"> = 1.35 V) for 4 s, then switched and kept at a higher potential (</w:t>
      </w:r>
      <w:proofErr w:type="spellStart"/>
      <w:r w:rsidR="00DE0C14" w:rsidRPr="00DE0C14">
        <w:rPr>
          <w:rFonts w:eastAsiaTheme="minorHAnsi"/>
          <w:i/>
          <w:iCs/>
          <w:lang w:val="en-GB"/>
        </w:rPr>
        <w:t>E</w:t>
      </w:r>
      <w:r w:rsidR="008C4356">
        <w:rPr>
          <w:rFonts w:eastAsiaTheme="minorHAnsi"/>
          <w:vertAlign w:val="subscript"/>
          <w:lang w:val="en-GB"/>
        </w:rPr>
        <w:t>a</w:t>
      </w:r>
      <w:r w:rsidR="003416CC">
        <w:rPr>
          <w:rFonts w:eastAsiaTheme="minorHAnsi"/>
          <w:vertAlign w:val="subscript"/>
          <w:lang w:val="en-GB"/>
        </w:rPr>
        <w:t>n</w:t>
      </w:r>
      <w:proofErr w:type="spellEnd"/>
      <w:r w:rsidR="00DE0C14" w:rsidRPr="00DE0C14">
        <w:rPr>
          <w:rFonts w:eastAsiaTheme="minorHAnsi"/>
          <w:lang w:val="en-GB"/>
        </w:rPr>
        <w:t xml:space="preserve">) for 5 s before returning to </w:t>
      </w:r>
      <w:proofErr w:type="spellStart"/>
      <w:r w:rsidR="00DE0C14" w:rsidRPr="00DE0C14">
        <w:rPr>
          <w:rFonts w:eastAsiaTheme="minorHAnsi"/>
          <w:i/>
          <w:iCs/>
          <w:lang w:val="en-GB"/>
        </w:rPr>
        <w:t>E</w:t>
      </w:r>
      <w:r w:rsidR="008C4356">
        <w:rPr>
          <w:rFonts w:eastAsiaTheme="minorHAnsi"/>
          <w:vertAlign w:val="subscript"/>
          <w:lang w:val="en-GB"/>
        </w:rPr>
        <w:t>c</w:t>
      </w:r>
      <w:r w:rsidR="008A6D5D">
        <w:rPr>
          <w:rFonts w:eastAsiaTheme="minorHAnsi"/>
          <w:vertAlign w:val="subscript"/>
          <w:lang w:val="en-GB"/>
        </w:rPr>
        <w:t>at</w:t>
      </w:r>
      <w:proofErr w:type="spellEnd"/>
      <w:r w:rsidR="00DE0C14" w:rsidRPr="00DE0C14">
        <w:rPr>
          <w:rFonts w:eastAsiaTheme="minorHAnsi"/>
          <w:lang w:val="en-GB"/>
        </w:rPr>
        <w:t xml:space="preserve"> for 4 s. This cycle was repeated while increasing </w:t>
      </w:r>
      <w:r w:rsidR="003416CC">
        <w:rPr>
          <w:rFonts w:eastAsiaTheme="minorHAnsi"/>
          <w:lang w:val="en-GB"/>
        </w:rPr>
        <w:t>non-</w:t>
      </w:r>
      <w:proofErr w:type="spellStart"/>
      <w:r w:rsidR="003416CC" w:rsidRPr="00441361">
        <w:rPr>
          <w:rFonts w:eastAsiaTheme="minorHAnsi"/>
          <w:i/>
          <w:iCs/>
          <w:lang w:val="en-GB"/>
        </w:rPr>
        <w:t>iR</w:t>
      </w:r>
      <w:proofErr w:type="spellEnd"/>
      <w:r w:rsidR="003416CC">
        <w:rPr>
          <w:rFonts w:eastAsiaTheme="minorHAnsi"/>
          <w:lang w:val="en-GB"/>
        </w:rPr>
        <w:t xml:space="preserve"> corrected </w:t>
      </w:r>
      <w:proofErr w:type="spellStart"/>
      <w:r w:rsidR="00DE0C14" w:rsidRPr="00DE0C14">
        <w:rPr>
          <w:rFonts w:eastAsiaTheme="minorHAnsi"/>
          <w:i/>
          <w:iCs/>
          <w:lang w:val="en-GB"/>
        </w:rPr>
        <w:t>E</w:t>
      </w:r>
      <w:r w:rsidR="008C4356">
        <w:rPr>
          <w:rFonts w:eastAsiaTheme="minorHAnsi"/>
          <w:vertAlign w:val="subscript"/>
          <w:lang w:val="en-GB"/>
        </w:rPr>
        <w:t>a</w:t>
      </w:r>
      <w:r w:rsidR="003416CC">
        <w:rPr>
          <w:rFonts w:eastAsiaTheme="minorHAnsi"/>
          <w:vertAlign w:val="subscript"/>
          <w:lang w:val="en-GB"/>
        </w:rPr>
        <w:t>n</w:t>
      </w:r>
      <w:proofErr w:type="spellEnd"/>
      <w:r w:rsidR="00DE0C14" w:rsidRPr="00DE0C14">
        <w:rPr>
          <w:rFonts w:eastAsiaTheme="minorHAnsi"/>
          <w:lang w:val="en-GB"/>
        </w:rPr>
        <w:t xml:space="preserve"> from 1.42 V to 1.80 V in 20 mV/step and </w:t>
      </w:r>
      <w:r w:rsidR="00A101DA">
        <w:rPr>
          <w:rFonts w:eastAsiaTheme="minorHAnsi"/>
          <w:lang w:val="en-GB"/>
        </w:rPr>
        <w:t>keeping</w:t>
      </w:r>
      <w:r w:rsidR="00A101DA" w:rsidRPr="00DE0C14">
        <w:rPr>
          <w:rFonts w:eastAsiaTheme="minorHAnsi"/>
          <w:lang w:val="en-GB"/>
        </w:rPr>
        <w:t xml:space="preserve"> </w:t>
      </w:r>
      <w:proofErr w:type="spellStart"/>
      <w:r w:rsidR="00DE0C14" w:rsidRPr="00DE0C14">
        <w:rPr>
          <w:rFonts w:eastAsiaTheme="minorHAnsi"/>
          <w:i/>
          <w:iCs/>
          <w:lang w:val="en-GB"/>
        </w:rPr>
        <w:t>E</w:t>
      </w:r>
      <w:r w:rsidR="008C4356">
        <w:rPr>
          <w:rFonts w:eastAsiaTheme="minorHAnsi"/>
          <w:vertAlign w:val="subscript"/>
          <w:lang w:val="en-GB"/>
        </w:rPr>
        <w:t>c</w:t>
      </w:r>
      <w:r w:rsidR="003416CC">
        <w:rPr>
          <w:rFonts w:eastAsiaTheme="minorHAnsi"/>
          <w:vertAlign w:val="subscript"/>
          <w:lang w:val="en-GB"/>
        </w:rPr>
        <w:t>at</w:t>
      </w:r>
      <w:proofErr w:type="spellEnd"/>
      <w:r w:rsidR="00DE0C14" w:rsidRPr="00DE0C14">
        <w:rPr>
          <w:rFonts w:eastAsiaTheme="minorHAnsi"/>
          <w:lang w:val="en-GB"/>
        </w:rPr>
        <w:t xml:space="preserve"> unchanged. </w:t>
      </w:r>
      <w:r w:rsidR="008A6D5D">
        <w:rPr>
          <w:rFonts w:eastAsiaTheme="minorHAnsi"/>
          <w:lang w:val="en-GB"/>
        </w:rPr>
        <w:t>Fast</w:t>
      </w:r>
      <w:r w:rsidR="0053698D">
        <w:rPr>
          <w:rFonts w:eastAsiaTheme="minorHAnsi"/>
          <w:lang w:val="en-GB"/>
        </w:rPr>
        <w:t xml:space="preserve"> current sampling is needed to </w:t>
      </w:r>
      <w:r w:rsidR="004E704E">
        <w:rPr>
          <w:rFonts w:eastAsiaTheme="minorHAnsi"/>
          <w:lang w:val="en-GB"/>
        </w:rPr>
        <w:t>facilitate accurate</w:t>
      </w:r>
      <w:r w:rsidR="0053698D">
        <w:rPr>
          <w:rFonts w:eastAsiaTheme="minorHAnsi"/>
          <w:lang w:val="en-GB"/>
        </w:rPr>
        <w:t xml:space="preserve"> current integration. </w:t>
      </w:r>
      <w:r w:rsidR="00DE0C14" w:rsidRPr="00DE0C14">
        <w:rPr>
          <w:rFonts w:eastAsiaTheme="minorHAnsi"/>
          <w:lang w:val="en-GB"/>
        </w:rPr>
        <w:t xml:space="preserve">Another </w:t>
      </w:r>
      <w:r w:rsidR="003416CC">
        <w:rPr>
          <w:rFonts w:eastAsiaTheme="minorHAnsi"/>
          <w:lang w:val="en-GB"/>
        </w:rPr>
        <w:t>pulse voltammetry</w:t>
      </w:r>
      <w:r w:rsidR="00DE0C14" w:rsidRPr="00DE0C14">
        <w:rPr>
          <w:rFonts w:eastAsiaTheme="minorHAnsi"/>
          <w:lang w:val="en-GB"/>
        </w:rPr>
        <w:t xml:space="preserve"> protocol </w:t>
      </w:r>
      <w:r w:rsidR="00A101DA">
        <w:rPr>
          <w:rFonts w:eastAsiaTheme="minorHAnsi"/>
          <w:lang w:val="en-GB"/>
        </w:rPr>
        <w:t xml:space="preserve">was </w:t>
      </w:r>
      <w:r w:rsidR="00DE0C14" w:rsidRPr="00DE0C14">
        <w:rPr>
          <w:rFonts w:eastAsiaTheme="minorHAnsi"/>
          <w:lang w:val="en-GB"/>
        </w:rPr>
        <w:t xml:space="preserve">applied </w:t>
      </w:r>
      <w:r w:rsidR="00A101DA">
        <w:rPr>
          <w:rFonts w:eastAsiaTheme="minorHAnsi"/>
          <w:lang w:val="en-GB"/>
        </w:rPr>
        <w:t xml:space="preserve">to </w:t>
      </w:r>
      <w:r w:rsidR="00DE0C14" w:rsidRPr="00DE0C14">
        <w:rPr>
          <w:rFonts w:eastAsiaTheme="minorHAnsi"/>
          <w:lang w:val="en-GB"/>
        </w:rPr>
        <w:t xml:space="preserve">a broad potential window, </w:t>
      </w:r>
      <w:proofErr w:type="spellStart"/>
      <w:r w:rsidR="00DE0C14" w:rsidRPr="00DE0C14">
        <w:rPr>
          <w:rFonts w:eastAsiaTheme="minorHAnsi"/>
          <w:i/>
          <w:iCs/>
          <w:lang w:val="en-GB"/>
        </w:rPr>
        <w:t>E</w:t>
      </w:r>
      <w:r w:rsidR="008C4356">
        <w:rPr>
          <w:rFonts w:eastAsiaTheme="minorHAnsi"/>
          <w:vertAlign w:val="subscript"/>
          <w:lang w:val="en-GB"/>
        </w:rPr>
        <w:t>c</w:t>
      </w:r>
      <w:r w:rsidR="003416CC">
        <w:rPr>
          <w:rFonts w:eastAsiaTheme="minorHAnsi"/>
          <w:vertAlign w:val="subscript"/>
          <w:lang w:val="en-GB"/>
        </w:rPr>
        <w:t>at</w:t>
      </w:r>
      <w:proofErr w:type="spellEnd"/>
      <w:r w:rsidR="00DE0C14" w:rsidRPr="00DE0C14">
        <w:rPr>
          <w:rFonts w:eastAsiaTheme="minorHAnsi"/>
          <w:lang w:val="en-GB"/>
        </w:rPr>
        <w:t xml:space="preserve"> = 0.7</w:t>
      </w:r>
      <w:r w:rsidR="008C4356">
        <w:rPr>
          <w:rFonts w:eastAsiaTheme="minorHAnsi"/>
          <w:lang w:val="en-GB"/>
        </w:rPr>
        <w:t>5</w:t>
      </w:r>
      <w:r w:rsidR="00FE64CB">
        <w:rPr>
          <w:rFonts w:eastAsiaTheme="minorHAnsi"/>
          <w:lang w:val="en-GB"/>
        </w:rPr>
        <w:t xml:space="preserve"> </w:t>
      </w:r>
      <w:r w:rsidR="00DE0C14" w:rsidRPr="00DE0C14">
        <w:rPr>
          <w:rFonts w:eastAsiaTheme="minorHAnsi"/>
          <w:lang w:val="en-GB"/>
        </w:rPr>
        <w:t>V and 0.9</w:t>
      </w:r>
      <w:r w:rsidR="008C4356">
        <w:rPr>
          <w:rFonts w:eastAsiaTheme="minorHAnsi"/>
          <w:lang w:val="en-GB"/>
        </w:rPr>
        <w:t>5</w:t>
      </w:r>
      <w:r w:rsidR="00DE0C14" w:rsidRPr="00DE0C14">
        <w:rPr>
          <w:rFonts w:eastAsiaTheme="minorHAnsi"/>
          <w:lang w:val="en-GB"/>
        </w:rPr>
        <w:t xml:space="preserve"> V ≤ </w:t>
      </w:r>
      <w:proofErr w:type="spellStart"/>
      <w:r w:rsidR="00DE0C14" w:rsidRPr="00DE0C14">
        <w:rPr>
          <w:rFonts w:eastAsiaTheme="minorHAnsi"/>
          <w:i/>
          <w:iCs/>
          <w:lang w:val="en-GB"/>
        </w:rPr>
        <w:t>E</w:t>
      </w:r>
      <w:r w:rsidR="008C4356">
        <w:rPr>
          <w:rFonts w:eastAsiaTheme="minorHAnsi"/>
          <w:vertAlign w:val="subscript"/>
          <w:lang w:val="en-GB"/>
        </w:rPr>
        <w:t>a</w:t>
      </w:r>
      <w:r w:rsidR="003416CC">
        <w:rPr>
          <w:rFonts w:eastAsiaTheme="minorHAnsi"/>
          <w:vertAlign w:val="subscript"/>
          <w:lang w:val="en-GB"/>
        </w:rPr>
        <w:t>n</w:t>
      </w:r>
      <w:proofErr w:type="spellEnd"/>
      <w:r w:rsidR="00DE0C14" w:rsidRPr="00DE0C14">
        <w:rPr>
          <w:rFonts w:eastAsiaTheme="minorHAnsi"/>
          <w:lang w:val="en-GB"/>
        </w:rPr>
        <w:t xml:space="preserve"> ≤ 1.</w:t>
      </w:r>
      <w:r w:rsidR="008C4356">
        <w:rPr>
          <w:rFonts w:eastAsiaTheme="minorHAnsi"/>
          <w:lang w:val="en-GB"/>
        </w:rPr>
        <w:t>7</w:t>
      </w:r>
      <w:r w:rsidR="00DE0C14" w:rsidRPr="00DE0C14">
        <w:rPr>
          <w:rFonts w:eastAsiaTheme="minorHAnsi"/>
          <w:lang w:val="en-GB"/>
        </w:rPr>
        <w:t xml:space="preserve"> V</w:t>
      </w:r>
      <w:r w:rsidR="00B52987">
        <w:rPr>
          <w:rFonts w:eastAsiaTheme="minorHAnsi"/>
          <w:lang w:val="en-GB"/>
        </w:rPr>
        <w:t>, to relate charge accumulation estimates to other classical electrochemical techniques</w:t>
      </w:r>
      <w:r w:rsidR="00F06658">
        <w:rPr>
          <w:rFonts w:eastAsiaTheme="minorHAnsi"/>
          <w:lang w:val="en-GB"/>
        </w:rPr>
        <w:t>, below the onset of OER,</w:t>
      </w:r>
      <w:r w:rsidR="00B52987">
        <w:rPr>
          <w:rFonts w:eastAsiaTheme="minorHAnsi"/>
          <w:lang w:val="en-GB"/>
        </w:rPr>
        <w:t xml:space="preserve"> </w:t>
      </w:r>
      <w:r w:rsidR="004F30CB">
        <w:rPr>
          <w:rFonts w:eastAsiaTheme="minorHAnsi"/>
          <w:lang w:val="en-GB"/>
        </w:rPr>
        <w:t xml:space="preserve">thereby </w:t>
      </w:r>
      <w:r w:rsidR="00B52987">
        <w:rPr>
          <w:rFonts w:eastAsiaTheme="minorHAnsi"/>
          <w:lang w:val="en-GB"/>
        </w:rPr>
        <w:t xml:space="preserve">assessing </w:t>
      </w:r>
      <w:proofErr w:type="spellStart"/>
      <w:r w:rsidR="00B52987">
        <w:rPr>
          <w:rFonts w:eastAsiaTheme="minorHAnsi"/>
          <w:lang w:val="en-GB"/>
        </w:rPr>
        <w:t>pseudocapacitance</w:t>
      </w:r>
      <w:proofErr w:type="spellEnd"/>
      <w:r w:rsidR="008C4356">
        <w:rPr>
          <w:rFonts w:eastAsiaTheme="minorHAnsi"/>
          <w:lang w:val="en-GB"/>
        </w:rPr>
        <w:t>.</w:t>
      </w:r>
    </w:p>
    <w:p w14:paraId="1A81E899" w14:textId="10F1202C" w:rsidR="004F30CB" w:rsidRDefault="003416CC" w:rsidP="008C4356">
      <w:pPr>
        <w:ind w:firstLine="720"/>
        <w:rPr>
          <w:rFonts w:eastAsiaTheme="minorHAnsi"/>
          <w:lang w:val="en-GB"/>
        </w:rPr>
      </w:pPr>
      <w:r>
        <w:rPr>
          <w:rFonts w:eastAsiaTheme="minorHAnsi"/>
          <w:lang w:val="en-GB"/>
        </w:rPr>
        <w:t xml:space="preserve"> </w:t>
      </w:r>
      <w:r w:rsidRPr="00C05449">
        <w:rPr>
          <w:rFonts w:eastAsiaTheme="minorHAnsi"/>
          <w:b/>
          <w:bCs/>
          <w:lang w:val="en-GB"/>
        </w:rPr>
        <w:fldChar w:fldCharType="begin"/>
      </w:r>
      <w:r w:rsidRPr="00C05449">
        <w:rPr>
          <w:rFonts w:eastAsiaTheme="minorHAnsi"/>
          <w:b/>
          <w:bCs/>
          <w:lang w:val="en-GB"/>
        </w:rPr>
        <w:instrText xml:space="preserve"> REF _Ref159273731 \h  \* MERGEFORMAT </w:instrText>
      </w:r>
      <w:r w:rsidRPr="00C05449">
        <w:rPr>
          <w:rFonts w:eastAsiaTheme="minorHAnsi"/>
          <w:b/>
          <w:bCs/>
          <w:lang w:val="en-GB"/>
        </w:rPr>
      </w:r>
      <w:r w:rsidRPr="00C05449">
        <w:rPr>
          <w:rFonts w:eastAsiaTheme="minorHAnsi"/>
          <w:b/>
          <w:bCs/>
          <w:lang w:val="en-GB"/>
        </w:rPr>
        <w:fldChar w:fldCharType="separate"/>
      </w:r>
      <w:r w:rsidR="008C565B" w:rsidRPr="008C565B">
        <w:rPr>
          <w:b/>
          <w:bCs/>
        </w:rPr>
        <w:t xml:space="preserve">Figure </w:t>
      </w:r>
      <w:r w:rsidR="008C565B" w:rsidRPr="008C565B">
        <w:rPr>
          <w:b/>
          <w:bCs/>
          <w:noProof/>
        </w:rPr>
        <w:t>5</w:t>
      </w:r>
      <w:r w:rsidRPr="00C05449">
        <w:rPr>
          <w:rFonts w:eastAsiaTheme="minorHAnsi"/>
          <w:b/>
          <w:bCs/>
          <w:lang w:val="en-GB"/>
        </w:rPr>
        <w:fldChar w:fldCharType="end"/>
      </w:r>
      <w:r w:rsidRPr="00967BAD">
        <w:rPr>
          <w:rFonts w:eastAsiaTheme="minorHAnsi"/>
          <w:b/>
          <w:bCs/>
          <w:lang w:val="en-GB"/>
        </w:rPr>
        <w:t>b</w:t>
      </w:r>
      <w:r>
        <w:rPr>
          <w:rFonts w:eastAsiaTheme="minorHAnsi"/>
          <w:lang w:val="en-GB"/>
        </w:rPr>
        <w:t xml:space="preserve"> plots the </w:t>
      </w:r>
      <w:r w:rsidR="00B21A6B">
        <w:rPr>
          <w:rFonts w:eastAsiaTheme="minorHAnsi"/>
          <w:lang w:val="en-GB"/>
        </w:rPr>
        <w:t>(</w:t>
      </w:r>
      <w:proofErr w:type="spellStart"/>
      <w:r w:rsidR="00B21A6B" w:rsidRPr="00441361">
        <w:rPr>
          <w:rFonts w:eastAsiaTheme="minorHAnsi"/>
          <w:i/>
          <w:iCs/>
          <w:lang w:val="en-GB"/>
        </w:rPr>
        <w:t>iR</w:t>
      </w:r>
      <w:proofErr w:type="spellEnd"/>
      <w:r w:rsidR="00B21A6B">
        <w:rPr>
          <w:rFonts w:eastAsiaTheme="minorHAnsi"/>
          <w:lang w:val="en-GB"/>
        </w:rPr>
        <w:t xml:space="preserve">-corrected) potential – log OER current dependence as obtained during the pulse protocol. </w:t>
      </w:r>
      <w:r w:rsidR="00B21A6B" w:rsidRPr="00B21A6B">
        <w:rPr>
          <w:rFonts w:eastAsiaTheme="minorHAnsi"/>
          <w:lang w:val="en-GB"/>
        </w:rPr>
        <w:t xml:space="preserve">The Tafel plot shows the expected </w:t>
      </w:r>
      <w:proofErr w:type="spellStart"/>
      <w:r w:rsidR="00D0065F">
        <w:rPr>
          <w:rFonts w:eastAsiaTheme="minorHAnsi"/>
          <w:lang w:val="en-GB"/>
        </w:rPr>
        <w:t>behavior</w:t>
      </w:r>
      <w:proofErr w:type="spellEnd"/>
      <w:r w:rsidR="00B21A6B" w:rsidRPr="00B21A6B">
        <w:rPr>
          <w:rFonts w:eastAsiaTheme="minorHAnsi"/>
          <w:lang w:val="en-GB"/>
        </w:rPr>
        <w:t>: up to 1.54 V the Tafel slope is 39 mV dec</w:t>
      </w:r>
      <w:r w:rsidR="00B21A6B" w:rsidRPr="00B21A6B">
        <w:rPr>
          <w:rFonts w:eastAsiaTheme="minorHAnsi"/>
          <w:vertAlign w:val="superscript"/>
          <w:lang w:val="en-GB"/>
        </w:rPr>
        <w:t>−1</w:t>
      </w:r>
      <w:r w:rsidR="00B21A6B" w:rsidRPr="00B21A6B">
        <w:rPr>
          <w:rFonts w:eastAsiaTheme="minorHAnsi"/>
          <w:lang w:val="en-GB"/>
        </w:rPr>
        <w:t xml:space="preserve">, in line with </w:t>
      </w:r>
      <w:r w:rsidR="00B21A6B">
        <w:rPr>
          <w:rFonts w:eastAsiaTheme="minorHAnsi"/>
          <w:lang w:val="en-GB"/>
        </w:rPr>
        <w:t xml:space="preserve">other amorphous </w:t>
      </w:r>
      <w:proofErr w:type="spellStart"/>
      <w:r w:rsidR="00B21A6B" w:rsidRPr="00B21A6B">
        <w:rPr>
          <w:rFonts w:eastAsiaTheme="minorHAnsi"/>
          <w:lang w:val="en-GB"/>
        </w:rPr>
        <w:t>Ir</w:t>
      </w:r>
      <w:proofErr w:type="spellEnd"/>
      <w:r w:rsidR="00B21A6B" w:rsidRPr="00B21A6B">
        <w:rPr>
          <w:rFonts w:eastAsiaTheme="minorHAnsi"/>
          <w:lang w:val="en-GB"/>
        </w:rPr>
        <w:t xml:space="preserve"> electrocatalysts</w:t>
      </w:r>
      <w:r w:rsidR="00B21A6B">
        <w:rPr>
          <w:rFonts w:eastAsiaTheme="minorHAnsi"/>
          <w:lang w:val="en-GB"/>
        </w:rPr>
        <w:t>, however,</w:t>
      </w:r>
      <w:r w:rsidR="00B21A6B" w:rsidRPr="00B21A6B">
        <w:rPr>
          <w:rFonts w:eastAsiaTheme="minorHAnsi"/>
          <w:lang w:val="en-GB"/>
        </w:rPr>
        <w:t xml:space="preserve"> anodic of 1.54 V, the Tafel slope increases to about 64 mV dec</w:t>
      </w:r>
      <w:r w:rsidR="00B21A6B" w:rsidRPr="00B21A6B">
        <w:rPr>
          <w:rFonts w:eastAsiaTheme="minorHAnsi"/>
          <w:vertAlign w:val="superscript"/>
          <w:lang w:val="en-GB"/>
        </w:rPr>
        <w:t>−1</w:t>
      </w:r>
      <w:r w:rsidR="00B21A6B">
        <w:rPr>
          <w:rFonts w:eastAsiaTheme="minorHAnsi"/>
          <w:lang w:val="en-GB"/>
        </w:rPr>
        <w:t xml:space="preserve">. Other </w:t>
      </w:r>
      <w:proofErr w:type="spellStart"/>
      <w:r w:rsidR="00B21A6B">
        <w:rPr>
          <w:rFonts w:eastAsiaTheme="minorHAnsi"/>
          <w:lang w:val="en-GB"/>
        </w:rPr>
        <w:t>Ir</w:t>
      </w:r>
      <w:proofErr w:type="spellEnd"/>
      <w:r w:rsidR="00B21A6B">
        <w:rPr>
          <w:rFonts w:eastAsiaTheme="minorHAnsi"/>
          <w:lang w:val="en-GB"/>
        </w:rPr>
        <w:t xml:space="preserve">-based catalysts have shown similar bending profiles after the initial low (typically 39-45 mV/dec) slope region. </w:t>
      </w:r>
      <w:r w:rsidR="00B21A6B" w:rsidRPr="00B21A6B">
        <w:rPr>
          <w:rFonts w:eastAsiaTheme="minorHAnsi"/>
          <w:lang w:val="en-GB"/>
        </w:rPr>
        <w:t>Charge</w:t>
      </w:r>
      <w:r w:rsidR="00B21A6B">
        <w:rPr>
          <w:rFonts w:eastAsiaTheme="minorHAnsi"/>
          <w:lang w:val="en-GB"/>
        </w:rPr>
        <w:t>, based on the cathodic current spike integrals,</w:t>
      </w:r>
      <w:r w:rsidR="00B21A6B" w:rsidRPr="00B21A6B">
        <w:rPr>
          <w:rFonts w:eastAsiaTheme="minorHAnsi"/>
          <w:lang w:val="en-GB"/>
        </w:rPr>
        <w:t xml:space="preserve"> is also bilinear in potential (</w:t>
      </w:r>
      <w:r w:rsidR="00B21A6B" w:rsidRPr="00C05449">
        <w:rPr>
          <w:rFonts w:eastAsiaTheme="minorHAnsi"/>
          <w:b/>
          <w:bCs/>
          <w:lang w:val="en-GB"/>
        </w:rPr>
        <w:fldChar w:fldCharType="begin"/>
      </w:r>
      <w:r w:rsidR="00B21A6B" w:rsidRPr="00C05449">
        <w:rPr>
          <w:rFonts w:eastAsiaTheme="minorHAnsi"/>
          <w:b/>
          <w:bCs/>
          <w:lang w:val="en-GB"/>
        </w:rPr>
        <w:instrText xml:space="preserve"> REF _Ref159273731 \h  \* MERGEFORMAT </w:instrText>
      </w:r>
      <w:r w:rsidR="00B21A6B" w:rsidRPr="00C05449">
        <w:rPr>
          <w:rFonts w:eastAsiaTheme="minorHAnsi"/>
          <w:b/>
          <w:bCs/>
          <w:lang w:val="en-GB"/>
        </w:rPr>
      </w:r>
      <w:r w:rsidR="00B21A6B" w:rsidRPr="00C05449">
        <w:rPr>
          <w:rFonts w:eastAsiaTheme="minorHAnsi"/>
          <w:b/>
          <w:bCs/>
          <w:lang w:val="en-GB"/>
        </w:rPr>
        <w:fldChar w:fldCharType="separate"/>
      </w:r>
      <w:r w:rsidR="008C565B" w:rsidRPr="008C565B">
        <w:rPr>
          <w:b/>
          <w:bCs/>
        </w:rPr>
        <w:t xml:space="preserve">Figure </w:t>
      </w:r>
      <w:r w:rsidR="008C565B" w:rsidRPr="008C565B">
        <w:rPr>
          <w:b/>
          <w:bCs/>
          <w:noProof/>
        </w:rPr>
        <w:t>5</w:t>
      </w:r>
      <w:r w:rsidR="00B21A6B" w:rsidRPr="00C05449">
        <w:rPr>
          <w:rFonts w:eastAsiaTheme="minorHAnsi"/>
          <w:b/>
          <w:bCs/>
          <w:lang w:val="en-GB"/>
        </w:rPr>
        <w:fldChar w:fldCharType="end"/>
      </w:r>
      <w:r w:rsidR="00B21A6B" w:rsidRPr="00967BAD">
        <w:rPr>
          <w:rFonts w:eastAsiaTheme="minorHAnsi"/>
          <w:b/>
          <w:bCs/>
          <w:lang w:val="en-GB"/>
        </w:rPr>
        <w:t>c</w:t>
      </w:r>
      <w:r w:rsidR="00B21A6B" w:rsidRPr="00B21A6B">
        <w:rPr>
          <w:rFonts w:eastAsiaTheme="minorHAnsi"/>
          <w:lang w:val="en-GB"/>
        </w:rPr>
        <w:t xml:space="preserve">), with the slope change at 1.54 V indicating that the capacitance drops from about 22.1 mF to about 15.9 mF. </w:t>
      </w:r>
      <w:r w:rsidR="004F30CB">
        <w:rPr>
          <w:rFonts w:eastAsiaTheme="minorHAnsi"/>
          <w:lang w:val="en-GB"/>
        </w:rPr>
        <w:t xml:space="preserve">When </w:t>
      </w:r>
      <w:r w:rsidR="00037630">
        <w:rPr>
          <w:rFonts w:eastAsiaTheme="minorHAnsi"/>
          <w:lang w:val="en-GB"/>
        </w:rPr>
        <w:t xml:space="preserve">explored with </w:t>
      </w:r>
      <w:proofErr w:type="spellStart"/>
      <w:r w:rsidR="00037630">
        <w:rPr>
          <w:rFonts w:eastAsiaTheme="minorHAnsi"/>
          <w:lang w:val="en-GB"/>
        </w:rPr>
        <w:t>Ir</w:t>
      </w:r>
      <w:proofErr w:type="spellEnd"/>
      <w:r w:rsidR="00037630">
        <w:rPr>
          <w:rFonts w:eastAsiaTheme="minorHAnsi"/>
          <w:lang w:val="en-GB"/>
        </w:rPr>
        <w:t>-samples with known BET surface area,</w:t>
      </w:r>
      <w:r w:rsidR="00B21A6B" w:rsidRPr="00B21A6B">
        <w:rPr>
          <w:rFonts w:eastAsiaTheme="minorHAnsi"/>
          <w:lang w:val="en-GB"/>
        </w:rPr>
        <w:t xml:space="preserve"> </w:t>
      </w:r>
      <w:r w:rsidR="00037630">
        <w:rPr>
          <w:rFonts w:eastAsiaTheme="minorHAnsi"/>
          <w:lang w:val="en-GB"/>
        </w:rPr>
        <w:t>capacitance values calculated in this method</w:t>
      </w:r>
      <w:r w:rsidR="00B21A6B" w:rsidRPr="00B21A6B">
        <w:rPr>
          <w:rFonts w:eastAsiaTheme="minorHAnsi"/>
          <w:lang w:val="en-GB"/>
        </w:rPr>
        <w:t xml:space="preserve"> exceed the expected double-layer capacitance</w:t>
      </w:r>
      <w:r w:rsidR="004F30CB">
        <w:rPr>
          <w:rFonts w:eastAsiaTheme="minorHAnsi"/>
          <w:lang w:val="en-GB"/>
        </w:rPr>
        <w:t xml:space="preserve">; </w:t>
      </w:r>
      <w:r w:rsidR="00B21A6B" w:rsidRPr="00B21A6B">
        <w:rPr>
          <w:rFonts w:eastAsiaTheme="minorHAnsi"/>
          <w:lang w:val="en-GB"/>
        </w:rPr>
        <w:t>areal capacitances are 1–2 orders of magnitude greater than that of an ideal</w:t>
      </w:r>
      <w:r w:rsidR="008A6D5D">
        <w:rPr>
          <w:rFonts w:eastAsiaTheme="minorHAnsi"/>
          <w:lang w:val="en-GB"/>
        </w:rPr>
        <w:t>ly polarizable</w:t>
      </w:r>
      <w:r w:rsidR="00B21A6B" w:rsidRPr="00B21A6B">
        <w:rPr>
          <w:rFonts w:eastAsiaTheme="minorHAnsi"/>
          <w:lang w:val="en-GB"/>
        </w:rPr>
        <w:t xml:space="preserve"> electrode</w:t>
      </w:r>
      <w:r w:rsidR="00037630">
        <w:rPr>
          <w:rFonts w:eastAsiaTheme="minorHAnsi"/>
          <w:lang w:val="en-GB"/>
        </w:rPr>
        <w:t xml:space="preserve">. Therefore, these measurements probe </w:t>
      </w:r>
      <w:proofErr w:type="spellStart"/>
      <w:r w:rsidR="00037630">
        <w:rPr>
          <w:rFonts w:eastAsiaTheme="minorHAnsi"/>
          <w:lang w:val="en-GB"/>
        </w:rPr>
        <w:t>pseudocapacitance</w:t>
      </w:r>
      <w:proofErr w:type="spellEnd"/>
      <w:r w:rsidR="00037630">
        <w:rPr>
          <w:rFonts w:eastAsiaTheme="minorHAnsi"/>
          <w:lang w:val="en-GB"/>
        </w:rPr>
        <w:t xml:space="preserve"> and not classical double-layer capacitance. The decaying</w:t>
      </w:r>
      <w:r w:rsidR="00037630" w:rsidRPr="00037630">
        <w:rPr>
          <w:rFonts w:eastAsiaTheme="minorHAnsi"/>
          <w:lang w:val="en-GB"/>
        </w:rPr>
        <w:t xml:space="preserve"> transient current response to the voltage steps</w:t>
      </w:r>
      <w:r w:rsidR="00037630">
        <w:rPr>
          <w:rFonts w:eastAsiaTheme="minorHAnsi"/>
          <w:lang w:val="en-GB"/>
        </w:rPr>
        <w:t xml:space="preserve"> can be fitted </w:t>
      </w:r>
      <w:r w:rsidR="007530EB">
        <w:rPr>
          <w:rFonts w:eastAsiaTheme="minorHAnsi"/>
          <w:lang w:val="en-GB"/>
        </w:rPr>
        <w:t xml:space="preserve">and the exponentially decaying contribution extracted. This, formally double-layer type capacitance depicted in </w:t>
      </w:r>
      <w:r w:rsidR="007530EB" w:rsidRPr="00C05449">
        <w:rPr>
          <w:rFonts w:eastAsiaTheme="minorHAnsi"/>
          <w:b/>
          <w:bCs/>
          <w:lang w:val="en-GB"/>
        </w:rPr>
        <w:fldChar w:fldCharType="begin"/>
      </w:r>
      <w:r w:rsidR="007530EB" w:rsidRPr="00C05449">
        <w:rPr>
          <w:rFonts w:eastAsiaTheme="minorHAnsi"/>
          <w:b/>
          <w:bCs/>
          <w:lang w:val="en-GB"/>
        </w:rPr>
        <w:instrText xml:space="preserve"> REF _Ref159273731 \h  \* MERGEFORMAT </w:instrText>
      </w:r>
      <w:r w:rsidR="007530EB" w:rsidRPr="00C05449">
        <w:rPr>
          <w:rFonts w:eastAsiaTheme="minorHAnsi"/>
          <w:b/>
          <w:bCs/>
          <w:lang w:val="en-GB"/>
        </w:rPr>
      </w:r>
      <w:r w:rsidR="007530EB" w:rsidRPr="00C05449">
        <w:rPr>
          <w:rFonts w:eastAsiaTheme="minorHAnsi"/>
          <w:b/>
          <w:bCs/>
          <w:lang w:val="en-GB"/>
        </w:rPr>
        <w:fldChar w:fldCharType="separate"/>
      </w:r>
      <w:r w:rsidR="008C565B" w:rsidRPr="008C565B">
        <w:rPr>
          <w:b/>
          <w:bCs/>
        </w:rPr>
        <w:t xml:space="preserve">Figure </w:t>
      </w:r>
      <w:r w:rsidR="008C565B" w:rsidRPr="008C565B">
        <w:rPr>
          <w:b/>
          <w:bCs/>
          <w:noProof/>
        </w:rPr>
        <w:t>5</w:t>
      </w:r>
      <w:r w:rsidR="007530EB" w:rsidRPr="00C05449">
        <w:rPr>
          <w:rFonts w:eastAsiaTheme="minorHAnsi"/>
          <w:b/>
          <w:bCs/>
          <w:lang w:val="en-GB"/>
        </w:rPr>
        <w:fldChar w:fldCharType="end"/>
      </w:r>
      <w:r w:rsidR="007530EB" w:rsidRPr="00967BAD">
        <w:rPr>
          <w:rFonts w:eastAsiaTheme="minorHAnsi"/>
          <w:b/>
          <w:bCs/>
          <w:lang w:val="en-GB"/>
        </w:rPr>
        <w:t>d</w:t>
      </w:r>
      <w:r w:rsidR="007530EB">
        <w:rPr>
          <w:rFonts w:eastAsiaTheme="minorHAnsi"/>
          <w:lang w:val="en-GB"/>
        </w:rPr>
        <w:t xml:space="preserve"> shows that the magnitude of the capacitance is very close to that determined by integration and again at around 1.53-1.54 V, the </w:t>
      </w:r>
      <w:r w:rsidR="00E93BF7">
        <w:rPr>
          <w:rFonts w:eastAsiaTheme="minorHAnsi"/>
          <w:lang w:val="en-GB"/>
        </w:rPr>
        <w:t xml:space="preserve">slightly </w:t>
      </w:r>
      <w:r w:rsidR="007530EB">
        <w:rPr>
          <w:rFonts w:eastAsiaTheme="minorHAnsi"/>
          <w:lang w:val="en-GB"/>
        </w:rPr>
        <w:t xml:space="preserve">increasing trend changes. </w:t>
      </w:r>
    </w:p>
    <w:p w14:paraId="01C962F3" w14:textId="01B60E37" w:rsidR="004F30CB" w:rsidRDefault="007530EB" w:rsidP="004F30CB">
      <w:pPr>
        <w:ind w:firstLine="720"/>
        <w:rPr>
          <w:rFonts w:eastAsiaTheme="minorHAnsi"/>
          <w:lang w:val="en-GB"/>
        </w:rPr>
      </w:pPr>
      <w:r>
        <w:rPr>
          <w:rFonts w:eastAsiaTheme="minorHAnsi"/>
          <w:lang w:val="en-GB"/>
        </w:rPr>
        <w:t xml:space="preserve">The cyclic voltammogram </w:t>
      </w:r>
      <w:r w:rsidR="0089374C">
        <w:rPr>
          <w:rFonts w:eastAsiaTheme="minorHAnsi"/>
          <w:lang w:val="en-GB"/>
        </w:rPr>
        <w:t xml:space="preserve">(CV) </w:t>
      </w:r>
      <w:r>
        <w:rPr>
          <w:rFonts w:eastAsiaTheme="minorHAnsi"/>
          <w:lang w:val="en-GB"/>
        </w:rPr>
        <w:t xml:space="preserve">of </w:t>
      </w:r>
      <w:proofErr w:type="spellStart"/>
      <w:r>
        <w:rPr>
          <w:rFonts w:eastAsiaTheme="minorHAnsi"/>
          <w:lang w:val="en-GB"/>
        </w:rPr>
        <w:t>Ir</w:t>
      </w:r>
      <w:proofErr w:type="spellEnd"/>
      <w:r>
        <w:rPr>
          <w:rFonts w:eastAsiaTheme="minorHAnsi"/>
          <w:lang w:val="en-GB"/>
        </w:rPr>
        <w:t xml:space="preserve">-oxides, </w:t>
      </w:r>
      <w:r w:rsidRPr="00C05449">
        <w:rPr>
          <w:rFonts w:eastAsiaTheme="minorHAnsi"/>
          <w:b/>
          <w:bCs/>
          <w:lang w:val="en-GB"/>
        </w:rPr>
        <w:fldChar w:fldCharType="begin"/>
      </w:r>
      <w:r w:rsidRPr="00C05449">
        <w:rPr>
          <w:rFonts w:eastAsiaTheme="minorHAnsi"/>
          <w:b/>
          <w:bCs/>
          <w:lang w:val="en-GB"/>
        </w:rPr>
        <w:instrText xml:space="preserve"> REF _Ref159273731 \h  \* MERGEFORMAT </w:instrText>
      </w:r>
      <w:r w:rsidRPr="00C05449">
        <w:rPr>
          <w:rFonts w:eastAsiaTheme="minorHAnsi"/>
          <w:b/>
          <w:bCs/>
          <w:lang w:val="en-GB"/>
        </w:rPr>
      </w:r>
      <w:r w:rsidRPr="00C05449">
        <w:rPr>
          <w:rFonts w:eastAsiaTheme="minorHAnsi"/>
          <w:b/>
          <w:bCs/>
          <w:lang w:val="en-GB"/>
        </w:rPr>
        <w:fldChar w:fldCharType="separate"/>
      </w:r>
      <w:r w:rsidR="008C565B" w:rsidRPr="008C565B">
        <w:rPr>
          <w:b/>
          <w:bCs/>
        </w:rPr>
        <w:t xml:space="preserve">Figure </w:t>
      </w:r>
      <w:r w:rsidR="008C565B" w:rsidRPr="008C565B">
        <w:rPr>
          <w:b/>
          <w:bCs/>
          <w:noProof/>
        </w:rPr>
        <w:t>5</w:t>
      </w:r>
      <w:r w:rsidRPr="00C05449">
        <w:rPr>
          <w:rFonts w:eastAsiaTheme="minorHAnsi"/>
          <w:b/>
          <w:bCs/>
          <w:lang w:val="en-GB"/>
        </w:rPr>
        <w:fldChar w:fldCharType="end"/>
      </w:r>
      <w:r w:rsidRPr="00967BAD">
        <w:rPr>
          <w:rFonts w:eastAsiaTheme="minorHAnsi"/>
          <w:b/>
          <w:bCs/>
          <w:lang w:val="en-GB"/>
        </w:rPr>
        <w:t>e</w:t>
      </w:r>
      <w:r>
        <w:rPr>
          <w:rFonts w:eastAsiaTheme="minorHAnsi"/>
          <w:lang w:val="en-GB"/>
        </w:rPr>
        <w:t xml:space="preserve">, under acidic conditions are typically strongly </w:t>
      </w:r>
      <w:r w:rsidR="008A6D5D">
        <w:rPr>
          <w:rFonts w:eastAsiaTheme="minorHAnsi"/>
          <w:lang w:val="en-GB"/>
        </w:rPr>
        <w:t>pseudocapacitive</w:t>
      </w:r>
      <w:r>
        <w:rPr>
          <w:rFonts w:eastAsiaTheme="minorHAnsi"/>
          <w:lang w:val="en-GB"/>
        </w:rPr>
        <w:t xml:space="preserve"> and hence only </w:t>
      </w:r>
      <w:r w:rsidR="00E93BF7">
        <w:rPr>
          <w:rFonts w:eastAsiaTheme="minorHAnsi"/>
          <w:lang w:val="en-GB"/>
        </w:rPr>
        <w:t>weakly</w:t>
      </w:r>
      <w:r>
        <w:rPr>
          <w:rFonts w:eastAsiaTheme="minorHAnsi"/>
          <w:lang w:val="en-GB"/>
        </w:rPr>
        <w:t xml:space="preserve"> structured. This suggests that the surface deprotonation processes are not localized in a narrow potential window, rather, they spread out and cover a very broad potential range. Outer and total capacitance values can be evaluated by performing </w:t>
      </w:r>
      <w:r w:rsidR="0089374C">
        <w:rPr>
          <w:rFonts w:eastAsiaTheme="minorHAnsi"/>
          <w:lang w:val="en-GB"/>
        </w:rPr>
        <w:t>CV cycling in narrow potential window (</w:t>
      </w:r>
      <w:r w:rsidR="00E93BF7">
        <w:rPr>
          <w:rFonts w:eastAsiaTheme="minorHAnsi"/>
          <w:lang w:val="en-GB"/>
        </w:rPr>
        <w:t xml:space="preserve">in our case </w:t>
      </w:r>
      <w:r w:rsidR="0089374C">
        <w:rPr>
          <w:rFonts w:eastAsiaTheme="minorHAnsi"/>
          <w:lang w:val="en-GB"/>
        </w:rPr>
        <w:t xml:space="preserve">0.93-1.03 V) with varying scan rates. The total capacitance of the sample, evaluated by scan rate variation was 17.9 mF, in reasonable agreement with the above capacitance values. Also, </w:t>
      </w:r>
      <w:proofErr w:type="spellStart"/>
      <w:r w:rsidR="0089374C" w:rsidRPr="0089374C">
        <w:rPr>
          <w:rFonts w:eastAsiaTheme="minorHAnsi"/>
          <w:lang w:val="en-GB"/>
        </w:rPr>
        <w:t>potentio</w:t>
      </w:r>
      <w:r w:rsidR="00470156">
        <w:rPr>
          <w:rFonts w:eastAsiaTheme="minorHAnsi"/>
          <w:lang w:val="en-GB"/>
        </w:rPr>
        <w:t>static</w:t>
      </w:r>
      <w:proofErr w:type="spellEnd"/>
      <w:r w:rsidR="0089374C" w:rsidRPr="0089374C">
        <w:rPr>
          <w:rFonts w:eastAsiaTheme="minorHAnsi"/>
          <w:lang w:val="en-GB"/>
        </w:rPr>
        <w:t xml:space="preserve"> electrochemical impedance spectroscopy</w:t>
      </w:r>
      <w:r w:rsidR="0089374C">
        <w:rPr>
          <w:rFonts w:eastAsiaTheme="minorHAnsi"/>
          <w:lang w:val="en-GB"/>
        </w:rPr>
        <w:t xml:space="preserve"> </w:t>
      </w:r>
      <w:r w:rsidR="00470156">
        <w:rPr>
          <w:rFonts w:eastAsiaTheme="minorHAnsi"/>
          <w:lang w:val="en-GB"/>
        </w:rPr>
        <w:t>was</w:t>
      </w:r>
      <w:r w:rsidR="0089374C">
        <w:rPr>
          <w:rFonts w:eastAsiaTheme="minorHAnsi"/>
          <w:lang w:val="en-GB"/>
        </w:rPr>
        <w:t xml:space="preserve"> performed from 0.4 to 1.4 V and </w:t>
      </w:r>
      <w:proofErr w:type="spellStart"/>
      <w:r w:rsidR="00FE64CB">
        <w:rPr>
          <w:rFonts w:eastAsiaTheme="minorHAnsi"/>
          <w:lang w:val="en-GB"/>
        </w:rPr>
        <w:t>analyzed</w:t>
      </w:r>
      <w:proofErr w:type="spellEnd"/>
      <w:r w:rsidR="0089374C">
        <w:rPr>
          <w:rFonts w:eastAsiaTheme="minorHAnsi"/>
          <w:lang w:val="en-GB"/>
        </w:rPr>
        <w:t xml:space="preserve"> with an appropriate equivalent circuit model. The derived effective capacitance (including double layer and </w:t>
      </w:r>
      <w:proofErr w:type="spellStart"/>
      <w:r w:rsidR="0089374C">
        <w:rPr>
          <w:rFonts w:eastAsiaTheme="minorHAnsi"/>
          <w:lang w:val="en-GB"/>
        </w:rPr>
        <w:t>pseudocapacitance</w:t>
      </w:r>
      <w:proofErr w:type="spellEnd"/>
      <w:r w:rsidR="0089374C">
        <w:rPr>
          <w:rFonts w:eastAsiaTheme="minorHAnsi"/>
          <w:lang w:val="en-GB"/>
        </w:rPr>
        <w:t xml:space="preserve"> terms) is shown in </w:t>
      </w:r>
      <w:r w:rsidR="0089374C" w:rsidRPr="00C05449">
        <w:rPr>
          <w:rFonts w:eastAsiaTheme="minorHAnsi"/>
          <w:b/>
          <w:bCs/>
          <w:lang w:val="en-GB"/>
        </w:rPr>
        <w:fldChar w:fldCharType="begin"/>
      </w:r>
      <w:r w:rsidR="0089374C" w:rsidRPr="00C05449">
        <w:rPr>
          <w:rFonts w:eastAsiaTheme="minorHAnsi"/>
          <w:b/>
          <w:bCs/>
          <w:lang w:val="en-GB"/>
        </w:rPr>
        <w:instrText xml:space="preserve"> REF _Ref159273731 \h  \* MERGEFORMAT </w:instrText>
      </w:r>
      <w:r w:rsidR="0089374C" w:rsidRPr="00C05449">
        <w:rPr>
          <w:rFonts w:eastAsiaTheme="minorHAnsi"/>
          <w:b/>
          <w:bCs/>
          <w:lang w:val="en-GB"/>
        </w:rPr>
      </w:r>
      <w:r w:rsidR="0089374C" w:rsidRPr="00C05449">
        <w:rPr>
          <w:rFonts w:eastAsiaTheme="minorHAnsi"/>
          <w:b/>
          <w:bCs/>
          <w:lang w:val="en-GB"/>
        </w:rPr>
        <w:fldChar w:fldCharType="separate"/>
      </w:r>
      <w:r w:rsidR="008C565B" w:rsidRPr="008C565B">
        <w:rPr>
          <w:b/>
          <w:bCs/>
        </w:rPr>
        <w:t xml:space="preserve">Figure </w:t>
      </w:r>
      <w:r w:rsidR="008C565B" w:rsidRPr="008C565B">
        <w:rPr>
          <w:b/>
          <w:bCs/>
          <w:noProof/>
        </w:rPr>
        <w:t>5</w:t>
      </w:r>
      <w:r w:rsidR="0089374C" w:rsidRPr="00C05449">
        <w:rPr>
          <w:rFonts w:eastAsiaTheme="minorHAnsi"/>
          <w:b/>
          <w:bCs/>
          <w:lang w:val="en-GB"/>
        </w:rPr>
        <w:fldChar w:fldCharType="end"/>
      </w:r>
      <w:r w:rsidR="00E13B99" w:rsidRPr="00967BAD">
        <w:rPr>
          <w:rFonts w:eastAsiaTheme="minorHAnsi"/>
          <w:b/>
          <w:bCs/>
          <w:lang w:val="en-GB"/>
        </w:rPr>
        <w:t>f</w:t>
      </w:r>
      <w:r w:rsidR="0089374C">
        <w:rPr>
          <w:rFonts w:eastAsiaTheme="minorHAnsi"/>
          <w:lang w:val="en-GB"/>
        </w:rPr>
        <w:t xml:space="preserve"> as a function of potential. Although the capacitance is somewhat reduced below 0.8 V, the values above </w:t>
      </w:r>
      <w:r w:rsidR="00E93BF7">
        <w:rPr>
          <w:rFonts w:eastAsiaTheme="minorHAnsi"/>
          <w:lang w:val="en-GB"/>
        </w:rPr>
        <w:t xml:space="preserve">0.8 V </w:t>
      </w:r>
      <w:r w:rsidR="0089374C">
        <w:rPr>
          <w:rFonts w:eastAsiaTheme="minorHAnsi"/>
          <w:lang w:val="en-GB"/>
        </w:rPr>
        <w:t xml:space="preserve">are in good agreement with all the previous capacitance values derived by the </w:t>
      </w:r>
      <w:r w:rsidR="00E13B99">
        <w:rPr>
          <w:rFonts w:eastAsiaTheme="minorHAnsi"/>
          <w:lang w:val="en-GB"/>
        </w:rPr>
        <w:t xml:space="preserve">other electrochemical means. Not surprisingly, the shape of the capacitance profile </w:t>
      </w:r>
      <w:r w:rsidR="00FE64CB">
        <w:rPr>
          <w:rFonts w:eastAsiaTheme="minorHAnsi"/>
          <w:lang w:val="en-GB"/>
        </w:rPr>
        <w:t>follows</w:t>
      </w:r>
      <w:r w:rsidR="00E13B99">
        <w:rPr>
          <w:rFonts w:eastAsiaTheme="minorHAnsi"/>
          <w:lang w:val="en-GB"/>
        </w:rPr>
        <w:t xml:space="preserve"> the fine-structure of the CV curve. The </w:t>
      </w:r>
      <w:r w:rsidR="004E704E">
        <w:rPr>
          <w:rFonts w:eastAsiaTheme="minorHAnsi"/>
          <w:lang w:val="en-GB"/>
        </w:rPr>
        <w:t xml:space="preserve">above-mentioned narrow </w:t>
      </w:r>
      <w:r w:rsidR="00E13B99">
        <w:rPr>
          <w:rFonts w:eastAsiaTheme="minorHAnsi"/>
          <w:lang w:val="en-GB"/>
        </w:rPr>
        <w:t>pulse voltammetry protocol was extended to cover a broad</w:t>
      </w:r>
      <w:r w:rsidR="004E704E">
        <w:rPr>
          <w:rFonts w:eastAsiaTheme="minorHAnsi"/>
          <w:lang w:val="en-GB"/>
        </w:rPr>
        <w:t>er</w:t>
      </w:r>
      <w:r w:rsidR="00E13B99">
        <w:rPr>
          <w:rFonts w:eastAsiaTheme="minorHAnsi"/>
          <w:lang w:val="en-GB"/>
        </w:rPr>
        <w:t xml:space="preserve"> potential window, with </w:t>
      </w:r>
      <w:proofErr w:type="spellStart"/>
      <w:r w:rsidR="00E13B99" w:rsidRPr="00DE0C14">
        <w:rPr>
          <w:rFonts w:eastAsiaTheme="minorHAnsi"/>
          <w:i/>
          <w:iCs/>
          <w:lang w:val="en-GB"/>
        </w:rPr>
        <w:t>E</w:t>
      </w:r>
      <w:r w:rsidR="00E13B99">
        <w:rPr>
          <w:rFonts w:eastAsiaTheme="minorHAnsi"/>
          <w:vertAlign w:val="subscript"/>
          <w:lang w:val="en-GB"/>
        </w:rPr>
        <w:t>cat</w:t>
      </w:r>
      <w:proofErr w:type="spellEnd"/>
      <w:r w:rsidR="00E13B99" w:rsidRPr="00DE0C14">
        <w:rPr>
          <w:rFonts w:eastAsiaTheme="minorHAnsi"/>
          <w:lang w:val="en-GB"/>
        </w:rPr>
        <w:t xml:space="preserve"> = 0.7</w:t>
      </w:r>
      <w:r w:rsidR="00E13B99">
        <w:rPr>
          <w:rFonts w:eastAsiaTheme="minorHAnsi"/>
          <w:lang w:val="en-GB"/>
        </w:rPr>
        <w:t>5</w:t>
      </w:r>
      <w:r w:rsidR="00FE64CB">
        <w:rPr>
          <w:rFonts w:eastAsiaTheme="minorHAnsi"/>
          <w:lang w:val="en-GB"/>
        </w:rPr>
        <w:t xml:space="preserve"> </w:t>
      </w:r>
      <w:r w:rsidR="00E13B99" w:rsidRPr="00DE0C14">
        <w:rPr>
          <w:rFonts w:eastAsiaTheme="minorHAnsi"/>
          <w:lang w:val="en-GB"/>
        </w:rPr>
        <w:t>V</w:t>
      </w:r>
      <w:r w:rsidR="00E13B99">
        <w:rPr>
          <w:rFonts w:eastAsiaTheme="minorHAnsi"/>
          <w:lang w:val="en-GB"/>
        </w:rPr>
        <w:t>. Although the data points scatter around the trendline (</w:t>
      </w:r>
      <w:r w:rsidR="00E13B99" w:rsidRPr="00C05449">
        <w:rPr>
          <w:rFonts w:eastAsiaTheme="minorHAnsi"/>
          <w:b/>
          <w:bCs/>
          <w:lang w:val="en-GB"/>
        </w:rPr>
        <w:fldChar w:fldCharType="begin"/>
      </w:r>
      <w:r w:rsidR="00E13B99" w:rsidRPr="00C05449">
        <w:rPr>
          <w:rFonts w:eastAsiaTheme="minorHAnsi"/>
          <w:b/>
          <w:bCs/>
          <w:lang w:val="en-GB"/>
        </w:rPr>
        <w:instrText xml:space="preserve"> REF _Ref159273731 \h  \* MERGEFORMAT </w:instrText>
      </w:r>
      <w:r w:rsidR="00E13B99" w:rsidRPr="00C05449">
        <w:rPr>
          <w:rFonts w:eastAsiaTheme="minorHAnsi"/>
          <w:b/>
          <w:bCs/>
          <w:lang w:val="en-GB"/>
        </w:rPr>
      </w:r>
      <w:r w:rsidR="00E13B99" w:rsidRPr="00C05449">
        <w:rPr>
          <w:rFonts w:eastAsiaTheme="minorHAnsi"/>
          <w:b/>
          <w:bCs/>
          <w:lang w:val="en-GB"/>
        </w:rPr>
        <w:fldChar w:fldCharType="separate"/>
      </w:r>
      <w:r w:rsidR="008C565B" w:rsidRPr="008C565B">
        <w:rPr>
          <w:b/>
          <w:bCs/>
        </w:rPr>
        <w:t xml:space="preserve">Figure </w:t>
      </w:r>
      <w:r w:rsidR="008C565B" w:rsidRPr="008C565B">
        <w:rPr>
          <w:b/>
          <w:bCs/>
          <w:noProof/>
        </w:rPr>
        <w:t>5</w:t>
      </w:r>
      <w:r w:rsidR="00E13B99" w:rsidRPr="00C05449">
        <w:rPr>
          <w:rFonts w:eastAsiaTheme="minorHAnsi"/>
          <w:b/>
          <w:bCs/>
          <w:lang w:val="en-GB"/>
        </w:rPr>
        <w:fldChar w:fldCharType="end"/>
      </w:r>
      <w:r w:rsidR="00E13B99" w:rsidRPr="00967BAD">
        <w:rPr>
          <w:rFonts w:eastAsiaTheme="minorHAnsi"/>
          <w:b/>
          <w:bCs/>
          <w:lang w:val="en-GB"/>
        </w:rPr>
        <w:t>g</w:t>
      </w:r>
      <w:r w:rsidR="00E13B99">
        <w:rPr>
          <w:rFonts w:eastAsiaTheme="minorHAnsi"/>
          <w:lang w:val="en-GB"/>
        </w:rPr>
        <w:t xml:space="preserve">), which is expected considering a </w:t>
      </w:r>
      <w:r w:rsidR="004E704E">
        <w:rPr>
          <w:rFonts w:eastAsiaTheme="minorHAnsi"/>
          <w:lang w:val="en-GB"/>
        </w:rPr>
        <w:t>slightly</w:t>
      </w:r>
      <w:r w:rsidR="00E13B99">
        <w:rPr>
          <w:rFonts w:eastAsiaTheme="minorHAnsi"/>
          <w:lang w:val="en-GB"/>
        </w:rPr>
        <w:t xml:space="preserve"> structured shape of the CV, the average capacitance derived by charge integration is 19.74 mF. This is again in excellent agreement with the above results.</w:t>
      </w:r>
      <w:r w:rsidR="00004F91">
        <w:rPr>
          <w:rFonts w:eastAsiaTheme="minorHAnsi"/>
          <w:lang w:val="en-GB"/>
        </w:rPr>
        <w:t xml:space="preserve"> </w:t>
      </w:r>
    </w:p>
    <w:p w14:paraId="2D678DBA" w14:textId="4C32D8EB" w:rsidR="00004F91" w:rsidRDefault="00004F91" w:rsidP="008C4356">
      <w:pPr>
        <w:ind w:firstLine="720"/>
        <w:rPr>
          <w:rFonts w:eastAsiaTheme="minorHAnsi"/>
          <w:lang w:val="en-GB"/>
        </w:rPr>
      </w:pPr>
      <w:r>
        <w:rPr>
          <w:rFonts w:eastAsiaTheme="minorHAnsi"/>
          <w:lang w:val="en-GB"/>
        </w:rPr>
        <w:t>As the pseudocapacitive deprotonation process is accompanied by an oxidation process of the catalyst, this latter</w:t>
      </w:r>
      <w:r w:rsidR="004F30CB">
        <w:rPr>
          <w:rFonts w:eastAsiaTheme="minorHAnsi"/>
          <w:lang w:val="en-GB"/>
        </w:rPr>
        <w:t xml:space="preserve"> process</w:t>
      </w:r>
      <w:r>
        <w:rPr>
          <w:rFonts w:eastAsiaTheme="minorHAnsi"/>
          <w:lang w:val="en-GB"/>
        </w:rPr>
        <w:t xml:space="preserve"> can be followed by </w:t>
      </w:r>
      <w:r w:rsidR="00FE64CB" w:rsidRPr="00FE64CB">
        <w:rPr>
          <w:rFonts w:eastAsiaTheme="minorHAnsi"/>
          <w:i/>
          <w:iCs/>
          <w:lang w:val="en-GB"/>
        </w:rPr>
        <w:t>operando</w:t>
      </w:r>
      <w:r w:rsidRPr="00004F91">
        <w:rPr>
          <w:rFonts w:eastAsiaTheme="minorHAnsi"/>
          <w:lang w:val="en-GB"/>
        </w:rPr>
        <w:t xml:space="preserve"> </w:t>
      </w:r>
      <w:r w:rsidR="00883C93">
        <w:rPr>
          <w:rFonts w:eastAsiaTheme="minorHAnsi"/>
          <w:lang w:val="en-GB"/>
        </w:rPr>
        <w:t>XAS</w:t>
      </w:r>
      <w:r>
        <w:rPr>
          <w:rFonts w:eastAsiaTheme="minorHAnsi"/>
          <w:lang w:val="en-GB"/>
        </w:rPr>
        <w:t xml:space="preserve">. </w:t>
      </w:r>
      <w:r w:rsidRPr="00C05449">
        <w:rPr>
          <w:rFonts w:eastAsiaTheme="minorHAnsi"/>
          <w:b/>
          <w:bCs/>
          <w:lang w:val="en-GB"/>
        </w:rPr>
        <w:fldChar w:fldCharType="begin"/>
      </w:r>
      <w:r w:rsidRPr="00C05449">
        <w:rPr>
          <w:rFonts w:eastAsiaTheme="minorHAnsi"/>
          <w:b/>
          <w:bCs/>
          <w:lang w:val="en-GB"/>
        </w:rPr>
        <w:instrText xml:space="preserve"> REF _Ref159273731 \h  \* MERGEFORMAT </w:instrText>
      </w:r>
      <w:r w:rsidRPr="00C05449">
        <w:rPr>
          <w:rFonts w:eastAsiaTheme="minorHAnsi"/>
          <w:b/>
          <w:bCs/>
          <w:lang w:val="en-GB"/>
        </w:rPr>
      </w:r>
      <w:r w:rsidRPr="00C05449">
        <w:rPr>
          <w:rFonts w:eastAsiaTheme="minorHAnsi"/>
          <w:b/>
          <w:bCs/>
          <w:lang w:val="en-GB"/>
        </w:rPr>
        <w:fldChar w:fldCharType="separate"/>
      </w:r>
      <w:r w:rsidR="008C565B" w:rsidRPr="008C565B">
        <w:rPr>
          <w:b/>
          <w:bCs/>
        </w:rPr>
        <w:t xml:space="preserve">Figure </w:t>
      </w:r>
      <w:r w:rsidR="008C565B" w:rsidRPr="008C565B">
        <w:rPr>
          <w:b/>
          <w:bCs/>
          <w:noProof/>
        </w:rPr>
        <w:t>5</w:t>
      </w:r>
      <w:r w:rsidRPr="00C05449">
        <w:rPr>
          <w:rFonts w:eastAsiaTheme="minorHAnsi"/>
          <w:b/>
          <w:bCs/>
          <w:lang w:val="en-GB"/>
        </w:rPr>
        <w:fldChar w:fldCharType="end"/>
      </w:r>
      <w:r w:rsidRPr="00967BAD">
        <w:rPr>
          <w:rFonts w:eastAsiaTheme="minorHAnsi"/>
          <w:b/>
          <w:bCs/>
          <w:lang w:val="en-GB"/>
        </w:rPr>
        <w:t>h</w:t>
      </w:r>
      <w:r>
        <w:rPr>
          <w:rFonts w:eastAsiaTheme="minorHAnsi"/>
          <w:lang w:val="en-GB"/>
        </w:rPr>
        <w:t xml:space="preserve"> and </w:t>
      </w:r>
      <w:proofErr w:type="spellStart"/>
      <w:r w:rsidR="00E93BF7" w:rsidRPr="002C462C">
        <w:rPr>
          <w:rFonts w:eastAsiaTheme="minorHAnsi"/>
          <w:b/>
          <w:bCs/>
          <w:lang w:val="en-GB"/>
        </w:rPr>
        <w:t>i</w:t>
      </w:r>
      <w:proofErr w:type="spellEnd"/>
      <w:r>
        <w:rPr>
          <w:rFonts w:eastAsiaTheme="minorHAnsi"/>
          <w:lang w:val="en-GB"/>
        </w:rPr>
        <w:t xml:space="preserve"> provide </w:t>
      </w:r>
      <w:r w:rsidR="00FE64CB" w:rsidRPr="00FE64CB">
        <w:rPr>
          <w:rFonts w:eastAsiaTheme="minorHAnsi"/>
          <w:i/>
          <w:iCs/>
          <w:lang w:val="en-GB"/>
        </w:rPr>
        <w:t>operando</w:t>
      </w:r>
      <w:r w:rsidR="00883C93">
        <w:rPr>
          <w:rFonts w:eastAsiaTheme="minorHAnsi"/>
          <w:lang w:val="en-GB"/>
        </w:rPr>
        <w:t xml:space="preserve"> spectroscopic information collected </w:t>
      </w:r>
      <w:r w:rsidR="00470156">
        <w:rPr>
          <w:rFonts w:eastAsiaTheme="minorHAnsi"/>
          <w:lang w:val="en-GB"/>
        </w:rPr>
        <w:t xml:space="preserve">at </w:t>
      </w:r>
      <w:r w:rsidR="00883C93">
        <w:rPr>
          <w:rFonts w:eastAsiaTheme="minorHAnsi"/>
          <w:lang w:val="en-GB"/>
        </w:rPr>
        <w:t xml:space="preserve">the </w:t>
      </w:r>
      <w:proofErr w:type="spellStart"/>
      <w:r w:rsidR="00883C93">
        <w:rPr>
          <w:rFonts w:eastAsiaTheme="minorHAnsi"/>
          <w:lang w:val="en-GB"/>
        </w:rPr>
        <w:t>Ir</w:t>
      </w:r>
      <w:proofErr w:type="spellEnd"/>
      <w:r w:rsidR="00883C93">
        <w:rPr>
          <w:rFonts w:eastAsiaTheme="minorHAnsi"/>
          <w:lang w:val="en-GB"/>
        </w:rPr>
        <w:t xml:space="preserve"> L-edge</w:t>
      </w:r>
      <w:r w:rsidR="008A6D5D">
        <w:rPr>
          <w:rFonts w:eastAsiaTheme="minorHAnsi"/>
          <w:lang w:val="en-GB"/>
        </w:rPr>
        <w:t>s</w:t>
      </w:r>
      <w:r w:rsidR="00883C93">
        <w:rPr>
          <w:rFonts w:eastAsiaTheme="minorHAnsi"/>
          <w:lang w:val="en-GB"/>
        </w:rPr>
        <w:t>. T</w:t>
      </w:r>
      <w:r w:rsidR="00883C93" w:rsidRPr="00883C93">
        <w:rPr>
          <w:rFonts w:eastAsiaTheme="minorHAnsi"/>
          <w:lang w:val="en-GB"/>
        </w:rPr>
        <w:t xml:space="preserve">he integral intensity of </w:t>
      </w:r>
      <w:r w:rsidR="00883C93">
        <w:rPr>
          <w:rFonts w:eastAsiaTheme="minorHAnsi"/>
          <w:lang w:val="en-GB"/>
        </w:rPr>
        <w:t>the L</w:t>
      </w:r>
      <w:r w:rsidR="00883C93" w:rsidRPr="00883C93">
        <w:rPr>
          <w:rFonts w:eastAsiaTheme="minorHAnsi"/>
          <w:vertAlign w:val="subscript"/>
          <w:lang w:val="en-GB"/>
        </w:rPr>
        <w:t>3+2</w:t>
      </w:r>
      <w:r w:rsidR="00883C93" w:rsidRPr="00883C93">
        <w:rPr>
          <w:rFonts w:eastAsiaTheme="minorHAnsi"/>
          <w:lang w:val="en-GB"/>
        </w:rPr>
        <w:t xml:space="preserve"> white lines</w:t>
      </w:r>
      <w:r w:rsidR="00E93BF7">
        <w:rPr>
          <w:rFonts w:eastAsiaTheme="minorHAnsi"/>
          <w:lang w:val="en-GB"/>
        </w:rPr>
        <w:t>,</w:t>
      </w:r>
      <w:r w:rsidR="00883C93">
        <w:rPr>
          <w:rFonts w:eastAsiaTheme="minorHAnsi"/>
          <w:lang w:val="en-GB"/>
        </w:rPr>
        <w:t xml:space="preserve"> </w:t>
      </w:r>
      <w:r w:rsidR="00883C93" w:rsidRPr="00883C93">
        <w:rPr>
          <w:rFonts w:eastAsiaTheme="minorHAnsi"/>
          <w:lang w:val="en-GB"/>
        </w:rPr>
        <w:t>measured as a function of applied potential, quantifies the number of</w:t>
      </w:r>
      <w:r w:rsidR="00883C93">
        <w:rPr>
          <w:rFonts w:eastAsiaTheme="minorHAnsi"/>
          <w:lang w:val="en-GB"/>
        </w:rPr>
        <w:t xml:space="preserve"> </w:t>
      </w:r>
      <w:r w:rsidR="00883C93" w:rsidRPr="00883C93">
        <w:rPr>
          <w:rFonts w:eastAsiaTheme="minorHAnsi"/>
          <w:lang w:val="en-GB"/>
        </w:rPr>
        <w:t>empty 5d states and hence the oxidation state of Ir</w:t>
      </w:r>
      <w:r w:rsidR="00883C93">
        <w:rPr>
          <w:rFonts w:eastAsiaTheme="minorHAnsi"/>
          <w:lang w:val="en-GB"/>
        </w:rPr>
        <w:t>.</w:t>
      </w:r>
      <w:r w:rsidR="00883C93">
        <w:rPr>
          <w:rFonts w:eastAsiaTheme="minorHAnsi"/>
          <w:lang w:val="en-GB"/>
        </w:rPr>
        <w:fldChar w:fldCharType="begin"/>
      </w:r>
      <w:r w:rsidR="00FC5BEB">
        <w:rPr>
          <w:rFonts w:eastAsiaTheme="minorHAnsi"/>
          <w:lang w:val="en-GB"/>
        </w:rPr>
        <w:instrText xml:space="preserve"> ADDIN EN.CITE &lt;EndNote&gt;&lt;Cite&gt;&lt;Author&gt;Clancy&lt;/Author&gt;&lt;Year&gt;2012&lt;/Year&gt;&lt;RecNum&gt;91&lt;/RecNum&gt;&lt;DisplayText&gt;&lt;style face="superscript"&gt;93&lt;/style&gt;&lt;/DisplayText&gt;&lt;record&gt;&lt;rec-number&gt;91&lt;/rec-number&gt;&lt;foreign-keys&gt;&lt;key app="EN" db-id="2xex0erf4eexr4e2dpbxpdd829xttesxxxdr" timestamp="1715075296"&gt;91&lt;/key&gt;&lt;/foreign-keys&gt;&lt;ref-type name="Journal Article"&gt;17&lt;/ref-type&gt;&lt;contributors&gt;&lt;authors&gt;&lt;author&gt;Clancy, J. P.&lt;/author&gt;&lt;author&gt;Chen, N.&lt;/author&gt;&lt;author&gt;Kim, C. Y.&lt;/author&gt;&lt;author&gt;Chen, W. F.&lt;/author&gt;&lt;author&gt;Plumb, K. W.&lt;/author&gt;&lt;author&gt;Jeon, B. C.&lt;/author&gt;&lt;author&gt;Noh, T. W.&lt;/author&gt;&lt;author&gt;Kim, Young June&lt;/author&gt;&lt;/authors&gt;&lt;/contributors&gt;&lt;titles&gt;&lt;title&gt;Spin-orbit coupling in iridium-based 5d compounds probed by x-ray absorption spectroscopy&lt;/title&gt;&lt;secondary-title&gt;Physical Review B&lt;/secondary-title&gt;&lt;/titles&gt;&lt;periodical&gt;&lt;full-title&gt;Physical Review B&lt;/full-title&gt;&lt;abbr-1&gt;Phys. Rev. B&lt;/abbr-1&gt;&lt;abbr-2&gt;Phys Rev B&lt;/abbr-2&gt;&lt;/periodical&gt;&lt;pages&gt;195131-195131&lt;/pages&gt;&lt;volume&gt;86&lt;/volume&gt;&lt;number&gt;19&lt;/number&gt;&lt;dates&gt;&lt;year&gt;2012&lt;/year&gt;&lt;/dates&gt;&lt;urls&gt;&lt;/urls&gt;&lt;electronic-resource-num&gt;10.1103/PhysRevB.86.195131&lt;/electronic-resource-num&gt;&lt;/record&gt;&lt;/Cite&gt;&lt;/EndNote&gt;</w:instrText>
      </w:r>
      <w:r w:rsidR="00883C93">
        <w:rPr>
          <w:rFonts w:eastAsiaTheme="minorHAnsi"/>
          <w:lang w:val="en-GB"/>
        </w:rPr>
        <w:fldChar w:fldCharType="separate"/>
      </w:r>
      <w:r w:rsidR="00FC5BEB" w:rsidRPr="00FC5BEB">
        <w:rPr>
          <w:rFonts w:eastAsiaTheme="minorHAnsi"/>
          <w:noProof/>
          <w:vertAlign w:val="superscript"/>
          <w:lang w:val="en-GB"/>
        </w:rPr>
        <w:t>93</w:t>
      </w:r>
      <w:r w:rsidR="00883C93">
        <w:rPr>
          <w:rFonts w:eastAsiaTheme="minorHAnsi"/>
          <w:lang w:val="en-GB"/>
        </w:rPr>
        <w:fldChar w:fldCharType="end"/>
      </w:r>
      <w:r w:rsidR="00883C93">
        <w:rPr>
          <w:rFonts w:eastAsiaTheme="minorHAnsi"/>
          <w:lang w:val="en-GB"/>
        </w:rPr>
        <w:t xml:space="preserve"> </w:t>
      </w:r>
      <w:r w:rsidR="00883C93" w:rsidRPr="00883C93">
        <w:rPr>
          <w:rFonts w:eastAsiaTheme="minorHAnsi"/>
          <w:lang w:val="en-GB"/>
        </w:rPr>
        <w:t xml:space="preserve">The plot of the steady-state </w:t>
      </w:r>
      <w:r w:rsidR="00883C93">
        <w:rPr>
          <w:rFonts w:eastAsiaTheme="minorHAnsi"/>
          <w:lang w:val="en-GB"/>
        </w:rPr>
        <w:t>white line integral</w:t>
      </w:r>
      <w:r w:rsidR="00883C93" w:rsidRPr="00883C93">
        <w:rPr>
          <w:rFonts w:eastAsiaTheme="minorHAnsi"/>
          <w:lang w:val="en-GB"/>
        </w:rPr>
        <w:t xml:space="preserve"> of </w:t>
      </w:r>
      <w:r w:rsidR="00883C93">
        <w:rPr>
          <w:rFonts w:eastAsiaTheme="minorHAnsi"/>
          <w:lang w:val="en-GB"/>
        </w:rPr>
        <w:t xml:space="preserve">the sample </w:t>
      </w:r>
      <w:r w:rsidR="00883C93" w:rsidRPr="00883C93">
        <w:rPr>
          <w:rFonts w:eastAsiaTheme="minorHAnsi"/>
          <w:lang w:val="en-GB"/>
        </w:rPr>
        <w:t xml:space="preserve">shows that the </w:t>
      </w:r>
      <w:proofErr w:type="spellStart"/>
      <w:r w:rsidR="00883C93" w:rsidRPr="00883C93">
        <w:rPr>
          <w:rFonts w:eastAsiaTheme="minorHAnsi"/>
          <w:lang w:val="en-GB"/>
        </w:rPr>
        <w:t>Ir</w:t>
      </w:r>
      <w:proofErr w:type="spellEnd"/>
      <w:r w:rsidR="00883C93" w:rsidRPr="00883C93">
        <w:rPr>
          <w:rFonts w:eastAsiaTheme="minorHAnsi"/>
          <w:lang w:val="en-GB"/>
        </w:rPr>
        <w:t xml:space="preserve"> oxidation state</w:t>
      </w:r>
      <w:r w:rsidR="00883C93">
        <w:rPr>
          <w:rFonts w:eastAsiaTheme="minorHAnsi"/>
          <w:lang w:val="en-GB"/>
        </w:rPr>
        <w:t xml:space="preserve"> </w:t>
      </w:r>
      <w:r w:rsidR="00883C93" w:rsidRPr="00883C93">
        <w:rPr>
          <w:rFonts w:eastAsiaTheme="minorHAnsi"/>
          <w:lang w:val="en-GB"/>
        </w:rPr>
        <w:t xml:space="preserve">increases linearly with </w:t>
      </w:r>
      <w:r w:rsidR="00E93BF7">
        <w:rPr>
          <w:rFonts w:eastAsiaTheme="minorHAnsi"/>
          <w:lang w:val="en-GB"/>
        </w:rPr>
        <w:t>increasing anodic potential</w:t>
      </w:r>
      <w:r w:rsidR="00883C93" w:rsidRPr="00883C93">
        <w:rPr>
          <w:rFonts w:eastAsiaTheme="minorHAnsi"/>
          <w:lang w:val="en-GB"/>
        </w:rPr>
        <w:t>. Furthermore, the white</w:t>
      </w:r>
      <w:r w:rsidR="004E704E">
        <w:rPr>
          <w:rFonts w:eastAsiaTheme="minorHAnsi"/>
          <w:lang w:val="en-GB"/>
        </w:rPr>
        <w:t xml:space="preserve"> </w:t>
      </w:r>
      <w:r w:rsidR="00883C93" w:rsidRPr="00883C93">
        <w:rPr>
          <w:rFonts w:eastAsiaTheme="minorHAnsi"/>
          <w:lang w:val="en-GB"/>
        </w:rPr>
        <w:t>line intensity at</w:t>
      </w:r>
      <w:r w:rsidR="00883C93">
        <w:rPr>
          <w:rFonts w:eastAsiaTheme="minorHAnsi"/>
          <w:lang w:val="en-GB"/>
        </w:rPr>
        <w:t xml:space="preserve"> a properly selected energy (</w:t>
      </w:r>
      <w:r w:rsidR="00883C93" w:rsidRPr="00883C93">
        <w:rPr>
          <w:rFonts w:eastAsiaTheme="minorHAnsi"/>
          <w:lang w:val="en-GB"/>
        </w:rPr>
        <w:t>11221.5 eV</w:t>
      </w:r>
      <w:r w:rsidR="00883C93">
        <w:rPr>
          <w:rFonts w:eastAsiaTheme="minorHAnsi"/>
          <w:lang w:val="en-GB"/>
        </w:rPr>
        <w:t>)</w:t>
      </w:r>
      <w:r w:rsidR="00883C93" w:rsidRPr="00883C93">
        <w:rPr>
          <w:rFonts w:eastAsiaTheme="minorHAnsi"/>
          <w:lang w:val="en-GB"/>
        </w:rPr>
        <w:t xml:space="preserve"> tracks the </w:t>
      </w:r>
      <w:r w:rsidR="00883C93">
        <w:rPr>
          <w:rFonts w:eastAsiaTheme="minorHAnsi"/>
          <w:lang w:val="en-GB"/>
        </w:rPr>
        <w:t>white line area</w:t>
      </w:r>
      <w:r w:rsidR="00883C93" w:rsidRPr="00883C93">
        <w:rPr>
          <w:rFonts w:eastAsiaTheme="minorHAnsi"/>
          <w:lang w:val="en-GB"/>
        </w:rPr>
        <w:t xml:space="preserve">, enabling </w:t>
      </w:r>
      <w:proofErr w:type="spellStart"/>
      <w:r w:rsidR="00883C93" w:rsidRPr="00883C93">
        <w:rPr>
          <w:rFonts w:eastAsiaTheme="minorHAnsi"/>
          <w:lang w:val="en-GB"/>
        </w:rPr>
        <w:t>potentiodynamic</w:t>
      </w:r>
      <w:proofErr w:type="spellEnd"/>
      <w:r w:rsidR="00883C93">
        <w:rPr>
          <w:rFonts w:eastAsiaTheme="minorHAnsi"/>
          <w:lang w:val="en-GB"/>
        </w:rPr>
        <w:t xml:space="preserve"> XAS experiments. Such </w:t>
      </w:r>
      <w:r w:rsidR="00E93BF7">
        <w:rPr>
          <w:rFonts w:eastAsiaTheme="minorHAnsi"/>
          <w:lang w:val="en-GB"/>
        </w:rPr>
        <w:t xml:space="preserve">an </w:t>
      </w:r>
      <w:r w:rsidR="00883C93">
        <w:rPr>
          <w:rFonts w:eastAsiaTheme="minorHAnsi"/>
          <w:lang w:val="en-GB"/>
        </w:rPr>
        <w:t>experiment (</w:t>
      </w:r>
      <w:r w:rsidR="00883C93" w:rsidRPr="00C05449">
        <w:rPr>
          <w:rFonts w:eastAsiaTheme="minorHAnsi"/>
          <w:b/>
          <w:bCs/>
          <w:lang w:val="en-GB"/>
        </w:rPr>
        <w:fldChar w:fldCharType="begin"/>
      </w:r>
      <w:r w:rsidR="00883C93" w:rsidRPr="00C05449">
        <w:rPr>
          <w:rFonts w:eastAsiaTheme="minorHAnsi"/>
          <w:b/>
          <w:bCs/>
          <w:lang w:val="en-GB"/>
        </w:rPr>
        <w:instrText xml:space="preserve"> REF _Ref159273731 \h  \* MERGEFORMAT </w:instrText>
      </w:r>
      <w:r w:rsidR="00883C93" w:rsidRPr="00C05449">
        <w:rPr>
          <w:rFonts w:eastAsiaTheme="minorHAnsi"/>
          <w:b/>
          <w:bCs/>
          <w:lang w:val="en-GB"/>
        </w:rPr>
      </w:r>
      <w:r w:rsidR="00883C93" w:rsidRPr="00C05449">
        <w:rPr>
          <w:rFonts w:eastAsiaTheme="minorHAnsi"/>
          <w:b/>
          <w:bCs/>
          <w:lang w:val="en-GB"/>
        </w:rPr>
        <w:fldChar w:fldCharType="separate"/>
      </w:r>
      <w:r w:rsidR="008C565B" w:rsidRPr="008C565B">
        <w:rPr>
          <w:b/>
          <w:bCs/>
        </w:rPr>
        <w:t xml:space="preserve">Figure </w:t>
      </w:r>
      <w:r w:rsidR="008C565B" w:rsidRPr="008C565B">
        <w:rPr>
          <w:b/>
          <w:bCs/>
          <w:noProof/>
        </w:rPr>
        <w:t>5</w:t>
      </w:r>
      <w:r w:rsidR="00883C93" w:rsidRPr="00C05449">
        <w:rPr>
          <w:rFonts w:eastAsiaTheme="minorHAnsi"/>
          <w:b/>
          <w:bCs/>
          <w:lang w:val="en-GB"/>
        </w:rPr>
        <w:fldChar w:fldCharType="end"/>
      </w:r>
      <w:proofErr w:type="spellStart"/>
      <w:r w:rsidR="00883C93" w:rsidRPr="00967BAD">
        <w:rPr>
          <w:rFonts w:eastAsiaTheme="minorHAnsi"/>
          <w:b/>
          <w:bCs/>
          <w:lang w:val="en-GB"/>
        </w:rPr>
        <w:t>i</w:t>
      </w:r>
      <w:proofErr w:type="spellEnd"/>
      <w:r w:rsidR="00883C93">
        <w:rPr>
          <w:rFonts w:eastAsiaTheme="minorHAnsi"/>
          <w:lang w:val="en-GB"/>
        </w:rPr>
        <w:t xml:space="preserve">) </w:t>
      </w:r>
      <w:r w:rsidR="00883C93" w:rsidRPr="00883C93">
        <w:rPr>
          <w:rFonts w:eastAsiaTheme="minorHAnsi"/>
          <w:lang w:val="en-GB"/>
        </w:rPr>
        <w:t>show</w:t>
      </w:r>
      <w:r w:rsidR="00E93BF7">
        <w:rPr>
          <w:rFonts w:eastAsiaTheme="minorHAnsi"/>
          <w:lang w:val="en-GB"/>
        </w:rPr>
        <w:t>s</w:t>
      </w:r>
      <w:r w:rsidR="00883C93" w:rsidRPr="00883C93">
        <w:rPr>
          <w:rFonts w:eastAsiaTheme="minorHAnsi"/>
          <w:lang w:val="en-GB"/>
        </w:rPr>
        <w:t xml:space="preserve"> that the </w:t>
      </w:r>
      <w:proofErr w:type="spellStart"/>
      <w:r w:rsidR="00883C93" w:rsidRPr="00883C93">
        <w:rPr>
          <w:rFonts w:eastAsiaTheme="minorHAnsi"/>
          <w:lang w:val="en-GB"/>
        </w:rPr>
        <w:t>Ir</w:t>
      </w:r>
      <w:proofErr w:type="spellEnd"/>
      <w:r w:rsidR="00883C93" w:rsidRPr="00883C93">
        <w:rPr>
          <w:rFonts w:eastAsiaTheme="minorHAnsi"/>
          <w:lang w:val="en-GB"/>
        </w:rPr>
        <w:t xml:space="preserve"> oxidation state</w:t>
      </w:r>
      <w:r w:rsidR="00883C93">
        <w:rPr>
          <w:rFonts w:eastAsiaTheme="minorHAnsi"/>
          <w:lang w:val="en-GB"/>
        </w:rPr>
        <w:t xml:space="preserve"> </w:t>
      </w:r>
      <w:r w:rsidR="00883C93" w:rsidRPr="00883C93">
        <w:rPr>
          <w:rFonts w:eastAsiaTheme="minorHAnsi"/>
          <w:lang w:val="en-GB"/>
        </w:rPr>
        <w:t xml:space="preserve">increases linearly with charge </w:t>
      </w:r>
      <w:r w:rsidR="00E93BF7">
        <w:rPr>
          <w:rFonts w:eastAsiaTheme="minorHAnsi"/>
          <w:lang w:val="en-GB"/>
        </w:rPr>
        <w:t xml:space="preserve">(deduced from the pulse voltammetry experiment during </w:t>
      </w:r>
      <w:r w:rsidR="00FE64CB" w:rsidRPr="00FE64CB">
        <w:rPr>
          <w:rFonts w:eastAsiaTheme="minorHAnsi"/>
          <w:i/>
          <w:iCs/>
          <w:lang w:val="en-GB"/>
        </w:rPr>
        <w:t>operando</w:t>
      </w:r>
      <w:r w:rsidR="00E93BF7">
        <w:rPr>
          <w:rFonts w:eastAsiaTheme="minorHAnsi"/>
          <w:lang w:val="en-GB"/>
        </w:rPr>
        <w:t xml:space="preserve"> L-edge measurement at 11221.5 eV) </w:t>
      </w:r>
      <w:r w:rsidR="00883C93" w:rsidRPr="00883C93">
        <w:rPr>
          <w:rFonts w:eastAsiaTheme="minorHAnsi"/>
          <w:lang w:val="en-GB"/>
        </w:rPr>
        <w:t xml:space="preserve">up to about 20 </w:t>
      </w:r>
      <w:proofErr w:type="spellStart"/>
      <w:r w:rsidR="00883C93" w:rsidRPr="00883C93">
        <w:rPr>
          <w:rFonts w:eastAsiaTheme="minorHAnsi"/>
          <w:lang w:val="en-GB"/>
        </w:rPr>
        <w:t>mC</w:t>
      </w:r>
      <w:proofErr w:type="spellEnd"/>
      <w:r w:rsidR="00883C93">
        <w:rPr>
          <w:rFonts w:eastAsiaTheme="minorHAnsi"/>
          <w:lang w:val="en-GB"/>
        </w:rPr>
        <w:t xml:space="preserve"> (</w:t>
      </w:r>
      <w:r w:rsidR="00B159E4">
        <w:rPr>
          <w:rFonts w:eastAsiaTheme="minorHAnsi"/>
          <w:lang w:val="en-GB"/>
        </w:rPr>
        <w:t>corresponding to 1.4 V</w:t>
      </w:r>
      <w:r w:rsidR="00883C93">
        <w:rPr>
          <w:rFonts w:eastAsiaTheme="minorHAnsi"/>
          <w:lang w:val="en-GB"/>
        </w:rPr>
        <w:t>)</w:t>
      </w:r>
      <w:r w:rsidR="00B159E4">
        <w:rPr>
          <w:rFonts w:eastAsiaTheme="minorHAnsi"/>
          <w:lang w:val="en-GB"/>
        </w:rPr>
        <w:t xml:space="preserve"> and from approximately 1.5 V</w:t>
      </w:r>
      <w:r w:rsidR="00B159E4" w:rsidRPr="00B159E4">
        <w:rPr>
          <w:rFonts w:eastAsiaTheme="minorHAnsi"/>
          <w:lang w:val="en-GB"/>
        </w:rPr>
        <w:t xml:space="preserve"> </w:t>
      </w:r>
      <w:proofErr w:type="spellStart"/>
      <w:r w:rsidR="00B159E4" w:rsidRPr="00B159E4">
        <w:rPr>
          <w:rFonts w:eastAsiaTheme="minorHAnsi"/>
          <w:lang w:val="en-GB"/>
        </w:rPr>
        <w:t>Ir</w:t>
      </w:r>
      <w:proofErr w:type="spellEnd"/>
      <w:r w:rsidR="00B159E4" w:rsidRPr="00B159E4">
        <w:rPr>
          <w:rFonts w:eastAsiaTheme="minorHAnsi"/>
          <w:lang w:val="en-GB"/>
        </w:rPr>
        <w:t xml:space="preserve"> oxidation cannot fully account for the stored charge, </w:t>
      </w:r>
      <w:r w:rsidR="00B159E4">
        <w:rPr>
          <w:rFonts w:eastAsiaTheme="minorHAnsi"/>
          <w:lang w:val="en-GB"/>
        </w:rPr>
        <w:t xml:space="preserve">suggesting </w:t>
      </w:r>
      <w:r w:rsidR="00B159E4" w:rsidRPr="00B159E4">
        <w:rPr>
          <w:rFonts w:eastAsiaTheme="minorHAnsi"/>
          <w:lang w:val="en-GB"/>
        </w:rPr>
        <w:t xml:space="preserve">that additional </w:t>
      </w:r>
      <w:r w:rsidR="00B159E4" w:rsidRPr="00B159E4">
        <w:rPr>
          <w:rFonts w:eastAsiaTheme="minorHAnsi"/>
          <w:lang w:val="en-GB"/>
        </w:rPr>
        <w:lastRenderedPageBreak/>
        <w:t xml:space="preserve">means are active. This finding is consistent with </w:t>
      </w:r>
      <w:proofErr w:type="spellStart"/>
      <w:r w:rsidR="00B159E4" w:rsidRPr="00B159E4">
        <w:rPr>
          <w:rFonts w:eastAsiaTheme="minorHAnsi"/>
          <w:lang w:val="en-GB"/>
        </w:rPr>
        <w:t>Ir</w:t>
      </w:r>
      <w:proofErr w:type="spellEnd"/>
      <w:r w:rsidR="00B159E4">
        <w:rPr>
          <w:rFonts w:eastAsiaTheme="minorHAnsi"/>
          <w:lang w:val="en-GB"/>
        </w:rPr>
        <w:t xml:space="preserve"> </w:t>
      </w:r>
      <w:r w:rsidR="00B159E4" w:rsidRPr="00B159E4">
        <w:rPr>
          <w:rFonts w:eastAsiaTheme="minorHAnsi"/>
          <w:lang w:val="en-GB"/>
        </w:rPr>
        <w:t>oxides entering a negative charge-transfer regime for oxidation states</w:t>
      </w:r>
      <w:r w:rsidR="00B159E4">
        <w:rPr>
          <w:rFonts w:eastAsiaTheme="minorHAnsi"/>
          <w:lang w:val="en-GB"/>
        </w:rPr>
        <w:t xml:space="preserve"> beyond </w:t>
      </w:r>
      <w:proofErr w:type="spellStart"/>
      <w:r w:rsidR="00B159E4">
        <w:rPr>
          <w:rFonts w:eastAsiaTheme="minorHAnsi"/>
          <w:lang w:val="en-GB"/>
        </w:rPr>
        <w:t>Ir</w:t>
      </w:r>
      <w:proofErr w:type="spellEnd"/>
      <w:r w:rsidR="008A6D5D">
        <w:rPr>
          <w:rFonts w:eastAsiaTheme="minorHAnsi"/>
          <w:lang w:val="en-GB"/>
        </w:rPr>
        <w:t>(IV)</w:t>
      </w:r>
      <w:r w:rsidR="00B159E4">
        <w:rPr>
          <w:rFonts w:eastAsiaTheme="minorHAnsi"/>
          <w:lang w:val="en-GB"/>
        </w:rPr>
        <w:t>, resulting in the formation of electrophilic oxygen species (O</w:t>
      </w:r>
      <w:r w:rsidR="008A6D5D">
        <w:rPr>
          <w:rFonts w:eastAsiaTheme="minorHAnsi"/>
          <w:vertAlign w:val="superscript"/>
          <w:lang w:val="en-GB"/>
        </w:rPr>
        <w:t>I-</w:t>
      </w:r>
      <w:r w:rsidR="00B159E4">
        <w:rPr>
          <w:rFonts w:eastAsiaTheme="minorHAnsi"/>
          <w:lang w:val="en-GB"/>
        </w:rPr>
        <w:t>)</w:t>
      </w:r>
      <w:r w:rsidR="008F23FC">
        <w:rPr>
          <w:rFonts w:eastAsiaTheme="minorHAnsi"/>
          <w:lang w:val="en-GB"/>
        </w:rPr>
        <w:t>, see later</w:t>
      </w:r>
      <w:r w:rsidR="00B159E4">
        <w:rPr>
          <w:rFonts w:eastAsiaTheme="minorHAnsi"/>
          <w:lang w:val="en-GB"/>
        </w:rPr>
        <w:t>.</w:t>
      </w:r>
      <w:r w:rsidR="00B159E4">
        <w:rPr>
          <w:rFonts w:eastAsiaTheme="minorHAnsi"/>
          <w:lang w:val="en-GB"/>
        </w:rPr>
        <w:fldChar w:fldCharType="begin"/>
      </w:r>
      <w:r w:rsidR="00FC5BEB">
        <w:rPr>
          <w:rFonts w:eastAsiaTheme="minorHAnsi"/>
          <w:lang w:val="en-GB"/>
        </w:rPr>
        <w:instrText xml:space="preserve"> ADDIN EN.CITE &lt;EndNote&gt;&lt;Cite&gt;&lt;Author&gt;Pfeifer&lt;/Author&gt;&lt;Year&gt;2017&lt;/Year&gt;&lt;RecNum&gt;92&lt;/RecNum&gt;&lt;DisplayText&gt;&lt;style face="superscript"&gt;94&lt;/style&gt;&lt;/DisplayText&gt;&lt;record&gt;&lt;rec-number&gt;92&lt;/rec-number&gt;&lt;foreign-keys&gt;&lt;key app="EN" db-id="2xex0erf4eexr4e2dpbxpdd829xttesxxxdr" timestamp="1715075296"&gt;92&lt;/key&gt;&lt;/foreign-keys&gt;&lt;ref-type name="Journal Article"&gt;17&lt;/ref-type&gt;&lt;contributors&gt;&lt;authors&gt;&lt;author&gt;Pfeifer, V.&lt;/author&gt;&lt;author&gt;Jones, T. E.&lt;/author&gt;&lt;author&gt;Velasco Vélez, J. J.&lt;/author&gt;&lt;author&gt;Arrigo, R.&lt;/author&gt;&lt;author&gt;Piccinin, S.&lt;/author&gt;&lt;author&gt;Hävecker, M.&lt;/author&gt;&lt;author&gt;Knop-Gericke, A.&lt;/author&gt;&lt;author&gt;Schlögl, R.&lt;/author&gt;&lt;/authors&gt;&lt;/contributors&gt;&lt;titles&gt;&lt;title&gt;In situ observation of reactive oxygen species forming on oxygen-evolving iridium surfaces&lt;/title&gt;&lt;secondary-title&gt;Chem. Sci.&lt;/secondary-title&gt;&lt;/titles&gt;&lt;periodical&gt;&lt;full-title&gt;Chem. Sci.&lt;/full-title&gt;&lt;/periodical&gt;&lt;pages&gt;2143-2149&lt;/pages&gt;&lt;volume&gt;8&lt;/volume&gt;&lt;number&gt;3&lt;/number&gt;&lt;dates&gt;&lt;year&gt;2017&lt;/year&gt;&lt;/dates&gt;&lt;urls&gt;&lt;related-urls&gt;&lt;url&gt;https://www.scopus.com/inward/record.uri?eid=2-s2.0-85014104889&amp;amp;doi=10.1039%2Fc6sc04622c&amp;amp;partnerID=40&amp;amp;md5=45fcd7278f1771674b0568a67da0e1e9&lt;/url&gt;&lt;/related-urls&gt;&lt;/urls&gt;&lt;electronic-resource-num&gt;10.1039/c6sc04622c&lt;/electronic-resource-num&gt;&lt;/record&gt;&lt;/Cite&gt;&lt;/EndNote&gt;</w:instrText>
      </w:r>
      <w:r w:rsidR="00B159E4">
        <w:rPr>
          <w:rFonts w:eastAsiaTheme="minorHAnsi"/>
          <w:lang w:val="en-GB"/>
        </w:rPr>
        <w:fldChar w:fldCharType="separate"/>
      </w:r>
      <w:r w:rsidR="00FC5BEB" w:rsidRPr="00FC5BEB">
        <w:rPr>
          <w:rFonts w:eastAsiaTheme="minorHAnsi"/>
          <w:noProof/>
          <w:vertAlign w:val="superscript"/>
          <w:lang w:val="en-GB"/>
        </w:rPr>
        <w:t>94</w:t>
      </w:r>
      <w:r w:rsidR="00B159E4">
        <w:rPr>
          <w:rFonts w:eastAsiaTheme="minorHAnsi"/>
          <w:lang w:val="en-GB"/>
        </w:rPr>
        <w:fldChar w:fldCharType="end"/>
      </w:r>
      <w:r w:rsidR="00B159E4">
        <w:rPr>
          <w:rFonts w:eastAsiaTheme="minorHAnsi"/>
          <w:lang w:val="en-GB"/>
        </w:rPr>
        <w:t xml:space="preserve"> </w:t>
      </w:r>
    </w:p>
    <w:p w14:paraId="78B4E691" w14:textId="77777777" w:rsidR="002B49B3" w:rsidRDefault="002B49B3" w:rsidP="00040475">
      <w:pPr>
        <w:ind w:firstLine="720"/>
        <w:rPr>
          <w:rFonts w:eastAsiaTheme="minorHAnsi"/>
          <w:lang w:val="en-GB"/>
        </w:rPr>
      </w:pPr>
    </w:p>
    <w:p w14:paraId="4EFE4C40" w14:textId="744196B8" w:rsidR="00E07519" w:rsidRDefault="00004F91" w:rsidP="00040475">
      <w:pPr>
        <w:ind w:firstLine="720"/>
        <w:rPr>
          <w:rFonts w:eastAsiaTheme="minorHAnsi"/>
          <w:lang w:val="en-GB"/>
        </w:rPr>
      </w:pPr>
      <w:r>
        <w:rPr>
          <w:rFonts w:eastAsiaTheme="minorHAnsi"/>
          <w:lang w:val="en-GB"/>
        </w:rPr>
        <w:t xml:space="preserve">We have seen that cathodic current integration upon potential reversal in pulse voltammetry provides an excellent tool to assess charge accumulation under OER. </w:t>
      </w:r>
      <w:r w:rsidR="00B159E4">
        <w:rPr>
          <w:rFonts w:eastAsiaTheme="minorHAnsi"/>
          <w:lang w:val="en-GB"/>
        </w:rPr>
        <w:t>From the above data we can draw some conclusions. (1) There is a continuous (de)protonation process as a function of potential</w:t>
      </w:r>
      <w:r w:rsidR="00FF2D90">
        <w:rPr>
          <w:rFonts w:eastAsiaTheme="minorHAnsi"/>
          <w:lang w:val="en-GB"/>
        </w:rPr>
        <w:t xml:space="preserve">: the stronger the anodic bias, the larger the degree of deprotonation. (2) </w:t>
      </w:r>
      <w:r w:rsidR="00BE400F">
        <w:rPr>
          <w:rFonts w:eastAsiaTheme="minorHAnsi"/>
          <w:lang w:val="en-GB"/>
        </w:rPr>
        <w:t>Presumably d</w:t>
      </w:r>
      <w:r w:rsidR="00FF2D90">
        <w:rPr>
          <w:rFonts w:eastAsiaTheme="minorHAnsi"/>
          <w:lang w:val="en-GB"/>
        </w:rPr>
        <w:t xml:space="preserve">ue to </w:t>
      </w:r>
      <w:r w:rsidR="00BE400F">
        <w:rPr>
          <w:rFonts w:eastAsiaTheme="minorHAnsi"/>
          <w:lang w:val="en-GB"/>
        </w:rPr>
        <w:t>electrolyte effects and lateral interaction of intermediates</w:t>
      </w:r>
      <w:r w:rsidR="001D6442">
        <w:rPr>
          <w:rFonts w:eastAsiaTheme="minorHAnsi"/>
          <w:lang w:val="en-GB"/>
        </w:rPr>
        <w:t xml:space="preserve"> (and/or alternatively due to </w:t>
      </w:r>
      <w:r w:rsidR="008F23FC">
        <w:rPr>
          <w:rFonts w:eastAsiaTheme="minorHAnsi"/>
          <w:lang w:val="en-GB"/>
        </w:rPr>
        <w:t>the</w:t>
      </w:r>
      <w:r w:rsidR="008A6D5D">
        <w:rPr>
          <w:rFonts w:eastAsiaTheme="minorHAnsi"/>
          <w:lang w:val="en-GB"/>
        </w:rPr>
        <w:t>,</w:t>
      </w:r>
      <w:r w:rsidR="00D54B7E">
        <w:rPr>
          <w:rFonts w:eastAsiaTheme="minorHAnsi"/>
          <w:lang w:val="en-GB"/>
        </w:rPr>
        <w:t xml:space="preserve"> </w:t>
      </w:r>
      <w:r w:rsidR="00FE64CB">
        <w:rPr>
          <w:rFonts w:eastAsiaTheme="minorHAnsi"/>
          <w:i/>
          <w:iCs/>
          <w:lang w:val="en-GB"/>
        </w:rPr>
        <w:t>a priori</w:t>
      </w:r>
      <w:r w:rsidR="008A6D5D">
        <w:rPr>
          <w:rFonts w:eastAsiaTheme="minorHAnsi"/>
          <w:lang w:val="en-GB"/>
        </w:rPr>
        <w:t>,</w:t>
      </w:r>
      <w:r w:rsidR="001D6442">
        <w:rPr>
          <w:rFonts w:eastAsiaTheme="minorHAnsi"/>
          <w:lang w:val="en-GB"/>
        </w:rPr>
        <w:t xml:space="preserve"> heterogeneity of adsorption/desorption sites)</w:t>
      </w:r>
      <w:r w:rsidR="00FF2D90">
        <w:rPr>
          <w:rFonts w:eastAsiaTheme="minorHAnsi"/>
          <w:lang w:val="en-GB"/>
        </w:rPr>
        <w:t xml:space="preserve">, the </w:t>
      </w:r>
      <w:proofErr w:type="spellStart"/>
      <w:r w:rsidR="00FF2D90">
        <w:rPr>
          <w:rFonts w:eastAsiaTheme="minorHAnsi"/>
          <w:lang w:val="en-GB"/>
        </w:rPr>
        <w:t>pseudocapacitance</w:t>
      </w:r>
      <w:proofErr w:type="spellEnd"/>
      <w:r w:rsidR="00FF2D90">
        <w:rPr>
          <w:rFonts w:eastAsiaTheme="minorHAnsi"/>
          <w:lang w:val="en-GB"/>
        </w:rPr>
        <w:t xml:space="preserve"> of the amorphous </w:t>
      </w:r>
      <w:proofErr w:type="spellStart"/>
      <w:r w:rsidR="00FF2D90">
        <w:rPr>
          <w:rFonts w:eastAsiaTheme="minorHAnsi"/>
          <w:lang w:val="en-GB"/>
        </w:rPr>
        <w:t>Ir</w:t>
      </w:r>
      <w:proofErr w:type="spellEnd"/>
      <w:r w:rsidR="00FF2D90">
        <w:rPr>
          <w:rFonts w:eastAsiaTheme="minorHAnsi"/>
          <w:lang w:val="en-GB"/>
        </w:rPr>
        <w:t xml:space="preserve">-oxide is only weakly potential dependent. (3) Electrochemical techniques and more sophisticated </w:t>
      </w:r>
      <w:r w:rsidR="00FE64CB" w:rsidRPr="00FE64CB">
        <w:rPr>
          <w:rFonts w:eastAsiaTheme="minorHAnsi"/>
          <w:i/>
          <w:iCs/>
          <w:lang w:val="en-GB"/>
        </w:rPr>
        <w:t>operando</w:t>
      </w:r>
      <w:r w:rsidR="00FF2D90">
        <w:rPr>
          <w:rFonts w:eastAsiaTheme="minorHAnsi"/>
          <w:lang w:val="en-GB"/>
        </w:rPr>
        <w:t xml:space="preserve"> XAS techniques seem to track the same process from a different angle. </w:t>
      </w:r>
      <w:r w:rsidR="00E93BF7">
        <w:rPr>
          <w:rFonts w:eastAsiaTheme="minorHAnsi"/>
          <w:lang w:val="en-GB"/>
        </w:rPr>
        <w:t xml:space="preserve">(4) </w:t>
      </w:r>
      <w:r w:rsidR="00037630">
        <w:rPr>
          <w:rFonts w:eastAsiaTheme="minorHAnsi"/>
          <w:lang w:val="en-GB"/>
        </w:rPr>
        <w:t xml:space="preserve">Comparing </w:t>
      </w:r>
      <w:r w:rsidR="00037630" w:rsidRPr="00C05449">
        <w:rPr>
          <w:rFonts w:eastAsiaTheme="minorHAnsi"/>
          <w:b/>
          <w:bCs/>
          <w:lang w:val="en-GB"/>
        </w:rPr>
        <w:fldChar w:fldCharType="begin"/>
      </w:r>
      <w:r w:rsidR="00037630" w:rsidRPr="00C05449">
        <w:rPr>
          <w:rFonts w:eastAsiaTheme="minorHAnsi"/>
          <w:b/>
          <w:bCs/>
          <w:lang w:val="en-GB"/>
        </w:rPr>
        <w:instrText xml:space="preserve"> REF _Ref159273731 \h  \* MERGEFORMAT </w:instrText>
      </w:r>
      <w:r w:rsidR="00037630" w:rsidRPr="00C05449">
        <w:rPr>
          <w:rFonts w:eastAsiaTheme="minorHAnsi"/>
          <w:b/>
          <w:bCs/>
          <w:lang w:val="en-GB"/>
        </w:rPr>
      </w:r>
      <w:r w:rsidR="00037630" w:rsidRPr="00C05449">
        <w:rPr>
          <w:rFonts w:eastAsiaTheme="minorHAnsi"/>
          <w:b/>
          <w:bCs/>
          <w:lang w:val="en-GB"/>
        </w:rPr>
        <w:fldChar w:fldCharType="separate"/>
      </w:r>
      <w:r w:rsidR="008C565B" w:rsidRPr="008C565B">
        <w:rPr>
          <w:b/>
          <w:bCs/>
        </w:rPr>
        <w:t xml:space="preserve">Figure </w:t>
      </w:r>
      <w:r w:rsidR="008C565B" w:rsidRPr="008C565B">
        <w:rPr>
          <w:b/>
          <w:bCs/>
          <w:noProof/>
        </w:rPr>
        <w:t>5</w:t>
      </w:r>
      <w:r w:rsidR="00037630" w:rsidRPr="00C05449">
        <w:rPr>
          <w:rFonts w:eastAsiaTheme="minorHAnsi"/>
          <w:b/>
          <w:bCs/>
          <w:lang w:val="en-GB"/>
        </w:rPr>
        <w:fldChar w:fldCharType="end"/>
      </w:r>
      <w:r w:rsidR="00037630" w:rsidRPr="00967BAD">
        <w:rPr>
          <w:rFonts w:eastAsiaTheme="minorHAnsi"/>
          <w:b/>
          <w:bCs/>
          <w:lang w:val="en-GB"/>
        </w:rPr>
        <w:t>b</w:t>
      </w:r>
      <w:r w:rsidR="00037630">
        <w:rPr>
          <w:rFonts w:eastAsiaTheme="minorHAnsi"/>
          <w:lang w:val="en-GB"/>
        </w:rPr>
        <w:t xml:space="preserve"> and </w:t>
      </w:r>
      <w:r w:rsidR="00037630" w:rsidRPr="00967BAD">
        <w:rPr>
          <w:rFonts w:eastAsiaTheme="minorHAnsi"/>
          <w:b/>
          <w:bCs/>
          <w:lang w:val="en-GB"/>
        </w:rPr>
        <w:t>c</w:t>
      </w:r>
      <w:r w:rsidR="00037630">
        <w:rPr>
          <w:rFonts w:eastAsiaTheme="minorHAnsi"/>
          <w:lang w:val="en-GB"/>
        </w:rPr>
        <w:t xml:space="preserve"> clearly suggests that a continu</w:t>
      </w:r>
      <w:r w:rsidR="008F23FC">
        <w:rPr>
          <w:rFonts w:eastAsiaTheme="minorHAnsi"/>
          <w:lang w:val="en-GB"/>
        </w:rPr>
        <w:t>ou</w:t>
      </w:r>
      <w:r w:rsidR="00037630">
        <w:rPr>
          <w:rFonts w:eastAsiaTheme="minorHAnsi"/>
          <w:lang w:val="en-GB"/>
        </w:rPr>
        <w:t xml:space="preserve">s deprotonation process takes place in the </w:t>
      </w:r>
      <w:r w:rsidR="008A6D06">
        <w:rPr>
          <w:rFonts w:eastAsiaTheme="minorHAnsi"/>
          <w:lang w:val="en-GB"/>
        </w:rPr>
        <w:t>constant</w:t>
      </w:r>
      <w:r w:rsidR="00037630">
        <w:rPr>
          <w:rFonts w:eastAsiaTheme="minorHAnsi"/>
          <w:lang w:val="en-GB"/>
        </w:rPr>
        <w:t xml:space="preserve"> Tafel-slope region</w:t>
      </w:r>
      <w:r w:rsidR="00040475">
        <w:rPr>
          <w:rFonts w:eastAsiaTheme="minorHAnsi"/>
          <w:lang w:val="en-GB"/>
        </w:rPr>
        <w:t xml:space="preserve"> of 39 mV/dec</w:t>
      </w:r>
      <w:r w:rsidR="00037630">
        <w:rPr>
          <w:rFonts w:eastAsiaTheme="minorHAnsi"/>
          <w:lang w:val="en-GB"/>
        </w:rPr>
        <w:t>, and hence the coverage cannot be constant.</w:t>
      </w:r>
      <w:r w:rsidR="00B21A6B">
        <w:rPr>
          <w:rFonts w:eastAsiaTheme="minorHAnsi"/>
          <w:lang w:val="en-GB"/>
        </w:rPr>
        <w:t xml:space="preserve"> </w:t>
      </w:r>
      <w:r w:rsidR="00E93BF7">
        <w:rPr>
          <w:rFonts w:eastAsiaTheme="minorHAnsi"/>
          <w:lang w:val="en-GB"/>
        </w:rPr>
        <w:t xml:space="preserve">(5) Interestingly, the change of the Tafel slope was associated with </w:t>
      </w:r>
      <w:r w:rsidR="005965DD">
        <w:rPr>
          <w:rFonts w:eastAsiaTheme="minorHAnsi"/>
          <w:lang w:val="en-GB"/>
        </w:rPr>
        <w:t xml:space="preserve">the </w:t>
      </w:r>
      <w:r w:rsidR="00E93BF7">
        <w:rPr>
          <w:rFonts w:eastAsiaTheme="minorHAnsi"/>
          <w:lang w:val="en-GB"/>
        </w:rPr>
        <w:t>chang</w:t>
      </w:r>
      <w:r w:rsidR="00040475">
        <w:rPr>
          <w:rFonts w:eastAsiaTheme="minorHAnsi"/>
          <w:lang w:val="en-GB"/>
        </w:rPr>
        <w:t>ing</w:t>
      </w:r>
      <w:r w:rsidR="00E93BF7">
        <w:rPr>
          <w:rFonts w:eastAsiaTheme="minorHAnsi"/>
          <w:lang w:val="en-GB"/>
        </w:rPr>
        <w:t xml:space="preserve"> </w:t>
      </w:r>
      <w:r w:rsidR="00E93BF7" w:rsidRPr="00040475">
        <w:rPr>
          <w:rFonts w:eastAsiaTheme="minorHAnsi"/>
          <w:i/>
          <w:iCs/>
          <w:lang w:val="en-GB"/>
        </w:rPr>
        <w:t>rate</w:t>
      </w:r>
      <w:r w:rsidR="00E93BF7">
        <w:rPr>
          <w:rFonts w:eastAsiaTheme="minorHAnsi"/>
          <w:lang w:val="en-GB"/>
        </w:rPr>
        <w:t xml:space="preserve"> </w:t>
      </w:r>
      <w:r w:rsidR="00040475">
        <w:rPr>
          <w:rFonts w:eastAsiaTheme="minorHAnsi"/>
          <w:lang w:val="en-GB"/>
        </w:rPr>
        <w:t>of</w:t>
      </w:r>
      <w:r w:rsidR="00E93BF7">
        <w:rPr>
          <w:rFonts w:eastAsiaTheme="minorHAnsi"/>
          <w:lang w:val="en-GB"/>
        </w:rPr>
        <w:t xml:space="preserve"> the deprotonation process</w:t>
      </w:r>
      <w:r w:rsidR="008A6D5D">
        <w:rPr>
          <w:rFonts w:eastAsiaTheme="minorHAnsi"/>
          <w:lang w:val="en-GB"/>
        </w:rPr>
        <w:t xml:space="preserve"> with respect to potential</w:t>
      </w:r>
      <w:r w:rsidR="00E93BF7">
        <w:rPr>
          <w:rFonts w:eastAsiaTheme="minorHAnsi"/>
          <w:lang w:val="en-GB"/>
        </w:rPr>
        <w:t>.</w:t>
      </w:r>
      <w:r w:rsidR="00BE400F">
        <w:rPr>
          <w:rFonts w:eastAsiaTheme="minorHAnsi"/>
          <w:lang w:val="en-GB"/>
        </w:rPr>
        <w:t xml:space="preserve"> The microkinetic simulations (e.g. </w:t>
      </w:r>
      <w:r w:rsidR="00BE400F" w:rsidRPr="00C05449">
        <w:rPr>
          <w:rFonts w:eastAsiaTheme="minorHAnsi"/>
          <w:b/>
          <w:bCs/>
          <w:lang w:val="en-GB"/>
        </w:rPr>
        <w:fldChar w:fldCharType="begin"/>
      </w:r>
      <w:r w:rsidR="00BE400F" w:rsidRPr="00C05449">
        <w:rPr>
          <w:rFonts w:eastAsiaTheme="minorHAnsi"/>
          <w:b/>
          <w:bCs/>
          <w:lang w:val="en-GB"/>
        </w:rPr>
        <w:instrText xml:space="preserve"> REF _Ref159271011 \h  \* MERGEFORMAT </w:instrText>
      </w:r>
      <w:r w:rsidR="00BE400F" w:rsidRPr="00C05449">
        <w:rPr>
          <w:rFonts w:eastAsiaTheme="minorHAnsi"/>
          <w:b/>
          <w:bCs/>
          <w:lang w:val="en-GB"/>
        </w:rPr>
      </w:r>
      <w:r w:rsidR="00BE400F" w:rsidRPr="00C05449">
        <w:rPr>
          <w:rFonts w:eastAsiaTheme="minorHAnsi"/>
          <w:b/>
          <w:bCs/>
          <w:lang w:val="en-GB"/>
        </w:rPr>
        <w:fldChar w:fldCharType="separate"/>
      </w:r>
      <w:r w:rsidR="008C565B" w:rsidRPr="00BC70A0">
        <w:rPr>
          <w:b/>
          <w:bCs/>
        </w:rPr>
        <w:t xml:space="preserve">Figure </w:t>
      </w:r>
      <w:r w:rsidR="008C565B">
        <w:rPr>
          <w:b/>
          <w:bCs/>
          <w:noProof/>
        </w:rPr>
        <w:t>4</w:t>
      </w:r>
      <w:r w:rsidR="00BE400F" w:rsidRPr="00C05449">
        <w:rPr>
          <w:rFonts w:eastAsiaTheme="minorHAnsi"/>
          <w:b/>
          <w:bCs/>
          <w:lang w:val="en-GB"/>
        </w:rPr>
        <w:fldChar w:fldCharType="end"/>
      </w:r>
      <w:r w:rsidR="00BE400F">
        <w:rPr>
          <w:rFonts w:eastAsiaTheme="minorHAnsi"/>
          <w:lang w:val="en-GB"/>
        </w:rPr>
        <w:t xml:space="preserve">) we discussed above are clearly at odds with the experimental data presented in </w:t>
      </w:r>
      <w:r w:rsidR="00BE400F" w:rsidRPr="00C05449">
        <w:rPr>
          <w:rFonts w:eastAsiaTheme="minorHAnsi"/>
          <w:b/>
          <w:bCs/>
          <w:lang w:val="en-GB"/>
        </w:rPr>
        <w:fldChar w:fldCharType="begin"/>
      </w:r>
      <w:r w:rsidR="00BE400F" w:rsidRPr="00C05449">
        <w:rPr>
          <w:rFonts w:eastAsiaTheme="minorHAnsi"/>
          <w:b/>
          <w:bCs/>
          <w:lang w:val="en-GB"/>
        </w:rPr>
        <w:instrText xml:space="preserve"> REF _Ref159273731 \h  \* MERGEFORMAT </w:instrText>
      </w:r>
      <w:r w:rsidR="00BE400F" w:rsidRPr="00C05449">
        <w:rPr>
          <w:rFonts w:eastAsiaTheme="minorHAnsi"/>
          <w:b/>
          <w:bCs/>
          <w:lang w:val="en-GB"/>
        </w:rPr>
      </w:r>
      <w:r w:rsidR="00BE400F" w:rsidRPr="00C05449">
        <w:rPr>
          <w:rFonts w:eastAsiaTheme="minorHAnsi"/>
          <w:b/>
          <w:bCs/>
          <w:lang w:val="en-GB"/>
        </w:rPr>
        <w:fldChar w:fldCharType="separate"/>
      </w:r>
      <w:r w:rsidR="008C565B" w:rsidRPr="008C565B">
        <w:rPr>
          <w:b/>
          <w:bCs/>
        </w:rPr>
        <w:t xml:space="preserve">Figure </w:t>
      </w:r>
      <w:r w:rsidR="008C565B" w:rsidRPr="008C565B">
        <w:rPr>
          <w:b/>
          <w:bCs/>
          <w:noProof/>
        </w:rPr>
        <w:t>5</w:t>
      </w:r>
      <w:r w:rsidR="00BE400F" w:rsidRPr="00C05449">
        <w:rPr>
          <w:rFonts w:eastAsiaTheme="minorHAnsi"/>
          <w:b/>
          <w:bCs/>
          <w:lang w:val="en-GB"/>
        </w:rPr>
        <w:fldChar w:fldCharType="end"/>
      </w:r>
      <w:r w:rsidR="00BE400F" w:rsidRPr="00BE400F">
        <w:rPr>
          <w:rFonts w:eastAsiaTheme="minorHAnsi"/>
          <w:lang w:val="en-GB"/>
        </w:rPr>
        <w:t>.</w:t>
      </w:r>
      <w:r w:rsidR="00B21A6B" w:rsidRPr="00BE400F">
        <w:rPr>
          <w:rFonts w:eastAsiaTheme="minorHAnsi"/>
          <w:lang w:val="en-GB"/>
        </w:rPr>
        <w:t xml:space="preserve"> </w:t>
      </w:r>
      <w:r w:rsidR="00BE400F">
        <w:rPr>
          <w:rFonts w:eastAsiaTheme="minorHAnsi"/>
          <w:lang w:val="en-GB"/>
        </w:rPr>
        <w:t xml:space="preserve">The simulation predicted that Tafel slope will stay fixed </w:t>
      </w:r>
      <w:r w:rsidR="00D54B7E">
        <w:rPr>
          <w:rFonts w:eastAsiaTheme="minorHAnsi"/>
          <w:lang w:val="en-GB"/>
        </w:rPr>
        <w:t>when</w:t>
      </w:r>
      <w:r w:rsidR="00BE400F">
        <w:rPr>
          <w:rFonts w:eastAsiaTheme="minorHAnsi"/>
          <w:lang w:val="en-GB"/>
        </w:rPr>
        <w:t xml:space="preserve"> </w:t>
      </w:r>
      <w:r w:rsidR="005965DD">
        <w:rPr>
          <w:rFonts w:eastAsiaTheme="minorHAnsi"/>
          <w:lang w:val="en-GB"/>
        </w:rPr>
        <w:t xml:space="preserve">the </w:t>
      </w:r>
      <w:r w:rsidR="00BE400F">
        <w:rPr>
          <w:rFonts w:eastAsiaTheme="minorHAnsi"/>
          <w:lang w:val="en-GB"/>
        </w:rPr>
        <w:t xml:space="preserve">coverage (and metal oxidation state) </w:t>
      </w:r>
      <w:r w:rsidR="00D54B7E">
        <w:rPr>
          <w:rFonts w:eastAsiaTheme="minorHAnsi"/>
          <w:lang w:val="en-GB"/>
        </w:rPr>
        <w:t>do</w:t>
      </w:r>
      <w:r w:rsidR="008F23FC">
        <w:rPr>
          <w:rFonts w:eastAsiaTheme="minorHAnsi"/>
          <w:lang w:val="en-GB"/>
        </w:rPr>
        <w:t>es</w:t>
      </w:r>
      <w:r w:rsidR="00D54B7E">
        <w:rPr>
          <w:rFonts w:eastAsiaTheme="minorHAnsi"/>
          <w:lang w:val="en-GB"/>
        </w:rPr>
        <w:t xml:space="preserve"> not </w:t>
      </w:r>
      <w:r w:rsidR="00BE400F">
        <w:rPr>
          <w:rFonts w:eastAsiaTheme="minorHAnsi"/>
          <w:lang w:val="en-GB"/>
        </w:rPr>
        <w:t xml:space="preserve">change and slope bending will only occur when the coverage of a relevant intermediate changes, accompanied by oxidation of the catalyst. Instead, experiments suggest that the oxidative charge accumulation and catalyst’s oxidation state change is continuous and seemingly constant Tafel slopes can be observed under continuously changing metal oxidation state. </w:t>
      </w:r>
      <w:r w:rsidR="00040475">
        <w:rPr>
          <w:rFonts w:eastAsiaTheme="minorHAnsi"/>
          <w:lang w:val="en-GB"/>
        </w:rPr>
        <w:t xml:space="preserve">Instead of coverage (and oxidation state) change, the above experimental results indicate that the changing rate of oxidation (and charge accumulation) </w:t>
      </w:r>
      <w:r w:rsidR="008A6D5D">
        <w:rPr>
          <w:rFonts w:eastAsiaTheme="minorHAnsi"/>
          <w:lang w:val="en-GB"/>
        </w:rPr>
        <w:t xml:space="preserve">with respect to potential </w:t>
      </w:r>
      <w:r w:rsidR="00040475">
        <w:rPr>
          <w:rFonts w:eastAsiaTheme="minorHAnsi"/>
          <w:lang w:val="en-GB"/>
        </w:rPr>
        <w:t xml:space="preserve">seems to correlate with bending Tafel slopes. </w:t>
      </w:r>
      <w:r w:rsidR="00B52987" w:rsidRPr="00BE400F">
        <w:rPr>
          <w:rFonts w:eastAsiaTheme="minorHAnsi"/>
          <w:lang w:val="en-GB"/>
        </w:rPr>
        <w:t xml:space="preserve"> </w:t>
      </w:r>
      <w:r w:rsidR="008C4356" w:rsidRPr="00BE400F">
        <w:rPr>
          <w:rFonts w:eastAsiaTheme="minorHAnsi"/>
          <w:lang w:val="en-GB"/>
        </w:rPr>
        <w:t xml:space="preserve"> </w:t>
      </w:r>
    </w:p>
    <w:p w14:paraId="0CC00B98" w14:textId="77777777" w:rsidR="00EF734B" w:rsidRDefault="00EF734B" w:rsidP="00040475">
      <w:pPr>
        <w:ind w:firstLine="720"/>
        <w:rPr>
          <w:rFonts w:eastAsiaTheme="minorHAnsi"/>
          <w:lang w:val="en-GB"/>
        </w:rPr>
      </w:pPr>
    </w:p>
    <w:p w14:paraId="3E897F9D" w14:textId="77777777" w:rsidR="007856F2" w:rsidRPr="00040475" w:rsidRDefault="007856F2" w:rsidP="00605198">
      <w:pPr>
        <w:jc w:val="center"/>
        <w:rPr>
          <w:rFonts w:eastAsiaTheme="minorHAnsi"/>
          <w:lang w:val="en-GB"/>
        </w:rPr>
      </w:pPr>
      <w:r w:rsidRPr="00042D3F">
        <w:rPr>
          <w:noProof/>
          <w:lang w:val="en-GB"/>
        </w:rPr>
        <w:drawing>
          <wp:inline distT="0" distB="0" distL="0" distR="0" wp14:anchorId="0FDA69D0" wp14:editId="4919FF64">
            <wp:extent cx="4663121" cy="3050196"/>
            <wp:effectExtent l="0" t="0" r="0" b="0"/>
            <wp:docPr id="6040050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4005095" name=""/>
                    <pic:cNvPicPr/>
                  </pic:nvPicPr>
                  <pic:blipFill>
                    <a:blip r:embed="rId16"/>
                    <a:stretch>
                      <a:fillRect/>
                    </a:stretch>
                  </pic:blipFill>
                  <pic:spPr>
                    <a:xfrm>
                      <a:off x="0" y="0"/>
                      <a:ext cx="4698126" cy="3073093"/>
                    </a:xfrm>
                    <a:prstGeom prst="rect">
                      <a:avLst/>
                    </a:prstGeom>
                  </pic:spPr>
                </pic:pic>
              </a:graphicData>
            </a:graphic>
          </wp:inline>
        </w:drawing>
      </w:r>
    </w:p>
    <w:p w14:paraId="3BF1891F" w14:textId="11218B0F" w:rsidR="00B51AB1" w:rsidRPr="00042D3F" w:rsidRDefault="00B51AB1" w:rsidP="00FC0AD9">
      <w:pPr>
        <w:pStyle w:val="Caption"/>
        <w:rPr>
          <w:b/>
          <w:i/>
          <w:iCs/>
        </w:rPr>
      </w:pPr>
      <w:bookmarkStart w:id="46" w:name="_Ref159342285"/>
      <w:r w:rsidRPr="00C05449">
        <w:rPr>
          <w:b/>
          <w:bCs w:val="0"/>
          <w:sz w:val="22"/>
        </w:rPr>
        <w:t xml:space="preserve">Figure </w:t>
      </w:r>
      <w:r w:rsidRPr="00C05449">
        <w:rPr>
          <w:b/>
          <w:bCs w:val="0"/>
          <w:sz w:val="22"/>
        </w:rPr>
        <w:fldChar w:fldCharType="begin"/>
      </w:r>
      <w:r w:rsidRPr="00C05449">
        <w:rPr>
          <w:b/>
          <w:bCs w:val="0"/>
          <w:sz w:val="22"/>
        </w:rPr>
        <w:instrText xml:space="preserve"> SEQ Figure \* ARABIC </w:instrText>
      </w:r>
      <w:r w:rsidRPr="00C05449">
        <w:rPr>
          <w:b/>
          <w:bCs w:val="0"/>
          <w:sz w:val="22"/>
        </w:rPr>
        <w:fldChar w:fldCharType="separate"/>
      </w:r>
      <w:r w:rsidR="008C565B">
        <w:rPr>
          <w:b/>
          <w:bCs w:val="0"/>
          <w:noProof/>
          <w:sz w:val="22"/>
        </w:rPr>
        <w:t>6</w:t>
      </w:r>
      <w:r w:rsidRPr="00C05449">
        <w:rPr>
          <w:b/>
          <w:bCs w:val="0"/>
          <w:noProof/>
          <w:sz w:val="22"/>
        </w:rPr>
        <w:fldChar w:fldCharType="end"/>
      </w:r>
      <w:bookmarkEnd w:id="46"/>
      <w:r>
        <w:t xml:space="preserve"> Variation of the </w:t>
      </w:r>
      <w:proofErr w:type="spellStart"/>
      <w:r>
        <w:t>pseudocapacitance</w:t>
      </w:r>
      <w:proofErr w:type="spellEnd"/>
      <w:r>
        <w:t xml:space="preserve"> with potential. Cases of Langmuir adsorption and Temkin conditions with different values of Temkin coefficients are shown. C</w:t>
      </w:r>
      <w:r w:rsidRPr="00E74C71">
        <w:rPr>
          <w:vertAlign w:val="subscript"/>
        </w:rPr>
        <w:t>T</w:t>
      </w:r>
      <w:r>
        <w:t xml:space="preserve"> indicates Temkin capacitance. Reproduced from Ref</w:t>
      </w:r>
      <w:r w:rsidR="0058757C">
        <w:t>.</w:t>
      </w:r>
      <w:r w:rsidRPr="008A6D06">
        <w:rPr>
          <w:bCs w:val="0"/>
        </w:rPr>
        <w:fldChar w:fldCharType="begin"/>
      </w:r>
      <w:r w:rsidR="00FC5BEB">
        <w:rPr>
          <w:bCs w:val="0"/>
        </w:rPr>
        <w:instrText xml:space="preserve"> ADDIN EN.CITE &lt;EndNote&gt;&lt;Cite&gt;&lt;Author&gt;Conway&lt;/Author&gt;&lt;Year&gt;1962&lt;/Year&gt;&lt;RecNum&gt;93&lt;/RecNum&gt;&lt;DisplayText&gt;&lt;style face="superscript"&gt;95&lt;/style&gt;&lt;/DisplayText&gt;&lt;record&gt;&lt;rec-number&gt;93&lt;/rec-number&gt;&lt;foreign-keys&gt;&lt;key app="EN" db-id="2xex0erf4eexr4e2dpbxpdd829xttesxxxdr" timestamp="1715075296"&gt;93&lt;/key&gt;&lt;/foreign-keys&gt;&lt;ref-type name="Journal Article"&gt;17&lt;/ref-type&gt;&lt;contributors&gt;&lt;authors&gt;&lt;author&gt;Conway, B. E.&lt;/author&gt;&lt;author&gt;Gileadi, E.&lt;/author&gt;&lt;/authors&gt;&lt;/contributors&gt;&lt;titles&gt;&lt;title&gt;Kinetic theory of pseudo-capacitance and electrode reactions at appreciable surface coverage&lt;/title&gt;&lt;secondary-title&gt;Transactions of the Faraday Society&lt;/secondary-title&gt;&lt;/titles&gt;&lt;periodical&gt;&lt;full-title&gt;Transactions of the Faraday Society&lt;/full-title&gt;&lt;abbr-1&gt;Trans. Faraday Society&lt;/abbr-1&gt;&lt;abbr-2&gt;Trans Faraday Society&lt;/abbr-2&gt;&lt;/periodical&gt;&lt;pages&gt;2493-2509&lt;/pages&gt;&lt;volume&gt;58&lt;/volume&gt;&lt;number&gt;0&lt;/number&gt;&lt;dates&gt;&lt;year&gt;1962&lt;/year&gt;&lt;/dates&gt;&lt;publisher&gt;The Royal Society of Chemistry&lt;/publisher&gt;&lt;isbn&gt;0014-7672&lt;/isbn&gt;&lt;work-type&gt;10.1039/TF9625802493&lt;/work-type&gt;&lt;urls&gt;&lt;related-urls&gt;&lt;url&gt;http://dx.doi.org/10.1039/TF9625802493&lt;/url&gt;&lt;/related-urls&gt;&lt;/urls&gt;&lt;electronic-resource-num&gt;10.1039/TF9625802493&lt;/electronic-resource-num&gt;&lt;/record&gt;&lt;/Cite&gt;&lt;/EndNote&gt;</w:instrText>
      </w:r>
      <w:r w:rsidRPr="008A6D06">
        <w:rPr>
          <w:bCs w:val="0"/>
        </w:rPr>
        <w:fldChar w:fldCharType="separate"/>
      </w:r>
      <w:r w:rsidR="00FC5BEB" w:rsidRPr="00FC5BEB">
        <w:rPr>
          <w:bCs w:val="0"/>
          <w:noProof/>
          <w:vertAlign w:val="superscript"/>
        </w:rPr>
        <w:t>95</w:t>
      </w:r>
      <w:r w:rsidRPr="008A6D06">
        <w:rPr>
          <w:bCs w:val="0"/>
        </w:rPr>
        <w:fldChar w:fldCharType="end"/>
      </w:r>
      <w:r w:rsidR="0058757C">
        <w:t xml:space="preserve"> </w:t>
      </w:r>
      <w:r w:rsidR="0058757C" w:rsidRPr="0058757C">
        <w:rPr>
          <w:lang w:val="en-US"/>
        </w:rPr>
        <w:t>with permission from the Royal Society of Chemistry.</w:t>
      </w:r>
    </w:p>
    <w:p w14:paraId="3C2630FF" w14:textId="77777777" w:rsidR="00B51AB1" w:rsidRDefault="00B51AB1" w:rsidP="00B51AB1">
      <w:pPr>
        <w:rPr>
          <w:lang w:val="en-GB"/>
        </w:rPr>
      </w:pPr>
    </w:p>
    <w:p w14:paraId="20326C19" w14:textId="03767AA3" w:rsidR="00ED1E49" w:rsidRDefault="002F1D88" w:rsidP="00B51AB1">
      <w:pPr>
        <w:ind w:firstLine="720"/>
        <w:rPr>
          <w:lang w:val="en-GB"/>
        </w:rPr>
      </w:pPr>
      <w:r>
        <w:rPr>
          <w:lang w:val="en-GB"/>
        </w:rPr>
        <w:t xml:space="preserve">At this juncture, it is worth </w:t>
      </w:r>
      <w:r w:rsidR="008A6D5D">
        <w:rPr>
          <w:lang w:val="en-GB"/>
        </w:rPr>
        <w:t>taking</w:t>
      </w:r>
      <w:r>
        <w:rPr>
          <w:lang w:val="en-GB"/>
        </w:rPr>
        <w:t xml:space="preserve"> a detour back to the </w:t>
      </w:r>
      <w:r w:rsidR="00ED1E49">
        <w:rPr>
          <w:lang w:val="en-GB"/>
        </w:rPr>
        <w:t>1940s-</w:t>
      </w:r>
      <w:r>
        <w:rPr>
          <w:lang w:val="en-GB"/>
        </w:rPr>
        <w:t>1960s. Back in the</w:t>
      </w:r>
      <w:r w:rsidR="008A6D5D">
        <w:rPr>
          <w:lang w:val="en-GB"/>
        </w:rPr>
        <w:t>se</w:t>
      </w:r>
      <w:r>
        <w:rPr>
          <w:lang w:val="en-GB"/>
        </w:rPr>
        <w:t xml:space="preserve"> day</w:t>
      </w:r>
      <w:r w:rsidR="00B51AB1">
        <w:rPr>
          <w:lang w:val="en-GB"/>
        </w:rPr>
        <w:t>s</w:t>
      </w:r>
      <w:r>
        <w:rPr>
          <w:lang w:val="en-GB"/>
        </w:rPr>
        <w:t xml:space="preserve">, when the </w:t>
      </w:r>
      <w:r w:rsidR="00ED1E49">
        <w:rPr>
          <w:lang w:val="en-GB"/>
        </w:rPr>
        <w:t xml:space="preserve">role of the </w:t>
      </w:r>
      <w:r>
        <w:rPr>
          <w:lang w:val="en-GB"/>
        </w:rPr>
        <w:t xml:space="preserve">heat of adsorption of a </w:t>
      </w:r>
      <w:r w:rsidR="00ED1E49">
        <w:rPr>
          <w:lang w:val="en-GB"/>
        </w:rPr>
        <w:t xml:space="preserve">species was discussed for catalysis, it was recognized that in many instances the standard Langmuir model may not be able to properly account for experimental observations. Hence, </w:t>
      </w:r>
      <w:r w:rsidR="008A6D5D">
        <w:rPr>
          <w:lang w:val="en-GB"/>
        </w:rPr>
        <w:t xml:space="preserve">a </w:t>
      </w:r>
      <w:r w:rsidR="00ED1E49">
        <w:rPr>
          <w:lang w:val="en-GB"/>
        </w:rPr>
        <w:t xml:space="preserve">coverage dependent heat of adsorption was introduced </w:t>
      </w:r>
      <w:r w:rsidR="008F23FC">
        <w:rPr>
          <w:lang w:val="en-GB"/>
        </w:rPr>
        <w:t>b</w:t>
      </w:r>
      <w:r w:rsidR="00F3732E">
        <w:rPr>
          <w:lang w:val="en-GB"/>
        </w:rPr>
        <w:t>y</w:t>
      </w:r>
      <w:r w:rsidR="00ED1E49">
        <w:rPr>
          <w:lang w:val="en-GB"/>
        </w:rPr>
        <w:t xml:space="preserve"> </w:t>
      </w:r>
      <w:proofErr w:type="spellStart"/>
      <w:r w:rsidR="00ED1E49">
        <w:rPr>
          <w:lang w:val="en-GB"/>
        </w:rPr>
        <w:t>Frumkin</w:t>
      </w:r>
      <w:proofErr w:type="spellEnd"/>
      <w:r w:rsidR="00ED1E49">
        <w:rPr>
          <w:lang w:val="en-GB"/>
        </w:rPr>
        <w:t xml:space="preserve"> and Temkin, in the form of:</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6"/>
        <w:gridCol w:w="6132"/>
        <w:gridCol w:w="2078"/>
      </w:tblGrid>
      <w:tr w:rsidR="00ED1E49" w:rsidRPr="00DE0988" w14:paraId="6C9B73EE" w14:textId="77777777" w:rsidTr="00ED1E49">
        <w:tc>
          <w:tcPr>
            <w:tcW w:w="816" w:type="dxa"/>
            <w:vAlign w:val="center"/>
          </w:tcPr>
          <w:p w14:paraId="4969BD2B" w14:textId="77777777" w:rsidR="00ED1E49" w:rsidRPr="00DE0988" w:rsidRDefault="00ED1E49" w:rsidP="009360A3">
            <w:pPr>
              <w:rPr>
                <w:bCs/>
                <w:sz w:val="20"/>
                <w:szCs w:val="20"/>
              </w:rPr>
            </w:pPr>
          </w:p>
        </w:tc>
        <w:tc>
          <w:tcPr>
            <w:tcW w:w="6132" w:type="dxa"/>
            <w:vAlign w:val="center"/>
          </w:tcPr>
          <w:p w14:paraId="788AFC66" w14:textId="77777777" w:rsidR="00ED1E49" w:rsidRPr="00DE0988" w:rsidRDefault="00ED1E49" w:rsidP="009360A3">
            <w:pPr>
              <w:spacing w:before="60" w:after="60"/>
              <w:rPr>
                <w:bCs/>
                <w:sz w:val="20"/>
                <w:szCs w:val="20"/>
              </w:rPr>
            </w:pPr>
            <m:oMathPara>
              <m:oMath>
                <m:r>
                  <m:rPr>
                    <m:sty m:val="p"/>
                  </m:rPr>
                  <w:rPr>
                    <w:rFonts w:ascii="Cambria Math" w:hAnsi="Cambria Math"/>
                    <w:sz w:val="20"/>
                    <w:szCs w:val="20"/>
                  </w:rPr>
                  <m:t>Δ</m:t>
                </m:r>
                <m:r>
                  <w:rPr>
                    <w:rFonts w:ascii="Cambria Math" w:hAnsi="Cambria Math"/>
                    <w:sz w:val="20"/>
                    <w:szCs w:val="20"/>
                  </w:rPr>
                  <m:t xml:space="preserve">H= </m:t>
                </m:r>
                <m:r>
                  <m:rPr>
                    <m:sty m:val="p"/>
                  </m:rPr>
                  <w:rPr>
                    <w:rFonts w:ascii="Cambria Math" w:hAnsi="Cambria Math"/>
                    <w:sz w:val="20"/>
                    <w:szCs w:val="20"/>
                  </w:rPr>
                  <m:t>Δ</m:t>
                </m:r>
                <m:sSup>
                  <m:sSupPr>
                    <m:ctrlPr>
                      <w:rPr>
                        <w:rFonts w:ascii="Cambria Math" w:hAnsi="Cambria Math"/>
                        <w:bCs/>
                        <w:iCs/>
                        <w:sz w:val="20"/>
                        <w:szCs w:val="20"/>
                      </w:rPr>
                    </m:ctrlPr>
                  </m:sSupPr>
                  <m:e>
                    <m:r>
                      <w:rPr>
                        <w:rFonts w:ascii="Cambria Math" w:hAnsi="Cambria Math"/>
                        <w:sz w:val="20"/>
                        <w:szCs w:val="20"/>
                      </w:rPr>
                      <m:t>H</m:t>
                    </m:r>
                  </m:e>
                  <m:sup>
                    <m:r>
                      <w:rPr>
                        <w:rFonts w:ascii="Cambria Math" w:hAnsi="Cambria Math"/>
                        <w:sz w:val="20"/>
                        <w:szCs w:val="20"/>
                      </w:rPr>
                      <m:t>0</m:t>
                    </m:r>
                  </m:sup>
                </m:sSup>
                <m:r>
                  <w:rPr>
                    <w:rFonts w:ascii="Cambria Math" w:hAnsi="Cambria Math"/>
                    <w:sz w:val="20"/>
                    <w:szCs w:val="20"/>
                  </w:rPr>
                  <m:t>-rθ</m:t>
                </m:r>
              </m:oMath>
            </m:oMathPara>
          </w:p>
        </w:tc>
        <w:tc>
          <w:tcPr>
            <w:tcW w:w="2078" w:type="dxa"/>
            <w:vAlign w:val="center"/>
          </w:tcPr>
          <w:p w14:paraId="0701D6D6" w14:textId="4D6ADCC4" w:rsidR="00ED1E49" w:rsidRPr="00DE0988" w:rsidRDefault="00ED1E49" w:rsidP="009360A3">
            <w:pPr>
              <w:keepNext/>
              <w:jc w:val="right"/>
              <w:rPr>
                <w:bCs/>
                <w:sz w:val="20"/>
                <w:szCs w:val="20"/>
              </w:rPr>
            </w:pPr>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8C565B">
              <w:rPr>
                <w:noProof/>
                <w:sz w:val="20"/>
                <w:szCs w:val="20"/>
              </w:rPr>
              <w:t>20</w:t>
            </w:r>
            <w:r w:rsidRPr="00DE0988">
              <w:rPr>
                <w:sz w:val="20"/>
                <w:szCs w:val="20"/>
              </w:rPr>
              <w:fldChar w:fldCharType="end"/>
            </w:r>
          </w:p>
        </w:tc>
      </w:tr>
    </w:tbl>
    <w:p w14:paraId="22BB6766" w14:textId="520000C6" w:rsidR="00042D3F" w:rsidRDefault="00ED1E49" w:rsidP="00E74C71">
      <w:pPr>
        <w:rPr>
          <w:lang w:val="en-GB"/>
        </w:rPr>
      </w:pPr>
      <w:r>
        <w:rPr>
          <w:lang w:val="en-GB"/>
        </w:rPr>
        <w:t xml:space="preserve">where, </w:t>
      </w:r>
      <m:oMath>
        <m:r>
          <m:rPr>
            <m:sty m:val="p"/>
          </m:rPr>
          <w:rPr>
            <w:rFonts w:ascii="Cambria Math" w:hAnsi="Cambria Math"/>
          </w:rPr>
          <m:t>Δ</m:t>
        </m:r>
        <m:sSup>
          <m:sSupPr>
            <m:ctrlPr>
              <w:rPr>
                <w:rFonts w:ascii="Cambria Math" w:hAnsi="Cambria Math"/>
              </w:rPr>
            </m:ctrlPr>
          </m:sSupPr>
          <m:e>
            <m:r>
              <w:rPr>
                <w:rFonts w:ascii="Cambria Math" w:hAnsi="Cambria Math"/>
              </w:rPr>
              <m:t>H</m:t>
            </m:r>
          </m:e>
          <m:sup>
            <m:r>
              <w:rPr>
                <w:rFonts w:ascii="Cambria Math" w:hAnsi="Cambria Math"/>
              </w:rPr>
              <m:t>0</m:t>
            </m:r>
          </m:sup>
        </m:sSup>
      </m:oMath>
      <w:r>
        <w:t xml:space="preserve"> is the initial heat of adsorption at zero coverage </w:t>
      </w:r>
      <w:r w:rsidR="00F75F3D">
        <w:t xml:space="preserve">and </w:t>
      </w:r>
      <w:r w:rsidR="00F75F3D">
        <w:rPr>
          <w:i/>
        </w:rPr>
        <w:t>r</w:t>
      </w:r>
      <w:r w:rsidR="00F75F3D">
        <w:t xml:space="preserve"> is a coefficient with </w:t>
      </w:r>
      <w:r w:rsidR="008F23FC">
        <w:t xml:space="preserve">the </w:t>
      </w:r>
      <w:r w:rsidR="00F75F3D">
        <w:t xml:space="preserve">same energy/mole unit as </w:t>
      </w:r>
      <m:oMath>
        <m:r>
          <m:rPr>
            <m:sty m:val="p"/>
          </m:rPr>
          <w:rPr>
            <w:rFonts w:ascii="Cambria Math" w:hAnsi="Cambria Math"/>
          </w:rPr>
          <m:t>Δ</m:t>
        </m:r>
        <m:r>
          <w:rPr>
            <w:rFonts w:ascii="Cambria Math" w:hAnsi="Cambria Math"/>
          </w:rPr>
          <m:t>H</m:t>
        </m:r>
      </m:oMath>
      <w:r w:rsidR="00F75F3D">
        <w:t>.</w:t>
      </w:r>
      <w:r w:rsidR="005F79C2">
        <w:t xml:space="preserve"> Among others, Conway recognized the potential implications of coverage dependent adsorption/desorption and coverage dependent reaction intermediates in electrocatalysis. Conway and Gileadi</w:t>
      </w:r>
      <w:r w:rsidR="00204A43">
        <w:fldChar w:fldCharType="begin"/>
      </w:r>
      <w:r w:rsidR="00FC5BEB">
        <w:instrText xml:space="preserve"> ADDIN EN.CITE &lt;EndNote&gt;&lt;Cite&gt;&lt;Author&gt;Conway&lt;/Author&gt;&lt;Year&gt;1962&lt;/Year&gt;&lt;RecNum&gt;93&lt;/RecNum&gt;&lt;DisplayText&gt;&lt;style face="superscript"&gt;95&lt;/style&gt;&lt;/DisplayText&gt;&lt;record&gt;&lt;rec-number&gt;93&lt;/rec-number&gt;&lt;foreign-keys&gt;&lt;key app="EN" db-id="2xex0erf4eexr4e2dpbxpdd829xttesxxxdr" timestamp="1715075296"&gt;93&lt;/key&gt;&lt;/foreign-keys&gt;&lt;ref-type name="Journal Article"&gt;17&lt;/ref-type&gt;&lt;contributors&gt;&lt;authors&gt;&lt;author&gt;Conway, B. E.&lt;/author&gt;&lt;author&gt;Gileadi, E.&lt;/author&gt;&lt;/authors&gt;&lt;/contributors&gt;&lt;titles&gt;&lt;title&gt;Kinetic theory of pseudo-capacitance and electrode reactions at appreciable surface coverage&lt;/title&gt;&lt;secondary-title&gt;Transactions of the Faraday Society&lt;/secondary-title&gt;&lt;/titles&gt;&lt;periodical&gt;&lt;full-title&gt;Transactions of the Faraday Society&lt;/full-title&gt;&lt;abbr-1&gt;Trans. Faraday Society&lt;/abbr-1&gt;&lt;abbr-2&gt;Trans Faraday Society&lt;/abbr-2&gt;&lt;/periodical&gt;&lt;pages&gt;2493-2509&lt;/pages&gt;&lt;volume&gt;58&lt;/volume&gt;&lt;number&gt;0&lt;/number&gt;&lt;dates&gt;&lt;year&gt;1962&lt;/year&gt;&lt;/dates&gt;&lt;publisher&gt;The Royal Society of Chemistry&lt;/publisher&gt;&lt;isbn&gt;0014-7672&lt;/isbn&gt;&lt;work-type&gt;10.1039/TF9625802493&lt;/work-type&gt;&lt;urls&gt;&lt;related-urls&gt;&lt;url&gt;http://dx.doi.org/10.1039/TF9625802493&lt;/url&gt;&lt;/related-urls&gt;&lt;/urls&gt;&lt;electronic-resource-num&gt;10.1039/TF9625802493&lt;/electronic-resource-num&gt;&lt;/record&gt;&lt;/Cite&gt;&lt;/EndNote&gt;</w:instrText>
      </w:r>
      <w:r w:rsidR="00204A43">
        <w:fldChar w:fldCharType="separate"/>
      </w:r>
      <w:r w:rsidR="00FC5BEB" w:rsidRPr="00FC5BEB">
        <w:rPr>
          <w:noProof/>
          <w:vertAlign w:val="superscript"/>
        </w:rPr>
        <w:t>95</w:t>
      </w:r>
      <w:r w:rsidR="00204A43">
        <w:fldChar w:fldCharType="end"/>
      </w:r>
      <w:r w:rsidR="005F79C2">
        <w:t xml:space="preserve"> compared HER and OER kinetics under Langmuir and Temkin conditions. Steady</w:t>
      </w:r>
      <w:r w:rsidR="008A6D5D">
        <w:t>-</w:t>
      </w:r>
      <w:r w:rsidR="005F79C2">
        <w:t xml:space="preserve">state or quasi-equilibrium conditions for Langmuir adsorption </w:t>
      </w:r>
      <w:r w:rsidR="00042D3F">
        <w:t>leads to exponential dependence of the coverage of intermediates on the potential, though only at limiting low and high coverages.</w:t>
      </w:r>
      <w:r w:rsidR="00204A43">
        <w:t xml:space="preserve"> The </w:t>
      </w:r>
      <w:proofErr w:type="spellStart"/>
      <w:r w:rsidR="00204A43">
        <w:t>pseudocapacitance</w:t>
      </w:r>
      <w:proofErr w:type="spellEnd"/>
      <w:r w:rsidR="00204A43">
        <w:t xml:space="preserve"> </w:t>
      </w:r>
      <w:r w:rsidR="00204A43" w:rsidRPr="00204A43">
        <w:rPr>
          <w:lang w:val="en-GB"/>
        </w:rPr>
        <w:t>has a maximum value at a certain potential determined by the relative values of the rate constants involved and the concentration of reacting ions, and varies symmetrically about this potential, falling to practically zero within about</w:t>
      </w:r>
      <w:r w:rsidR="00204A43">
        <w:rPr>
          <w:lang w:val="en-GB"/>
        </w:rPr>
        <w:t xml:space="preserve"> </w:t>
      </w:r>
      <m:oMath>
        <m:r>
          <w:rPr>
            <w:rFonts w:ascii="Cambria Math" w:hAnsi="Cambria Math"/>
            <w:lang w:val="en-GB"/>
          </w:rPr>
          <m:t xml:space="preserve">±0.12 </m:t>
        </m:r>
        <m:r>
          <m:rPr>
            <m:sty m:val="p"/>
          </m:rPr>
          <w:rPr>
            <w:rFonts w:ascii="Cambria Math" w:hAnsi="Cambria Math"/>
            <w:lang w:val="en-GB"/>
          </w:rPr>
          <m:t>V</m:t>
        </m:r>
      </m:oMath>
      <w:r w:rsidR="00204A43" w:rsidRPr="00204A43">
        <w:rPr>
          <w:lang w:val="en-GB"/>
        </w:rPr>
        <w:t xml:space="preserve"> of the potential of the maximum</w:t>
      </w:r>
      <w:r w:rsidR="00204A43">
        <w:rPr>
          <w:lang w:val="en-GB"/>
        </w:rPr>
        <w:t xml:space="preserve">, </w:t>
      </w:r>
      <w:r w:rsidR="00204A43" w:rsidRPr="00C05449">
        <w:rPr>
          <w:b/>
          <w:bCs/>
          <w:lang w:val="en-GB"/>
        </w:rPr>
        <w:fldChar w:fldCharType="begin"/>
      </w:r>
      <w:r w:rsidR="00204A43" w:rsidRPr="00C05449">
        <w:rPr>
          <w:b/>
          <w:bCs/>
          <w:lang w:val="en-GB"/>
        </w:rPr>
        <w:instrText xml:space="preserve"> REF _Ref159342285 \h </w:instrText>
      </w:r>
      <w:r w:rsidR="00E74C71" w:rsidRPr="00C05449">
        <w:rPr>
          <w:b/>
          <w:bCs/>
          <w:lang w:val="en-GB"/>
        </w:rPr>
        <w:instrText xml:space="preserve"> \* MERGEFORMAT </w:instrText>
      </w:r>
      <w:r w:rsidR="00204A43" w:rsidRPr="00C05449">
        <w:rPr>
          <w:b/>
          <w:bCs/>
          <w:lang w:val="en-GB"/>
        </w:rPr>
      </w:r>
      <w:r w:rsidR="00204A43" w:rsidRPr="00C05449">
        <w:rPr>
          <w:b/>
          <w:bCs/>
          <w:lang w:val="en-GB"/>
        </w:rPr>
        <w:fldChar w:fldCharType="separate"/>
      </w:r>
      <w:r w:rsidR="008C565B" w:rsidRPr="008C565B">
        <w:rPr>
          <w:b/>
          <w:bCs/>
        </w:rPr>
        <w:t xml:space="preserve">Figure </w:t>
      </w:r>
      <w:r w:rsidR="008C565B">
        <w:rPr>
          <w:b/>
          <w:bCs/>
          <w:noProof/>
        </w:rPr>
        <w:t>6</w:t>
      </w:r>
      <w:r w:rsidR="00204A43" w:rsidRPr="00C05449">
        <w:rPr>
          <w:b/>
          <w:bCs/>
          <w:lang w:val="en-GB"/>
        </w:rPr>
        <w:fldChar w:fldCharType="end"/>
      </w:r>
      <w:r w:rsidR="00204A43">
        <w:rPr>
          <w:lang w:val="en-GB"/>
        </w:rPr>
        <w:t xml:space="preserve">. </w:t>
      </w:r>
      <w:r w:rsidR="00E74C71">
        <w:rPr>
          <w:lang w:val="en-GB"/>
        </w:rPr>
        <w:t xml:space="preserve">This is identical to the case in </w:t>
      </w:r>
      <w:r w:rsidR="00E74C71" w:rsidRPr="00C05449">
        <w:rPr>
          <w:b/>
          <w:bCs/>
          <w:lang w:val="en-GB"/>
        </w:rPr>
        <w:fldChar w:fldCharType="begin"/>
      </w:r>
      <w:r w:rsidR="00E74C71" w:rsidRPr="00C05449">
        <w:rPr>
          <w:b/>
          <w:bCs/>
          <w:lang w:val="en-GB"/>
        </w:rPr>
        <w:instrText xml:space="preserve"> REF _Ref159271011 \h  \* MERGEFORMAT </w:instrText>
      </w:r>
      <w:r w:rsidR="00E74C71" w:rsidRPr="00C05449">
        <w:rPr>
          <w:b/>
          <w:bCs/>
          <w:lang w:val="en-GB"/>
        </w:rPr>
      </w:r>
      <w:r w:rsidR="00E74C71" w:rsidRPr="00C05449">
        <w:rPr>
          <w:b/>
          <w:bCs/>
          <w:lang w:val="en-GB"/>
        </w:rPr>
        <w:fldChar w:fldCharType="separate"/>
      </w:r>
      <w:r w:rsidR="008C565B" w:rsidRPr="00BC70A0">
        <w:rPr>
          <w:b/>
          <w:bCs/>
        </w:rPr>
        <w:t xml:space="preserve">Figure </w:t>
      </w:r>
      <w:r w:rsidR="008C565B">
        <w:rPr>
          <w:b/>
          <w:bCs/>
          <w:noProof/>
        </w:rPr>
        <w:t>4</w:t>
      </w:r>
      <w:r w:rsidR="00E74C71" w:rsidRPr="00C05449">
        <w:rPr>
          <w:b/>
          <w:bCs/>
          <w:lang w:val="en-GB"/>
        </w:rPr>
        <w:fldChar w:fldCharType="end"/>
      </w:r>
      <w:r w:rsidR="00E74C71">
        <w:rPr>
          <w:lang w:val="en-GB"/>
        </w:rPr>
        <w:t xml:space="preserve">, in which </w:t>
      </w:r>
      <w:r w:rsidR="008F23FC" w:rsidRPr="00705F6E">
        <w:rPr>
          <w:szCs w:val="22"/>
          <w:lang w:val="en-GB"/>
        </w:rPr>
        <w:fldChar w:fldCharType="begin"/>
      </w:r>
      <w:r w:rsidR="008F23FC" w:rsidRPr="00705F6E">
        <w:rPr>
          <w:szCs w:val="22"/>
          <w:lang w:val="en-GB"/>
        </w:rPr>
        <w:instrText xml:space="preserve"> REF _Ref159270254 \h </w:instrText>
      </w:r>
      <w:r w:rsidR="00705F6E">
        <w:rPr>
          <w:szCs w:val="22"/>
          <w:lang w:val="en-GB"/>
        </w:rPr>
        <w:instrText xml:space="preserve"> \* MERGEFORMAT </w:instrText>
      </w:r>
      <w:r w:rsidR="008F23FC" w:rsidRPr="00705F6E">
        <w:rPr>
          <w:szCs w:val="22"/>
          <w:lang w:val="en-GB"/>
        </w:rPr>
      </w:r>
      <w:r w:rsidR="008F23FC" w:rsidRPr="00705F6E">
        <w:rPr>
          <w:szCs w:val="22"/>
          <w:lang w:val="en-GB"/>
        </w:rPr>
        <w:fldChar w:fldCharType="separate"/>
      </w:r>
      <w:r w:rsidR="008C565B" w:rsidRPr="008C565B">
        <w:rPr>
          <w:szCs w:val="22"/>
        </w:rPr>
        <w:t xml:space="preserve">Equation </w:t>
      </w:r>
      <w:r w:rsidR="008C565B" w:rsidRPr="008C565B">
        <w:rPr>
          <w:noProof/>
          <w:szCs w:val="22"/>
        </w:rPr>
        <w:t>17</w:t>
      </w:r>
      <w:r w:rsidR="008F23FC" w:rsidRPr="00705F6E">
        <w:rPr>
          <w:szCs w:val="22"/>
          <w:lang w:val="en-GB"/>
        </w:rPr>
        <w:fldChar w:fldCharType="end"/>
      </w:r>
      <w:r w:rsidR="008F23FC">
        <w:rPr>
          <w:lang w:val="en-GB"/>
        </w:rPr>
        <w:t xml:space="preserve"> </w:t>
      </w:r>
      <w:r w:rsidR="00E74C71">
        <w:rPr>
          <w:lang w:val="en-GB"/>
        </w:rPr>
        <w:t>gave rise to a full change</w:t>
      </w:r>
      <w:r w:rsidR="00F01F88">
        <w:rPr>
          <w:lang w:val="en-GB"/>
        </w:rPr>
        <w:t xml:space="preserve"> in the</w:t>
      </w:r>
      <w:r w:rsidR="00E74C71">
        <w:rPr>
          <w:lang w:val="en-GB"/>
        </w:rPr>
        <w:t xml:space="preserve"> </w:t>
      </w:r>
      <w:r w:rsidR="00F01F88">
        <w:rPr>
          <w:lang w:val="en-GB"/>
        </w:rPr>
        <w:t xml:space="preserve">coverage </w:t>
      </w:r>
      <w:r w:rsidR="00E74C71">
        <w:rPr>
          <w:lang w:val="en-GB"/>
        </w:rPr>
        <w:t xml:space="preserve">of </w:t>
      </w:r>
      <m:oMath>
        <m:sSup>
          <m:sSupPr>
            <m:ctrlPr>
              <w:rPr>
                <w:rFonts w:ascii="Cambria Math" w:hAnsi="Cambria Math"/>
                <w:iCs/>
              </w:rPr>
            </m:ctrlPr>
          </m:sSupPr>
          <m:e>
            <m:r>
              <m:rPr>
                <m:sty m:val="p"/>
              </m:rPr>
              <w:rPr>
                <w:rFonts w:ascii="Cambria Math" w:hAnsi="Cambria Math"/>
              </w:rPr>
              <m:t>M</m:t>
            </m:r>
          </m:e>
          <m:sup>
            <m:r>
              <m:rPr>
                <m:sty m:val="p"/>
              </m:rPr>
              <w:rPr>
                <w:rFonts w:ascii="Cambria Math" w:hAnsi="Cambria Math"/>
              </w:rPr>
              <m:t>II</m:t>
            </m:r>
          </m:sup>
        </m:sSup>
        <m:r>
          <m:rPr>
            <m:sty m:val="p"/>
          </m:rPr>
          <w:rPr>
            <w:rFonts w:ascii="Cambria Math" w:hAnsi="Cambria Math"/>
          </w:rPr>
          <m:t>(OH</m:t>
        </m:r>
        <m:sSub>
          <m:sSubPr>
            <m:ctrlPr>
              <w:rPr>
                <w:rFonts w:ascii="Cambria Math" w:hAnsi="Cambria Math"/>
                <w:iCs/>
              </w:rPr>
            </m:ctrlPr>
          </m:sSubPr>
          <m:e>
            <m:r>
              <m:rPr>
                <m:sty m:val="p"/>
              </m:rPr>
              <w:rPr>
                <w:rFonts w:ascii="Cambria Math" w:hAnsi="Cambria Math"/>
              </w:rPr>
              <m:t>)</m:t>
            </m:r>
          </m:e>
          <m:sub>
            <m:r>
              <m:rPr>
                <m:sty m:val="p"/>
              </m:rPr>
              <w:rPr>
                <w:rFonts w:ascii="Cambria Math" w:hAnsi="Cambria Math"/>
              </w:rPr>
              <m:t>2</m:t>
            </m:r>
          </m:sub>
        </m:sSub>
      </m:oMath>
      <w:r w:rsidR="00E74C71">
        <w:t xml:space="preserve"> to </w:t>
      </w:r>
      <m:oMath>
        <m:sSup>
          <m:sSupPr>
            <m:ctrlPr>
              <w:rPr>
                <w:rFonts w:ascii="Cambria Math" w:hAnsi="Cambria Math"/>
                <w:iCs/>
              </w:rPr>
            </m:ctrlPr>
          </m:sSupPr>
          <m:e>
            <m:r>
              <m:rPr>
                <m:sty m:val="p"/>
              </m:rPr>
              <w:rPr>
                <w:rFonts w:ascii="Cambria Math" w:hAnsi="Cambria Math"/>
              </w:rPr>
              <m:t>M</m:t>
            </m:r>
          </m:e>
          <m:sup>
            <m:r>
              <m:rPr>
                <m:sty m:val="p"/>
              </m:rPr>
              <w:rPr>
                <w:rFonts w:ascii="Cambria Math" w:hAnsi="Cambria Math"/>
              </w:rPr>
              <m:t>III</m:t>
            </m:r>
          </m:sup>
        </m:sSup>
        <m:r>
          <m:rPr>
            <m:sty m:val="p"/>
          </m:rPr>
          <w:rPr>
            <w:rFonts w:ascii="Cambria Math" w:hAnsi="Cambria Math"/>
          </w:rPr>
          <m:t>O</m:t>
        </m:r>
        <m:d>
          <m:dPr>
            <m:ctrlPr>
              <w:rPr>
                <w:rFonts w:ascii="Cambria Math" w:hAnsi="Cambria Math"/>
                <w:iCs/>
              </w:rPr>
            </m:ctrlPr>
          </m:dPr>
          <m:e>
            <m:r>
              <m:rPr>
                <m:sty m:val="p"/>
              </m:rPr>
              <w:rPr>
                <w:rFonts w:ascii="Cambria Math" w:hAnsi="Cambria Math"/>
              </w:rPr>
              <m:t>OH</m:t>
            </m:r>
          </m:e>
        </m:d>
      </m:oMath>
      <w:r w:rsidR="00E74C71">
        <w:t xml:space="preserve"> in a narrow potential window of approximately 0.25 V. </w:t>
      </w:r>
      <w:r w:rsidR="00F01F88">
        <w:t xml:space="preserve">Introducing a Temkin coefficient makes the </w:t>
      </w:r>
      <w:proofErr w:type="spellStart"/>
      <w:r w:rsidR="00F01F88">
        <w:t>pseudocapacitance</w:t>
      </w:r>
      <w:proofErr w:type="spellEnd"/>
      <w:r w:rsidR="00F01F88">
        <w:t xml:space="preserve"> less potential dependent; already</w:t>
      </w:r>
      <w:r w:rsidR="008A6D5D">
        <w:t xml:space="preserve"> a</w:t>
      </w:r>
      <w:r w:rsidR="00F01F88">
        <w:t xml:space="preserve"> 10 kcal/mole Temkin coefficient can spread out the </w:t>
      </w:r>
      <w:proofErr w:type="spellStart"/>
      <w:r w:rsidR="00F01F88">
        <w:t>pseudocapacitance</w:t>
      </w:r>
      <w:proofErr w:type="spellEnd"/>
      <w:r w:rsidR="00F01F88">
        <w:t xml:space="preserve"> to make it </w:t>
      </w:r>
      <w:r w:rsidR="008F23FC">
        <w:t xml:space="preserve">quasi potential independent </w:t>
      </w:r>
      <w:r w:rsidR="00F01F88">
        <w:t xml:space="preserve">in a potential window of 300 mV. </w:t>
      </w:r>
      <w:r w:rsidR="007856F2">
        <w:t xml:space="preserve">A large Temkin coefficient hence makes the coverage essentially linear with potential. </w:t>
      </w:r>
      <w:r w:rsidR="00F01F88">
        <w:t xml:space="preserve">The situation of a sizable Temkin coefficient is reminiscent </w:t>
      </w:r>
      <w:r w:rsidR="008F23FC">
        <w:t>of</w:t>
      </w:r>
      <w:r w:rsidR="00F01F88">
        <w:t xml:space="preserve"> the experimental observation of weakly dependent </w:t>
      </w:r>
      <w:proofErr w:type="spellStart"/>
      <w:r w:rsidR="00F01F88">
        <w:t>pseudocapacitance</w:t>
      </w:r>
      <w:proofErr w:type="spellEnd"/>
      <w:r w:rsidR="00F01F88">
        <w:t xml:space="preserve"> of amorphous </w:t>
      </w:r>
      <w:proofErr w:type="spellStart"/>
      <w:r w:rsidR="00F01F88">
        <w:t>IrO</w:t>
      </w:r>
      <w:r w:rsidR="00F01F88" w:rsidRPr="00F01F88">
        <w:rPr>
          <w:vertAlign w:val="subscript"/>
        </w:rPr>
        <w:t>x</w:t>
      </w:r>
      <w:proofErr w:type="spellEnd"/>
      <w:r w:rsidR="00F01F88">
        <w:t xml:space="preserve"> (</w:t>
      </w:r>
      <w:r w:rsidR="00F01F88" w:rsidRPr="00C05449">
        <w:rPr>
          <w:b/>
          <w:bCs/>
        </w:rPr>
        <w:fldChar w:fldCharType="begin"/>
      </w:r>
      <w:r w:rsidR="00F01F88" w:rsidRPr="00C05449">
        <w:rPr>
          <w:b/>
          <w:bCs/>
        </w:rPr>
        <w:instrText xml:space="preserve"> REF _Ref159273731 \h  \* MERGEFORMAT </w:instrText>
      </w:r>
      <w:r w:rsidR="00F01F88" w:rsidRPr="00C05449">
        <w:rPr>
          <w:b/>
          <w:bCs/>
        </w:rPr>
      </w:r>
      <w:r w:rsidR="00F01F88" w:rsidRPr="00C05449">
        <w:rPr>
          <w:b/>
          <w:bCs/>
        </w:rPr>
        <w:fldChar w:fldCharType="separate"/>
      </w:r>
      <w:r w:rsidR="008C565B" w:rsidRPr="008C565B">
        <w:rPr>
          <w:b/>
          <w:bCs/>
        </w:rPr>
        <w:t xml:space="preserve">Figure </w:t>
      </w:r>
      <w:r w:rsidR="008C565B" w:rsidRPr="008C565B">
        <w:rPr>
          <w:b/>
          <w:bCs/>
          <w:noProof/>
        </w:rPr>
        <w:t>5</w:t>
      </w:r>
      <w:r w:rsidR="00F01F88" w:rsidRPr="00C05449">
        <w:rPr>
          <w:b/>
          <w:bCs/>
        </w:rPr>
        <w:fldChar w:fldCharType="end"/>
      </w:r>
      <w:r w:rsidR="00F01F88">
        <w:t xml:space="preserve">). </w:t>
      </w:r>
      <w:r w:rsidR="00213636">
        <w:t xml:space="preserve">Conway and </w:t>
      </w:r>
      <w:proofErr w:type="spellStart"/>
      <w:r w:rsidR="00213636">
        <w:t>Gileadi</w:t>
      </w:r>
      <w:proofErr w:type="spellEnd"/>
      <w:r w:rsidR="00213636">
        <w:t xml:space="preserve"> </w:t>
      </w:r>
      <w:r w:rsidR="008A6D5D">
        <w:t xml:space="preserve">have </w:t>
      </w:r>
      <w:r w:rsidR="00213636">
        <w:t xml:space="preserve">shown that </w:t>
      </w:r>
      <w:r w:rsidR="00213636" w:rsidRPr="00213636">
        <w:rPr>
          <w:lang w:val="en-GB"/>
        </w:rPr>
        <w:t xml:space="preserve">when more than one intermediate is adsorbed, a constant </w:t>
      </w:r>
      <w:proofErr w:type="spellStart"/>
      <w:r w:rsidR="00213636" w:rsidRPr="00213636">
        <w:rPr>
          <w:lang w:val="en-GB"/>
        </w:rPr>
        <w:t>pseudocapacit</w:t>
      </w:r>
      <w:r w:rsidR="00213636">
        <w:rPr>
          <w:lang w:val="en-GB"/>
        </w:rPr>
        <w:t>ance</w:t>
      </w:r>
      <w:proofErr w:type="spellEnd"/>
      <w:r w:rsidR="00213636" w:rsidRPr="00213636">
        <w:rPr>
          <w:lang w:val="en-GB"/>
        </w:rPr>
        <w:t xml:space="preserve"> is still obtained and</w:t>
      </w:r>
      <w:r w:rsidR="00213636">
        <w:rPr>
          <w:lang w:val="en-GB"/>
        </w:rPr>
        <w:t xml:space="preserve"> </w:t>
      </w:r>
      <w:r w:rsidR="00213636" w:rsidRPr="00213636">
        <w:rPr>
          <w:lang w:val="en-GB"/>
        </w:rPr>
        <w:t>the apparent value of the rate of change of heat of adsorption with coverage is simply a weighted average of the values for the</w:t>
      </w:r>
      <w:r w:rsidR="00213636">
        <w:rPr>
          <w:lang w:val="en-GB"/>
        </w:rPr>
        <w:t xml:space="preserve"> species involved. Hence, for </w:t>
      </w:r>
      <w:proofErr w:type="spellStart"/>
      <w:r w:rsidR="00213636">
        <w:rPr>
          <w:lang w:val="en-GB"/>
        </w:rPr>
        <w:t>IrO</w:t>
      </w:r>
      <w:r w:rsidR="00213636" w:rsidRPr="00213636">
        <w:rPr>
          <w:vertAlign w:val="subscript"/>
          <w:lang w:val="en-GB"/>
        </w:rPr>
        <w:t>x</w:t>
      </w:r>
      <w:proofErr w:type="spellEnd"/>
      <w:r w:rsidR="00213636">
        <w:rPr>
          <w:lang w:val="en-GB"/>
        </w:rPr>
        <w:t xml:space="preserve"> we might have </w:t>
      </w:r>
      <w:r w:rsidR="00D54B7E">
        <w:rPr>
          <w:lang w:val="en-GB"/>
        </w:rPr>
        <w:t>the case</w:t>
      </w:r>
      <w:r w:rsidR="00213636">
        <w:rPr>
          <w:lang w:val="en-GB"/>
        </w:rPr>
        <w:t xml:space="preserve"> that the </w:t>
      </w:r>
      <w:r w:rsidR="008F23FC">
        <w:rPr>
          <w:lang w:val="en-GB"/>
        </w:rPr>
        <w:t>explored broad</w:t>
      </w:r>
      <w:r w:rsidR="00213636">
        <w:rPr>
          <w:lang w:val="en-GB"/>
        </w:rPr>
        <w:t xml:space="preserve"> potential window involves adsorbates of H</w:t>
      </w:r>
      <w:r w:rsidR="00213636" w:rsidRPr="00213636">
        <w:rPr>
          <w:vertAlign w:val="subscript"/>
          <w:lang w:val="en-GB"/>
        </w:rPr>
        <w:t>2</w:t>
      </w:r>
      <w:r w:rsidR="00213636">
        <w:rPr>
          <w:lang w:val="en-GB"/>
        </w:rPr>
        <w:t>O, OH, and O, in varying portion</w:t>
      </w:r>
      <w:r w:rsidR="00D54B7E">
        <w:rPr>
          <w:lang w:val="en-GB"/>
        </w:rPr>
        <w:t>s</w:t>
      </w:r>
      <w:r w:rsidR="00213636">
        <w:rPr>
          <w:lang w:val="en-GB"/>
        </w:rPr>
        <w:t>, the two deprotonation reactions overlapping with each other to a certain degree. Moreover, different type</w:t>
      </w:r>
      <w:r w:rsidR="008A6D06">
        <w:rPr>
          <w:lang w:val="en-GB"/>
        </w:rPr>
        <w:t>s</w:t>
      </w:r>
      <w:r w:rsidR="00213636">
        <w:rPr>
          <w:lang w:val="en-GB"/>
        </w:rPr>
        <w:t xml:space="preserve"> of surface sites can additionally contribute to </w:t>
      </w:r>
      <w:sdt>
        <w:sdtPr>
          <w:tag w:val="goog_rdk_154"/>
          <w:id w:val="68927728"/>
        </w:sdtPr>
        <w:sdtContent>
          <w:r w:rsidR="00510E35">
            <w:t>broadening</w:t>
          </w:r>
        </w:sdtContent>
      </w:sdt>
      <w:r w:rsidR="00510E35" w:rsidDel="00510E35">
        <w:rPr>
          <w:lang w:val="en-GB"/>
        </w:rPr>
        <w:t xml:space="preserve"> </w:t>
      </w:r>
      <w:r w:rsidR="00213636">
        <w:rPr>
          <w:lang w:val="en-GB"/>
        </w:rPr>
        <w:t xml:space="preserve">the potential dependent </w:t>
      </w:r>
      <w:proofErr w:type="spellStart"/>
      <w:r w:rsidR="00441361">
        <w:rPr>
          <w:lang w:val="en-GB"/>
        </w:rPr>
        <w:t>pseudo</w:t>
      </w:r>
      <w:r w:rsidR="00213636">
        <w:rPr>
          <w:lang w:val="en-GB"/>
        </w:rPr>
        <w:t>capacitance</w:t>
      </w:r>
      <w:proofErr w:type="spellEnd"/>
      <w:r w:rsidR="00213636">
        <w:rPr>
          <w:lang w:val="en-GB"/>
        </w:rPr>
        <w:t xml:space="preserve">. </w:t>
      </w:r>
      <w:r w:rsidR="00D54B7E">
        <w:rPr>
          <w:lang w:val="en-GB"/>
        </w:rPr>
        <w:t xml:space="preserve">Then, </w:t>
      </w:r>
      <w:r w:rsidR="00D54B7E">
        <w:t xml:space="preserve">a largely potential independent </w:t>
      </w:r>
      <w:proofErr w:type="spellStart"/>
      <w:r w:rsidR="00D54B7E">
        <w:t>pseudocapacitance</w:t>
      </w:r>
      <w:proofErr w:type="spellEnd"/>
      <w:r w:rsidR="00D54B7E">
        <w:t xml:space="preserve"> is compatible with </w:t>
      </w:r>
      <w:r w:rsidR="00D54B7E" w:rsidRPr="007856F2">
        <w:t xml:space="preserve">a potential dependent free energy of activation </w:t>
      </w:r>
      <w:r w:rsidR="00D54B7E">
        <w:t>due to the potential dependent heat of adsorption of intermediates.</w:t>
      </w:r>
      <w:r w:rsidR="00D54B7E">
        <w:fldChar w:fldCharType="begin">
          <w:fldData xml:space="preserve">PEVuZE5vdGU+PENpdGU+PEF1dGhvcj5Db253YXk8L0F1dGhvcj48WWVhcj4xOTYyPC9ZZWFyPjxS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</w:fldData>
        </w:fldChar>
      </w:r>
      <w:r w:rsidR="00FC5BEB">
        <w:instrText xml:space="preserve"> ADDIN EN.CITE </w:instrText>
      </w:r>
      <w:r w:rsidR="00FC5BEB">
        <w:fldChar w:fldCharType="begin">
          <w:fldData xml:space="preserve">PEVuZE5vdGU+PENpdGU+PEF1dGhvcj5Db253YXk8L0F1dGhvcj48WWVhcj4xOTYyPC9ZZWFyPjxS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</w:fldData>
        </w:fldChar>
      </w:r>
      <w:r w:rsidR="00FC5BEB">
        <w:instrText xml:space="preserve"> ADDIN EN.CITE.DATA </w:instrText>
      </w:r>
      <w:r w:rsidR="00FC5BEB">
        <w:fldChar w:fldCharType="end"/>
      </w:r>
      <w:r w:rsidR="00D54B7E">
        <w:fldChar w:fldCharType="separate"/>
      </w:r>
      <w:r w:rsidR="00FC5BEB" w:rsidRPr="00FC5BEB">
        <w:rPr>
          <w:noProof/>
          <w:vertAlign w:val="superscript"/>
        </w:rPr>
        <w:t>63, 95</w:t>
      </w:r>
      <w:r w:rsidR="00D54B7E">
        <w:fldChar w:fldCharType="end"/>
      </w:r>
    </w:p>
    <w:p w14:paraId="0A7A8A4D" w14:textId="77777777" w:rsidR="00042D3F" w:rsidRPr="00040475" w:rsidRDefault="00042D3F" w:rsidP="00204D0E">
      <w:pPr>
        <w:rPr>
          <w:lang w:val="en-GB"/>
        </w:rPr>
      </w:pPr>
    </w:p>
    <w:p w14:paraId="1A186213" w14:textId="200448A0" w:rsidR="00204D0E" w:rsidRDefault="00204D0E" w:rsidP="00BC7855">
      <w:pPr>
        <w:pStyle w:val="Heading2"/>
      </w:pPr>
      <w:bookmarkStart w:id="47" w:name="_Toc159281599"/>
      <w:bookmarkStart w:id="48" w:name="_Toc159371025"/>
      <w:bookmarkStart w:id="49" w:name="_Toc166441729"/>
      <w:r>
        <w:t xml:space="preserve">Some cautionary </w:t>
      </w:r>
      <w:r w:rsidR="005D1730" w:rsidRPr="005D1730">
        <w:t>observations</w:t>
      </w:r>
      <w:r w:rsidR="005D1730" w:rsidRPr="00441361">
        <w:t xml:space="preserve"> </w:t>
      </w:r>
      <w:r w:rsidR="005D1730" w:rsidRPr="008F23FC">
        <w:t xml:space="preserve">and </w:t>
      </w:r>
      <w:r>
        <w:t xml:space="preserve">comments </w:t>
      </w:r>
      <w:r w:rsidR="002B49B3" w:rsidRPr="002B49B3">
        <w:t>related</w:t>
      </w:r>
      <w:r w:rsidR="002B49B3" w:rsidRPr="008F23FC">
        <w:t xml:space="preserve"> </w:t>
      </w:r>
      <w:r>
        <w:t>to experiments</w:t>
      </w:r>
      <w:bookmarkEnd w:id="47"/>
      <w:bookmarkEnd w:id="48"/>
      <w:bookmarkEnd w:id="49"/>
      <w:r>
        <w:t xml:space="preserve"> </w:t>
      </w:r>
    </w:p>
    <w:p w14:paraId="34772BEC" w14:textId="77777777" w:rsidR="00204D0E" w:rsidRDefault="00204D0E" w:rsidP="00204D0E">
      <w:pPr>
        <w:widowControl w:val="0"/>
        <w:autoSpaceDE w:val="0"/>
        <w:autoSpaceDN w:val="0"/>
        <w:adjustRightInd w:val="0"/>
        <w:ind w:left="640" w:hanging="640"/>
      </w:pPr>
    </w:p>
    <w:p w14:paraId="5ADCDF57" w14:textId="04A8EF71" w:rsidR="00394327" w:rsidRDefault="00394327" w:rsidP="00EF734B">
      <w:pPr>
        <w:widowControl w:val="0"/>
        <w:autoSpaceDE w:val="0"/>
        <w:autoSpaceDN w:val="0"/>
        <w:adjustRightInd w:val="0"/>
        <w:ind w:firstLine="640"/>
      </w:pPr>
      <w:r>
        <w:t xml:space="preserve">Before we leave </w:t>
      </w:r>
      <w:r w:rsidR="008F23FC">
        <w:t xml:space="preserve">the </w:t>
      </w:r>
      <w:r w:rsidR="002B49B3">
        <w:t xml:space="preserve">experimental </w:t>
      </w:r>
      <w:r>
        <w:t xml:space="preserve">reaction kinetics behind and </w:t>
      </w:r>
      <w:r w:rsidR="00D877E5">
        <w:t>embark</w:t>
      </w:r>
      <w:r>
        <w:t xml:space="preserve"> on a long journey of DFT-based exploration of </w:t>
      </w:r>
      <w:r w:rsidR="00F43791">
        <w:t xml:space="preserve">the </w:t>
      </w:r>
      <w:r>
        <w:t>OER mechanism</w:t>
      </w:r>
      <w:r w:rsidR="008A6D5D">
        <w:t>s</w:t>
      </w:r>
      <w:r>
        <w:t xml:space="preserve">, we want to point out a few potential pitfalls </w:t>
      </w:r>
      <w:r w:rsidR="00716A66">
        <w:t xml:space="preserve">and peculiarities </w:t>
      </w:r>
      <w:r>
        <w:t xml:space="preserve">of kinetic experiments. </w:t>
      </w:r>
      <w:r w:rsidR="00716A66">
        <w:t xml:space="preserve">Our examples are again arbitrarily chosen, and </w:t>
      </w:r>
      <w:r w:rsidR="002B49B3">
        <w:t xml:space="preserve">we </w:t>
      </w:r>
      <w:r w:rsidR="00716A66">
        <w:t xml:space="preserve">could have selected other studies. </w:t>
      </w:r>
    </w:p>
    <w:p w14:paraId="0F50DABE" w14:textId="77777777" w:rsidR="00441361" w:rsidRDefault="00441361" w:rsidP="00441361">
      <w:pPr>
        <w:widowControl w:val="0"/>
        <w:autoSpaceDE w:val="0"/>
        <w:autoSpaceDN w:val="0"/>
        <w:adjustRightInd w:val="0"/>
        <w:ind w:firstLine="640"/>
        <w:rPr>
          <w:lang w:val="en-GB"/>
        </w:rPr>
      </w:pPr>
      <w:r>
        <w:rPr>
          <w:lang w:val="en-GB"/>
        </w:rPr>
        <w:tab/>
      </w:r>
    </w:p>
    <w:p w14:paraId="7C7FE7AE" w14:textId="2402767C" w:rsidR="00441361" w:rsidRDefault="00441361" w:rsidP="00441361">
      <w:pPr>
        <w:widowControl w:val="0"/>
        <w:autoSpaceDE w:val="0"/>
        <w:autoSpaceDN w:val="0"/>
        <w:adjustRightInd w:val="0"/>
        <w:ind w:firstLine="640"/>
        <w:rPr>
          <w:lang w:val="en-GB"/>
        </w:rPr>
      </w:pPr>
      <w:r>
        <w:t xml:space="preserve">Bai </w:t>
      </w:r>
      <w:r w:rsidR="00D72296">
        <w:t>et al.</w:t>
      </w:r>
      <w:r>
        <w:fldChar w:fldCharType="begin"/>
      </w:r>
      <w:r w:rsidR="00FC5BEB">
        <w:instrText xml:space="preserve"> ADDIN EN.CITE &lt;EndNote&gt;&lt;Cite&gt;&lt;Author&gt;Bai&lt;/Author&gt;&lt;Year&gt;1993&lt;/Year&gt;&lt;RecNum&gt;94&lt;/RecNum&gt;&lt;DisplayText&gt;&lt;style face="superscript"&gt;96&lt;/style&gt;&lt;/DisplayText&gt;&lt;record&gt;&lt;rec-number&gt;94&lt;/rec-number&gt;&lt;foreign-keys&gt;&lt;key app="EN" db-id="2xex0erf4eexr4e2dpbxpdd829xttesxxxdr" timestamp="1715075296"&gt;94&lt;/key&gt;&lt;/foreign-keys&gt;&lt;ref-type name="Journal Article"&gt;17&lt;/ref-type&gt;&lt;contributors&gt;&lt;authors&gt;&lt;author&gt;Bai, Lijum&lt;/author&gt;&lt;author&gt;Gao, Lijum&lt;/author&gt;&lt;author&gt;Conway, Brian E.&lt;/author&gt;&lt;/authors&gt;&lt;/contributors&gt;&lt;titles&gt;&lt;title&gt;Problem of in situ real-area determination in evaluation of performance of rough or porous, gas-evolving electrocatalysts. Part 2.—Unfolding of the electrochemically accessible surface of rough or porous electrodes: a case-study with an electrodeposited porous Pt electrode&lt;/title&gt;&lt;secondary-title&gt;J. Chem. Soc., Faraday Trans.&lt;/secondary-title&gt;&lt;/titles&gt;&lt;periodical&gt;&lt;full-title&gt;Journal of the Chemical Society, Faraday Transactions&lt;/full-title&gt;&lt;abbr-1&gt;J. Chem. Soc., Faraday Trans.&lt;/abbr-1&gt;&lt;abbr-2&gt;J Chem Soc, Faraday Trans&lt;/abbr-2&gt;&lt;/periodical&gt;&lt;pages&gt;243-249&lt;/pages&gt;&lt;volume&gt;89&lt;/volume&gt;&lt;number&gt;2&lt;/number&gt;&lt;dates&gt;&lt;year&gt;1993&lt;/year&gt;&lt;/dates&gt;&lt;publisher&gt;The Royal Society of Chemistry&lt;/publisher&gt;&lt;isbn&gt;0956-5000&lt;/isbn&gt;&lt;work-type&gt;10.1039/FT9938900243&lt;/work-type&gt;&lt;urls&gt;&lt;related-urls&gt;&lt;url&gt;http://dx.doi.org/10.1039/FT9938900243&lt;/url&gt;&lt;/related-urls&gt;&lt;/urls&gt;&lt;electronic-resource-num&gt;10.1039/FT9938900243&lt;/electronic-resource-num&gt;&lt;/record&gt;&lt;/Cite&gt;&lt;/EndNote&gt;</w:instrText>
      </w:r>
      <w:r>
        <w:fldChar w:fldCharType="separate"/>
      </w:r>
      <w:r w:rsidR="00FC5BEB" w:rsidRPr="00FC5BEB">
        <w:rPr>
          <w:noProof/>
          <w:vertAlign w:val="superscript"/>
        </w:rPr>
        <w:t>96</w:t>
      </w:r>
      <w:r>
        <w:fldChar w:fldCharType="end"/>
      </w:r>
      <w:r>
        <w:t xml:space="preserve"> used plated porous and smooth bright Pt electrodes in HER under alkaline in 0.1-4.0 M KOH. They found t</w:t>
      </w:r>
      <w:r w:rsidRPr="00563E97">
        <w:rPr>
          <w:lang w:val="en-GB"/>
        </w:rPr>
        <w:t xml:space="preserve">hat the </w:t>
      </w:r>
      <w:proofErr w:type="spellStart"/>
      <w:r w:rsidRPr="00441361">
        <w:rPr>
          <w:i/>
          <w:iCs/>
          <w:lang w:val="en-GB"/>
        </w:rPr>
        <w:t>iR</w:t>
      </w:r>
      <w:proofErr w:type="spellEnd"/>
      <w:r w:rsidRPr="00563E97">
        <w:rPr>
          <w:lang w:val="en-GB"/>
        </w:rPr>
        <w:t xml:space="preserve">-corrected Tafel </w:t>
      </w:r>
      <w:proofErr w:type="spellStart"/>
      <w:r w:rsidR="00D0065F">
        <w:rPr>
          <w:lang w:val="en-GB"/>
        </w:rPr>
        <w:t>behavior</w:t>
      </w:r>
      <w:proofErr w:type="spellEnd"/>
      <w:r w:rsidRPr="00563E97">
        <w:rPr>
          <w:lang w:val="en-GB"/>
        </w:rPr>
        <w:t xml:space="preserve"> for the HER on the activated bright Pt is independent of the concentrations of the KOH solutions used</w:t>
      </w:r>
      <w:r>
        <w:rPr>
          <w:lang w:val="en-GB"/>
        </w:rPr>
        <w:t xml:space="preserve">. The low Tafel slope region started bending already at low current density and low overpotential and practically continuously bent over the whole potential window studied, curve 6 in </w:t>
      </w:r>
      <w:r>
        <w:rPr>
          <w:lang w:val="en-GB"/>
        </w:rPr>
        <w:fldChar w:fldCharType="begin"/>
      </w:r>
      <w:r>
        <w:rPr>
          <w:lang w:val="en-GB"/>
        </w:rPr>
        <w:instrText xml:space="preserve"> REF _Ref159351172 \h </w:instrText>
      </w:r>
      <w:r>
        <w:rPr>
          <w:lang w:val="en-GB"/>
        </w:rPr>
      </w:r>
      <w:r>
        <w:rPr>
          <w:lang w:val="en-GB"/>
        </w:rPr>
        <w:fldChar w:fldCharType="separate"/>
      </w:r>
      <w:r w:rsidR="00C05449" w:rsidRPr="00C05449">
        <w:rPr>
          <w:b/>
          <w:bCs/>
          <w:szCs w:val="22"/>
        </w:rPr>
        <w:t xml:space="preserve">Figure </w:t>
      </w:r>
      <w:r w:rsidR="00C05449">
        <w:rPr>
          <w:b/>
          <w:bCs/>
          <w:noProof/>
        </w:rPr>
        <w:t>7</w:t>
      </w:r>
      <w:r>
        <w:rPr>
          <w:lang w:val="en-GB"/>
        </w:rPr>
        <w:fldChar w:fldCharType="end"/>
      </w:r>
      <w:r w:rsidRPr="00967BAD">
        <w:rPr>
          <w:b/>
          <w:bCs/>
          <w:lang w:val="en-GB"/>
        </w:rPr>
        <w:t>a</w:t>
      </w:r>
      <w:r>
        <w:rPr>
          <w:lang w:val="en-GB"/>
        </w:rPr>
        <w:t xml:space="preserve">. This contrasts to the </w:t>
      </w:r>
      <w:proofErr w:type="spellStart"/>
      <w:r w:rsidR="00D0065F">
        <w:rPr>
          <w:lang w:val="en-GB"/>
        </w:rPr>
        <w:t>behavior</w:t>
      </w:r>
      <w:proofErr w:type="spellEnd"/>
      <w:r>
        <w:rPr>
          <w:lang w:val="en-GB"/>
        </w:rPr>
        <w:t xml:space="preserve"> of the porous Pt sample, which, apart from the smallest overpotential region, did show a pH dependence. The higher the KOH concentration, and hence the pH, the higher current densities the low Tafel slope region was accessible. Open-circuit potential relaxation experiments were performed to calculate the </w:t>
      </w:r>
      <w:proofErr w:type="spellStart"/>
      <w:r>
        <w:rPr>
          <w:lang w:val="en-GB"/>
        </w:rPr>
        <w:t>pseudocapacitance</w:t>
      </w:r>
      <w:proofErr w:type="spellEnd"/>
      <w:r>
        <w:rPr>
          <w:lang w:val="en-GB"/>
        </w:rPr>
        <w:t xml:space="preserve"> of the porous electrode in these different electrolytes and an apparent roughness factor with respect to the bright electrolyte was estimated. It was found that the porous electrode in 4 M KOH has a roughness factor of approximately 300 as compared to the bright electrode but only 15-30 in 0.1-0.2 M KOH, the roughness factor continuously changing with the KOH concentration. That is, the apparent roughness factor was ca. 20 times lower when the concentration of KOH electrolyte decreased by factor 40. T</w:t>
      </w:r>
      <w:r w:rsidRPr="006A6755">
        <w:rPr>
          <w:lang w:val="en-GB"/>
        </w:rPr>
        <w:t xml:space="preserve">he electrolyte ohmic resistance inside pores is large in dilute KOH solution, </w:t>
      </w:r>
      <w:r>
        <w:rPr>
          <w:lang w:val="en-GB"/>
        </w:rPr>
        <w:t xml:space="preserve">which </w:t>
      </w:r>
      <w:r w:rsidRPr="006A6755">
        <w:rPr>
          <w:lang w:val="en-GB"/>
        </w:rPr>
        <w:t>renders only a rather small fraction</w:t>
      </w:r>
      <w:r>
        <w:rPr>
          <w:lang w:val="en-GB"/>
        </w:rPr>
        <w:t xml:space="preserve"> of the surface inside the pores accessible for HER. Hence, when enough surface area is accessible, by using concentrated KOH with the porous sample, the low Tafel slope can be maintained up to larger current densities. </w:t>
      </w:r>
    </w:p>
    <w:p w14:paraId="57DDCD03" w14:textId="77777777" w:rsidR="002B6362" w:rsidRDefault="002B6362" w:rsidP="00441361">
      <w:pPr>
        <w:widowControl w:val="0"/>
        <w:autoSpaceDE w:val="0"/>
        <w:autoSpaceDN w:val="0"/>
        <w:adjustRightInd w:val="0"/>
        <w:ind w:firstLine="640"/>
        <w:rPr>
          <w:lang w:val="en-GB"/>
        </w:rPr>
      </w:pPr>
    </w:p>
    <w:p w14:paraId="6B41F62B" w14:textId="062BF0C1" w:rsidR="00441361" w:rsidRPr="00441361" w:rsidRDefault="00441361" w:rsidP="00704C0E">
      <w:pPr>
        <w:widowControl w:val="0"/>
        <w:autoSpaceDE w:val="0"/>
        <w:autoSpaceDN w:val="0"/>
        <w:adjustRightInd w:val="0"/>
        <w:ind w:firstLine="640"/>
        <w:rPr>
          <w:lang w:val="en-GB"/>
        </w:rPr>
      </w:pPr>
      <w:proofErr w:type="spellStart"/>
      <w:r>
        <w:rPr>
          <w:lang w:val="en-GB"/>
        </w:rPr>
        <w:t>Anantharaj</w:t>
      </w:r>
      <w:proofErr w:type="spellEnd"/>
      <w:r>
        <w:rPr>
          <w:lang w:val="en-GB"/>
        </w:rPr>
        <w:t xml:space="preserve"> and Kundu</w:t>
      </w:r>
      <w:r>
        <w:rPr>
          <w:lang w:val="en-GB"/>
        </w:rPr>
        <w:fldChar w:fldCharType="begin"/>
      </w:r>
      <w:r w:rsidR="00FC5BEB">
        <w:rPr>
          <w:lang w:val="en-GB"/>
        </w:rPr>
        <w:instrText xml:space="preserve"> ADDIN EN.CITE &lt;EndNote&gt;&lt;Cite&gt;&lt;Author&gt;Anantharaj&lt;/Author&gt;&lt;Year&gt;2019&lt;/Year&gt;&lt;RecNum&gt;95&lt;/RecNum&gt;&lt;DisplayText&gt;&lt;style face="superscript"&gt;97&lt;/style&gt;&lt;/DisplayText&gt;&lt;record&gt;&lt;rec-number&gt;95&lt;/rec-number&gt;&lt;foreign-keys&gt;&lt;key app="EN" db-id="2xex0erf4eexr4e2dpbxpdd829xttesxxxdr" timestamp="1715075296"&gt;95&lt;/key&gt;&lt;/foreign-keys&gt;&lt;ref-type name="Journal Article"&gt;17&lt;/ref-type&gt;&lt;contributors&gt;&lt;authors&gt;&lt;author&gt;Anantharaj, Sengeni&lt;/author&gt;&lt;author&gt;Kundu, Subrata&lt;/author&gt;&lt;/authors&gt;&lt;/contributors&gt;&lt;titles&gt;&lt;title&gt;Do the Evaluation Parameters Reflect Intrinsic Activity of Electrocatalysts in Electrochemical Water Splitting?&lt;/title&gt;&lt;secondary-title&gt;ACS Energy Lett.&lt;/secondary-title&gt;&lt;/titles&gt;&lt;periodical&gt;&lt;full-title&gt;ACS Energy Lett.&lt;/full-title&gt;&lt;/periodical&gt;&lt;pages&gt;1260-1264&lt;/pages&gt;&lt;volume&gt;4&lt;/volume&gt;&lt;number&gt;6&lt;/number&gt;&lt;dates&gt;&lt;year&gt;2019&lt;/year&gt;&lt;pub-dates&gt;&lt;date&gt;2019/06/14&lt;/date&gt;&lt;/pub-dates&gt;&lt;/dates&gt;&lt;publisher&gt;American Chemical Society&lt;/publisher&gt;&lt;urls&gt;&lt;related-urls&gt;&lt;url&gt;https://doi.org/10.1021/acsenergylett.9b00686&lt;/url&gt;&lt;/related-urls&gt;&lt;/urls&gt;&lt;electronic-resource-num&gt;10.1021/acsenergylett.9b00686&lt;/electronic-resource-num&gt;&lt;/record&gt;&lt;/Cite&gt;&lt;/EndNote&gt;</w:instrText>
      </w:r>
      <w:r>
        <w:rPr>
          <w:lang w:val="en-GB"/>
        </w:rPr>
        <w:fldChar w:fldCharType="separate"/>
      </w:r>
      <w:r w:rsidR="00FC5BEB" w:rsidRPr="00FC5BEB">
        <w:rPr>
          <w:noProof/>
          <w:vertAlign w:val="superscript"/>
          <w:lang w:val="en-GB"/>
        </w:rPr>
        <w:t>97</w:t>
      </w:r>
      <w:r>
        <w:rPr>
          <w:lang w:val="en-GB"/>
        </w:rPr>
        <w:fldChar w:fldCharType="end"/>
      </w:r>
      <w:r>
        <w:rPr>
          <w:lang w:val="en-GB"/>
        </w:rPr>
        <w:t xml:space="preserve"> investigated the influence of </w:t>
      </w:r>
      <w:proofErr w:type="spellStart"/>
      <w:r>
        <w:rPr>
          <w:lang w:val="en-GB"/>
        </w:rPr>
        <w:t>NiO</w:t>
      </w:r>
      <w:proofErr w:type="spellEnd"/>
      <w:r>
        <w:rPr>
          <w:lang w:val="en-GB"/>
        </w:rPr>
        <w:t xml:space="preserve"> loading on the OER performance. </w:t>
      </w:r>
      <w:r w:rsidRPr="00E6782D">
        <w:rPr>
          <w:lang w:val="en-GB"/>
        </w:rPr>
        <w:t xml:space="preserve">As expected, the overall </w:t>
      </w:r>
      <w:r>
        <w:rPr>
          <w:lang w:val="en-GB"/>
        </w:rPr>
        <w:t xml:space="preserve">geometric </w:t>
      </w:r>
      <w:r w:rsidRPr="00E6782D">
        <w:rPr>
          <w:lang w:val="en-GB"/>
        </w:rPr>
        <w:t xml:space="preserve">current density of </w:t>
      </w:r>
      <w:proofErr w:type="spellStart"/>
      <w:r w:rsidRPr="00E6782D">
        <w:rPr>
          <w:lang w:val="en-GB"/>
        </w:rPr>
        <w:t>NiO</w:t>
      </w:r>
      <w:proofErr w:type="spellEnd"/>
      <w:r w:rsidRPr="00E6782D">
        <w:rPr>
          <w:lang w:val="en-GB"/>
        </w:rPr>
        <w:t xml:space="preserve"> </w:t>
      </w:r>
      <w:r>
        <w:rPr>
          <w:lang w:val="en-GB"/>
        </w:rPr>
        <w:t xml:space="preserve">in 1 M KOH </w:t>
      </w:r>
      <w:r w:rsidRPr="00E6782D">
        <w:rPr>
          <w:lang w:val="en-GB"/>
        </w:rPr>
        <w:t xml:space="preserve">increased with increasing </w:t>
      </w:r>
      <w:r w:rsidRPr="00E6782D">
        <w:rPr>
          <w:lang w:val="en-GB"/>
        </w:rPr>
        <w:lastRenderedPageBreak/>
        <w:t xml:space="preserve">catalyst loading, which </w:t>
      </w:r>
      <w:r>
        <w:rPr>
          <w:lang w:val="en-GB"/>
        </w:rPr>
        <w:t>implies</w:t>
      </w:r>
      <w:r w:rsidRPr="00E6782D">
        <w:rPr>
          <w:lang w:val="en-GB"/>
        </w:rPr>
        <w:t xml:space="preserve"> that the potential </w:t>
      </w:r>
      <w:r>
        <w:rPr>
          <w:lang w:val="en-GB"/>
        </w:rPr>
        <w:t>to reach</w:t>
      </w:r>
      <w:r w:rsidRPr="00E6782D">
        <w:rPr>
          <w:lang w:val="en-GB"/>
        </w:rPr>
        <w:t xml:space="preserve"> any fix</w:t>
      </w:r>
      <w:r>
        <w:rPr>
          <w:lang w:val="en-GB"/>
        </w:rPr>
        <w:t>ed</w:t>
      </w:r>
      <w:r w:rsidRPr="00E6782D">
        <w:rPr>
          <w:lang w:val="en-GB"/>
        </w:rPr>
        <w:t xml:space="preserve"> current densities will be loading-</w:t>
      </w:r>
      <w:r w:rsidRPr="00441361">
        <w:rPr>
          <w:lang w:val="en-GB"/>
        </w:rPr>
        <w:t xml:space="preserve"> </w:t>
      </w:r>
      <w:r w:rsidRPr="00E6782D">
        <w:rPr>
          <w:lang w:val="en-GB"/>
        </w:rPr>
        <w:t>dependent.</w:t>
      </w:r>
      <w:r>
        <w:rPr>
          <w:lang w:val="en-GB"/>
        </w:rPr>
        <w:t xml:space="preserve"> The Tafel slopes were catalyst loading dependent, too (</w:t>
      </w:r>
      <w:r>
        <w:rPr>
          <w:lang w:val="en-GB"/>
        </w:rPr>
        <w:fldChar w:fldCharType="begin"/>
      </w:r>
      <w:r>
        <w:rPr>
          <w:lang w:val="en-GB"/>
        </w:rPr>
        <w:instrText xml:space="preserve"> REF _Ref159351172 \h </w:instrText>
      </w:r>
      <w:r>
        <w:rPr>
          <w:lang w:val="en-GB"/>
        </w:rPr>
      </w:r>
      <w:r>
        <w:rPr>
          <w:lang w:val="en-GB"/>
        </w:rPr>
        <w:fldChar w:fldCharType="separate"/>
      </w:r>
      <w:r w:rsidR="00C05449" w:rsidRPr="00C05449">
        <w:rPr>
          <w:b/>
          <w:bCs/>
          <w:szCs w:val="22"/>
        </w:rPr>
        <w:t xml:space="preserve">Figure </w:t>
      </w:r>
      <w:r w:rsidR="00C05449">
        <w:rPr>
          <w:b/>
          <w:bCs/>
          <w:noProof/>
        </w:rPr>
        <w:t>7</w:t>
      </w:r>
      <w:r>
        <w:rPr>
          <w:lang w:val="en-GB"/>
        </w:rPr>
        <w:fldChar w:fldCharType="end"/>
      </w:r>
      <w:r>
        <w:rPr>
          <w:lang w:val="en-GB"/>
        </w:rPr>
        <w:t xml:space="preserve">b); at the lowest loading the Tafel slope was 118 mV/dec, continuously decreasing to roughly 90 mV/dec with increasing catalyst loading. These Tafel slopes were assessed close to the OER onset. Hence, they reflect intrinsically large slope values and were not the effect of bended Tafel slopes. The authors went on and estimated the electrochemically accessible surface based on the integral of the </w:t>
      </w:r>
      <w:proofErr w:type="gramStart"/>
      <w:r>
        <w:rPr>
          <w:lang w:val="en-GB"/>
        </w:rPr>
        <w:t>Ni(</w:t>
      </w:r>
      <w:proofErr w:type="gramEnd"/>
      <w:r>
        <w:rPr>
          <w:lang w:val="en-GB"/>
        </w:rPr>
        <w:t>II)/Ni(III) redox peak at around 1.35 V. When the OER activity was normalized to the electrochemically accessible surface area, the highest surface area-normalized activity was found with the 0.2-0.4 mg/cm</w:t>
      </w:r>
      <w:r w:rsidRPr="009359BF">
        <w:rPr>
          <w:vertAlign w:val="superscript"/>
          <w:lang w:val="en-GB"/>
        </w:rPr>
        <w:t>2</w:t>
      </w:r>
      <w:r>
        <w:rPr>
          <w:lang w:val="en-GB"/>
        </w:rPr>
        <w:t xml:space="preserve"> samples. The intrinsic activity decreased with increasing catalyst loading, suggesting that the highest Tafel slope with the lowest catalyst loading is most likely not rooted in any experimental artifact. </w:t>
      </w:r>
    </w:p>
    <w:p w14:paraId="147EF281" w14:textId="77777777" w:rsidR="00C544E9" w:rsidRDefault="00070628" w:rsidP="00605198">
      <w:pPr>
        <w:widowControl w:val="0"/>
        <w:autoSpaceDE w:val="0"/>
        <w:autoSpaceDN w:val="0"/>
        <w:adjustRightInd w:val="0"/>
        <w:ind w:left="640" w:hanging="640"/>
        <w:jc w:val="center"/>
      </w:pPr>
      <w:r>
        <w:rPr>
          <w:noProof/>
          <w14:ligatures w14:val="standardContextual"/>
        </w:rPr>
        <w:drawing>
          <wp:inline distT="0" distB="0" distL="0" distR="0" wp14:anchorId="05678D54" wp14:editId="70A57580">
            <wp:extent cx="4903309" cy="3496310"/>
            <wp:effectExtent l="0" t="0" r="0" b="0"/>
            <wp:docPr id="22907772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077728" name="Picture 229077728"/>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996479" cy="3562745"/>
                    </a:xfrm>
                    <a:prstGeom prst="rect">
                      <a:avLst/>
                    </a:prstGeom>
                  </pic:spPr>
                </pic:pic>
              </a:graphicData>
            </a:graphic>
          </wp:inline>
        </w:drawing>
      </w:r>
    </w:p>
    <w:p w14:paraId="6529EC31" w14:textId="78411840" w:rsidR="00C544E9" w:rsidRDefault="00C544E9" w:rsidP="00FC0AD9">
      <w:pPr>
        <w:pStyle w:val="Caption"/>
        <w:rPr>
          <w:b/>
          <w:i/>
          <w:iCs/>
        </w:rPr>
      </w:pPr>
      <w:bookmarkStart w:id="50" w:name="_Ref159351172"/>
      <w:r w:rsidRPr="00C05449">
        <w:rPr>
          <w:b/>
          <w:bCs w:val="0"/>
          <w:sz w:val="22"/>
        </w:rPr>
        <w:t xml:space="preserve">Figure </w:t>
      </w:r>
      <w:r w:rsidRPr="00C05449">
        <w:rPr>
          <w:b/>
          <w:bCs w:val="0"/>
          <w:sz w:val="22"/>
        </w:rPr>
        <w:fldChar w:fldCharType="begin"/>
      </w:r>
      <w:r w:rsidRPr="00C05449">
        <w:rPr>
          <w:b/>
          <w:bCs w:val="0"/>
          <w:sz w:val="22"/>
        </w:rPr>
        <w:instrText xml:space="preserve"> SEQ Figure \* ARABIC </w:instrText>
      </w:r>
      <w:r w:rsidRPr="00C05449">
        <w:rPr>
          <w:b/>
          <w:bCs w:val="0"/>
          <w:sz w:val="22"/>
        </w:rPr>
        <w:fldChar w:fldCharType="separate"/>
      </w:r>
      <w:r w:rsidR="00C05449">
        <w:rPr>
          <w:b/>
          <w:bCs w:val="0"/>
          <w:noProof/>
          <w:sz w:val="22"/>
        </w:rPr>
        <w:t>7</w:t>
      </w:r>
      <w:r w:rsidRPr="00C05449">
        <w:rPr>
          <w:b/>
          <w:bCs w:val="0"/>
          <w:sz w:val="22"/>
        </w:rPr>
        <w:fldChar w:fldCharType="end"/>
      </w:r>
      <w:bookmarkEnd w:id="50"/>
      <w:r>
        <w:t xml:space="preserve"> Some selected experiments </w:t>
      </w:r>
      <w:r w:rsidR="00622633" w:rsidRPr="008A6D06">
        <w:rPr>
          <w:bCs w:val="0"/>
        </w:rPr>
        <w:t>showing</w:t>
      </w:r>
      <w:r>
        <w:t xml:space="preserve"> peculiarities with Tafel slopes. (a) Tafel plots for HER on plated Pt electrode in (1) 0.1 </w:t>
      </w:r>
      <w:r w:rsidRPr="00C544E9">
        <w:t xml:space="preserve">(2) 0.2, (3) 1.0, (4) 2.0 and (5) 4.0 </w:t>
      </w:r>
      <w:r>
        <w:t xml:space="preserve">M </w:t>
      </w:r>
      <w:r w:rsidRPr="00C544E9">
        <w:t>KOH solutions, respectivel</w:t>
      </w:r>
      <w:r>
        <w:t>y</w:t>
      </w:r>
      <w:r w:rsidRPr="00C544E9">
        <w:t xml:space="preserve">. Curve 6 is for the HER on the bright Pt electrode in 4.0 </w:t>
      </w:r>
      <w:r>
        <w:t xml:space="preserve">M </w:t>
      </w:r>
      <w:r w:rsidRPr="00C544E9">
        <w:t>KOH solution</w:t>
      </w:r>
      <w:r w:rsidR="00E31FD0">
        <w:t>. Reproduced from Ref</w:t>
      </w:r>
      <w:r>
        <w:t>.</w:t>
      </w:r>
      <w:r w:rsidRPr="008A6D06">
        <w:rPr>
          <w:bCs w:val="0"/>
        </w:rPr>
        <w:fldChar w:fldCharType="begin"/>
      </w:r>
      <w:r w:rsidR="00FC5BEB">
        <w:rPr>
          <w:bCs w:val="0"/>
        </w:rPr>
        <w:instrText xml:space="preserve"> ADDIN EN.CITE &lt;EndNote&gt;&lt;Cite&gt;&lt;Author&gt;Bai&lt;/Author&gt;&lt;Year&gt;1993&lt;/Year&gt;&lt;RecNum&gt;94&lt;/RecNum&gt;&lt;DisplayText&gt;&lt;style face="superscript"&gt;96&lt;/style&gt;&lt;/DisplayText&gt;&lt;record&gt;&lt;rec-number&gt;94&lt;/rec-number&gt;&lt;foreign-keys&gt;&lt;key app="EN" db-id="2xex0erf4eexr4e2dpbxpdd829xttesxxxdr" timestamp="1715075296"&gt;94&lt;/key&gt;&lt;/foreign-keys&gt;&lt;ref-type name="Journal Article"&gt;17&lt;/ref-type&gt;&lt;contributors&gt;&lt;authors&gt;&lt;author&gt;Bai, Lijum&lt;/author&gt;&lt;author&gt;Gao, Lijum&lt;/author&gt;&lt;author&gt;Conway, Brian E.&lt;/author&gt;&lt;/authors&gt;&lt;/contributors&gt;&lt;titles&gt;&lt;title&gt;Problem of in situ real-area determination in evaluation of performance of rough or porous, gas-evolving electrocatalysts. Part 2.—Unfolding of the electrochemically accessible surface of rough or porous electrodes: a case-study with an electrodeposited porous Pt electrode&lt;/title&gt;&lt;secondary-title&gt;J. Chem. Soc., Faraday Trans.&lt;/secondary-title&gt;&lt;/titles&gt;&lt;periodical&gt;&lt;full-title&gt;Journal of the Chemical Society, Faraday Transactions&lt;/full-title&gt;&lt;abbr-1&gt;J. Chem. Soc., Faraday Trans.&lt;/abbr-1&gt;&lt;abbr-2&gt;J Chem Soc, Faraday Trans&lt;/abbr-2&gt;&lt;/periodical&gt;&lt;pages&gt;243-249&lt;/pages&gt;&lt;volume&gt;89&lt;/volume&gt;&lt;number&gt;2&lt;/number&gt;&lt;dates&gt;&lt;year&gt;1993&lt;/year&gt;&lt;/dates&gt;&lt;publisher&gt;The Royal Society of Chemistry&lt;/publisher&gt;&lt;isbn&gt;0956-5000&lt;/isbn&gt;&lt;work-type&gt;10.1039/FT9938900243&lt;/work-type&gt;&lt;urls&gt;&lt;related-urls&gt;&lt;url&gt;http://dx.doi.org/10.1039/FT9938900243&lt;/url&gt;&lt;/related-urls&gt;&lt;/urls&gt;&lt;electronic-resource-num&gt;10.1039/FT9938900243&lt;/electronic-resource-num&gt;&lt;/record&gt;&lt;/Cite&gt;&lt;/EndNote&gt;</w:instrText>
      </w:r>
      <w:r w:rsidRPr="008A6D06">
        <w:rPr>
          <w:bCs w:val="0"/>
        </w:rPr>
        <w:fldChar w:fldCharType="separate"/>
      </w:r>
      <w:r w:rsidR="00FC5BEB" w:rsidRPr="00FC5BEB">
        <w:rPr>
          <w:bCs w:val="0"/>
          <w:noProof/>
          <w:vertAlign w:val="superscript"/>
        </w:rPr>
        <w:t>96</w:t>
      </w:r>
      <w:r w:rsidRPr="008A6D06">
        <w:rPr>
          <w:bCs w:val="0"/>
        </w:rPr>
        <w:fldChar w:fldCharType="end"/>
      </w:r>
      <w:r w:rsidR="00E31FD0">
        <w:rPr>
          <w:bCs w:val="0"/>
        </w:rPr>
        <w:t xml:space="preserve"> </w:t>
      </w:r>
      <w:r w:rsidR="00E31FD0" w:rsidRPr="00E31FD0">
        <w:rPr>
          <w:bCs w:val="0"/>
          <w:lang w:val="en-US"/>
        </w:rPr>
        <w:t>with permission from the Royal Society of Chemistry</w:t>
      </w:r>
      <w:r w:rsidR="00E31FD0">
        <w:rPr>
          <w:bCs w:val="0"/>
          <w:lang w:val="en-US"/>
        </w:rPr>
        <w:t>.</w:t>
      </w:r>
      <w:r>
        <w:t xml:space="preserve"> (b) </w:t>
      </w:r>
      <w:r w:rsidR="00D82577">
        <w:t xml:space="preserve">OER </w:t>
      </w:r>
      <w:r>
        <w:t>Tafel slope</w:t>
      </w:r>
      <w:r w:rsidR="00D82577">
        <w:t>s</w:t>
      </w:r>
      <w:r>
        <w:t xml:space="preserve"> of </w:t>
      </w:r>
      <w:proofErr w:type="spellStart"/>
      <w:r>
        <w:t>NiO</w:t>
      </w:r>
      <w:proofErr w:type="spellEnd"/>
      <w:r>
        <w:t>/carbon</w:t>
      </w:r>
      <w:r w:rsidR="00D82577">
        <w:t xml:space="preserve">-cloth electrodes in 1 M KOH as a function of catalyst loading. Tafel slopes from 100% </w:t>
      </w:r>
      <w:proofErr w:type="spellStart"/>
      <w:r w:rsidR="00D82577" w:rsidRPr="008A6D06">
        <w:rPr>
          <w:bCs w:val="0"/>
          <w:i/>
          <w:iCs/>
        </w:rPr>
        <w:t>iR</w:t>
      </w:r>
      <w:proofErr w:type="spellEnd"/>
      <w:r w:rsidR="002B6362">
        <w:t>-</w:t>
      </w:r>
      <w:r w:rsidR="00D82577">
        <w:t>corrected linear sweep voltammetry (LSV).</w:t>
      </w:r>
      <w:r w:rsidR="00E6782D">
        <w:t xml:space="preserve"> The error bars reflect the </w:t>
      </w:r>
      <w:r w:rsidR="009058BE">
        <w:t>mean deviation calculated from 5 independent experiments</w:t>
      </w:r>
      <w:r w:rsidR="00E31FD0">
        <w:t>. Reproduced with permission from Ref</w:t>
      </w:r>
      <w:r w:rsidR="009058BE">
        <w:t>.</w:t>
      </w:r>
      <w:r w:rsidR="00D82577" w:rsidRPr="008A6D06">
        <w:rPr>
          <w:bCs w:val="0"/>
        </w:rPr>
        <w:fldChar w:fldCharType="begin"/>
      </w:r>
      <w:r w:rsidR="00FC5BEB">
        <w:rPr>
          <w:bCs w:val="0"/>
        </w:rPr>
        <w:instrText xml:space="preserve"> ADDIN EN.CITE &lt;EndNote&gt;&lt;Cite&gt;&lt;Author&gt;Anantharaj&lt;/Author&gt;&lt;Year&gt;2019&lt;/Year&gt;&lt;RecNum&gt;95&lt;/RecNum&gt;&lt;DisplayText&gt;&lt;style face="superscript"&gt;97&lt;/style&gt;&lt;/DisplayText&gt;&lt;record&gt;&lt;rec-number&gt;95&lt;/rec-number&gt;&lt;foreign-keys&gt;&lt;key app="EN" db-id="2xex0erf4eexr4e2dpbxpdd829xttesxxxdr" timestamp="1715075296"&gt;95&lt;/key&gt;&lt;/foreign-keys&gt;&lt;ref-type name="Journal Article"&gt;17&lt;/ref-type&gt;&lt;contributors&gt;&lt;authors&gt;&lt;author&gt;Anantharaj, Sengeni&lt;/author&gt;&lt;author&gt;Kundu, Subrata&lt;/author&gt;&lt;/authors&gt;&lt;/contributors&gt;&lt;titles&gt;&lt;title&gt;Do the Evaluation Parameters Reflect Intrinsic Activity of Electrocatalysts in Electrochemical Water Splitting?&lt;/title&gt;&lt;secondary-title&gt;ACS Energy Lett.&lt;/secondary-title&gt;&lt;/titles&gt;&lt;periodical&gt;&lt;full-title&gt;ACS Energy Lett.&lt;/full-title&gt;&lt;/periodical&gt;&lt;pages&gt;1260-1264&lt;/pages&gt;&lt;volume&gt;4&lt;/volume&gt;&lt;number&gt;6&lt;/number&gt;&lt;dates&gt;&lt;year&gt;2019&lt;/year&gt;&lt;pub-dates&gt;&lt;date&gt;2019/06/14&lt;/date&gt;&lt;/pub-dates&gt;&lt;/dates&gt;&lt;publisher&gt;American Chemical Society&lt;/publisher&gt;&lt;urls&gt;&lt;related-urls&gt;&lt;url&gt;https://doi.org/10.1021/acsenergylett.9b00686&lt;/url&gt;&lt;/related-urls&gt;&lt;/urls&gt;&lt;electronic-resource-num&gt;10.1021/acsenergylett.9b00686&lt;/electronic-resource-num&gt;&lt;/record&gt;&lt;/Cite&gt;&lt;/EndNote&gt;</w:instrText>
      </w:r>
      <w:r w:rsidR="00D82577" w:rsidRPr="008A6D06">
        <w:rPr>
          <w:bCs w:val="0"/>
        </w:rPr>
        <w:fldChar w:fldCharType="separate"/>
      </w:r>
      <w:r w:rsidR="00FC5BEB" w:rsidRPr="00FC5BEB">
        <w:rPr>
          <w:bCs w:val="0"/>
          <w:noProof/>
          <w:vertAlign w:val="superscript"/>
        </w:rPr>
        <w:t>97</w:t>
      </w:r>
      <w:r w:rsidR="00D82577" w:rsidRPr="008A6D06">
        <w:rPr>
          <w:bCs w:val="0"/>
        </w:rPr>
        <w:fldChar w:fldCharType="end"/>
      </w:r>
      <w:r w:rsidR="00E31FD0">
        <w:rPr>
          <w:bCs w:val="0"/>
        </w:rPr>
        <w:t xml:space="preserve"> Copyright 2019 American Chemical Society.</w:t>
      </w:r>
      <w:r w:rsidR="00D82577">
        <w:t xml:space="preserve"> (c) OER </w:t>
      </w:r>
      <w:r w:rsidR="00D82577" w:rsidRPr="00D82577">
        <w:t xml:space="preserve">Tafel slope </w:t>
      </w:r>
      <w:r w:rsidR="00D82577">
        <w:t>of Ni</w:t>
      </w:r>
      <w:r w:rsidR="00D82577" w:rsidRPr="00D82577">
        <w:rPr>
          <w:vertAlign w:val="subscript"/>
        </w:rPr>
        <w:t>80</w:t>
      </w:r>
      <w:r w:rsidR="00D82577">
        <w:t>Fe</w:t>
      </w:r>
      <w:r w:rsidR="00D82577" w:rsidRPr="00D82577">
        <w:rPr>
          <w:vertAlign w:val="subscript"/>
        </w:rPr>
        <w:t>20</w:t>
      </w:r>
      <w:r w:rsidR="00D82577">
        <w:t xml:space="preserve">OOH from 100% </w:t>
      </w:r>
      <w:proofErr w:type="spellStart"/>
      <w:r w:rsidR="00D82577" w:rsidRPr="008A6D06">
        <w:rPr>
          <w:bCs w:val="0"/>
          <w:i/>
          <w:iCs/>
        </w:rPr>
        <w:t>iR</w:t>
      </w:r>
      <w:proofErr w:type="spellEnd"/>
      <w:r w:rsidR="00D82577">
        <w:t xml:space="preserve">-corrected LSV </w:t>
      </w:r>
      <w:r w:rsidR="00D82577" w:rsidRPr="00D82577">
        <w:t xml:space="preserve">vs. average current density (Tafel slope obtained over a </w:t>
      </w:r>
      <w:proofErr w:type="gramStart"/>
      <w:r w:rsidR="00D82577" w:rsidRPr="00D82577">
        <w:t>20 mV</w:t>
      </w:r>
      <w:proofErr w:type="gramEnd"/>
      <w:r w:rsidR="00D82577" w:rsidRPr="00D82577">
        <w:t xml:space="preserve"> interval)</w:t>
      </w:r>
      <w:r w:rsidR="00AD1CD2">
        <w:t>. The rotation rate of the rotating disk electrode was changed between 1000 and 2900 RPM</w:t>
      </w:r>
      <w:r w:rsidR="00E31FD0">
        <w:t>. Reproduced with permission from Ref</w:t>
      </w:r>
      <w:r w:rsidR="00D82577">
        <w:t>.</w:t>
      </w:r>
      <w:r w:rsidR="00D82577" w:rsidRPr="008A6D06">
        <w:rPr>
          <w:bCs w:val="0"/>
        </w:rPr>
        <w:fldChar w:fldCharType="begin"/>
      </w:r>
      <w:r w:rsidR="00FC5BEB">
        <w:rPr>
          <w:bCs w:val="0"/>
        </w:rPr>
        <w:instrText xml:space="preserve"> ADDIN EN.CITE &lt;EndNote&gt;&lt;Cite&gt;&lt;Author&gt;van der Heijden&lt;/Author&gt;&lt;Year&gt;2023&lt;/Year&gt;&lt;RecNum&gt;96&lt;/RecNum&gt;&lt;DisplayText&gt;&lt;style face="superscript"&gt;98&lt;/style&gt;&lt;/DisplayText&gt;&lt;record&gt;&lt;rec-number&gt;96&lt;/rec-number&gt;&lt;foreign-keys&gt;&lt;key app="EN" db-id="2xex0erf4eexr4e2dpbxpdd829xttesxxxdr" timestamp="1715075296"&gt;96&lt;/key&gt;&lt;/foreign-keys&gt;&lt;ref-type name="Journal Article"&gt;17&lt;/ref-type&gt;&lt;contributors&gt;&lt;authors&gt;&lt;author&gt;van der Heijden, Onno&lt;/author&gt;&lt;author&gt;Park, Sunghak&lt;/author&gt;&lt;author&gt;Eggebeen, Jordy J. J.&lt;/author&gt;&lt;author&gt;Koper, Marc T. M.&lt;/author&gt;&lt;/authors&gt;&lt;/contributors&gt;&lt;titles&gt;&lt;title&gt;Non-Kinetic Effects Convolute Activity and Tafel Analysis for the Alkaline Oxygen Evolution Reaction on NiFeOOH Electrocatalysts&lt;/title&gt;&lt;secondary-title&gt;Angewandte Chemie International Edition&lt;/secondary-title&gt;&lt;/titles&gt;&lt;periodical&gt;&lt;full-title&gt;Angewandte Chemie International Edition&lt;/full-title&gt;&lt;abbr-1&gt;Angew. Chem. Int. Ed.&lt;/abbr-1&gt;&lt;abbr-2&gt;Angew Chem Int Ed&lt;/abbr-2&gt;&lt;/periodical&gt;&lt;pages&gt;e202216477&lt;/pages&gt;&lt;volume&gt;62&lt;/volume&gt;&lt;number&gt;7&lt;/number&gt;&lt;keywords&gt;&lt;keyword&gt;Alkaline Oxygen Evolution Reaction&lt;/keyword&gt;&lt;keyword&gt;Bubble Formation&lt;/keyword&gt;&lt;keyword&gt;Loading&lt;/keyword&gt;&lt;keyword&gt;Sonication&lt;/keyword&gt;&lt;keyword&gt;Tafel Slope Analysis&lt;/keyword&gt;&lt;/keywords&gt;&lt;dates&gt;&lt;year&gt;2023&lt;/year&gt;&lt;/dates&gt;&lt;publisher&gt;John Wiley &amp;amp; Sons, Ltd&lt;/publisher&gt;&lt;urls&gt;&lt;related-urls&gt;&lt;url&gt;https://doi.org/10.1002/anie.202216477&lt;/url&gt;&lt;/related-urls&gt;&lt;/urls&gt;&lt;electronic-resource-num&gt;https://doi.org/10.1002/anie.202216477&lt;/electronic-resource-num&gt;&lt;/record&gt;&lt;/Cite&gt;&lt;/EndNote&gt;</w:instrText>
      </w:r>
      <w:r w:rsidR="00D82577" w:rsidRPr="008A6D06">
        <w:rPr>
          <w:bCs w:val="0"/>
        </w:rPr>
        <w:fldChar w:fldCharType="separate"/>
      </w:r>
      <w:r w:rsidR="00FC5BEB" w:rsidRPr="00FC5BEB">
        <w:rPr>
          <w:bCs w:val="0"/>
          <w:noProof/>
          <w:vertAlign w:val="superscript"/>
        </w:rPr>
        <w:t>98</w:t>
      </w:r>
      <w:r w:rsidR="00D82577" w:rsidRPr="008A6D06">
        <w:rPr>
          <w:bCs w:val="0"/>
        </w:rPr>
        <w:fldChar w:fldCharType="end"/>
      </w:r>
      <w:r w:rsidR="00716A66">
        <w:t xml:space="preserve"> </w:t>
      </w:r>
      <w:r w:rsidR="00E31FD0">
        <w:t xml:space="preserve">Copyright 2023 John Wiley and Sons. </w:t>
      </w:r>
      <w:r w:rsidR="00716A66">
        <w:t xml:space="preserve">(d) OER </w:t>
      </w:r>
      <w:r w:rsidR="00716A66" w:rsidRPr="00D82577">
        <w:t xml:space="preserve">Tafel slope </w:t>
      </w:r>
      <w:r w:rsidR="00716A66">
        <w:t>of Ni</w:t>
      </w:r>
      <w:r w:rsidR="00716A66" w:rsidRPr="00D82577">
        <w:rPr>
          <w:vertAlign w:val="subscript"/>
        </w:rPr>
        <w:t>80</w:t>
      </w:r>
      <w:r w:rsidR="00716A66">
        <w:t>Fe</w:t>
      </w:r>
      <w:r w:rsidR="00716A66" w:rsidRPr="00D82577">
        <w:rPr>
          <w:vertAlign w:val="subscript"/>
        </w:rPr>
        <w:t>20</w:t>
      </w:r>
      <w:r w:rsidR="00716A66">
        <w:t xml:space="preserve">OOH from 100% </w:t>
      </w:r>
      <w:proofErr w:type="spellStart"/>
      <w:r w:rsidR="00716A66" w:rsidRPr="008A6D06">
        <w:rPr>
          <w:bCs w:val="0"/>
          <w:i/>
          <w:iCs/>
        </w:rPr>
        <w:t>iR</w:t>
      </w:r>
      <w:proofErr w:type="spellEnd"/>
      <w:r w:rsidR="00716A66">
        <w:t xml:space="preserve">-corrected LSV </w:t>
      </w:r>
      <w:r w:rsidR="00716A66" w:rsidRPr="00D82577">
        <w:t>vs. average current density (Tafel slope obtained over a 20 mV interval)</w:t>
      </w:r>
      <w:r w:rsidR="00716A66">
        <w:t xml:space="preserve"> Experiments performed either </w:t>
      </w:r>
      <w:r w:rsidR="00716A66" w:rsidRPr="00716A66">
        <w:t xml:space="preserve">in 0.1 M NaOH </w:t>
      </w:r>
      <w:r w:rsidR="00716A66">
        <w:t>or</w:t>
      </w:r>
      <w:r w:rsidR="00716A66" w:rsidRPr="00716A66">
        <w:t xml:space="preserve"> 0.1 M Na</w:t>
      </w:r>
      <w:r w:rsidR="00716A66" w:rsidRPr="00716A66">
        <w:rPr>
          <w:vertAlign w:val="subscript"/>
        </w:rPr>
        <w:t>90</w:t>
      </w:r>
      <w:r w:rsidR="00716A66" w:rsidRPr="00716A66">
        <w:t>Li</w:t>
      </w:r>
      <w:r w:rsidR="00716A66" w:rsidRPr="00716A66">
        <w:rPr>
          <w:vertAlign w:val="subscript"/>
        </w:rPr>
        <w:t>10</w:t>
      </w:r>
      <w:r w:rsidR="00716A66" w:rsidRPr="00716A66">
        <w:t>OH</w:t>
      </w:r>
      <w:r w:rsidR="00716A66">
        <w:t xml:space="preserve"> electrolytes</w:t>
      </w:r>
      <w:r w:rsidR="00E31FD0">
        <w:t xml:space="preserve"> </w:t>
      </w:r>
      <w:r w:rsidR="00E31FD0">
        <w:t>Reproduced with permission from Ref</w:t>
      </w:r>
      <w:r w:rsidR="00716A66">
        <w:t>.</w:t>
      </w:r>
      <w:r w:rsidR="00716A66" w:rsidRPr="008A6D06">
        <w:rPr>
          <w:bCs w:val="0"/>
        </w:rPr>
        <w:fldChar w:fldCharType="begin"/>
      </w:r>
      <w:r w:rsidR="00FC5BEB">
        <w:rPr>
          <w:bCs w:val="0"/>
        </w:rPr>
        <w:instrText xml:space="preserve"> ADDIN EN.CITE &lt;EndNote&gt;&lt;Cite&gt;&lt;Author&gt;van der Heijden&lt;/Author&gt;&lt;Year&gt;2024&lt;/Year&gt;&lt;RecNum&gt;97&lt;/RecNum&gt;&lt;DisplayText&gt;&lt;style face="superscript"&gt;99&lt;/style&gt;&lt;/DisplayText&gt;&lt;record&gt;&lt;rec-number&gt;97&lt;/rec-number&gt;&lt;foreign-keys&gt;&lt;key app="EN" db-id="2xex0erf4eexr4e2dpbxpdd829xttesxxxdr" timestamp="1715075296"&gt;97&lt;/key&gt;&lt;/foreign-keys&gt;&lt;ref-type name="Journal Article"&gt;17&lt;/ref-type&gt;&lt;contributors&gt;&lt;authors&gt;&lt;author&gt;van der Heijden, Onno&lt;/author&gt;&lt;author&gt;Eggebeen, Jordy J.J.&lt;/author&gt;&lt;author&gt;Trzesniowski, Hanna&lt;/author&gt;&lt;author&gt;Deka, Nipon&lt;/author&gt;&lt;author&gt;Golnak, Ronny&lt;/author&gt;&lt;author&gt;Xiao, Jie&lt;/author&gt;&lt;author&gt;van Rijn, Maartje&lt;/author&gt;&lt;author&gt;Mom, Rik V.&lt;/author&gt;&lt;author&gt;Koper, Marc T. M.&lt;/author&gt;&lt;/authors&gt;&lt;/contributors&gt;&lt;titles&gt;&lt;title&gt;Li+ Cations Activate NiFeOOH for Oxygen Evolution in Sodium and Potassium Hydroxide&lt;/title&gt;&lt;secondary-title&gt;Angewandte Chemie International Edition&lt;/secondary-title&gt;&lt;/titles&gt;&lt;periodical&gt;&lt;full-title&gt;Angewandte Chemie International Edition&lt;/full-title&gt;&lt;abbr-1&gt;Angew. Chem. Int. Ed.&lt;/abbr-1&gt;&lt;abbr-2&gt;Angew Chem Int Ed&lt;/abbr-2&gt;&lt;/periodical&gt;&lt;pages&gt;e202318692&lt;/pages&gt;&lt;volume&gt;63&lt;/volume&gt;&lt;dates&gt;&lt;year&gt;2024&lt;/year&gt;&lt;/dates&gt;&lt;isbn&gt;1433-7851&lt;/isbn&gt;&lt;urls&gt;&lt;related-urls&gt;&lt;url&gt;https://onlinelibrary.wiley.com/doi/abs/10.1002/anie.202318692&lt;/url&gt;&lt;/related-urls&gt;&lt;/urls&gt;&lt;electronic-resource-num&gt;https://doi.org/10.1002/anie.202318692&lt;/electronic-resource-num&gt;&lt;/record&gt;&lt;/Cite&gt;&lt;/EndNote&gt;</w:instrText>
      </w:r>
      <w:r w:rsidR="00716A66" w:rsidRPr="008A6D06">
        <w:rPr>
          <w:bCs w:val="0"/>
        </w:rPr>
        <w:fldChar w:fldCharType="separate"/>
      </w:r>
      <w:r w:rsidR="00FC5BEB" w:rsidRPr="00FC5BEB">
        <w:rPr>
          <w:bCs w:val="0"/>
          <w:noProof/>
          <w:vertAlign w:val="superscript"/>
        </w:rPr>
        <w:t>99</w:t>
      </w:r>
      <w:r w:rsidR="00716A66" w:rsidRPr="008A6D06">
        <w:rPr>
          <w:bCs w:val="0"/>
        </w:rPr>
        <w:fldChar w:fldCharType="end"/>
      </w:r>
      <w:r w:rsidR="00E31FD0" w:rsidRPr="00E31FD0">
        <w:t xml:space="preserve"> </w:t>
      </w:r>
      <w:r w:rsidR="00E31FD0">
        <w:t>Copyright 202</w:t>
      </w:r>
      <w:r w:rsidR="00E31FD0">
        <w:t>4</w:t>
      </w:r>
      <w:r w:rsidR="00E31FD0">
        <w:t xml:space="preserve"> John Wiley and Sons.</w:t>
      </w:r>
      <w:r w:rsidR="002B6362">
        <w:rPr>
          <w:bCs w:val="0"/>
        </w:rPr>
        <w:t xml:space="preserve"> </w:t>
      </w:r>
    </w:p>
    <w:p w14:paraId="58963EAC" w14:textId="36D12DAC" w:rsidR="002B49B3" w:rsidRDefault="00AE31BB" w:rsidP="002B1EC7">
      <w:pPr>
        <w:widowControl w:val="0"/>
        <w:autoSpaceDE w:val="0"/>
        <w:autoSpaceDN w:val="0"/>
        <w:adjustRightInd w:val="0"/>
        <w:rPr>
          <w:bCs/>
          <w:lang w:val="en-GB"/>
        </w:rPr>
      </w:pPr>
      <w:r>
        <w:rPr>
          <w:lang w:val="en-GB"/>
        </w:rPr>
        <w:tab/>
        <w:t xml:space="preserve">As to the variability of Tafel slope with experimental conditions, the group of Koper studied </w:t>
      </w:r>
      <w:r w:rsidRPr="00AE31BB">
        <w:t>Ni</w:t>
      </w:r>
      <w:r w:rsidRPr="00AE31BB">
        <w:rPr>
          <w:vertAlign w:val="subscript"/>
        </w:rPr>
        <w:t>80</w:t>
      </w:r>
      <w:r w:rsidRPr="00AE31BB">
        <w:t>Fe</w:t>
      </w:r>
      <w:r w:rsidRPr="00AE31BB">
        <w:rPr>
          <w:vertAlign w:val="subscript"/>
        </w:rPr>
        <w:t>20</w:t>
      </w:r>
      <w:r w:rsidRPr="00AE31BB">
        <w:t>OOH</w:t>
      </w:r>
      <w:r>
        <w:t xml:space="preserve"> layered double hydroxide in OER and explored the influence of various experimental conditions and parameters.</w:t>
      </w:r>
      <w:r>
        <w:fldChar w:fldCharType="begin"/>
      </w:r>
      <w:r w:rsidR="00FC5BEB">
        <w:instrText xml:space="preserve"> ADDIN EN.CITE &lt;EndNote&gt;&lt;Cite&gt;&lt;Author&gt;van der Heijden&lt;/Author&gt;&lt;Year&gt;2023&lt;/Year&gt;&lt;RecNum&gt;96&lt;/RecNum&gt;&lt;DisplayText&gt;&lt;style face="superscript"&gt;98&lt;/style&gt;&lt;/DisplayText&gt;&lt;record&gt;&lt;rec-number&gt;96&lt;/rec-number&gt;&lt;foreign-keys&gt;&lt;key app="EN" db-id="2xex0erf4eexr4e2dpbxpdd829xttesxxxdr" timestamp="1715075296"&gt;96&lt;/key&gt;&lt;/foreign-keys&gt;&lt;ref-type name="Journal Article"&gt;17&lt;/ref-type&gt;&lt;contributors&gt;&lt;authors&gt;&lt;author&gt;van der Heijden, Onno&lt;/author&gt;&lt;author&gt;Park, Sunghak&lt;/author&gt;&lt;author&gt;Eggebeen, Jordy J. J.&lt;/author&gt;&lt;author&gt;Koper, Marc T. M.&lt;/author&gt;&lt;/authors&gt;&lt;/contributors&gt;&lt;titles&gt;&lt;title&gt;Non-Kinetic Effects Convolute Activity and Tafel Analysis for the Alkaline Oxygen Evolution Reaction on NiFeOOH Electrocatalysts&lt;/title&gt;&lt;secondary-title&gt;Angewandte Chemie International Edition&lt;/secondary-title&gt;&lt;/titles&gt;&lt;periodical&gt;&lt;full-title&gt;Angewandte Chemie International Edition&lt;/full-title&gt;&lt;abbr-1&gt;Angew. Chem. Int. Ed.&lt;/abbr-1&gt;&lt;abbr-2&gt;Angew Chem Int Ed&lt;/abbr-2&gt;&lt;/periodical&gt;&lt;pages&gt;e202216477&lt;/pages&gt;&lt;volume&gt;62&lt;/volume&gt;&lt;number&gt;7&lt;/number&gt;&lt;keywords&gt;&lt;keyword&gt;Alkaline Oxygen Evolution Reaction&lt;/keyword&gt;&lt;keyword&gt;Bubble Formation&lt;/keyword&gt;&lt;keyword&gt;Loading&lt;/keyword&gt;&lt;keyword&gt;Sonication&lt;/keyword&gt;&lt;keyword&gt;Tafel Slope Analysis&lt;/keyword&gt;&lt;/keywords&gt;&lt;dates&gt;&lt;year&gt;2023&lt;/year&gt;&lt;/dates&gt;&lt;publisher&gt;John Wiley &amp;amp; Sons, Ltd&lt;/publisher&gt;&lt;urls&gt;&lt;related-urls&gt;&lt;url&gt;https://doi.org/10.1002/anie.202216477&lt;/url&gt;&lt;/related-urls&gt;&lt;/urls&gt;&lt;electronic-resource-num&gt;https://doi.org/10.1002/anie.202216477&lt;/electronic-resource-num&gt;&lt;/record&gt;&lt;/Cite&gt;&lt;/EndNote&gt;</w:instrText>
      </w:r>
      <w:r>
        <w:fldChar w:fldCharType="separate"/>
      </w:r>
      <w:r w:rsidR="00FC5BEB" w:rsidRPr="00FC5BEB">
        <w:rPr>
          <w:noProof/>
          <w:vertAlign w:val="superscript"/>
        </w:rPr>
        <w:t>98</w:t>
      </w:r>
      <w:r>
        <w:fldChar w:fldCharType="end"/>
      </w:r>
      <w:r>
        <w:t xml:space="preserve"> </w:t>
      </w:r>
      <w:r>
        <w:rPr>
          <w:lang w:val="en-GB"/>
        </w:rPr>
        <w:t>They</w:t>
      </w:r>
      <w:r w:rsidRPr="00AE31BB">
        <w:rPr>
          <w:lang w:val="en-GB"/>
        </w:rPr>
        <w:t xml:space="preserve"> show</w:t>
      </w:r>
      <w:r>
        <w:rPr>
          <w:lang w:val="en-GB"/>
        </w:rPr>
        <w:t>ed</w:t>
      </w:r>
      <w:r w:rsidRPr="00AE31BB">
        <w:rPr>
          <w:lang w:val="en-GB"/>
        </w:rPr>
        <w:t xml:space="preserve"> that, at low current density (&lt;5 mA</w:t>
      </w:r>
      <w:r>
        <w:rPr>
          <w:lang w:val="en-GB"/>
        </w:rPr>
        <w:t>/</w:t>
      </w:r>
      <w:r w:rsidRPr="00AE31BB">
        <w:rPr>
          <w:lang w:val="en-GB"/>
        </w:rPr>
        <w:t>cm</w:t>
      </w:r>
      <w:r w:rsidR="00A90304" w:rsidRPr="00A90304">
        <w:rPr>
          <w:vertAlign w:val="superscript"/>
          <w:lang w:val="en-GB"/>
        </w:rPr>
        <w:t>2</w:t>
      </w:r>
      <w:r w:rsidRPr="00AE31BB">
        <w:rPr>
          <w:lang w:val="en-GB"/>
        </w:rPr>
        <w:t xml:space="preserve">), the Tafel slope </w:t>
      </w:r>
      <w:r>
        <w:rPr>
          <w:lang w:val="en-GB"/>
        </w:rPr>
        <w:t xml:space="preserve">was approximately </w:t>
      </w:r>
      <w:r w:rsidRPr="00AE31BB">
        <w:rPr>
          <w:lang w:val="en-GB"/>
        </w:rPr>
        <w:t>30 mV</w:t>
      </w:r>
      <w:r>
        <w:rPr>
          <w:lang w:val="en-GB"/>
        </w:rPr>
        <w:t>/</w:t>
      </w:r>
      <w:r w:rsidRPr="00AE31BB">
        <w:rPr>
          <w:lang w:val="en-GB"/>
        </w:rPr>
        <w:t xml:space="preserve">dec. At higher polarization, </w:t>
      </w:r>
      <w:r>
        <w:rPr>
          <w:lang w:val="en-GB"/>
        </w:rPr>
        <w:t xml:space="preserve">though, </w:t>
      </w:r>
      <w:r w:rsidRPr="00AE31BB">
        <w:rPr>
          <w:lang w:val="en-GB"/>
        </w:rPr>
        <w:t>the Tafel slope continuously increase</w:t>
      </w:r>
      <w:r>
        <w:rPr>
          <w:lang w:val="en-GB"/>
        </w:rPr>
        <w:t>d</w:t>
      </w:r>
      <w:r w:rsidRPr="00AE31BB">
        <w:rPr>
          <w:lang w:val="en-GB"/>
        </w:rPr>
        <w:t xml:space="preserve"> and </w:t>
      </w:r>
      <w:r>
        <w:rPr>
          <w:lang w:val="en-GB"/>
        </w:rPr>
        <w:t>was</w:t>
      </w:r>
      <w:r w:rsidRPr="00AE31BB">
        <w:rPr>
          <w:lang w:val="en-GB"/>
        </w:rPr>
        <w:t xml:space="preserve"> dependent on </w:t>
      </w:r>
      <w:r w:rsidR="00A90304">
        <w:rPr>
          <w:lang w:val="en-GB"/>
        </w:rPr>
        <w:t xml:space="preserve">the </w:t>
      </w:r>
      <w:r w:rsidRPr="00AE31BB">
        <w:rPr>
          <w:lang w:val="en-GB"/>
        </w:rPr>
        <w:t>rotation rate</w:t>
      </w:r>
      <w:r>
        <w:rPr>
          <w:lang w:val="en-GB"/>
        </w:rPr>
        <w:t xml:space="preserve"> (</w:t>
      </w:r>
      <w:r>
        <w:rPr>
          <w:lang w:val="en-GB"/>
        </w:rPr>
        <w:fldChar w:fldCharType="begin"/>
      </w:r>
      <w:r>
        <w:rPr>
          <w:lang w:val="en-GB"/>
        </w:rPr>
        <w:instrText xml:space="preserve"> REF _Ref159351172 \h </w:instrText>
      </w:r>
      <w:r>
        <w:rPr>
          <w:lang w:val="en-GB"/>
        </w:rPr>
      </w:r>
      <w:r>
        <w:rPr>
          <w:lang w:val="en-GB"/>
        </w:rPr>
        <w:fldChar w:fldCharType="separate"/>
      </w:r>
      <w:r w:rsidR="00C05449" w:rsidRPr="00C05449">
        <w:rPr>
          <w:b/>
          <w:bCs/>
          <w:szCs w:val="22"/>
        </w:rPr>
        <w:t xml:space="preserve">Figure </w:t>
      </w:r>
      <w:r w:rsidR="00C05449">
        <w:rPr>
          <w:b/>
          <w:bCs/>
          <w:noProof/>
        </w:rPr>
        <w:t>7</w:t>
      </w:r>
      <w:r>
        <w:rPr>
          <w:lang w:val="en-GB"/>
        </w:rPr>
        <w:fldChar w:fldCharType="end"/>
      </w:r>
      <w:r w:rsidRPr="00967BAD">
        <w:rPr>
          <w:b/>
          <w:bCs/>
          <w:lang w:val="en-GB"/>
        </w:rPr>
        <w:t>c</w:t>
      </w:r>
      <w:r>
        <w:rPr>
          <w:lang w:val="en-GB"/>
        </w:rPr>
        <w:t>)</w:t>
      </w:r>
      <w:r w:rsidRPr="00AE31BB">
        <w:rPr>
          <w:lang w:val="en-GB"/>
        </w:rPr>
        <w:t xml:space="preserve">, </w:t>
      </w:r>
      <w:r w:rsidR="00A90304">
        <w:rPr>
          <w:lang w:val="en-GB"/>
        </w:rPr>
        <w:t xml:space="preserve">catalyst </w:t>
      </w:r>
      <w:r w:rsidRPr="00AE31BB">
        <w:rPr>
          <w:lang w:val="en-GB"/>
        </w:rPr>
        <w:t>loading, hydroxide concentration and sonication. T</w:t>
      </w:r>
      <w:r>
        <w:rPr>
          <w:lang w:val="en-GB"/>
        </w:rPr>
        <w:t xml:space="preserve">hey argue that </w:t>
      </w:r>
      <w:r w:rsidR="00CA2594">
        <w:rPr>
          <w:lang w:val="en-GB"/>
        </w:rPr>
        <w:t>the intrinsic</w:t>
      </w:r>
      <w:r w:rsidRPr="00AE31BB">
        <w:rPr>
          <w:lang w:val="en-GB"/>
        </w:rPr>
        <w:t xml:space="preserve"> Tafel slope value</w:t>
      </w:r>
      <w:r w:rsidR="00CA2594">
        <w:rPr>
          <w:lang w:val="en-GB"/>
        </w:rPr>
        <w:t xml:space="preserve"> is hence</w:t>
      </w:r>
      <w:r w:rsidRPr="00AE31BB">
        <w:rPr>
          <w:lang w:val="en-GB"/>
        </w:rPr>
        <w:t xml:space="preserve"> convoluted by non-kinetic effects, such as </w:t>
      </w:r>
      <w:r w:rsidR="00CA2594" w:rsidRPr="00CA2594">
        <w:rPr>
          <w:lang w:val="en-GB"/>
        </w:rPr>
        <w:t>bubble formation within and on the catalyst layer, resulting changes in ohmic resistance</w:t>
      </w:r>
      <w:r w:rsidRPr="00AE31BB">
        <w:rPr>
          <w:lang w:val="en-GB"/>
        </w:rPr>
        <w:t>, and OH</w:t>
      </w:r>
      <w:r w:rsidRPr="00AE31BB">
        <w:rPr>
          <w:vertAlign w:val="superscript"/>
          <w:lang w:val="en-GB"/>
        </w:rPr>
        <w:t>-</w:t>
      </w:r>
      <w:r>
        <w:rPr>
          <w:lang w:val="en-GB"/>
        </w:rPr>
        <w:t xml:space="preserve"> </w:t>
      </w:r>
      <w:r w:rsidRPr="00AE31BB">
        <w:rPr>
          <w:lang w:val="en-GB"/>
        </w:rPr>
        <w:t>gradients</w:t>
      </w:r>
      <w:r>
        <w:rPr>
          <w:lang w:val="en-GB"/>
        </w:rPr>
        <w:t xml:space="preserve"> in the pores</w:t>
      </w:r>
      <w:r w:rsidRPr="00AE31BB">
        <w:rPr>
          <w:lang w:val="en-GB"/>
        </w:rPr>
        <w:t>.</w:t>
      </w:r>
      <w:r w:rsidR="00CA2594">
        <w:rPr>
          <w:lang w:val="en-GB"/>
        </w:rPr>
        <w:t xml:space="preserve"> As a result, they interpret their data in the context of no</w:t>
      </w:r>
      <w:r w:rsidR="00CA2594" w:rsidRPr="00CA2594">
        <w:rPr>
          <w:lang w:val="en-GB"/>
        </w:rPr>
        <w:t xml:space="preserve"> second</w:t>
      </w:r>
      <w:r w:rsidR="00CA2594">
        <w:rPr>
          <w:lang w:val="en-GB"/>
        </w:rPr>
        <w:t>ary</w:t>
      </w:r>
      <w:r w:rsidR="00CA2594" w:rsidRPr="00CA2594">
        <w:rPr>
          <w:lang w:val="en-GB"/>
        </w:rPr>
        <w:t xml:space="preserve"> Tafel slope region</w:t>
      </w:r>
      <w:r w:rsidR="00CA2594">
        <w:rPr>
          <w:lang w:val="en-GB"/>
        </w:rPr>
        <w:t xml:space="preserve"> with the sample. They suggest that the data show no</w:t>
      </w:r>
      <w:r w:rsidR="00CA2594" w:rsidRPr="00CA2594">
        <w:rPr>
          <w:lang w:val="en-GB"/>
        </w:rPr>
        <w:t xml:space="preserve"> indication for a change in rate determining step</w:t>
      </w:r>
      <w:r w:rsidR="00CA2594">
        <w:rPr>
          <w:lang w:val="en-GB"/>
        </w:rPr>
        <w:t>, as opposed to some claims in the relevant literature</w:t>
      </w:r>
      <w:r w:rsidR="00CA2594" w:rsidRPr="00CA2594">
        <w:rPr>
          <w:lang w:val="en-GB"/>
        </w:rPr>
        <w:t>.</w:t>
      </w:r>
      <w:r w:rsidR="00CA2594">
        <w:rPr>
          <w:lang w:val="en-GB"/>
        </w:rPr>
        <w:t xml:space="preserve"> The authors </w:t>
      </w:r>
      <w:r w:rsidR="00CA2594" w:rsidRPr="00CA2594">
        <w:rPr>
          <w:lang w:val="en-GB"/>
        </w:rPr>
        <w:t>propose that Tafel slopes should be plotted in Tafel slope plots</w:t>
      </w:r>
      <w:r w:rsidR="002B1EC7">
        <w:rPr>
          <w:lang w:val="en-GB"/>
        </w:rPr>
        <w:t xml:space="preserve"> (Tafel slope values vs potential or current density</w:t>
      </w:r>
      <w:r w:rsidR="00832B1B">
        <w:rPr>
          <w:lang w:val="en-GB"/>
        </w:rPr>
        <w:t xml:space="preserve">, as in </w:t>
      </w:r>
      <w:r w:rsidR="00832B1B" w:rsidRPr="00967BAD">
        <w:rPr>
          <w:b/>
          <w:bCs/>
          <w:lang w:val="en-GB"/>
        </w:rPr>
        <w:lastRenderedPageBreak/>
        <w:fldChar w:fldCharType="begin"/>
      </w:r>
      <w:r w:rsidR="00832B1B" w:rsidRPr="00967BAD">
        <w:rPr>
          <w:b/>
          <w:bCs/>
          <w:lang w:val="en-GB"/>
        </w:rPr>
        <w:instrText xml:space="preserve"> REF _Ref159351172 \h </w:instrText>
      </w:r>
      <w:r w:rsidR="00967BAD">
        <w:rPr>
          <w:b/>
          <w:bCs/>
          <w:lang w:val="en-GB"/>
        </w:rPr>
        <w:instrText xml:space="preserve"> \* MERGEFORMAT </w:instrText>
      </w:r>
      <w:r w:rsidR="00832B1B" w:rsidRPr="00967BAD">
        <w:rPr>
          <w:b/>
          <w:bCs/>
          <w:lang w:val="en-GB"/>
        </w:rPr>
      </w:r>
      <w:r w:rsidR="00832B1B" w:rsidRPr="00967BAD">
        <w:rPr>
          <w:b/>
          <w:bCs/>
          <w:lang w:val="en-GB"/>
        </w:rPr>
        <w:fldChar w:fldCharType="separate"/>
      </w:r>
      <w:r w:rsidR="00C05449" w:rsidRPr="00967BAD">
        <w:rPr>
          <w:b/>
          <w:bCs/>
          <w:szCs w:val="22"/>
        </w:rPr>
        <w:t xml:space="preserve">Figure </w:t>
      </w:r>
      <w:r w:rsidR="00C05449" w:rsidRPr="00967BAD">
        <w:rPr>
          <w:b/>
          <w:bCs/>
          <w:noProof/>
        </w:rPr>
        <w:t>7</w:t>
      </w:r>
      <w:r w:rsidR="00832B1B" w:rsidRPr="00967BAD">
        <w:rPr>
          <w:b/>
          <w:bCs/>
          <w:lang w:val="en-GB"/>
        </w:rPr>
        <w:fldChar w:fldCharType="end"/>
      </w:r>
      <w:proofErr w:type="spellStart"/>
      <w:r w:rsidR="00832B1B" w:rsidRPr="00967BAD">
        <w:rPr>
          <w:b/>
          <w:bCs/>
          <w:lang w:val="en-GB"/>
        </w:rPr>
        <w:t>c,d</w:t>
      </w:r>
      <w:proofErr w:type="spellEnd"/>
      <w:r w:rsidR="002B1EC7">
        <w:rPr>
          <w:lang w:val="en-GB"/>
        </w:rPr>
        <w:t xml:space="preserve">), and when the slope is continuously changing, this would be an indication of intrinsic kinetic data being convoluted (and polluted) by non-kinetic effects. We definitely agree that these effects exist and can have an effect on the apparent Tafel slopes. </w:t>
      </w:r>
      <w:r w:rsidR="002B1EC7" w:rsidRPr="00397759">
        <w:rPr>
          <w:lang w:val="en-GB"/>
        </w:rPr>
        <w:t xml:space="preserve">But the authors </w:t>
      </w:r>
      <w:r w:rsidR="00224889">
        <w:rPr>
          <w:lang w:val="en-GB"/>
        </w:rPr>
        <w:t xml:space="preserve">likely </w:t>
      </w:r>
      <w:r w:rsidR="002B1EC7" w:rsidRPr="00397759">
        <w:rPr>
          <w:lang w:val="en-GB"/>
        </w:rPr>
        <w:t>underplay other effects, some of them mention</w:t>
      </w:r>
      <w:r w:rsidR="00A90304" w:rsidRPr="00397759">
        <w:rPr>
          <w:lang w:val="en-GB"/>
        </w:rPr>
        <w:t>ed</w:t>
      </w:r>
      <w:r w:rsidR="002B1EC7" w:rsidRPr="00397759">
        <w:rPr>
          <w:lang w:val="en-GB"/>
        </w:rPr>
        <w:t xml:space="preserve"> above, that can </w:t>
      </w:r>
      <w:r w:rsidR="00290514" w:rsidRPr="00397759">
        <w:rPr>
          <w:lang w:val="en-GB"/>
        </w:rPr>
        <w:t xml:space="preserve">intrinsically </w:t>
      </w:r>
      <w:r w:rsidR="002B1EC7" w:rsidRPr="00397759">
        <w:rPr>
          <w:lang w:val="en-GB"/>
        </w:rPr>
        <w:t xml:space="preserve">change the Tafel slope. From </w:t>
      </w:r>
      <w:r w:rsidR="003A737C" w:rsidRPr="00397759">
        <w:rPr>
          <w:lang w:val="en-GB"/>
        </w:rPr>
        <w:t xml:space="preserve">the </w:t>
      </w:r>
      <w:r w:rsidR="002B1EC7" w:rsidRPr="00397759">
        <w:rPr>
          <w:lang w:val="en-GB"/>
        </w:rPr>
        <w:t>opposite perspective, the authors of Ref</w:t>
      </w:r>
      <w:r w:rsidR="002B1EC7" w:rsidRPr="00397759">
        <w:rPr>
          <w:lang w:val="en-GB"/>
        </w:rPr>
        <w:fldChar w:fldCharType="begin"/>
      </w:r>
      <w:r w:rsidR="00FC5BEB" w:rsidRPr="00397759">
        <w:rPr>
          <w:lang w:val="en-GB"/>
        </w:rPr>
        <w:instrText xml:space="preserve"> ADDIN EN.CITE &lt;EndNote&gt;&lt;Cite&gt;&lt;Author&gt;van der Heijden&lt;/Author&gt;&lt;Year&gt;2023&lt;/Year&gt;&lt;RecNum&gt;96&lt;/RecNum&gt;&lt;DisplayText&gt;&lt;style face="superscript"&gt;98&lt;/style&gt;&lt;/DisplayText&gt;&lt;record&gt;&lt;rec-number&gt;96&lt;/rec-number&gt;&lt;foreign-keys&gt;&lt;key app="EN" db-id="2xex0erf4eexr4e2dpbxpdd829xttesxxxdr" timestamp="1715075296"&gt;96&lt;/key&gt;&lt;/foreign-keys&gt;&lt;ref-type name="Journal Article"&gt;17&lt;/ref-type&gt;&lt;contributors&gt;&lt;authors&gt;&lt;author&gt;van der Heijden, Onno&lt;/author&gt;&lt;author&gt;Park, Sunghak&lt;/author&gt;&lt;author&gt;Eggebeen, Jordy J. J.&lt;/author&gt;&lt;author&gt;Koper, Marc T. M.&lt;/author&gt;&lt;/authors&gt;&lt;/contributors&gt;&lt;titles&gt;&lt;title&gt;Non-Kinetic Effects Convolute Activity and Tafel Analysis for the Alkaline Oxygen Evolution Reaction on NiFeOOH Electrocatalysts&lt;/title&gt;&lt;secondary-title&gt;Angewandte Chemie International Edition&lt;/secondary-title&gt;&lt;/titles&gt;&lt;periodical&gt;&lt;full-title&gt;Angewandte Chemie International Edition&lt;/full-title&gt;&lt;abbr-1&gt;Angew. Chem. Int. Ed.&lt;/abbr-1&gt;&lt;abbr-2&gt;Angew Chem Int Ed&lt;/abbr-2&gt;&lt;/periodical&gt;&lt;pages&gt;e202216477&lt;/pages&gt;&lt;volume&gt;62&lt;/volume&gt;&lt;number&gt;7&lt;/number&gt;&lt;keywords&gt;&lt;keyword&gt;Alkaline Oxygen Evolution Reaction&lt;/keyword&gt;&lt;keyword&gt;Bubble Formation&lt;/keyword&gt;&lt;keyword&gt;Loading&lt;/keyword&gt;&lt;keyword&gt;Sonication&lt;/keyword&gt;&lt;keyword&gt;Tafel Slope Analysis&lt;/keyword&gt;&lt;/keywords&gt;&lt;dates&gt;&lt;year&gt;2023&lt;/year&gt;&lt;/dates&gt;&lt;publisher&gt;John Wiley &amp;amp; Sons, Ltd&lt;/publisher&gt;&lt;urls&gt;&lt;related-urls&gt;&lt;url&gt;https://doi.org/10.1002/anie.202216477&lt;/url&gt;&lt;/related-urls&gt;&lt;/urls&gt;&lt;electronic-resource-num&gt;https://doi.org/10.1002/anie.202216477&lt;/electronic-resource-num&gt;&lt;/record&gt;&lt;/Cite&gt;&lt;/EndNote&gt;</w:instrText>
      </w:r>
      <w:r w:rsidR="002B1EC7" w:rsidRPr="00397759">
        <w:rPr>
          <w:lang w:val="en-GB"/>
        </w:rPr>
        <w:fldChar w:fldCharType="separate"/>
      </w:r>
      <w:r w:rsidR="00FC5BEB" w:rsidRPr="00397759">
        <w:rPr>
          <w:noProof/>
          <w:vertAlign w:val="superscript"/>
          <w:lang w:val="en-GB"/>
        </w:rPr>
        <w:t>98</w:t>
      </w:r>
      <w:r w:rsidR="002B1EC7" w:rsidRPr="00397759">
        <w:rPr>
          <w:lang w:val="en-GB"/>
        </w:rPr>
        <w:fldChar w:fldCharType="end"/>
      </w:r>
      <w:r w:rsidR="002B1EC7" w:rsidRPr="00397759">
        <w:rPr>
          <w:lang w:val="en-GB"/>
        </w:rPr>
        <w:t xml:space="preserve"> overestimate the predictive power of Tafel analysis, which based on </w:t>
      </w:r>
      <w:r w:rsidR="003A737C" w:rsidRPr="00397759">
        <w:rPr>
          <w:lang w:val="en-GB"/>
        </w:rPr>
        <w:t xml:space="preserve">the cited references and discussion in </w:t>
      </w:r>
      <w:r w:rsidR="003F4332" w:rsidRPr="00397759">
        <w:rPr>
          <w:lang w:val="en-GB"/>
        </w:rPr>
        <w:t>this</w:t>
      </w:r>
      <w:r w:rsidR="003A737C" w:rsidRPr="00397759">
        <w:rPr>
          <w:lang w:val="en-GB"/>
        </w:rPr>
        <w:t xml:space="preserve"> chapter</w:t>
      </w:r>
      <w:r w:rsidR="003F4332" w:rsidRPr="00397759">
        <w:rPr>
          <w:lang w:val="en-GB"/>
        </w:rPr>
        <w:t xml:space="preserve"> should appear more and more noticeable</w:t>
      </w:r>
      <w:r w:rsidR="003A737C" w:rsidRPr="00397759">
        <w:rPr>
          <w:lang w:val="en-GB"/>
        </w:rPr>
        <w:t>.</w:t>
      </w:r>
      <w:r w:rsidR="003A737C">
        <w:rPr>
          <w:lang w:val="en-GB"/>
        </w:rPr>
        <w:t xml:space="preserve"> To </w:t>
      </w:r>
      <w:r w:rsidR="00981E9F">
        <w:rPr>
          <w:lang w:val="en-GB"/>
        </w:rPr>
        <w:t xml:space="preserve">further </w:t>
      </w:r>
      <w:r w:rsidR="003A737C">
        <w:rPr>
          <w:lang w:val="en-GB"/>
        </w:rPr>
        <w:t xml:space="preserve">illustrate the point, </w:t>
      </w:r>
      <w:r w:rsidR="003A737C">
        <w:rPr>
          <w:lang w:val="en-GB"/>
        </w:rPr>
        <w:fldChar w:fldCharType="begin"/>
      </w:r>
      <w:r w:rsidR="003A737C">
        <w:rPr>
          <w:lang w:val="en-GB"/>
        </w:rPr>
        <w:instrText xml:space="preserve"> REF _Ref159351172 \h </w:instrText>
      </w:r>
      <w:r w:rsidR="003A737C">
        <w:rPr>
          <w:lang w:val="en-GB"/>
        </w:rPr>
      </w:r>
      <w:r w:rsidR="003A737C">
        <w:rPr>
          <w:lang w:val="en-GB"/>
        </w:rPr>
        <w:fldChar w:fldCharType="separate"/>
      </w:r>
      <w:r w:rsidR="00C05449" w:rsidRPr="00C05449">
        <w:rPr>
          <w:b/>
          <w:bCs/>
          <w:szCs w:val="22"/>
        </w:rPr>
        <w:t xml:space="preserve">Figure </w:t>
      </w:r>
      <w:r w:rsidR="00C05449">
        <w:rPr>
          <w:b/>
          <w:bCs/>
          <w:noProof/>
        </w:rPr>
        <w:t>7</w:t>
      </w:r>
      <w:r w:rsidR="003A737C">
        <w:rPr>
          <w:lang w:val="en-GB"/>
        </w:rPr>
        <w:fldChar w:fldCharType="end"/>
      </w:r>
      <w:r w:rsidR="003A737C" w:rsidRPr="00967BAD">
        <w:rPr>
          <w:b/>
          <w:bCs/>
          <w:lang w:val="en-GB"/>
        </w:rPr>
        <w:t>c</w:t>
      </w:r>
      <w:r w:rsidR="003A737C">
        <w:rPr>
          <w:lang w:val="en-GB"/>
        </w:rPr>
        <w:t xml:space="preserve"> indicates that the influence of the rotation rate in the 5-10 mA/cm</w:t>
      </w:r>
      <w:r w:rsidR="003A737C" w:rsidRPr="003A737C">
        <w:rPr>
          <w:vertAlign w:val="superscript"/>
          <w:lang w:val="en-GB"/>
        </w:rPr>
        <w:t>2</w:t>
      </w:r>
      <w:r w:rsidR="003A737C">
        <w:rPr>
          <w:lang w:val="en-GB"/>
        </w:rPr>
        <w:t xml:space="preserve"> range was marginal at best and still (1) there is an apparent increase of the Tafel slope in this low current density range and (2) even at 5 mA/cm</w:t>
      </w:r>
      <w:r w:rsidR="003A737C" w:rsidRPr="003A737C">
        <w:rPr>
          <w:vertAlign w:val="superscript"/>
          <w:lang w:val="en-GB"/>
        </w:rPr>
        <w:t>2</w:t>
      </w:r>
      <w:r w:rsidR="003A737C">
        <w:rPr>
          <w:lang w:val="en-GB"/>
        </w:rPr>
        <w:t>, the Tafel slope is approximately 50 mV/dec while the intrinsic slope is claimed to be 30 mV/dec. A</w:t>
      </w:r>
      <w:r w:rsidR="004B307E">
        <w:rPr>
          <w:lang w:val="en-GB"/>
        </w:rPr>
        <w:t xml:space="preserve">lso, in </w:t>
      </w:r>
      <w:r w:rsidR="004B307E">
        <w:rPr>
          <w:lang w:val="en-GB"/>
        </w:rPr>
        <w:fldChar w:fldCharType="begin"/>
      </w:r>
      <w:r w:rsidR="004B307E">
        <w:rPr>
          <w:lang w:val="en-GB"/>
        </w:rPr>
        <w:instrText xml:space="preserve"> REF _Ref159351172 \h </w:instrText>
      </w:r>
      <w:r w:rsidR="004B307E">
        <w:rPr>
          <w:lang w:val="en-GB"/>
        </w:rPr>
      </w:r>
      <w:r w:rsidR="004B307E">
        <w:rPr>
          <w:lang w:val="en-GB"/>
        </w:rPr>
        <w:fldChar w:fldCharType="separate"/>
      </w:r>
      <w:r w:rsidR="00C05449" w:rsidRPr="00C05449">
        <w:rPr>
          <w:b/>
          <w:bCs/>
          <w:szCs w:val="22"/>
        </w:rPr>
        <w:t xml:space="preserve">Figure </w:t>
      </w:r>
      <w:r w:rsidR="00C05449">
        <w:rPr>
          <w:b/>
          <w:bCs/>
          <w:noProof/>
        </w:rPr>
        <w:t>7</w:t>
      </w:r>
      <w:r w:rsidR="004B307E">
        <w:rPr>
          <w:lang w:val="en-GB"/>
        </w:rPr>
        <w:fldChar w:fldCharType="end"/>
      </w:r>
      <w:r w:rsidR="004B307E" w:rsidRPr="00967BAD">
        <w:rPr>
          <w:b/>
          <w:bCs/>
          <w:lang w:val="en-GB"/>
        </w:rPr>
        <w:t>d</w:t>
      </w:r>
      <w:r w:rsidR="004B307E">
        <w:rPr>
          <w:lang w:val="en-GB"/>
        </w:rPr>
        <w:t xml:space="preserve">, the same group assessed the OER Tafel slope of the same material in two different </w:t>
      </w:r>
      <w:r w:rsidR="00981E9F">
        <w:rPr>
          <w:lang w:val="en-GB"/>
        </w:rPr>
        <w:t>settings</w:t>
      </w:r>
      <w:r w:rsidR="004B307E">
        <w:rPr>
          <w:lang w:val="en-GB"/>
        </w:rPr>
        <w:t>.</w:t>
      </w:r>
      <w:r w:rsidR="00A90304">
        <w:rPr>
          <w:lang w:val="en-GB"/>
        </w:rPr>
        <w:fldChar w:fldCharType="begin"/>
      </w:r>
      <w:r w:rsidR="00FC5BEB">
        <w:rPr>
          <w:lang w:val="en-GB"/>
        </w:rPr>
        <w:instrText xml:space="preserve"> ADDIN EN.CITE &lt;EndNote&gt;&lt;Cite&gt;&lt;Author&gt;van der Heijden&lt;/Author&gt;&lt;Year&gt;2024&lt;/Year&gt;&lt;RecNum&gt;97&lt;/RecNum&gt;&lt;DisplayText&gt;&lt;style face="superscript"&gt;99&lt;/style&gt;&lt;/DisplayText&gt;&lt;record&gt;&lt;rec-number&gt;97&lt;/rec-number&gt;&lt;foreign-keys&gt;&lt;key app="EN" db-id="2xex0erf4eexr4e2dpbxpdd829xttesxxxdr" timestamp="1715075296"&gt;97&lt;/key&gt;&lt;/foreign-keys&gt;&lt;ref-type name="Journal Article"&gt;17&lt;/ref-type&gt;&lt;contributors&gt;&lt;authors&gt;&lt;author&gt;van der Heijden, Onno&lt;/author&gt;&lt;author&gt;Eggebeen, Jordy J.J.&lt;/author&gt;&lt;author&gt;Trzesniowski, Hanna&lt;/author&gt;&lt;author&gt;Deka, Nipon&lt;/author&gt;&lt;author&gt;Golnak, Ronny&lt;/author&gt;&lt;author&gt;Xiao, Jie&lt;/author&gt;&lt;author&gt;van Rijn, Maartje&lt;/author&gt;&lt;author&gt;Mom, Rik V.&lt;/author&gt;&lt;author&gt;Koper, Marc T. M.&lt;/author&gt;&lt;/authors&gt;&lt;/contributors&gt;&lt;titles&gt;&lt;title&gt;Li+ Cations Activate NiFeOOH for Oxygen Evolution in Sodium and Potassium Hydroxide&lt;/title&gt;&lt;secondary-title&gt;Angewandte Chemie International Edition&lt;/secondary-title&gt;&lt;/titles&gt;&lt;periodical&gt;&lt;full-title&gt;Angewandte Chemie International Edition&lt;/full-title&gt;&lt;abbr-1&gt;Angew. Chem. Int. Ed.&lt;/abbr-1&gt;&lt;abbr-2&gt;Angew Chem Int Ed&lt;/abbr-2&gt;&lt;/periodical&gt;&lt;pages&gt;e202318692&lt;/pages&gt;&lt;volume&gt;63&lt;/volume&gt;&lt;dates&gt;&lt;year&gt;2024&lt;/year&gt;&lt;/dates&gt;&lt;isbn&gt;1433-7851&lt;/isbn&gt;&lt;urls&gt;&lt;related-urls&gt;&lt;url&gt;https://onlinelibrary.wiley.com/doi/abs/10.1002/anie.202318692&lt;/url&gt;&lt;/related-urls&gt;&lt;/urls&gt;&lt;electronic-resource-num&gt;https://doi.org/10.1002/anie.202318692&lt;/electronic-resource-num&gt;&lt;/record&gt;&lt;/Cite&gt;&lt;/EndNote&gt;</w:instrText>
      </w:r>
      <w:r w:rsidR="00A90304">
        <w:rPr>
          <w:lang w:val="en-GB"/>
        </w:rPr>
        <w:fldChar w:fldCharType="separate"/>
      </w:r>
      <w:r w:rsidR="00FC5BEB" w:rsidRPr="00FC5BEB">
        <w:rPr>
          <w:noProof/>
          <w:vertAlign w:val="superscript"/>
          <w:lang w:val="en-GB"/>
        </w:rPr>
        <w:t>99</w:t>
      </w:r>
      <w:r w:rsidR="00A90304">
        <w:rPr>
          <w:lang w:val="en-GB"/>
        </w:rPr>
        <w:fldChar w:fldCharType="end"/>
      </w:r>
      <w:r w:rsidR="004B307E">
        <w:rPr>
          <w:lang w:val="en-GB"/>
        </w:rPr>
        <w:t xml:space="preserve"> Once in 0.1 M NaOH and also in a mixed electrolyte of </w:t>
      </w:r>
      <w:r w:rsidR="004B307E" w:rsidRPr="00716A66">
        <w:rPr>
          <w:bCs/>
          <w:lang w:val="en-GB"/>
        </w:rPr>
        <w:t>0.1 M Na</w:t>
      </w:r>
      <w:r w:rsidR="004B307E" w:rsidRPr="00716A66">
        <w:rPr>
          <w:bCs/>
          <w:vertAlign w:val="subscript"/>
          <w:lang w:val="en-GB"/>
        </w:rPr>
        <w:t>90</w:t>
      </w:r>
      <w:r w:rsidR="004B307E" w:rsidRPr="00716A66">
        <w:rPr>
          <w:bCs/>
          <w:lang w:val="en-GB"/>
        </w:rPr>
        <w:t>Li</w:t>
      </w:r>
      <w:r w:rsidR="004B307E" w:rsidRPr="00716A66">
        <w:rPr>
          <w:bCs/>
          <w:vertAlign w:val="subscript"/>
          <w:lang w:val="en-GB"/>
        </w:rPr>
        <w:t>10</w:t>
      </w:r>
      <w:r w:rsidR="004B307E" w:rsidRPr="00716A66">
        <w:rPr>
          <w:bCs/>
          <w:lang w:val="en-GB"/>
        </w:rPr>
        <w:t>OH</w:t>
      </w:r>
      <w:r w:rsidR="004B307E">
        <w:rPr>
          <w:bCs/>
          <w:lang w:val="en-GB"/>
        </w:rPr>
        <w:t>. Although similar, the Tafel slope of the two cases at the reaction onset is not identical. Moreover, already at 2 mA/cm</w:t>
      </w:r>
      <w:r w:rsidR="004B307E" w:rsidRPr="004B307E">
        <w:rPr>
          <w:bCs/>
          <w:vertAlign w:val="superscript"/>
          <w:lang w:val="en-GB"/>
        </w:rPr>
        <w:t>2</w:t>
      </w:r>
      <w:r w:rsidR="004B307E">
        <w:rPr>
          <w:bCs/>
          <w:lang w:val="en-GB"/>
        </w:rPr>
        <w:t>, the slope</w:t>
      </w:r>
      <w:r w:rsidR="00981E9F">
        <w:rPr>
          <w:bCs/>
          <w:lang w:val="en-GB"/>
        </w:rPr>
        <w:t>s</w:t>
      </w:r>
      <w:r w:rsidR="004B307E">
        <w:rPr>
          <w:bCs/>
          <w:lang w:val="en-GB"/>
        </w:rPr>
        <w:t xml:space="preserve"> start to increase; less so in the mixed electrolyte and more in 0.1 M NaOH. From these plots </w:t>
      </w:r>
      <w:r w:rsidR="003F4332">
        <w:rPr>
          <w:bCs/>
          <w:lang w:val="en-GB"/>
        </w:rPr>
        <w:t>one can get the impression</w:t>
      </w:r>
      <w:r w:rsidR="004B307E">
        <w:rPr>
          <w:bCs/>
          <w:lang w:val="en-GB"/>
        </w:rPr>
        <w:t xml:space="preserve"> that the Tafel slope </w:t>
      </w:r>
      <w:r w:rsidR="003F4332">
        <w:rPr>
          <w:bCs/>
          <w:lang w:val="en-GB"/>
        </w:rPr>
        <w:t xml:space="preserve">does not </w:t>
      </w:r>
      <w:r w:rsidR="004B307E">
        <w:rPr>
          <w:bCs/>
          <w:lang w:val="en-GB"/>
        </w:rPr>
        <w:t>reflect an</w:t>
      </w:r>
      <w:r w:rsidR="003F4332">
        <w:rPr>
          <w:bCs/>
          <w:lang w:val="en-GB"/>
        </w:rPr>
        <w:t>y</w:t>
      </w:r>
      <w:r w:rsidR="004B307E">
        <w:rPr>
          <w:bCs/>
          <w:lang w:val="en-GB"/>
        </w:rPr>
        <w:t xml:space="preserve"> intrinsic kinetic property, deeply rooted in the reaction mechanism. Rather, it is a convoluted consequence of intrinsic kinetics, the </w:t>
      </w:r>
      <w:r w:rsidR="00622633">
        <w:rPr>
          <w:bCs/>
          <w:lang w:val="en-GB"/>
        </w:rPr>
        <w:t xml:space="preserve">number of </w:t>
      </w:r>
      <w:r w:rsidR="004B307E">
        <w:rPr>
          <w:bCs/>
          <w:lang w:val="en-GB"/>
        </w:rPr>
        <w:t xml:space="preserve">available sites </w:t>
      </w:r>
      <w:r w:rsidR="00A90304">
        <w:rPr>
          <w:bCs/>
          <w:lang w:val="en-GB"/>
        </w:rPr>
        <w:t>relative to the current density demanded, the rate of coverage change of reaction intermediates, the capability of the catalyst to accommodate the oxidative charge imposed by the potential bias as well as experimental influences affecting the ohmic resistance</w:t>
      </w:r>
      <w:r w:rsidR="00981E9F">
        <w:rPr>
          <w:bCs/>
          <w:lang w:val="en-GB"/>
        </w:rPr>
        <w:t xml:space="preserve"> and</w:t>
      </w:r>
      <w:r w:rsidR="00A90304">
        <w:rPr>
          <w:bCs/>
          <w:lang w:val="en-GB"/>
        </w:rPr>
        <w:t xml:space="preserve"> pH gradients in the catalysts layer and pores. </w:t>
      </w:r>
      <w:r w:rsidR="00981E9F">
        <w:rPr>
          <w:bCs/>
          <w:lang w:val="en-GB"/>
        </w:rPr>
        <w:t>We mention in passing that Park et al</w:t>
      </w:r>
      <w:r w:rsidR="00981E9F">
        <w:rPr>
          <w:bCs/>
          <w:lang w:val="en-GB"/>
        </w:rPr>
        <w:fldChar w:fldCharType="begin"/>
      </w:r>
      <w:r w:rsidR="00FC5BEB">
        <w:rPr>
          <w:bCs/>
          <w:lang w:val="en-GB"/>
        </w:rPr>
        <w:instrText xml:space="preserve"> ADDIN EN.CITE &lt;EndNote&gt;&lt;Cite&gt;&lt;Author&gt;Park&lt;/Author&gt;&lt;Year&gt;2021&lt;/Year&gt;&lt;RecNum&gt;98&lt;/RecNum&gt;&lt;DisplayText&gt;&lt;style face="superscript"&gt;100&lt;/style&gt;&lt;/DisplayText&gt;&lt;record&gt;&lt;rec-number&gt;98&lt;/rec-number&gt;&lt;foreign-keys&gt;&lt;key app="EN" db-id="2xex0erf4eexr4e2dpbxpdd829xttesxxxdr" timestamp="1715075296"&gt;98&lt;/key&gt;&lt;/foreign-keys&gt;&lt;ref-type name="Journal Article"&gt;17&lt;/ref-type&gt;&lt;contributors&gt;&lt;authors&gt;&lt;author&gt;Park, Hoon Kee&lt;/author&gt;&lt;author&gt;Ahn, Hehsang&lt;/author&gt;&lt;author&gt;Lee, Tae Hyung&lt;/author&gt;&lt;author&gt;Lee, Jae Yoon&lt;/author&gt;&lt;author&gt;Lee, Mi Gyoung&lt;/author&gt;&lt;author&gt;Lee, Sol A.&lt;/author&gt;&lt;author&gt;Yang, Jin Wook&lt;/author&gt;&lt;author&gt;Kim, Sang Jun&lt;/author&gt;&lt;author&gt;Ahn, Sang Hyun&lt;/author&gt;&lt;author&gt;Kim, Soo Young&lt;/author&gt;&lt;author&gt;Lee, Chul-Ho&lt;/author&gt;&lt;author&gt;Park, Eun Soo&lt;/author&gt;&lt;author&gt;Jang, Ho Won&lt;/author&gt;&lt;/authors&gt;&lt;/contributors&gt;&lt;titles&gt;&lt;title&gt;Grain Boundaries Boost Oxygen Evolution Reaction in NiFe Electrocatalysts&lt;/title&gt;&lt;secondary-title&gt;Small Methods&lt;/secondary-title&gt;&lt;/titles&gt;&lt;pages&gt;2000755&lt;/pages&gt;&lt;volume&gt;5&lt;/volume&gt;&lt;number&gt;2&lt;/number&gt;&lt;dates&gt;&lt;year&gt;2021&lt;/year&gt;&lt;/dates&gt;&lt;isbn&gt;2366-9608&lt;/isbn&gt;&lt;urls&gt;&lt;related-urls&gt;&lt;url&gt;https://onlinelibrary.wiley.com/doi/abs/10.1002/smtd.202000755&lt;/url&gt;&lt;/related-urls&gt;&lt;/urls&gt;&lt;electronic-resource-num&gt;https://doi.org/10.1002/smtd.202000755&lt;/electronic-resource-num&gt;&lt;/record&gt;&lt;/Cite&gt;&lt;/EndNote&gt;</w:instrText>
      </w:r>
      <w:r w:rsidR="00981E9F">
        <w:rPr>
          <w:bCs/>
          <w:lang w:val="en-GB"/>
        </w:rPr>
        <w:fldChar w:fldCharType="separate"/>
      </w:r>
      <w:r w:rsidR="00FC5BEB" w:rsidRPr="00FC5BEB">
        <w:rPr>
          <w:bCs/>
          <w:noProof/>
          <w:vertAlign w:val="superscript"/>
          <w:lang w:val="en-GB"/>
        </w:rPr>
        <w:t>100</w:t>
      </w:r>
      <w:r w:rsidR="00981E9F">
        <w:rPr>
          <w:bCs/>
          <w:lang w:val="en-GB"/>
        </w:rPr>
        <w:fldChar w:fldCharType="end"/>
      </w:r>
      <w:r w:rsidR="00981E9F">
        <w:rPr>
          <w:bCs/>
          <w:lang w:val="en-GB"/>
        </w:rPr>
        <w:t xml:space="preserve"> investigated the influence of grain size of electrochemically oxidized </w:t>
      </w:r>
      <w:r w:rsidR="00981E9F" w:rsidRPr="00981E9F">
        <w:rPr>
          <w:bCs/>
          <w:lang w:val="en-GB"/>
        </w:rPr>
        <w:t>Ni</w:t>
      </w:r>
      <w:r w:rsidR="00981E9F" w:rsidRPr="00981E9F">
        <w:rPr>
          <w:bCs/>
          <w:vertAlign w:val="subscript"/>
          <w:lang w:val="en-GB"/>
        </w:rPr>
        <w:t>60</w:t>
      </w:r>
      <w:r w:rsidR="00981E9F" w:rsidRPr="00981E9F">
        <w:rPr>
          <w:bCs/>
          <w:lang w:val="en-GB"/>
        </w:rPr>
        <w:t>Fe</w:t>
      </w:r>
      <w:r w:rsidR="00981E9F" w:rsidRPr="00981E9F">
        <w:rPr>
          <w:bCs/>
          <w:vertAlign w:val="subscript"/>
          <w:lang w:val="en-GB"/>
        </w:rPr>
        <w:t>40</w:t>
      </w:r>
      <w:r w:rsidR="00981E9F" w:rsidRPr="00981E9F">
        <w:rPr>
          <w:bCs/>
          <w:lang w:val="en-GB"/>
        </w:rPr>
        <w:t xml:space="preserve"> binary alloys</w:t>
      </w:r>
      <w:r w:rsidR="00981E9F">
        <w:rPr>
          <w:bCs/>
          <w:lang w:val="en-GB"/>
        </w:rPr>
        <w:t xml:space="preserve">, hence a similar </w:t>
      </w:r>
      <w:proofErr w:type="spellStart"/>
      <w:r w:rsidR="00981E9F">
        <w:rPr>
          <w:bCs/>
          <w:lang w:val="en-GB"/>
        </w:rPr>
        <w:t>NiFe</w:t>
      </w:r>
      <w:proofErr w:type="spellEnd"/>
      <w:r w:rsidR="00981E9F">
        <w:rPr>
          <w:bCs/>
          <w:lang w:val="en-GB"/>
        </w:rPr>
        <w:t xml:space="preserve">-based oxyhydroxide catalyst and found that the grain size had a profound impact on the OER performance. Catalysts with </w:t>
      </w:r>
      <w:r w:rsidR="00981E9F" w:rsidRPr="00441361">
        <w:rPr>
          <w:bCs/>
          <w:lang w:val="en-GB"/>
        </w:rPr>
        <w:t>nm</w:t>
      </w:r>
      <w:r w:rsidR="00290514">
        <w:rPr>
          <w:bCs/>
          <w:lang w:val="en-GB"/>
        </w:rPr>
        <w:t xml:space="preserve"> </w:t>
      </w:r>
      <w:r w:rsidR="0095693A">
        <w:rPr>
          <w:bCs/>
          <w:lang w:val="en-GB"/>
        </w:rPr>
        <w:t>scale</w:t>
      </w:r>
      <w:r w:rsidR="00981E9F">
        <w:rPr>
          <w:bCs/>
          <w:lang w:val="en-GB"/>
        </w:rPr>
        <w:t xml:space="preserve"> grains were more active than </w:t>
      </w:r>
      <w:r w:rsidR="0095693A">
        <w:rPr>
          <w:bCs/>
          <w:lang w:val="en-GB"/>
        </w:rPr>
        <w:t xml:space="preserve">larger </w:t>
      </w:r>
      <m:oMath>
        <m:r>
          <m:rPr>
            <m:sty m:val="p"/>
          </m:rPr>
          <w:rPr>
            <w:rFonts w:ascii="Cambria Math" w:hAnsi="Cambria Math"/>
            <w:lang w:val="en-GB"/>
          </w:rPr>
          <m:t>μm</m:t>
        </m:r>
      </m:oMath>
      <w:r w:rsidR="0095693A">
        <w:rPr>
          <w:bCs/>
          <w:lang w:val="en-GB"/>
        </w:rPr>
        <w:t xml:space="preserve"> grain-sized counterparts, even after surface area normalization. The catalyst with nm scale grains showed a Tafel slope of 38 mV/dec (though some bending is apparent in their underlying data), whereas the Tafel slope increased to 54 and 115 mV/dec for 20 and 440 </w:t>
      </w:r>
      <m:oMath>
        <m:r>
          <m:rPr>
            <m:sty m:val="p"/>
          </m:rPr>
          <w:rPr>
            <w:rFonts w:ascii="Cambria Math" w:hAnsi="Cambria Math"/>
            <w:lang w:val="en-GB"/>
          </w:rPr>
          <m:t>μm</m:t>
        </m:r>
      </m:oMath>
      <w:r w:rsidR="0095693A">
        <w:rPr>
          <w:bCs/>
          <w:lang w:val="en-GB"/>
        </w:rPr>
        <w:t xml:space="preserve"> grain-sized samples. The authors, using </w:t>
      </w:r>
      <w:r w:rsidR="00FE64CB" w:rsidRPr="00FE64CB">
        <w:rPr>
          <w:bCs/>
          <w:i/>
          <w:iCs/>
          <w:lang w:val="en-GB"/>
        </w:rPr>
        <w:t>operando</w:t>
      </w:r>
      <w:r w:rsidR="0095693A">
        <w:rPr>
          <w:bCs/>
          <w:lang w:val="en-GB"/>
        </w:rPr>
        <w:t xml:space="preserve"> optical microscopy</w:t>
      </w:r>
      <w:r w:rsidR="003D5F44">
        <w:rPr>
          <w:bCs/>
          <w:lang w:val="en-GB"/>
        </w:rPr>
        <w:t>,</w:t>
      </w:r>
      <w:r w:rsidR="0095693A">
        <w:rPr>
          <w:bCs/>
          <w:lang w:val="en-GB"/>
        </w:rPr>
        <w:t xml:space="preserve"> demonstrated that bubble formation commenced preferentially at grain boundaries. Whether the grain</w:t>
      </w:r>
      <w:r w:rsidR="00817273">
        <w:rPr>
          <w:bCs/>
          <w:lang w:val="en-GB"/>
        </w:rPr>
        <w:t xml:space="preserve"> boundaries</w:t>
      </w:r>
      <w:r w:rsidR="0095693A">
        <w:rPr>
          <w:bCs/>
          <w:lang w:val="en-GB"/>
        </w:rPr>
        <w:t xml:space="preserve"> acted as the location of the active sites or, </w:t>
      </w:r>
      <w:r w:rsidR="003F4332">
        <w:rPr>
          <w:bCs/>
          <w:lang w:val="en-GB"/>
        </w:rPr>
        <w:t>rather</w:t>
      </w:r>
      <w:r w:rsidR="0095693A">
        <w:rPr>
          <w:bCs/>
          <w:lang w:val="en-GB"/>
        </w:rPr>
        <w:t xml:space="preserve"> the opposite, </w:t>
      </w:r>
      <w:r w:rsidR="00817273">
        <w:rPr>
          <w:bCs/>
          <w:lang w:val="en-GB"/>
        </w:rPr>
        <w:t xml:space="preserve">they </w:t>
      </w:r>
      <w:r w:rsidR="0095693A">
        <w:rPr>
          <w:bCs/>
          <w:lang w:val="en-GB"/>
        </w:rPr>
        <w:t>trapped oxygen via bubble formation</w:t>
      </w:r>
      <w:r w:rsidR="00660594">
        <w:rPr>
          <w:bCs/>
          <w:lang w:val="en-GB"/>
        </w:rPr>
        <w:t>,</w:t>
      </w:r>
      <w:r w:rsidR="0095693A">
        <w:rPr>
          <w:bCs/>
          <w:lang w:val="en-GB"/>
        </w:rPr>
        <w:t xml:space="preserve"> </w:t>
      </w:r>
      <w:r w:rsidR="00660594">
        <w:rPr>
          <w:bCs/>
          <w:lang w:val="en-GB"/>
        </w:rPr>
        <w:t xml:space="preserve">are </w:t>
      </w:r>
      <w:r w:rsidR="0095693A">
        <w:rPr>
          <w:bCs/>
          <w:lang w:val="en-GB"/>
        </w:rPr>
        <w:t xml:space="preserve">two diametrically opposite ideas that need further </w:t>
      </w:r>
      <w:r w:rsidR="003F4332">
        <w:rPr>
          <w:bCs/>
          <w:lang w:val="en-GB"/>
        </w:rPr>
        <w:t>exploration</w:t>
      </w:r>
      <w:r w:rsidR="0095693A">
        <w:rPr>
          <w:bCs/>
          <w:lang w:val="en-GB"/>
        </w:rPr>
        <w:t>.</w:t>
      </w:r>
    </w:p>
    <w:p w14:paraId="471D7F00" w14:textId="77777777" w:rsidR="00441361" w:rsidRDefault="0095693A" w:rsidP="002B1EC7">
      <w:pPr>
        <w:widowControl w:val="0"/>
        <w:autoSpaceDE w:val="0"/>
        <w:autoSpaceDN w:val="0"/>
        <w:adjustRightInd w:val="0"/>
        <w:rPr>
          <w:bCs/>
          <w:lang w:val="en-GB"/>
        </w:rPr>
      </w:pPr>
      <w:r>
        <w:rPr>
          <w:bCs/>
          <w:lang w:val="en-GB"/>
        </w:rPr>
        <w:tab/>
      </w:r>
    </w:p>
    <w:p w14:paraId="70CEC746" w14:textId="0BA23E0D" w:rsidR="00DE0988" w:rsidRDefault="0095693A">
      <w:pPr>
        <w:rPr>
          <w:rFonts w:eastAsiaTheme="majorEastAsia" w:cstheme="majorBidi"/>
          <w:b/>
          <w:color w:val="000000" w:themeColor="text1"/>
          <w:sz w:val="24"/>
          <w:szCs w:val="32"/>
        </w:rPr>
      </w:pPr>
      <w:r>
        <w:rPr>
          <w:bCs/>
          <w:lang w:val="en-GB"/>
        </w:rPr>
        <w:t xml:space="preserve">In closing </w:t>
      </w:r>
      <w:r w:rsidR="00B07839">
        <w:rPr>
          <w:bCs/>
          <w:lang w:val="en-GB"/>
        </w:rPr>
        <w:t xml:space="preserve">this </w:t>
      </w:r>
      <w:r>
        <w:rPr>
          <w:bCs/>
          <w:lang w:val="en-GB"/>
        </w:rPr>
        <w:t xml:space="preserve">chapter, </w:t>
      </w:r>
      <w:r w:rsidR="00367929">
        <w:rPr>
          <w:bCs/>
          <w:lang w:val="en-GB"/>
        </w:rPr>
        <w:t xml:space="preserve">we have shown that depending on the electrochemical model applied (Butler-Volmer vs Marcus-Hush), </w:t>
      </w:r>
      <w:r w:rsidR="00367929" w:rsidRPr="00367929">
        <w:rPr>
          <w:bCs/>
        </w:rPr>
        <w:t xml:space="preserve">the </w:t>
      </w:r>
      <m:oMath>
        <m:r>
          <w:rPr>
            <w:rFonts w:ascii="Cambria Math" w:hAnsi="Cambria Math"/>
            <w:lang w:val="de-DE"/>
          </w:rPr>
          <m:t>η</m:t>
        </m:r>
        <m:r>
          <w:rPr>
            <w:rFonts w:ascii="Cambria Math" w:hAnsi="Cambria Math"/>
          </w:rPr>
          <m:t>≈</m:t>
        </m:r>
        <m:r>
          <w:rPr>
            <w:rFonts w:ascii="Cambria Math" w:hAnsi="Cambria Math"/>
            <w:lang w:val="de-DE"/>
          </w:rPr>
          <m:t>lnj</m:t>
        </m:r>
      </m:oMath>
      <w:r w:rsidR="00367929" w:rsidRPr="00367929">
        <w:rPr>
          <w:bCs/>
        </w:rPr>
        <w:t xml:space="preserve"> dependence </w:t>
      </w:r>
      <w:r w:rsidR="00367929">
        <w:rPr>
          <w:bCs/>
        </w:rPr>
        <w:t>might be</w:t>
      </w:r>
      <w:r w:rsidR="00367929" w:rsidRPr="00367929">
        <w:rPr>
          <w:bCs/>
        </w:rPr>
        <w:t xml:space="preserve"> distorted by the potential dependence of the symmetry factor and hence the Tafel slope </w:t>
      </w:r>
      <w:r w:rsidR="00367929">
        <w:rPr>
          <w:bCs/>
        </w:rPr>
        <w:t>may intrinsically</w:t>
      </w:r>
      <w:r w:rsidR="00367929" w:rsidRPr="00367929">
        <w:rPr>
          <w:bCs/>
        </w:rPr>
        <w:t xml:space="preserve"> bend</w:t>
      </w:r>
      <w:r w:rsidR="00367929">
        <w:rPr>
          <w:bCs/>
        </w:rPr>
        <w:t xml:space="preserve"> when the latter model applies. </w:t>
      </w:r>
      <w:r w:rsidR="002D428E">
        <w:rPr>
          <w:bCs/>
        </w:rPr>
        <w:t xml:space="preserve">Since none of these models are built for electrocatalytic reactions, it is not </w:t>
      </w:r>
      <w:r w:rsidR="00FE64CB">
        <w:rPr>
          <w:bCs/>
          <w:i/>
          <w:iCs/>
        </w:rPr>
        <w:t>a priori</w:t>
      </w:r>
      <w:r w:rsidR="002D428E">
        <w:rPr>
          <w:bCs/>
        </w:rPr>
        <w:t xml:space="preserve"> clear, </w:t>
      </w:r>
      <w:r w:rsidR="00332C3F">
        <w:rPr>
          <w:bCs/>
        </w:rPr>
        <w:t xml:space="preserve">though, </w:t>
      </w:r>
      <w:r w:rsidR="002D428E">
        <w:rPr>
          <w:bCs/>
        </w:rPr>
        <w:t xml:space="preserve">whether they should be applicable for </w:t>
      </w:r>
      <w:r w:rsidR="00B07839">
        <w:rPr>
          <w:bCs/>
        </w:rPr>
        <w:t>OER</w:t>
      </w:r>
      <w:r w:rsidR="002D428E">
        <w:rPr>
          <w:bCs/>
        </w:rPr>
        <w:t xml:space="preserve"> kinetics. This is particularly evident </w:t>
      </w:r>
      <w:r w:rsidR="003F4332">
        <w:rPr>
          <w:bCs/>
        </w:rPr>
        <w:t>as</w:t>
      </w:r>
      <w:r w:rsidR="002D428E">
        <w:rPr>
          <w:bCs/>
        </w:rPr>
        <w:t xml:space="preserve"> </w:t>
      </w:r>
      <w:r w:rsidR="003F4332">
        <w:rPr>
          <w:bCs/>
        </w:rPr>
        <w:t xml:space="preserve">for </w:t>
      </w:r>
      <w:r w:rsidR="002D428E" w:rsidRPr="002D428E">
        <w:rPr>
          <w:bCs/>
          <w:lang w:val="en-GB"/>
        </w:rPr>
        <w:t xml:space="preserve">outer-sphere </w:t>
      </w:r>
      <w:r w:rsidR="002D428E" w:rsidRPr="002D428E">
        <w:rPr>
          <w:bCs/>
        </w:rPr>
        <w:t>electron-transfer reactions, where theories of Marcus and Hush hold</w:t>
      </w:r>
      <w:r w:rsidR="003F4332">
        <w:rPr>
          <w:bCs/>
        </w:rPr>
        <w:t>,</w:t>
      </w:r>
      <w:r w:rsidR="002D428E" w:rsidRPr="002D428E">
        <w:rPr>
          <w:bCs/>
        </w:rPr>
        <w:t xml:space="preserve"> the nature of the electrode material is </w:t>
      </w:r>
      <w:r w:rsidR="00B07839">
        <w:rPr>
          <w:bCs/>
        </w:rPr>
        <w:t>un</w:t>
      </w:r>
      <w:r w:rsidR="002D428E" w:rsidRPr="002D428E">
        <w:rPr>
          <w:bCs/>
        </w:rPr>
        <w:t>important</w:t>
      </w:r>
      <w:r w:rsidR="002D428E">
        <w:rPr>
          <w:bCs/>
        </w:rPr>
        <w:t xml:space="preserve">. Based on these </w:t>
      </w:r>
      <w:r w:rsidR="003F4332">
        <w:rPr>
          <w:bCs/>
        </w:rPr>
        <w:t xml:space="preserve">fundamental electron transfer </w:t>
      </w:r>
      <w:r w:rsidR="002D428E">
        <w:rPr>
          <w:bCs/>
        </w:rPr>
        <w:t xml:space="preserve">theories and taking into account a long list of assumptions, the symmetry factor of a single electron transfer step can be </w:t>
      </w:r>
      <w:r w:rsidR="0027230E">
        <w:rPr>
          <w:bCs/>
        </w:rPr>
        <w:t>redefined to the transfer coefficient of a multi-step reaction. Then, based on an assumed mechanism and the rate determining step, one can obtain an estimate of the Tafel slope. This procedure is regularly used as a diagnostic tool to derive “mechanistic” information from analyzing experimental Tafel slopes. As we have seen, numerous reaction schemes can produce the very same theoretical Tafel slope and their differentiation based solely on kinetic experiments is simply not possible.</w:t>
      </w:r>
      <w:r w:rsidR="00CB2810">
        <w:rPr>
          <w:bCs/>
        </w:rPr>
        <w:t xml:space="preserve"> Most of the predictions are built on the premise of coverage of critical intermediate being at the limit of either zero or one. </w:t>
      </w:r>
      <w:r w:rsidR="003F4332">
        <w:rPr>
          <w:bCs/>
        </w:rPr>
        <w:t>Some of the p</w:t>
      </w:r>
      <w:r w:rsidR="00CB2810">
        <w:rPr>
          <w:bCs/>
        </w:rPr>
        <w:t xml:space="preserve">redictions were also extended to intermediate coverage situations, but as we have seen in our amorphous </w:t>
      </w:r>
      <w:proofErr w:type="spellStart"/>
      <w:r w:rsidR="00CB2810">
        <w:rPr>
          <w:bCs/>
        </w:rPr>
        <w:t>IrO</w:t>
      </w:r>
      <w:r w:rsidR="00CB2810" w:rsidRPr="00CB2810">
        <w:rPr>
          <w:bCs/>
          <w:vertAlign w:val="subscript"/>
        </w:rPr>
        <w:t>x</w:t>
      </w:r>
      <w:proofErr w:type="spellEnd"/>
      <w:r w:rsidR="00CB2810">
        <w:rPr>
          <w:bCs/>
        </w:rPr>
        <w:t xml:space="preserve"> example, it is doubtful that these predictions are applicable for a broad range of OER catalysts. </w:t>
      </w:r>
      <w:r w:rsidR="00332C3F">
        <w:rPr>
          <w:bCs/>
        </w:rPr>
        <w:t xml:space="preserve">Instead, coverage dependent heat of adsorption/desorption seems to be an enticing concept to account for an often observed weakly potential dependent </w:t>
      </w:r>
      <w:proofErr w:type="spellStart"/>
      <w:r w:rsidR="00332C3F">
        <w:rPr>
          <w:bCs/>
        </w:rPr>
        <w:t>pseudocapacitance</w:t>
      </w:r>
      <w:proofErr w:type="spellEnd"/>
      <w:r w:rsidR="00332C3F">
        <w:rPr>
          <w:bCs/>
        </w:rPr>
        <w:t xml:space="preserve"> that can yield a </w:t>
      </w:r>
      <w:r w:rsidR="00332C3F" w:rsidRPr="007856F2">
        <w:t>potential dependent free energy of activation</w:t>
      </w:r>
      <w:r w:rsidR="00332C3F">
        <w:t>. At last, we have seen that the Tafel slope can be a function of catalyst loading, electrolyte concentration and type, even the size of grain</w:t>
      </w:r>
      <w:r w:rsidR="00817273">
        <w:t>s and grain</w:t>
      </w:r>
      <w:r w:rsidR="00332C3F">
        <w:t xml:space="preserve"> boundaries might have a role, </w:t>
      </w:r>
      <w:r w:rsidR="00817273">
        <w:t>and indeed,</w:t>
      </w:r>
      <w:r w:rsidR="00332C3F">
        <w:t xml:space="preserve"> also non-kinetic effects can pollute the observed Tafel slope. </w:t>
      </w:r>
      <w:r w:rsidR="00817273">
        <w:t>A rather disappointing state-of-affairs.</w:t>
      </w:r>
      <w:r w:rsidR="007C1622">
        <w:t xml:space="preserve"> </w:t>
      </w:r>
      <w:r w:rsidR="006E7C22">
        <w:t>With this, we put aside OER experiments for now and embark on our exploration of how DFT calculations can improve our understanding of the OER.</w:t>
      </w:r>
    </w:p>
    <w:p w14:paraId="5D387E46" w14:textId="70119196" w:rsidR="00594FAE" w:rsidRPr="00594FAE" w:rsidRDefault="00594FAE" w:rsidP="00BC7855">
      <w:pPr>
        <w:pStyle w:val="Heading1"/>
        <w:numPr>
          <w:ilvl w:val="0"/>
          <w:numId w:val="17"/>
        </w:numPr>
      </w:pPr>
      <w:bookmarkStart w:id="51" w:name="_Ref159882314"/>
      <w:bookmarkStart w:id="52" w:name="_Toc166441730"/>
      <w:r w:rsidRPr="00594FAE">
        <w:rPr>
          <w:i/>
          <w:iCs/>
        </w:rPr>
        <w:lastRenderedPageBreak/>
        <w:t xml:space="preserve">Ab initio </w:t>
      </w:r>
      <w:r w:rsidRPr="00594FAE">
        <w:t>atomistic thermodynamics and the Computational Hydrogen Electrode</w:t>
      </w:r>
      <w:bookmarkEnd w:id="51"/>
      <w:bookmarkEnd w:id="52"/>
    </w:p>
    <w:p w14:paraId="5B51371E" w14:textId="77777777" w:rsidR="00594FAE" w:rsidRPr="00594FAE" w:rsidRDefault="00594FAE" w:rsidP="00594FAE">
      <w:pPr>
        <w:widowControl w:val="0"/>
        <w:autoSpaceDE w:val="0"/>
        <w:autoSpaceDN w:val="0"/>
        <w:adjustRightInd w:val="0"/>
        <w:rPr>
          <w:b/>
          <w:bCs/>
        </w:rPr>
      </w:pPr>
    </w:p>
    <w:p w14:paraId="55BC651F" w14:textId="6AA0B190" w:rsidR="00594FAE" w:rsidRPr="00594FAE" w:rsidRDefault="00594FAE" w:rsidP="002C462C">
      <w:pPr>
        <w:widowControl w:val="0"/>
        <w:autoSpaceDE w:val="0"/>
        <w:autoSpaceDN w:val="0"/>
        <w:adjustRightInd w:val="0"/>
        <w:ind w:firstLine="360"/>
      </w:pPr>
      <w:r w:rsidRPr="00594FAE">
        <w:t xml:space="preserve">The challenge in relating DFT computed energetics to an experimental potential scale long prevented the wide-spread use of first principles simulations in the study of the OER. This changed with the introduction of the computational hydrogen electrode (CHE) </w:t>
      </w:r>
      <w:r w:rsidRPr="00594FAE">
        <w:fldChar w:fldCharType="begin"/>
      </w:r>
      <w:r w:rsidR="009F6662">
        <w:instrText xml:space="preserve"> ADDIN EN.CITE &lt;EndNote&gt;&lt;Cite&gt;&lt;Author&gt;Nørskov&lt;/Author&gt;&lt;Year&gt;2004&lt;/Year&gt;&lt;RecNum&gt;59&lt;/RecNum&gt;&lt;DisplayText&gt;&lt;style face="superscript"&gt;59&lt;/style&gt;&lt;/DisplayText&gt;&lt;record&gt;&lt;rec-number&gt;59&lt;/rec-number&gt;&lt;foreign-keys&gt;&lt;key app="EN" db-id="2xex0erf4eexr4e2dpbxpdd829xttesxxxdr" timestamp="1715075296"&gt;59&lt;/key&gt;&lt;/foreign-keys&gt;&lt;ref-type name="Journal Article"&gt;17&lt;/ref-type&gt;&lt;contributors&gt;&lt;authors&gt;&lt;author&gt;Nørskov, J. K.&lt;/author&gt;&lt;author&gt;Rossmeisl, J.&lt;/author&gt;&lt;author&gt;Logadottir, A.&lt;/author&gt;&lt;author&gt;Lindqvist, L.&lt;/author&gt;&lt;author&gt;Kitchin, J. R.&lt;/author&gt;&lt;author&gt;Bligaard, T.&lt;/author&gt;&lt;author&gt;Jónsson, H.&lt;/author&gt;&lt;/authors&gt;&lt;/contributors&gt;&lt;titles&gt;&lt;title&gt;Origin of the Overpotential for Oxygen Reduction at a Fuel-Cell Cathode&lt;/title&gt;&lt;secondary-title&gt;Journal of Physical Chemistry B&lt;/secondary-title&gt;&lt;/titles&gt;&lt;periodical&gt;&lt;full-title&gt;Journal of Physical Chemistry B&lt;/full-title&gt;&lt;abbr-1&gt;J. Phys. Chem. B&lt;/abbr-1&gt;&lt;abbr-2&gt;J Phys Chem B&lt;/abbr-2&gt;&lt;/periodical&gt;&lt;pages&gt;17886-17892&lt;/pages&gt;&lt;volume&gt;108&lt;/volume&gt;&lt;number&gt;46&lt;/number&gt;&lt;dates&gt;&lt;year&gt;2004&lt;/year&gt;&lt;pub-dates&gt;&lt;date&gt;2004/11/01&lt;/date&gt;&lt;/pub-dates&gt;&lt;/dates&gt;&lt;publisher&gt;American Chemical Society&lt;/publisher&gt;&lt;isbn&gt;1520-6106&lt;/isbn&gt;&lt;urls&gt;&lt;related-urls&gt;&lt;url&gt;https://doi.org/10.1021/jp047349j&lt;/url&gt;&lt;/related-urls&gt;&lt;/urls&gt;&lt;electronic-resource-num&gt;10.1021/jp047349j&lt;/electronic-resource-num&gt;&lt;/record&gt;&lt;/Cite&gt;&lt;/EndNote&gt;</w:instrText>
      </w:r>
      <w:r w:rsidRPr="00594FAE">
        <w:fldChar w:fldCharType="separate"/>
      </w:r>
      <w:r w:rsidR="009F6662" w:rsidRPr="009F6662">
        <w:rPr>
          <w:noProof/>
          <w:vertAlign w:val="superscript"/>
        </w:rPr>
        <w:t>59</w:t>
      </w:r>
      <w:r w:rsidRPr="00594FAE">
        <w:fldChar w:fldCharType="end"/>
      </w:r>
      <w:r w:rsidRPr="00594FAE">
        <w:t>, which has also been referred to as the computational standard hydrogen electrode (computational SHE)</w:t>
      </w:r>
      <w:r w:rsidRPr="00594FAE">
        <w:fldChar w:fldCharType="begin"/>
      </w:r>
      <w:r w:rsidR="00FC5BEB">
        <w:instrText xml:space="preserve"> ADDIN EN.CITE &lt;EndNote&gt;&lt;Cite&gt;&lt;Author&gt;Man&lt;/Author&gt;&lt;Year&gt;2011&lt;/Year&gt;&lt;RecNum&gt;99&lt;/RecNum&gt;&lt;DisplayText&gt;&lt;style face="superscript"&gt;101&lt;/style&gt;&lt;/DisplayText&gt;&lt;record&gt;&lt;rec-number&gt;99&lt;/rec-number&gt;&lt;foreign-keys&gt;&lt;key app="EN" db-id="2xex0erf4eexr4e2dpbxpdd829xttesxxxdr" timestamp="1715075296"&gt;99&lt;/key&gt;&lt;/foreign-keys&gt;&lt;ref-type name="Journal Article"&gt;17&lt;/ref-type&gt;&lt;contributors&gt;&lt;authors&gt;&lt;author&gt;Man, Isabela C.&lt;/author&gt;&lt;author&gt;Su, Hai-Yan&lt;/author&gt;&lt;author&gt;Calle-Vallejo, Federico&lt;/author&gt;&lt;author&gt;Hansen, Heine A.&lt;/author&gt;&lt;author&gt;Martínez, José I.&lt;/author&gt;&lt;author&gt;Inoglu, Nilay G.&lt;/author&gt;&lt;author&gt;Kitchin, John&lt;/author&gt;&lt;author&gt;Jaramillo, Thomas F.&lt;/author&gt;&lt;author&gt;Nørskov, Jens K.&lt;/author&gt;&lt;author&gt;Rossmeisl, Jan&lt;/author&gt;&lt;/authors&gt;&lt;/contributors&gt;&lt;titles&gt;&lt;title&gt;Universality in Oxygen Evolution Electrocatalysis on Oxide Surfaces&lt;/title&gt;&lt;secondary-title&gt;ChemCatChem&lt;/secondary-title&gt;&lt;/titles&gt;&lt;pages&gt;1159-1165&lt;/pages&gt;&lt;volume&gt;3&lt;/volume&gt;&lt;number&gt;7&lt;/number&gt;&lt;dates&gt;&lt;year&gt;2011&lt;/year&gt;&lt;/dates&gt;&lt;isbn&gt;1867-3880&lt;/isbn&gt;&lt;urls&gt;&lt;related-urls&gt;&lt;url&gt;https://chemistry-europe.onlinelibrary.wiley.com/doi/abs/10.1002/cctc.201000397&lt;/url&gt;&lt;/related-urls&gt;&lt;/urls&gt;&lt;electronic-resource-num&gt;https://doi.org/10.1002/cctc.201000397&lt;/electronic-resource-num&gt;&lt;/record&gt;&lt;/Cite&gt;&lt;/EndNote&gt;</w:instrText>
      </w:r>
      <w:r w:rsidRPr="00594FAE">
        <w:fldChar w:fldCharType="separate"/>
      </w:r>
      <w:r w:rsidR="00FC5BEB" w:rsidRPr="00FC5BEB">
        <w:rPr>
          <w:noProof/>
          <w:vertAlign w:val="superscript"/>
        </w:rPr>
        <w:t>101</w:t>
      </w:r>
      <w:r w:rsidRPr="00594FAE">
        <w:fldChar w:fldCharType="end"/>
      </w:r>
      <w:r w:rsidRPr="00594FAE">
        <w:t>. Although this approach was originally developed and applied to study the oxygen reduction reaction (ORR)</w:t>
      </w:r>
      <w:r w:rsidRPr="00594FAE">
        <w:fldChar w:fldCharType="begin"/>
      </w:r>
      <w:r w:rsidR="009F6662">
        <w:instrText xml:space="preserve"> ADDIN EN.CITE &lt;EndNote&gt;&lt;Cite&gt;&lt;Author&gt;Nørskov&lt;/Author&gt;&lt;Year&gt;2004&lt;/Year&gt;&lt;RecNum&gt;59&lt;/RecNum&gt;&lt;DisplayText&gt;&lt;style face="superscript"&gt;59&lt;/style&gt;&lt;/DisplayText&gt;&lt;record&gt;&lt;rec-number&gt;59&lt;/rec-number&gt;&lt;foreign-keys&gt;&lt;key app="EN" db-id="2xex0erf4eexr4e2dpbxpdd829xttesxxxdr" timestamp="1715075296"&gt;59&lt;/key&gt;&lt;/foreign-keys&gt;&lt;ref-type name="Journal Article"&gt;17&lt;/ref-type&gt;&lt;contributors&gt;&lt;authors&gt;&lt;author&gt;Nørskov, J. K.&lt;/author&gt;&lt;author&gt;Rossmeisl, J.&lt;/author&gt;&lt;author&gt;Logadottir, A.&lt;/author&gt;&lt;author&gt;Lindqvist, L.&lt;/author&gt;&lt;author&gt;Kitchin, J. R.&lt;/author&gt;&lt;author&gt;Bligaard, T.&lt;/author&gt;&lt;author&gt;Jónsson, H.&lt;/author&gt;&lt;/authors&gt;&lt;/contributors&gt;&lt;titles&gt;&lt;title&gt;Origin of the Overpotential for Oxygen Reduction at a Fuel-Cell Cathode&lt;/title&gt;&lt;secondary-title&gt;Journal of Physical Chemistry B&lt;/secondary-title&gt;&lt;/titles&gt;&lt;periodical&gt;&lt;full-title&gt;Journal of Physical Chemistry B&lt;/full-title&gt;&lt;abbr-1&gt;J. Phys. Chem. B&lt;/abbr-1&gt;&lt;abbr-2&gt;J Phys Chem B&lt;/abbr-2&gt;&lt;/periodical&gt;&lt;pages&gt;17886-17892&lt;/pages&gt;&lt;volume&gt;108&lt;/volume&gt;&lt;number&gt;46&lt;/number&gt;&lt;dates&gt;&lt;year&gt;2004&lt;/year&gt;&lt;pub-dates&gt;&lt;date&gt;2004/11/01&lt;/date&gt;&lt;/pub-dates&gt;&lt;/dates&gt;&lt;publisher&gt;American Chemical Society&lt;/publisher&gt;&lt;isbn&gt;1520-6106&lt;/isbn&gt;&lt;urls&gt;&lt;related-urls&gt;&lt;url&gt;https://doi.org/10.1021/jp047349j&lt;/url&gt;&lt;/related-urls&gt;&lt;/urls&gt;&lt;electronic-resource-num&gt;10.1021/jp047349j&lt;/electronic-resource-num&gt;&lt;/record&gt;&lt;/Cite&gt;&lt;/EndNote&gt;</w:instrText>
      </w:r>
      <w:r w:rsidRPr="00594FAE">
        <w:fldChar w:fldCharType="separate"/>
      </w:r>
      <w:r w:rsidR="009F6662" w:rsidRPr="009F6662">
        <w:rPr>
          <w:noProof/>
          <w:vertAlign w:val="superscript"/>
        </w:rPr>
        <w:t>59</w:t>
      </w:r>
      <w:r w:rsidRPr="00594FAE">
        <w:fldChar w:fldCharType="end"/>
      </w:r>
      <w:r w:rsidRPr="00594FAE">
        <w:t>, it was quickly used to study the OER</w:t>
      </w:r>
      <w:r w:rsidRPr="00594FAE">
        <w:fldChar w:fldCharType="begin">
          <w:fldData xml:space="preserve">PEVuZE5vdGU+PENpdGU+PEF1dGhvcj5Sb3NzbWVpc2w8L0F1dGhvcj48WWVhcj4yMDA1PC9ZZWFy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</w:fldData>
        </w:fldChar>
      </w:r>
      <w:r w:rsidR="00FC5BEB">
        <w:instrText xml:space="preserve"> ADDIN EN.CITE </w:instrText>
      </w:r>
      <w:r w:rsidR="00FC5BEB">
        <w:fldChar w:fldCharType="begin">
          <w:fldData xml:space="preserve">PEVuZE5vdGU+PENpdGU+PEF1dGhvcj5Sb3NzbWVpc2w8L0F1dGhvcj48WWVhcj4yMDA1PC9ZZWFy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</w:fldData>
        </w:fldChar>
      </w:r>
      <w:r w:rsidR="00FC5BEB">
        <w:instrText xml:space="preserve"> ADDIN EN.CITE.DATA </w:instrText>
      </w:r>
      <w:r w:rsidR="00FC5BEB">
        <w:fldChar w:fldCharType="end"/>
      </w:r>
      <w:r w:rsidRPr="00594FAE">
        <w:fldChar w:fldCharType="separate"/>
      </w:r>
      <w:r w:rsidR="00FC5BEB" w:rsidRPr="00FC5BEB">
        <w:rPr>
          <w:noProof/>
          <w:vertAlign w:val="superscript"/>
        </w:rPr>
        <w:t>87, 88</w:t>
      </w:r>
      <w:r w:rsidRPr="00594FAE">
        <w:fldChar w:fldCharType="end"/>
      </w:r>
      <w:r w:rsidRPr="00594FAE">
        <w:t>. These early reports still have had far- reaching implications, and the approach is arguably the most significant single advance in the computational study of the OER made to date. As such, we will cover the background of the CHE in some detail.</w:t>
      </w:r>
    </w:p>
    <w:p w14:paraId="37802D54" w14:textId="77777777" w:rsidR="00594FAE" w:rsidRPr="00594FAE" w:rsidRDefault="00594FAE" w:rsidP="00594FAE">
      <w:pPr>
        <w:widowControl w:val="0"/>
        <w:autoSpaceDE w:val="0"/>
        <w:autoSpaceDN w:val="0"/>
        <w:adjustRightInd w:val="0"/>
      </w:pPr>
    </w:p>
    <w:p w14:paraId="4B57CBE7" w14:textId="0501071D" w:rsidR="00594FAE" w:rsidRPr="00594FAE" w:rsidRDefault="00594FAE" w:rsidP="00594FAE">
      <w:pPr>
        <w:widowControl w:val="0"/>
        <w:autoSpaceDE w:val="0"/>
        <w:autoSpaceDN w:val="0"/>
        <w:adjustRightInd w:val="0"/>
      </w:pPr>
      <w:r w:rsidRPr="00594FAE">
        <w:t>The term CHE appears to have first been coined several years after the introduction of the method</w:t>
      </w:r>
      <w:r w:rsidRPr="00594FAE">
        <w:fldChar w:fldCharType="begin"/>
      </w:r>
      <w:r w:rsidR="00FC5BEB">
        <w:instrText xml:space="preserve"> ADDIN EN.CITE &lt;EndNote&gt;&lt;Cite&gt;&lt;Author&gt;Peterson&lt;/Author&gt;&lt;Year&gt;2010&lt;/Year&gt;&lt;RecNum&gt;100&lt;/RecNum&gt;&lt;DisplayText&gt;&lt;style face="superscript"&gt;102&lt;/style&gt;&lt;/DisplayText&gt;&lt;record&gt;&lt;rec-number&gt;100&lt;/rec-number&gt;&lt;foreign-keys&gt;&lt;key app="EN" db-id="2xex0erf4eexr4e2dpbxpdd829xttesxxxdr" timestamp="1715075296"&gt;100&lt;/key&gt;&lt;/foreign-keys&gt;&lt;ref-type name="Journal Article"&gt;17&lt;/ref-type&gt;&lt;contributors&gt;&lt;authors&gt;&lt;author&gt;Peterson, Andrew A.&lt;/author&gt;&lt;author&gt;Abild-Pedersen, Frank&lt;/author&gt;&lt;author&gt;Studt, Felix&lt;/author&gt;&lt;author&gt;Rossmeisl, Jan&lt;/author&gt;&lt;author&gt;Nørskov, Jens K.&lt;/author&gt;&lt;/authors&gt;&lt;/contributors&gt;&lt;titles&gt;&lt;title&gt;How copper catalyzes the electroreduction of carbon dioxide into hydrocarbon fuels&lt;/title&gt;&lt;secondary-title&gt;Energy Environ. Sci.&lt;/secondary-title&gt;&lt;/titles&gt;&lt;periodical&gt;&lt;full-title&gt;Energy Environ. Sci.&lt;/full-title&gt;&lt;/periodical&gt;&lt;pages&gt;1311-1315&lt;/pages&gt;&lt;volume&gt;3&lt;/volume&gt;&lt;number&gt;9&lt;/number&gt;&lt;dates&gt;&lt;year&gt;2010&lt;/year&gt;&lt;/dates&gt;&lt;publisher&gt;The Royal Society of Chemistry&lt;/publisher&gt;&lt;isbn&gt;1754-5692&lt;/isbn&gt;&lt;work-type&gt;10.1039/C0EE00071J&lt;/work-type&gt;&lt;urls&gt;&lt;related-urls&gt;&lt;url&gt;http://dx.doi.org/10.1039/C0EE00071J&lt;/url&gt;&lt;/related-urls&gt;&lt;/urls&gt;&lt;electronic-resource-num&gt;10.1039/C0EE00071J&lt;/electronic-resource-num&gt;&lt;/record&gt;&lt;/Cite&gt;&lt;/EndNote&gt;</w:instrText>
      </w:r>
      <w:r w:rsidRPr="00594FAE">
        <w:fldChar w:fldCharType="separate"/>
      </w:r>
      <w:r w:rsidR="00FC5BEB" w:rsidRPr="00FC5BEB">
        <w:rPr>
          <w:noProof/>
          <w:vertAlign w:val="superscript"/>
        </w:rPr>
        <w:t>102</w:t>
      </w:r>
      <w:r w:rsidRPr="00594FAE">
        <w:fldChar w:fldCharType="end"/>
      </w:r>
      <w:r w:rsidRPr="00594FAE">
        <w:t xml:space="preserve">, which results from applying </w:t>
      </w:r>
      <w:r w:rsidRPr="00594FAE">
        <w:rPr>
          <w:i/>
          <w:iCs/>
        </w:rPr>
        <w:t xml:space="preserve">ab initio </w:t>
      </w:r>
      <w:r w:rsidRPr="00594FAE">
        <w:t>atomistic thermodynamics</w:t>
      </w:r>
      <w:r w:rsidRPr="00594FAE">
        <w:fldChar w:fldCharType="begin">
          <w:fldData xml:space="preserve">PEVuZE5vdGU+PENpdGU+PEF1dGhvcj5LYXhpcmFzPC9BdXRob3I+PFllYXI+MTk4NzwvWWVhcj48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</w:fldData>
        </w:fldChar>
      </w:r>
      <w:r w:rsidR="00FC5BEB">
        <w:instrText xml:space="preserve"> ADDIN EN.CITE </w:instrText>
      </w:r>
      <w:r w:rsidR="00FC5BEB">
        <w:fldChar w:fldCharType="begin">
          <w:fldData xml:space="preserve">PEVuZE5vdGU+PENpdGU+PEF1dGhvcj5LYXhpcmFzPC9BdXRob3I+PFllYXI+MTk4NzwvWWVhcj48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</w:fldData>
        </w:fldChar>
      </w:r>
      <w:r w:rsidR="00FC5BEB">
        <w:instrText xml:space="preserve"> ADDIN EN.CITE.DATA </w:instrText>
      </w:r>
      <w:r w:rsidR="00FC5BEB">
        <w:fldChar w:fldCharType="end"/>
      </w:r>
      <w:r w:rsidRPr="00594FAE">
        <w:fldChar w:fldCharType="separate"/>
      </w:r>
      <w:r w:rsidR="00FC5BEB" w:rsidRPr="00FC5BEB">
        <w:rPr>
          <w:noProof/>
          <w:vertAlign w:val="superscript"/>
        </w:rPr>
        <w:t>103-106</w:t>
      </w:r>
      <w:r w:rsidRPr="00594FAE">
        <w:fldChar w:fldCharType="end"/>
      </w:r>
      <w:r w:rsidRPr="00594FAE">
        <w:t xml:space="preserve"> to electrochemical processes. To understand the fundamentals of the CHE it is then important to review the foundations of </w:t>
      </w:r>
      <w:r w:rsidRPr="00594FAE">
        <w:rPr>
          <w:i/>
          <w:iCs/>
        </w:rPr>
        <w:t xml:space="preserve">ab initio </w:t>
      </w:r>
      <w:r w:rsidRPr="00594FAE">
        <w:t>atomistic thermodynamics as it was originally developed for gas-phase thermochemistry, particularly identifying surface phases on catalysts under equilibrium conditions, though it was extended to reactive conditions.</w:t>
      </w:r>
    </w:p>
    <w:p w14:paraId="02363556" w14:textId="77777777" w:rsidR="00594FAE" w:rsidRPr="00594FAE" w:rsidRDefault="00594FAE" w:rsidP="00594FAE">
      <w:pPr>
        <w:widowControl w:val="0"/>
        <w:autoSpaceDE w:val="0"/>
        <w:autoSpaceDN w:val="0"/>
        <w:adjustRightInd w:val="0"/>
      </w:pPr>
    </w:p>
    <w:p w14:paraId="74A8E49A" w14:textId="6272C555" w:rsidR="00594FAE" w:rsidRPr="00BC7855" w:rsidRDefault="00594FAE" w:rsidP="00BC7855">
      <w:pPr>
        <w:pStyle w:val="Heading2"/>
      </w:pPr>
      <w:bookmarkStart w:id="53" w:name="_Toc166441731"/>
      <w:r w:rsidRPr="00BC7855">
        <w:t>Development of ab initio atomistic thermodynamics</w:t>
      </w:r>
      <w:bookmarkEnd w:id="53"/>
    </w:p>
    <w:p w14:paraId="7388C25B" w14:textId="77777777" w:rsidR="007C5D34" w:rsidRDefault="007C5D34" w:rsidP="00594FAE">
      <w:pPr>
        <w:widowControl w:val="0"/>
        <w:autoSpaceDE w:val="0"/>
        <w:autoSpaceDN w:val="0"/>
        <w:adjustRightInd w:val="0"/>
      </w:pPr>
    </w:p>
    <w:p w14:paraId="0E56E947" w14:textId="7A9F49C9" w:rsidR="00594FAE" w:rsidRPr="00594FAE" w:rsidRDefault="00594FAE" w:rsidP="007C5D34">
      <w:pPr>
        <w:widowControl w:val="0"/>
        <w:autoSpaceDE w:val="0"/>
        <w:autoSpaceDN w:val="0"/>
        <w:adjustRightInd w:val="0"/>
        <w:ind w:firstLine="720"/>
      </w:pPr>
      <w:r w:rsidRPr="00594FAE">
        <w:t xml:space="preserve">As the CHE is based on </w:t>
      </w:r>
      <w:r w:rsidRPr="00594FAE">
        <w:rPr>
          <w:i/>
          <w:iCs/>
        </w:rPr>
        <w:t xml:space="preserve">ab initio </w:t>
      </w:r>
      <w:r w:rsidRPr="00594FAE">
        <w:t xml:space="preserve">atomistic thermodynamics, it is worthwhile to review this approach as it was originally developed and applied to thermal chemistry. Because </w:t>
      </w:r>
      <w:r w:rsidRPr="00594FAE">
        <w:rPr>
          <w:i/>
          <w:iCs/>
        </w:rPr>
        <w:t xml:space="preserve">ab initio </w:t>
      </w:r>
      <w:r w:rsidRPr="00594FAE">
        <w:t xml:space="preserve">atomistic thermodynamics is a well-developed approach that has been the subject of numerous </w:t>
      </w:r>
      <w:r w:rsidR="00991A67" w:rsidRPr="00594FAE">
        <w:t>reviews,</w:t>
      </w:r>
      <w:r w:rsidRPr="00594FAE">
        <w:t xml:space="preserve"> we will focus on those aspects most germane to understanding the CHE and refer the reader to several excellent reviews for more details on thermal catalysis applications</w:t>
      </w:r>
      <w:r w:rsidRPr="00594FAE">
        <w:fldChar w:fldCharType="begin">
          <w:fldData xml:space="preserve">PEVuZE5vdGU+PENpdGU+PEF1dGhvcj5TdGFtcGZsPC9BdXRob3I+PFllYXI+MjAwNTwvWWVhcj48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</w:fldData>
        </w:fldChar>
      </w:r>
      <w:r w:rsidR="00FC5BEB">
        <w:instrText xml:space="preserve"> ADDIN EN.CITE </w:instrText>
      </w:r>
      <w:r w:rsidR="00FC5BEB">
        <w:fldChar w:fldCharType="begin">
          <w:fldData xml:space="preserve">PEVuZE5vdGU+PENpdGU+PEF1dGhvcj5TdGFtcGZsPC9BdXRob3I+PFllYXI+MjAwNTwvWWVhcj48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</w:fldData>
        </w:fldChar>
      </w:r>
      <w:r w:rsidR="00FC5BEB">
        <w:instrText xml:space="preserve"> ADDIN EN.CITE.DATA </w:instrText>
      </w:r>
      <w:r w:rsidR="00FC5BEB">
        <w:fldChar w:fldCharType="end"/>
      </w:r>
      <w:r w:rsidRPr="00594FAE">
        <w:fldChar w:fldCharType="separate"/>
      </w:r>
      <w:r w:rsidR="00FC5BEB" w:rsidRPr="00FC5BEB">
        <w:rPr>
          <w:noProof/>
          <w:vertAlign w:val="superscript"/>
        </w:rPr>
        <w:t>107-109</w:t>
      </w:r>
      <w:r w:rsidRPr="00594FAE">
        <w:fldChar w:fldCharType="end"/>
      </w:r>
      <w:r w:rsidRPr="00594FAE">
        <w:t xml:space="preserve">. In </w:t>
      </w:r>
      <w:r w:rsidRPr="00594FAE">
        <w:rPr>
          <w:i/>
          <w:iCs/>
        </w:rPr>
        <w:t xml:space="preserve">ab initio </w:t>
      </w:r>
      <w:r w:rsidRPr="00594FAE">
        <w:t>atomistic thermodynamics, DFT total energies are used in conjunction with thermodynamics to predict equilibrium (</w:t>
      </w:r>
      <w:r w:rsidRPr="00594FAE">
        <w:rPr>
          <w:i/>
          <w:iCs/>
        </w:rPr>
        <w:t>T</w:t>
      </w:r>
      <w:r w:rsidRPr="00594FAE">
        <w:t xml:space="preserve">, </w:t>
      </w:r>
      <w:r w:rsidRPr="00594FAE">
        <w:rPr>
          <w:i/>
          <w:iCs/>
        </w:rPr>
        <w:t>p</w:t>
      </w:r>
      <w:r w:rsidRPr="00594FAE">
        <w:t>) phase diagrams. Take for example the (110) surface of rutile-type RuO</w:t>
      </w:r>
      <w:r w:rsidRPr="00594FAE">
        <w:rPr>
          <w:vertAlign w:val="subscript"/>
        </w:rPr>
        <w:t>2</w:t>
      </w:r>
      <w:r w:rsidRPr="00594FAE">
        <w:t xml:space="preserve"> in an oxygen atmosphere that was treated by Reuter and Scheffler in their development of the approach</w:t>
      </w:r>
      <w:r w:rsidRPr="00594FAE">
        <w:fldChar w:fldCharType="begin"/>
      </w:r>
      <w:r w:rsidR="00FC5BEB">
        <w:instrText xml:space="preserve"> ADDIN EN.CITE &lt;EndNote&gt;&lt;Cite&gt;&lt;Author&gt;Reuter&lt;/Author&gt;&lt;Year&gt;2001&lt;/Year&gt;&lt;RecNum&gt;103&lt;/RecNum&gt;&lt;DisplayText&gt;&lt;style face="superscript"&gt;105&lt;/style&gt;&lt;/DisplayText&gt;&lt;record&gt;&lt;rec-number&gt;103&lt;/rec-number&gt;&lt;foreign-keys&gt;&lt;key app="EN" db-id="2xex0erf4eexr4e2dpbxpdd829xttesxxxdr" timestamp="1715075296"&gt;103&lt;/key&gt;&lt;/foreign-keys&gt;&lt;ref-type name="Journal Article"&gt;17&lt;/ref-type&gt;&lt;contributors&gt;&lt;authors&gt;&lt;author&gt;Reuter, Karsten&lt;/author&gt;&lt;author&gt;Scheffler, Matthias&lt;/author&gt;&lt;/authors&gt;&lt;/contributors&gt;&lt;titles&gt;&lt;title&gt;Composition, structure, and stability of RuO2(110) as a function of oxygen pressure&lt;/title&gt;&lt;secondary-title&gt;Physical Review B&lt;/secondary-title&gt;&lt;/titles&gt;&lt;periodical&gt;&lt;full-title&gt;Physical Review B&lt;/full-title&gt;&lt;abbr-1&gt;Phys. Rev. B&lt;/abbr-1&gt;&lt;abbr-2&gt;Phys Rev B&lt;/abbr-2&gt;&lt;/periodical&gt;&lt;pages&gt;035406&lt;/pages&gt;&lt;volume&gt;65&lt;/volume&gt;&lt;number&gt;3&lt;/number&gt;&lt;dates&gt;&lt;year&gt;2001&lt;/year&gt;&lt;pub-dates&gt;&lt;date&gt;12/19/&lt;/date&gt;&lt;/pub-dates&gt;&lt;/dates&gt;&lt;publisher&gt;American Physical Society&lt;/publisher&gt;&lt;urls&gt;&lt;related-urls&gt;&lt;url&gt;https://link.aps.org/doi/10.1103/PhysRevB.65.035406&lt;/url&gt;&lt;/related-urls&gt;&lt;/urls&gt;&lt;electronic-resource-num&gt;10.1103/PhysRevB.65.035406&lt;/electronic-resource-num&gt;&lt;/record&gt;&lt;/Cite&gt;&lt;/EndNote&gt;</w:instrText>
      </w:r>
      <w:r w:rsidRPr="00594FAE">
        <w:fldChar w:fldCharType="separate"/>
      </w:r>
      <w:r w:rsidR="00FC5BEB" w:rsidRPr="00FC5BEB">
        <w:rPr>
          <w:noProof/>
          <w:vertAlign w:val="superscript"/>
        </w:rPr>
        <w:t>105</w:t>
      </w:r>
      <w:r w:rsidRPr="00594FAE">
        <w:fldChar w:fldCharType="end"/>
      </w:r>
      <w:r w:rsidRPr="00594FAE">
        <w:t>. At constant pressure, the Gibbs free energy,</w:t>
      </w:r>
      <w:r w:rsidRPr="00594FAE">
        <w:rPr>
          <w:i/>
          <w:iCs/>
        </w:rPr>
        <w:t xml:space="preserve"> G</w:t>
      </w:r>
      <w:r w:rsidRPr="00594FAE">
        <w:t>(</w:t>
      </w:r>
      <w:r w:rsidRPr="00594FAE">
        <w:rPr>
          <w:i/>
          <w:iCs/>
        </w:rPr>
        <w:t>T</w:t>
      </w:r>
      <w:r w:rsidRPr="00594FAE">
        <w:t xml:space="preserve">, </w:t>
      </w:r>
      <w:r w:rsidRPr="00594FAE">
        <w:rPr>
          <w:i/>
          <w:iCs/>
        </w:rPr>
        <w:t xml:space="preserve">p, </w:t>
      </w:r>
      <w:proofErr w:type="spellStart"/>
      <w:r w:rsidRPr="00594FAE">
        <w:rPr>
          <w:i/>
          <w:iCs/>
        </w:rPr>
        <w:t>N</w:t>
      </w:r>
      <w:r w:rsidRPr="00594FAE">
        <w:rPr>
          <w:vertAlign w:val="subscript"/>
        </w:rPr>
        <w:t>Ru</w:t>
      </w:r>
      <w:proofErr w:type="spellEnd"/>
      <w:r w:rsidRPr="00594FAE">
        <w:rPr>
          <w:i/>
          <w:iCs/>
        </w:rPr>
        <w:t>, N</w:t>
      </w:r>
      <w:r w:rsidRPr="00594FAE">
        <w:rPr>
          <w:vertAlign w:val="subscript"/>
        </w:rPr>
        <w:t>O</w:t>
      </w:r>
      <w:r w:rsidRPr="00594FAE">
        <w:t xml:space="preserve">),  is the appropriate thermodynamic potential, however DFT is typically performed at 0 K and yields total energies at fixed volume, </w:t>
      </w:r>
      <w:proofErr w:type="spellStart"/>
      <w:r w:rsidRPr="00594FAE">
        <w:rPr>
          <w:i/>
          <w:iCs/>
        </w:rPr>
        <w:t>E</w:t>
      </w:r>
      <w:r w:rsidRPr="00594FAE">
        <w:rPr>
          <w:vertAlign w:val="subscript"/>
        </w:rPr>
        <w:t>total</w:t>
      </w:r>
      <w:proofErr w:type="spellEnd"/>
      <w:r w:rsidRPr="00594FAE">
        <w:t>(</w:t>
      </w:r>
      <w:r w:rsidRPr="00594FAE">
        <w:rPr>
          <w:i/>
          <w:iCs/>
        </w:rPr>
        <w:t>V</w:t>
      </w:r>
      <w:r w:rsidRPr="00594FAE">
        <w:t xml:space="preserve">, </w:t>
      </w:r>
      <w:proofErr w:type="spellStart"/>
      <w:r w:rsidRPr="00594FAE">
        <w:rPr>
          <w:i/>
          <w:iCs/>
        </w:rPr>
        <w:t>N</w:t>
      </w:r>
      <w:r w:rsidRPr="00594FAE">
        <w:rPr>
          <w:vertAlign w:val="subscript"/>
        </w:rPr>
        <w:t>Ru</w:t>
      </w:r>
      <w:proofErr w:type="spellEnd"/>
      <w:r w:rsidRPr="00594FAE">
        <w:rPr>
          <w:i/>
          <w:iCs/>
        </w:rPr>
        <w:t>, N</w:t>
      </w:r>
      <w:r w:rsidRPr="00594FAE">
        <w:rPr>
          <w:vertAlign w:val="subscript"/>
        </w:rPr>
        <w:t>O</w:t>
      </w:r>
      <w:r w:rsidRPr="00594FAE">
        <w:t>), which is akin to a Helmholtz free energy,</w:t>
      </w:r>
      <w:r w:rsidRPr="00594FAE">
        <w:rPr>
          <w:i/>
          <w:iCs/>
        </w:rPr>
        <w:t xml:space="preserve"> F</w:t>
      </w:r>
      <w:r w:rsidRPr="00594FAE">
        <w:t>(</w:t>
      </w:r>
      <w:r w:rsidRPr="00594FAE">
        <w:rPr>
          <w:i/>
          <w:iCs/>
        </w:rPr>
        <w:t>T</w:t>
      </w:r>
      <w:r w:rsidRPr="00594FAE">
        <w:t xml:space="preserve">, </w:t>
      </w:r>
      <w:r w:rsidRPr="00594FAE">
        <w:rPr>
          <w:i/>
          <w:iCs/>
        </w:rPr>
        <w:t xml:space="preserve">V, </w:t>
      </w:r>
      <w:proofErr w:type="spellStart"/>
      <w:r w:rsidRPr="00594FAE">
        <w:rPr>
          <w:i/>
          <w:iCs/>
        </w:rPr>
        <w:t>N</w:t>
      </w:r>
      <w:r w:rsidRPr="00594FAE">
        <w:rPr>
          <w:vertAlign w:val="subscript"/>
        </w:rPr>
        <w:t>Ru</w:t>
      </w:r>
      <w:proofErr w:type="spellEnd"/>
      <w:r w:rsidRPr="00594FAE">
        <w:rPr>
          <w:i/>
          <w:iCs/>
        </w:rPr>
        <w:t>, N</w:t>
      </w:r>
      <w:r w:rsidRPr="00594FAE">
        <w:rPr>
          <w:vertAlign w:val="subscript"/>
        </w:rPr>
        <w:t>O</w:t>
      </w:r>
      <w:r w:rsidRPr="00594FAE">
        <w:t>), at 0 K if zero</w:t>
      </w:r>
      <w:r w:rsidR="00713576">
        <w:t>-</w:t>
      </w:r>
      <w:r w:rsidRPr="00594FAE">
        <w:t>point energies (</w:t>
      </w:r>
      <w:r w:rsidRPr="00594FAE">
        <w:rPr>
          <w:i/>
          <w:iCs/>
        </w:rPr>
        <w:t>E</w:t>
      </w:r>
      <w:r w:rsidRPr="00594FAE">
        <w:rPr>
          <w:vertAlign w:val="subscript"/>
        </w:rPr>
        <w:t>ZPT</w:t>
      </w:r>
      <w:r w:rsidRPr="00594FAE">
        <w:t xml:space="preserve">) are included. Reuter and Scheffler showed that DFT total energies can be used to approximate </w:t>
      </w:r>
      <w:proofErr w:type="gramStart"/>
      <w:r w:rsidRPr="00594FAE">
        <w:rPr>
          <w:i/>
          <w:iCs/>
        </w:rPr>
        <w:t>G</w:t>
      </w:r>
      <w:r w:rsidRPr="00594FAE">
        <w:t>(</w:t>
      </w:r>
      <w:proofErr w:type="gramEnd"/>
      <w:r w:rsidRPr="00594FAE">
        <w:rPr>
          <w:i/>
          <w:iCs/>
        </w:rPr>
        <w:t>T</w:t>
      </w:r>
      <w:r w:rsidRPr="00594FAE">
        <w:t xml:space="preserve">, </w:t>
      </w:r>
      <w:r w:rsidRPr="00594FAE">
        <w:rPr>
          <w:i/>
          <w:iCs/>
        </w:rPr>
        <w:t xml:space="preserve">p, </w:t>
      </w:r>
      <w:proofErr w:type="spellStart"/>
      <w:r w:rsidRPr="00594FAE">
        <w:rPr>
          <w:i/>
          <w:iCs/>
        </w:rPr>
        <w:t>N</w:t>
      </w:r>
      <w:r w:rsidRPr="00594FAE">
        <w:rPr>
          <w:vertAlign w:val="subscript"/>
        </w:rPr>
        <w:t>Ru</w:t>
      </w:r>
      <w:r w:rsidRPr="00594FAE">
        <w:rPr>
          <w:i/>
          <w:iCs/>
        </w:rPr>
        <w:t>,N</w:t>
      </w:r>
      <w:r w:rsidRPr="00594FAE">
        <w:rPr>
          <w:vertAlign w:val="subscript"/>
        </w:rPr>
        <w:t>O</w:t>
      </w:r>
      <w:proofErr w:type="spellEnd"/>
      <w:r w:rsidRPr="00594FAE">
        <w:t>) by first noting the Gibbs free energy is related to the Helmholtz free energy as: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8"/>
        <w:gridCol w:w="6131"/>
        <w:gridCol w:w="2077"/>
      </w:tblGrid>
      <w:tr w:rsidR="008333D5" w:rsidRPr="00DE0988" w14:paraId="1504CD63" w14:textId="77777777" w:rsidTr="00ED1E49">
        <w:tc>
          <w:tcPr>
            <w:tcW w:w="845" w:type="dxa"/>
            <w:vAlign w:val="center"/>
          </w:tcPr>
          <w:p w14:paraId="355F4166" w14:textId="77777777" w:rsidR="008333D5" w:rsidRPr="00DE0988" w:rsidRDefault="008333D5" w:rsidP="00E45E28">
            <w:pPr>
              <w:rPr>
                <w:bCs/>
                <w:sz w:val="20"/>
                <w:szCs w:val="20"/>
              </w:rPr>
            </w:pPr>
          </w:p>
        </w:tc>
        <w:tc>
          <w:tcPr>
            <w:tcW w:w="6385" w:type="dxa"/>
            <w:vAlign w:val="center"/>
          </w:tcPr>
          <w:p w14:paraId="225CAEF6" w14:textId="0A37AEE8" w:rsidR="008333D5" w:rsidRPr="00DE0988" w:rsidRDefault="008333D5" w:rsidP="00E45E28">
            <w:pPr>
              <w:spacing w:before="60" w:after="60"/>
              <w:rPr>
                <w:bCs/>
                <w:sz w:val="20"/>
                <w:szCs w:val="20"/>
              </w:rPr>
            </w:pPr>
            <w:proofErr w:type="gramStart"/>
            <w:r w:rsidRPr="00594FAE">
              <w:rPr>
                <w:i/>
                <w:iCs/>
                <w:sz w:val="20"/>
                <w:szCs w:val="20"/>
              </w:rPr>
              <w:t>G</w:t>
            </w:r>
            <w:r w:rsidRPr="00594FAE">
              <w:rPr>
                <w:sz w:val="20"/>
                <w:szCs w:val="20"/>
              </w:rPr>
              <w:t>(</w:t>
            </w:r>
            <w:proofErr w:type="gramEnd"/>
            <w:r w:rsidRPr="00594FAE">
              <w:rPr>
                <w:i/>
                <w:iCs/>
                <w:sz w:val="20"/>
                <w:szCs w:val="20"/>
              </w:rPr>
              <w:t>T</w:t>
            </w:r>
            <w:r w:rsidRPr="00594FAE">
              <w:rPr>
                <w:sz w:val="20"/>
                <w:szCs w:val="20"/>
              </w:rPr>
              <w:t xml:space="preserve">, </w:t>
            </w:r>
            <w:r w:rsidRPr="00594FAE">
              <w:rPr>
                <w:i/>
                <w:iCs/>
                <w:sz w:val="20"/>
                <w:szCs w:val="20"/>
              </w:rPr>
              <w:t xml:space="preserve">p, </w:t>
            </w:r>
            <w:proofErr w:type="spellStart"/>
            <w:r w:rsidRPr="00594FAE">
              <w:rPr>
                <w:i/>
                <w:iCs/>
                <w:sz w:val="20"/>
                <w:szCs w:val="20"/>
              </w:rPr>
              <w:t>N</w:t>
            </w:r>
            <w:r w:rsidRPr="00594FAE">
              <w:rPr>
                <w:sz w:val="20"/>
                <w:szCs w:val="20"/>
                <w:vertAlign w:val="subscript"/>
              </w:rPr>
              <w:t>Ru</w:t>
            </w:r>
            <w:proofErr w:type="spellEnd"/>
            <w:r w:rsidRPr="00594FAE">
              <w:rPr>
                <w:i/>
                <w:iCs/>
                <w:sz w:val="20"/>
                <w:szCs w:val="20"/>
              </w:rPr>
              <w:t>, N</w:t>
            </w:r>
            <w:r w:rsidRPr="00594FAE">
              <w:rPr>
                <w:sz w:val="20"/>
                <w:szCs w:val="20"/>
                <w:vertAlign w:val="subscript"/>
              </w:rPr>
              <w:t>O</w:t>
            </w:r>
            <w:r w:rsidRPr="00594FAE">
              <w:rPr>
                <w:sz w:val="20"/>
                <w:szCs w:val="20"/>
              </w:rPr>
              <w:t xml:space="preserve">) = </w:t>
            </w:r>
            <w:r w:rsidRPr="00594FAE">
              <w:rPr>
                <w:i/>
                <w:iCs/>
                <w:sz w:val="20"/>
                <w:szCs w:val="20"/>
              </w:rPr>
              <w:t>F</w:t>
            </w:r>
            <w:r w:rsidRPr="00594FAE">
              <w:rPr>
                <w:sz w:val="20"/>
                <w:szCs w:val="20"/>
              </w:rPr>
              <w:t>(</w:t>
            </w:r>
            <w:r w:rsidRPr="00594FAE">
              <w:rPr>
                <w:i/>
                <w:iCs/>
                <w:sz w:val="20"/>
                <w:szCs w:val="20"/>
              </w:rPr>
              <w:t>T</w:t>
            </w:r>
            <w:r w:rsidRPr="00594FAE">
              <w:rPr>
                <w:sz w:val="20"/>
                <w:szCs w:val="20"/>
              </w:rPr>
              <w:t xml:space="preserve">, </w:t>
            </w:r>
            <w:r w:rsidRPr="00594FAE">
              <w:rPr>
                <w:i/>
                <w:iCs/>
                <w:sz w:val="20"/>
                <w:szCs w:val="20"/>
              </w:rPr>
              <w:t xml:space="preserve">V, </w:t>
            </w:r>
            <w:proofErr w:type="spellStart"/>
            <w:r w:rsidRPr="00594FAE">
              <w:rPr>
                <w:i/>
                <w:iCs/>
                <w:sz w:val="20"/>
                <w:szCs w:val="20"/>
              </w:rPr>
              <w:t>N</w:t>
            </w:r>
            <w:r w:rsidRPr="00594FAE">
              <w:rPr>
                <w:sz w:val="20"/>
                <w:szCs w:val="20"/>
                <w:vertAlign w:val="subscript"/>
              </w:rPr>
              <w:t>Ru</w:t>
            </w:r>
            <w:proofErr w:type="spellEnd"/>
            <w:r w:rsidRPr="00594FAE">
              <w:rPr>
                <w:i/>
                <w:iCs/>
                <w:sz w:val="20"/>
                <w:szCs w:val="20"/>
              </w:rPr>
              <w:t>, N</w:t>
            </w:r>
            <w:r w:rsidRPr="00594FAE">
              <w:rPr>
                <w:sz w:val="20"/>
                <w:szCs w:val="20"/>
                <w:vertAlign w:val="subscript"/>
              </w:rPr>
              <w:t>O</w:t>
            </w:r>
            <w:r w:rsidRPr="00594FAE">
              <w:rPr>
                <w:sz w:val="20"/>
                <w:szCs w:val="20"/>
              </w:rPr>
              <w:t xml:space="preserve">) + </w:t>
            </w:r>
            <w:proofErr w:type="spellStart"/>
            <w:r w:rsidRPr="00594FAE">
              <w:rPr>
                <w:i/>
                <w:iCs/>
                <w:sz w:val="20"/>
                <w:szCs w:val="20"/>
              </w:rPr>
              <w:t>pV</w:t>
            </w:r>
            <w:proofErr w:type="spellEnd"/>
            <w:r w:rsidRPr="00594FAE">
              <w:rPr>
                <w:sz w:val="20"/>
                <w:szCs w:val="20"/>
              </w:rPr>
              <w:t>(</w:t>
            </w:r>
            <w:r w:rsidRPr="00594FAE">
              <w:rPr>
                <w:i/>
                <w:iCs/>
                <w:sz w:val="20"/>
                <w:szCs w:val="20"/>
              </w:rPr>
              <w:t xml:space="preserve">T, p, </w:t>
            </w:r>
            <w:proofErr w:type="spellStart"/>
            <w:r w:rsidRPr="00594FAE">
              <w:rPr>
                <w:i/>
                <w:iCs/>
                <w:sz w:val="20"/>
                <w:szCs w:val="20"/>
              </w:rPr>
              <w:t>N</w:t>
            </w:r>
            <w:r w:rsidRPr="00594FAE">
              <w:rPr>
                <w:sz w:val="20"/>
                <w:szCs w:val="20"/>
                <w:vertAlign w:val="subscript"/>
              </w:rPr>
              <w:t>Ru</w:t>
            </w:r>
            <w:proofErr w:type="spellEnd"/>
            <w:r w:rsidRPr="00594FAE">
              <w:rPr>
                <w:i/>
                <w:iCs/>
                <w:sz w:val="20"/>
                <w:szCs w:val="20"/>
              </w:rPr>
              <w:t>, N</w:t>
            </w:r>
            <w:r w:rsidRPr="00594FAE">
              <w:rPr>
                <w:sz w:val="20"/>
                <w:szCs w:val="20"/>
                <w:vertAlign w:val="subscript"/>
              </w:rPr>
              <w:t>O</w:t>
            </w:r>
            <w:r w:rsidRPr="00594FAE">
              <w:rPr>
                <w:sz w:val="20"/>
                <w:szCs w:val="20"/>
              </w:rPr>
              <w:t>)</w:t>
            </w:r>
          </w:p>
        </w:tc>
        <w:tc>
          <w:tcPr>
            <w:tcW w:w="2130" w:type="dxa"/>
            <w:vAlign w:val="center"/>
          </w:tcPr>
          <w:p w14:paraId="58B0E317" w14:textId="05F1F8DC" w:rsidR="008333D5" w:rsidRPr="00DE0988" w:rsidRDefault="008333D5" w:rsidP="00E45E28">
            <w:pPr>
              <w:keepNext/>
              <w:jc w:val="right"/>
              <w:rPr>
                <w:bCs/>
                <w:sz w:val="20"/>
                <w:szCs w:val="20"/>
              </w:rPr>
            </w:pPr>
            <w:bookmarkStart w:id="54" w:name="_Ref159506149"/>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536CF0">
              <w:rPr>
                <w:noProof/>
                <w:sz w:val="20"/>
                <w:szCs w:val="20"/>
              </w:rPr>
              <w:t>21</w:t>
            </w:r>
            <w:r w:rsidRPr="00DE0988">
              <w:rPr>
                <w:sz w:val="20"/>
                <w:szCs w:val="20"/>
              </w:rPr>
              <w:fldChar w:fldCharType="end"/>
            </w:r>
            <w:bookmarkEnd w:id="54"/>
          </w:p>
        </w:tc>
      </w:tr>
    </w:tbl>
    <w:p w14:paraId="49139C4D" w14:textId="73B99EAB" w:rsidR="00594FAE" w:rsidRPr="00594FAE" w:rsidRDefault="00594FAE" w:rsidP="00594FAE">
      <w:pPr>
        <w:widowControl w:val="0"/>
        <w:autoSpaceDE w:val="0"/>
        <w:autoSpaceDN w:val="0"/>
        <w:adjustRightInd w:val="0"/>
      </w:pPr>
      <w:r w:rsidRPr="00594FAE">
        <w:t xml:space="preserve">The </w:t>
      </w:r>
      <w:proofErr w:type="spellStart"/>
      <w:r w:rsidRPr="00594FAE">
        <w:rPr>
          <w:i/>
          <w:iCs/>
        </w:rPr>
        <w:t>pV</w:t>
      </w:r>
      <w:proofErr w:type="spellEnd"/>
      <w:r w:rsidRPr="00594FAE">
        <w:t xml:space="preserve"> term in </w:t>
      </w:r>
      <w:r w:rsidR="008333D5">
        <w:fldChar w:fldCharType="begin"/>
      </w:r>
      <w:r w:rsidR="008333D5">
        <w:instrText xml:space="preserve"> REF _Ref159506149 \h </w:instrText>
      </w:r>
      <w:r w:rsidR="008333D5">
        <w:fldChar w:fldCharType="separate"/>
      </w:r>
      <w:r w:rsidR="00536CF0" w:rsidRPr="00DE0988">
        <w:rPr>
          <w:sz w:val="20"/>
          <w:szCs w:val="20"/>
        </w:rPr>
        <w:t xml:space="preserve">Equation </w:t>
      </w:r>
      <w:r w:rsidR="00536CF0">
        <w:rPr>
          <w:noProof/>
          <w:sz w:val="20"/>
          <w:szCs w:val="20"/>
        </w:rPr>
        <w:t>21</w:t>
      </w:r>
      <w:r w:rsidR="008333D5">
        <w:fldChar w:fldCharType="end"/>
      </w:r>
      <w:r w:rsidRPr="00594FAE">
        <w:t xml:space="preserve"> can be shown to contribute on the order of 10</w:t>
      </w:r>
      <w:r w:rsidRPr="00594FAE">
        <w:rPr>
          <w:vertAlign w:val="superscript"/>
        </w:rPr>
        <w:t>-3</w:t>
      </w:r>
      <w:r w:rsidRPr="00594FAE">
        <w:t xml:space="preserve"> </w:t>
      </w:r>
      <w:proofErr w:type="spellStart"/>
      <w:r w:rsidRPr="00594FAE">
        <w:t>meV</w:t>
      </w:r>
      <w:proofErr w:type="spellEnd"/>
      <w:r w:rsidRPr="00594FAE">
        <w:t>/Å</w:t>
      </w:r>
      <w:r w:rsidRPr="00594FAE">
        <w:rPr>
          <w:vertAlign w:val="superscript"/>
        </w:rPr>
        <w:t>2</w:t>
      </w:r>
      <w:r w:rsidRPr="00594FAE">
        <w:t xml:space="preserve"> to the surface free energy, when the surface energy is normalized by area. Considering that the Helmholtz free energy is on the order of 100s of </w:t>
      </w:r>
      <w:proofErr w:type="spellStart"/>
      <w:r w:rsidRPr="00594FAE">
        <w:t>meV</w:t>
      </w:r>
      <w:proofErr w:type="spellEnd"/>
      <w:r w:rsidRPr="00594FAE">
        <w:t>/Å</w:t>
      </w:r>
      <w:r w:rsidRPr="00594FAE">
        <w:rPr>
          <w:vertAlign w:val="superscript"/>
        </w:rPr>
        <w:t>2</w:t>
      </w:r>
      <w:r w:rsidRPr="00594FAE">
        <w:t xml:space="preserve">, the </w:t>
      </w:r>
      <w:proofErr w:type="spellStart"/>
      <w:r w:rsidRPr="00594FAE">
        <w:rPr>
          <w:i/>
          <w:iCs/>
        </w:rPr>
        <w:t>pV</w:t>
      </w:r>
      <w:proofErr w:type="spellEnd"/>
      <w:r w:rsidRPr="00594FAE">
        <w:rPr>
          <w:i/>
          <w:iCs/>
        </w:rPr>
        <w:t xml:space="preserve"> </w:t>
      </w:r>
      <w:r w:rsidRPr="00594FAE">
        <w:t xml:space="preserve">term in </w:t>
      </w:r>
      <w:r w:rsidR="008333D5">
        <w:fldChar w:fldCharType="begin"/>
      </w:r>
      <w:r w:rsidR="008333D5">
        <w:instrText xml:space="preserve"> REF _Ref159506149 \h </w:instrText>
      </w:r>
      <w:r w:rsidR="008333D5">
        <w:fldChar w:fldCharType="separate"/>
      </w:r>
      <w:r w:rsidR="00536CF0" w:rsidRPr="00DE0988">
        <w:rPr>
          <w:sz w:val="20"/>
          <w:szCs w:val="20"/>
        </w:rPr>
        <w:t xml:space="preserve">Equation </w:t>
      </w:r>
      <w:r w:rsidR="00536CF0">
        <w:rPr>
          <w:noProof/>
          <w:sz w:val="20"/>
          <w:szCs w:val="20"/>
        </w:rPr>
        <w:t>21</w:t>
      </w:r>
      <w:r w:rsidR="008333D5">
        <w:fldChar w:fldCharType="end"/>
      </w:r>
      <w:r w:rsidR="008333D5">
        <w:t xml:space="preserve"> </w:t>
      </w:r>
      <w:r w:rsidRPr="00594FAE">
        <w:t xml:space="preserve">can generally be neglected if the desired accuracy is on the 10-15 </w:t>
      </w:r>
      <w:proofErr w:type="spellStart"/>
      <w:r w:rsidRPr="00594FAE">
        <w:t>meV</w:t>
      </w:r>
      <w:proofErr w:type="spellEnd"/>
      <w:r w:rsidRPr="00594FAE">
        <w:t>/Å</w:t>
      </w:r>
      <w:r w:rsidRPr="00594FAE">
        <w:rPr>
          <w:vertAlign w:val="superscript"/>
        </w:rPr>
        <w:t>2</w:t>
      </w:r>
      <w:r w:rsidRPr="00594FAE">
        <w:t xml:space="preserve">. The Helmholtz free energy in </w:t>
      </w:r>
      <w:r w:rsidR="008333D5">
        <w:fldChar w:fldCharType="begin"/>
      </w:r>
      <w:r w:rsidR="008333D5">
        <w:instrText xml:space="preserve"> REF _Ref159506149 \h </w:instrText>
      </w:r>
      <w:r w:rsidR="008333D5">
        <w:fldChar w:fldCharType="separate"/>
      </w:r>
      <w:r w:rsidR="00536CF0" w:rsidRPr="00DE0988">
        <w:rPr>
          <w:sz w:val="20"/>
          <w:szCs w:val="20"/>
        </w:rPr>
        <w:t xml:space="preserve">Equation </w:t>
      </w:r>
      <w:r w:rsidR="00536CF0">
        <w:rPr>
          <w:noProof/>
          <w:sz w:val="20"/>
          <w:szCs w:val="20"/>
        </w:rPr>
        <w:t>21</w:t>
      </w:r>
      <w:r w:rsidR="008333D5">
        <w:fldChar w:fldCharType="end"/>
      </w:r>
      <w:r w:rsidR="008333D5">
        <w:t xml:space="preserve"> </w:t>
      </w:r>
      <w:r w:rsidRPr="00594FAE">
        <w:t>can be written as: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7"/>
        <w:gridCol w:w="6133"/>
        <w:gridCol w:w="2076"/>
      </w:tblGrid>
      <w:tr w:rsidR="008333D5" w:rsidRPr="00DE0988" w14:paraId="3DB624BC" w14:textId="77777777" w:rsidTr="00ED1E49">
        <w:tc>
          <w:tcPr>
            <w:tcW w:w="845" w:type="dxa"/>
            <w:vAlign w:val="center"/>
          </w:tcPr>
          <w:p w14:paraId="582D78F2" w14:textId="77777777" w:rsidR="008333D5" w:rsidRPr="00DE0988" w:rsidRDefault="008333D5" w:rsidP="00E45E28">
            <w:pPr>
              <w:rPr>
                <w:bCs/>
                <w:sz w:val="20"/>
                <w:szCs w:val="20"/>
              </w:rPr>
            </w:pPr>
          </w:p>
        </w:tc>
        <w:tc>
          <w:tcPr>
            <w:tcW w:w="6385" w:type="dxa"/>
            <w:vAlign w:val="center"/>
          </w:tcPr>
          <w:p w14:paraId="0C85EB9C" w14:textId="77777777" w:rsidR="008333D5" w:rsidRPr="00594FAE" w:rsidRDefault="008333D5" w:rsidP="008333D5">
            <w:pPr>
              <w:widowControl w:val="0"/>
              <w:autoSpaceDE w:val="0"/>
              <w:autoSpaceDN w:val="0"/>
              <w:adjustRightInd w:val="0"/>
              <w:rPr>
                <w:sz w:val="20"/>
                <w:szCs w:val="20"/>
              </w:rPr>
            </w:pPr>
            <w:proofErr w:type="gramStart"/>
            <w:r w:rsidRPr="00594FAE">
              <w:rPr>
                <w:i/>
                <w:iCs/>
                <w:sz w:val="20"/>
                <w:szCs w:val="20"/>
              </w:rPr>
              <w:t>F</w:t>
            </w:r>
            <w:r w:rsidRPr="00594FAE">
              <w:rPr>
                <w:sz w:val="20"/>
                <w:szCs w:val="20"/>
              </w:rPr>
              <w:t>(</w:t>
            </w:r>
            <w:proofErr w:type="gramEnd"/>
            <w:r w:rsidRPr="00594FAE">
              <w:rPr>
                <w:i/>
                <w:iCs/>
                <w:sz w:val="20"/>
                <w:szCs w:val="20"/>
              </w:rPr>
              <w:t>T</w:t>
            </w:r>
            <w:r w:rsidRPr="00594FAE">
              <w:rPr>
                <w:sz w:val="20"/>
                <w:szCs w:val="20"/>
              </w:rPr>
              <w:t xml:space="preserve">, </w:t>
            </w:r>
            <w:r w:rsidRPr="00594FAE">
              <w:rPr>
                <w:i/>
                <w:iCs/>
                <w:sz w:val="20"/>
                <w:szCs w:val="20"/>
              </w:rPr>
              <w:t xml:space="preserve">V , </w:t>
            </w:r>
            <w:proofErr w:type="spellStart"/>
            <w:r w:rsidRPr="00594FAE">
              <w:rPr>
                <w:i/>
                <w:iCs/>
                <w:sz w:val="20"/>
                <w:szCs w:val="20"/>
              </w:rPr>
              <w:t>N</w:t>
            </w:r>
            <w:r w:rsidRPr="00594FAE">
              <w:rPr>
                <w:sz w:val="20"/>
                <w:szCs w:val="20"/>
                <w:vertAlign w:val="subscript"/>
              </w:rPr>
              <w:t>Ru</w:t>
            </w:r>
            <w:proofErr w:type="spellEnd"/>
            <w:r w:rsidRPr="00594FAE">
              <w:rPr>
                <w:i/>
                <w:iCs/>
                <w:sz w:val="20"/>
                <w:szCs w:val="20"/>
              </w:rPr>
              <w:t>, N</w:t>
            </w:r>
            <w:r w:rsidRPr="00594FAE">
              <w:rPr>
                <w:sz w:val="20"/>
                <w:szCs w:val="20"/>
                <w:vertAlign w:val="subscript"/>
              </w:rPr>
              <w:t>O</w:t>
            </w:r>
            <w:r w:rsidRPr="00594FAE">
              <w:rPr>
                <w:sz w:val="20"/>
                <w:szCs w:val="20"/>
              </w:rPr>
              <w:t>) =</w:t>
            </w:r>
            <w:r w:rsidRPr="00594FAE">
              <w:rPr>
                <w:i/>
                <w:iCs/>
                <w:sz w:val="20"/>
                <w:szCs w:val="20"/>
              </w:rPr>
              <w:t xml:space="preserve"> </w:t>
            </w:r>
            <w:proofErr w:type="spellStart"/>
            <w:r w:rsidRPr="00594FAE">
              <w:rPr>
                <w:i/>
                <w:iCs/>
                <w:sz w:val="20"/>
                <w:szCs w:val="20"/>
              </w:rPr>
              <w:t>E</w:t>
            </w:r>
            <w:r w:rsidRPr="00594FAE">
              <w:rPr>
                <w:sz w:val="20"/>
                <w:szCs w:val="20"/>
                <w:vertAlign w:val="subscript"/>
              </w:rPr>
              <w:t>total</w:t>
            </w:r>
            <w:proofErr w:type="spellEnd"/>
            <w:r w:rsidRPr="00594FAE">
              <w:rPr>
                <w:sz w:val="20"/>
                <w:szCs w:val="20"/>
              </w:rPr>
              <w:t>(</w:t>
            </w:r>
            <w:r w:rsidRPr="00594FAE">
              <w:rPr>
                <w:i/>
                <w:iCs/>
                <w:sz w:val="20"/>
                <w:szCs w:val="20"/>
              </w:rPr>
              <w:t>V</w:t>
            </w:r>
            <w:r w:rsidRPr="00594FAE">
              <w:rPr>
                <w:sz w:val="20"/>
                <w:szCs w:val="20"/>
              </w:rPr>
              <w:t xml:space="preserve">, </w:t>
            </w:r>
            <w:proofErr w:type="spellStart"/>
            <w:r w:rsidRPr="00594FAE">
              <w:rPr>
                <w:i/>
                <w:iCs/>
                <w:sz w:val="20"/>
                <w:szCs w:val="20"/>
              </w:rPr>
              <w:t>N</w:t>
            </w:r>
            <w:r w:rsidRPr="00594FAE">
              <w:rPr>
                <w:sz w:val="20"/>
                <w:szCs w:val="20"/>
                <w:vertAlign w:val="subscript"/>
              </w:rPr>
              <w:t>Ru</w:t>
            </w:r>
            <w:proofErr w:type="spellEnd"/>
            <w:r w:rsidRPr="00594FAE">
              <w:rPr>
                <w:i/>
                <w:iCs/>
                <w:sz w:val="20"/>
                <w:szCs w:val="20"/>
              </w:rPr>
              <w:t>, N</w:t>
            </w:r>
            <w:r w:rsidRPr="00594FAE">
              <w:rPr>
                <w:sz w:val="20"/>
                <w:szCs w:val="20"/>
                <w:vertAlign w:val="subscript"/>
              </w:rPr>
              <w:t>O</w:t>
            </w:r>
            <w:r w:rsidRPr="00594FAE">
              <w:rPr>
                <w:sz w:val="20"/>
                <w:szCs w:val="20"/>
              </w:rPr>
              <w:t>) +</w:t>
            </w:r>
            <w:r w:rsidRPr="00594FAE">
              <w:rPr>
                <w:i/>
                <w:iCs/>
                <w:sz w:val="20"/>
                <w:szCs w:val="20"/>
              </w:rPr>
              <w:t xml:space="preserve"> </w:t>
            </w:r>
            <w:proofErr w:type="spellStart"/>
            <w:r w:rsidRPr="00594FAE">
              <w:rPr>
                <w:i/>
                <w:iCs/>
                <w:sz w:val="20"/>
                <w:szCs w:val="20"/>
              </w:rPr>
              <w:t>F</w:t>
            </w:r>
            <w:r w:rsidRPr="00594FAE">
              <w:rPr>
                <w:sz w:val="20"/>
                <w:szCs w:val="20"/>
                <w:vertAlign w:val="subscript"/>
              </w:rPr>
              <w:t>vib</w:t>
            </w:r>
            <w:proofErr w:type="spellEnd"/>
            <w:r w:rsidRPr="00594FAE">
              <w:rPr>
                <w:sz w:val="20"/>
                <w:szCs w:val="20"/>
              </w:rPr>
              <w:t>(</w:t>
            </w:r>
            <w:r w:rsidRPr="00594FAE">
              <w:rPr>
                <w:i/>
                <w:iCs/>
                <w:sz w:val="20"/>
                <w:szCs w:val="20"/>
              </w:rPr>
              <w:t>T</w:t>
            </w:r>
            <w:r w:rsidRPr="00594FAE">
              <w:rPr>
                <w:sz w:val="20"/>
                <w:szCs w:val="20"/>
              </w:rPr>
              <w:t xml:space="preserve">, </w:t>
            </w:r>
            <w:r w:rsidRPr="00594FAE">
              <w:rPr>
                <w:i/>
                <w:iCs/>
                <w:sz w:val="20"/>
                <w:szCs w:val="20"/>
              </w:rPr>
              <w:t xml:space="preserve">V, </w:t>
            </w:r>
            <w:proofErr w:type="spellStart"/>
            <w:r w:rsidRPr="00594FAE">
              <w:rPr>
                <w:i/>
                <w:iCs/>
                <w:sz w:val="20"/>
                <w:szCs w:val="20"/>
              </w:rPr>
              <w:t>N</w:t>
            </w:r>
            <w:r w:rsidRPr="00594FAE">
              <w:rPr>
                <w:sz w:val="20"/>
                <w:szCs w:val="20"/>
                <w:vertAlign w:val="subscript"/>
              </w:rPr>
              <w:t>Ru</w:t>
            </w:r>
            <w:proofErr w:type="spellEnd"/>
            <w:r w:rsidRPr="00594FAE">
              <w:rPr>
                <w:i/>
                <w:iCs/>
                <w:sz w:val="20"/>
                <w:szCs w:val="20"/>
              </w:rPr>
              <w:t>, N</w:t>
            </w:r>
            <w:r w:rsidRPr="00594FAE">
              <w:rPr>
                <w:sz w:val="20"/>
                <w:szCs w:val="20"/>
                <w:vertAlign w:val="subscript"/>
              </w:rPr>
              <w:t>O</w:t>
            </w:r>
            <w:r w:rsidRPr="00594FAE">
              <w:rPr>
                <w:sz w:val="20"/>
                <w:szCs w:val="20"/>
              </w:rPr>
              <w:t xml:space="preserve">) </w:t>
            </w:r>
          </w:p>
          <w:p w14:paraId="6385CCD4" w14:textId="08AC6DC2" w:rsidR="008333D5" w:rsidRPr="00DE0988" w:rsidRDefault="008333D5" w:rsidP="008333D5">
            <w:pPr>
              <w:spacing w:before="60" w:after="60"/>
              <w:rPr>
                <w:bCs/>
                <w:sz w:val="20"/>
                <w:szCs w:val="20"/>
              </w:rPr>
            </w:pPr>
            <w:r w:rsidRPr="00594FAE">
              <w:rPr>
                <w:sz w:val="20"/>
                <w:szCs w:val="20"/>
              </w:rPr>
              <w:t xml:space="preserve"> = </w:t>
            </w:r>
            <w:proofErr w:type="spellStart"/>
            <w:proofErr w:type="gramStart"/>
            <w:r w:rsidRPr="00594FAE">
              <w:rPr>
                <w:i/>
                <w:iCs/>
                <w:sz w:val="20"/>
                <w:szCs w:val="20"/>
              </w:rPr>
              <w:t>E</w:t>
            </w:r>
            <w:r w:rsidRPr="00594FAE">
              <w:rPr>
                <w:sz w:val="20"/>
                <w:szCs w:val="20"/>
                <w:vertAlign w:val="subscript"/>
              </w:rPr>
              <w:t>total</w:t>
            </w:r>
            <w:proofErr w:type="spellEnd"/>
            <w:r w:rsidRPr="00594FAE">
              <w:rPr>
                <w:sz w:val="20"/>
                <w:szCs w:val="20"/>
              </w:rPr>
              <w:t>(</w:t>
            </w:r>
            <w:proofErr w:type="gramEnd"/>
            <w:r w:rsidRPr="00594FAE">
              <w:rPr>
                <w:i/>
                <w:iCs/>
                <w:sz w:val="20"/>
                <w:szCs w:val="20"/>
              </w:rPr>
              <w:t>V</w:t>
            </w:r>
            <w:r w:rsidRPr="00594FAE">
              <w:rPr>
                <w:sz w:val="20"/>
                <w:szCs w:val="20"/>
              </w:rPr>
              <w:t xml:space="preserve">, </w:t>
            </w:r>
            <w:proofErr w:type="spellStart"/>
            <w:r w:rsidRPr="00594FAE">
              <w:rPr>
                <w:i/>
                <w:iCs/>
                <w:sz w:val="20"/>
                <w:szCs w:val="20"/>
              </w:rPr>
              <w:t>N</w:t>
            </w:r>
            <w:r w:rsidRPr="00594FAE">
              <w:rPr>
                <w:sz w:val="20"/>
                <w:szCs w:val="20"/>
                <w:vertAlign w:val="subscript"/>
              </w:rPr>
              <w:t>Ru</w:t>
            </w:r>
            <w:proofErr w:type="spellEnd"/>
            <w:r w:rsidRPr="00594FAE">
              <w:rPr>
                <w:i/>
                <w:iCs/>
                <w:sz w:val="20"/>
                <w:szCs w:val="20"/>
              </w:rPr>
              <w:t>, N</w:t>
            </w:r>
            <w:r w:rsidRPr="00594FAE">
              <w:rPr>
                <w:sz w:val="20"/>
                <w:szCs w:val="20"/>
                <w:vertAlign w:val="subscript"/>
              </w:rPr>
              <w:t>O</w:t>
            </w:r>
            <w:r w:rsidRPr="00594FAE">
              <w:rPr>
                <w:sz w:val="20"/>
                <w:szCs w:val="20"/>
              </w:rPr>
              <w:t xml:space="preserve">) + </w:t>
            </w:r>
            <w:proofErr w:type="spellStart"/>
            <w:r w:rsidRPr="00594FAE">
              <w:rPr>
                <w:i/>
                <w:iCs/>
                <w:sz w:val="20"/>
                <w:szCs w:val="20"/>
              </w:rPr>
              <w:t>E</w:t>
            </w:r>
            <w:r w:rsidRPr="00594FAE">
              <w:rPr>
                <w:sz w:val="20"/>
                <w:szCs w:val="20"/>
                <w:vertAlign w:val="subscript"/>
              </w:rPr>
              <w:t>vib</w:t>
            </w:r>
            <w:proofErr w:type="spellEnd"/>
            <w:r w:rsidRPr="00594FAE">
              <w:rPr>
                <w:sz w:val="20"/>
                <w:szCs w:val="20"/>
              </w:rPr>
              <w:t>(</w:t>
            </w:r>
            <w:r w:rsidRPr="00594FAE">
              <w:rPr>
                <w:i/>
                <w:iCs/>
                <w:sz w:val="20"/>
                <w:szCs w:val="20"/>
              </w:rPr>
              <w:t>T</w:t>
            </w:r>
            <w:r w:rsidRPr="00594FAE">
              <w:rPr>
                <w:sz w:val="20"/>
                <w:szCs w:val="20"/>
              </w:rPr>
              <w:t xml:space="preserve">, </w:t>
            </w:r>
            <w:r w:rsidRPr="00594FAE">
              <w:rPr>
                <w:i/>
                <w:iCs/>
                <w:sz w:val="20"/>
                <w:szCs w:val="20"/>
              </w:rPr>
              <w:t xml:space="preserve">V, </w:t>
            </w:r>
            <w:proofErr w:type="spellStart"/>
            <w:r w:rsidRPr="00594FAE">
              <w:rPr>
                <w:i/>
                <w:iCs/>
                <w:sz w:val="20"/>
                <w:szCs w:val="20"/>
              </w:rPr>
              <w:t>N</w:t>
            </w:r>
            <w:r w:rsidRPr="00594FAE">
              <w:rPr>
                <w:sz w:val="20"/>
                <w:szCs w:val="20"/>
                <w:vertAlign w:val="subscript"/>
              </w:rPr>
              <w:t>Ru</w:t>
            </w:r>
            <w:proofErr w:type="spellEnd"/>
            <w:r w:rsidRPr="00594FAE">
              <w:rPr>
                <w:sz w:val="20"/>
                <w:szCs w:val="20"/>
                <w:vertAlign w:val="subscript"/>
              </w:rPr>
              <w:t xml:space="preserve"> </w:t>
            </w:r>
            <w:r w:rsidRPr="00594FAE">
              <w:rPr>
                <w:i/>
                <w:iCs/>
                <w:sz w:val="20"/>
                <w:szCs w:val="20"/>
              </w:rPr>
              <w:t>,N</w:t>
            </w:r>
            <w:r w:rsidRPr="00594FAE">
              <w:rPr>
                <w:sz w:val="20"/>
                <w:szCs w:val="20"/>
                <w:vertAlign w:val="subscript"/>
              </w:rPr>
              <w:t>O</w:t>
            </w:r>
            <w:r w:rsidRPr="00594FAE">
              <w:rPr>
                <w:sz w:val="20"/>
                <w:szCs w:val="20"/>
              </w:rPr>
              <w:t>) –</w:t>
            </w:r>
            <w:r w:rsidRPr="00594FAE">
              <w:rPr>
                <w:i/>
                <w:iCs/>
                <w:sz w:val="20"/>
                <w:szCs w:val="20"/>
              </w:rPr>
              <w:t xml:space="preserve"> </w:t>
            </w:r>
            <w:proofErr w:type="spellStart"/>
            <w:r w:rsidRPr="00594FAE">
              <w:rPr>
                <w:i/>
                <w:iCs/>
                <w:sz w:val="20"/>
                <w:szCs w:val="20"/>
              </w:rPr>
              <w:t>TS</w:t>
            </w:r>
            <w:r w:rsidRPr="00594FAE">
              <w:rPr>
                <w:sz w:val="20"/>
                <w:szCs w:val="20"/>
                <w:vertAlign w:val="subscript"/>
              </w:rPr>
              <w:t>vib</w:t>
            </w:r>
            <w:proofErr w:type="spellEnd"/>
            <w:r w:rsidRPr="00594FAE">
              <w:rPr>
                <w:sz w:val="20"/>
                <w:szCs w:val="20"/>
              </w:rPr>
              <w:t>(</w:t>
            </w:r>
            <w:r w:rsidRPr="00594FAE">
              <w:rPr>
                <w:i/>
                <w:iCs/>
                <w:sz w:val="20"/>
                <w:szCs w:val="20"/>
              </w:rPr>
              <w:t>T</w:t>
            </w:r>
            <w:r w:rsidRPr="00594FAE">
              <w:rPr>
                <w:sz w:val="20"/>
                <w:szCs w:val="20"/>
              </w:rPr>
              <w:t xml:space="preserve">, </w:t>
            </w:r>
            <w:r w:rsidRPr="00594FAE">
              <w:rPr>
                <w:i/>
                <w:iCs/>
                <w:sz w:val="20"/>
                <w:szCs w:val="20"/>
              </w:rPr>
              <w:t xml:space="preserve">V, </w:t>
            </w:r>
            <w:proofErr w:type="spellStart"/>
            <w:r w:rsidRPr="00594FAE">
              <w:rPr>
                <w:i/>
                <w:iCs/>
                <w:sz w:val="20"/>
                <w:szCs w:val="20"/>
              </w:rPr>
              <w:t>N</w:t>
            </w:r>
            <w:r w:rsidRPr="00594FAE">
              <w:rPr>
                <w:sz w:val="20"/>
                <w:szCs w:val="20"/>
                <w:vertAlign w:val="subscript"/>
              </w:rPr>
              <w:t>Ru</w:t>
            </w:r>
            <w:proofErr w:type="spellEnd"/>
            <w:r w:rsidRPr="00594FAE">
              <w:rPr>
                <w:i/>
                <w:iCs/>
                <w:sz w:val="20"/>
                <w:szCs w:val="20"/>
              </w:rPr>
              <w:t>, N</w:t>
            </w:r>
            <w:r w:rsidRPr="00594FAE">
              <w:rPr>
                <w:sz w:val="20"/>
                <w:szCs w:val="20"/>
                <w:vertAlign w:val="subscript"/>
              </w:rPr>
              <w:t>O</w:t>
            </w:r>
            <w:r w:rsidRPr="00594FAE">
              <w:rPr>
                <w:sz w:val="20"/>
                <w:szCs w:val="20"/>
              </w:rPr>
              <w:t>)</w:t>
            </w:r>
          </w:p>
        </w:tc>
        <w:tc>
          <w:tcPr>
            <w:tcW w:w="2130" w:type="dxa"/>
            <w:vAlign w:val="center"/>
          </w:tcPr>
          <w:p w14:paraId="1F0FD6F5" w14:textId="241B0133" w:rsidR="008333D5" w:rsidRPr="00DE0988" w:rsidRDefault="008333D5" w:rsidP="00E45E28">
            <w:pPr>
              <w:keepNext/>
              <w:jc w:val="right"/>
              <w:rPr>
                <w:bCs/>
                <w:sz w:val="20"/>
                <w:szCs w:val="20"/>
              </w:rPr>
            </w:pPr>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536CF0">
              <w:rPr>
                <w:noProof/>
                <w:sz w:val="20"/>
                <w:szCs w:val="20"/>
              </w:rPr>
              <w:t>22</w:t>
            </w:r>
            <w:r w:rsidRPr="00DE0988">
              <w:rPr>
                <w:sz w:val="20"/>
                <w:szCs w:val="20"/>
              </w:rPr>
              <w:fldChar w:fldCharType="end"/>
            </w:r>
          </w:p>
        </w:tc>
      </w:tr>
    </w:tbl>
    <w:p w14:paraId="0D71E880" w14:textId="39A15E41" w:rsidR="00594FAE" w:rsidRDefault="00594FAE" w:rsidP="00594FAE">
      <w:pPr>
        <w:widowControl w:val="0"/>
        <w:autoSpaceDE w:val="0"/>
        <w:autoSpaceDN w:val="0"/>
        <w:adjustRightInd w:val="0"/>
      </w:pPr>
      <w:r w:rsidRPr="00594FAE">
        <w:t xml:space="preserve">where </w:t>
      </w:r>
      <w:proofErr w:type="spellStart"/>
      <w:proofErr w:type="gramStart"/>
      <w:r w:rsidRPr="00594FAE">
        <w:rPr>
          <w:i/>
          <w:iCs/>
        </w:rPr>
        <w:t>E</w:t>
      </w:r>
      <w:r w:rsidRPr="00594FAE">
        <w:rPr>
          <w:vertAlign w:val="subscript"/>
        </w:rPr>
        <w:t>vib</w:t>
      </w:r>
      <w:proofErr w:type="spellEnd"/>
      <w:r w:rsidRPr="00594FAE">
        <w:t>(</w:t>
      </w:r>
      <w:proofErr w:type="gramEnd"/>
      <w:r w:rsidRPr="00594FAE">
        <w:rPr>
          <w:i/>
          <w:iCs/>
        </w:rPr>
        <w:t>T</w:t>
      </w:r>
      <w:r w:rsidRPr="00594FAE">
        <w:t xml:space="preserve">, </w:t>
      </w:r>
      <w:r w:rsidRPr="00594FAE">
        <w:rPr>
          <w:i/>
          <w:iCs/>
        </w:rPr>
        <w:t xml:space="preserve">V, </w:t>
      </w:r>
      <w:proofErr w:type="spellStart"/>
      <w:r w:rsidRPr="00594FAE">
        <w:rPr>
          <w:i/>
          <w:iCs/>
        </w:rPr>
        <w:t>N</w:t>
      </w:r>
      <w:r w:rsidRPr="00594FAE">
        <w:rPr>
          <w:vertAlign w:val="subscript"/>
        </w:rPr>
        <w:t>Ru</w:t>
      </w:r>
      <w:proofErr w:type="spellEnd"/>
      <w:r w:rsidRPr="00594FAE">
        <w:rPr>
          <w:vertAlign w:val="subscript"/>
        </w:rPr>
        <w:t xml:space="preserve"> </w:t>
      </w:r>
      <w:r w:rsidRPr="00594FAE">
        <w:rPr>
          <w:i/>
          <w:iCs/>
        </w:rPr>
        <w:t>,N</w:t>
      </w:r>
      <w:r w:rsidRPr="00594FAE">
        <w:rPr>
          <w:vertAlign w:val="subscript"/>
        </w:rPr>
        <w:t>O</w:t>
      </w:r>
      <w:r w:rsidRPr="00594FAE">
        <w:t xml:space="preserve">) is the zero-point energy and </w:t>
      </w:r>
      <w:proofErr w:type="spellStart"/>
      <w:r w:rsidRPr="00594FAE">
        <w:rPr>
          <w:i/>
          <w:iCs/>
        </w:rPr>
        <w:t>TS</w:t>
      </w:r>
      <w:r w:rsidRPr="00594FAE">
        <w:rPr>
          <w:vertAlign w:val="subscript"/>
        </w:rPr>
        <w:t>vib</w:t>
      </w:r>
      <w:proofErr w:type="spellEnd"/>
      <w:r w:rsidRPr="00594FAE">
        <w:t>(</w:t>
      </w:r>
      <w:r w:rsidRPr="00594FAE">
        <w:rPr>
          <w:i/>
          <w:iCs/>
        </w:rPr>
        <w:t>T</w:t>
      </w:r>
      <w:r w:rsidRPr="00594FAE">
        <w:t xml:space="preserve">, </w:t>
      </w:r>
      <w:r w:rsidRPr="00594FAE">
        <w:rPr>
          <w:i/>
          <w:iCs/>
        </w:rPr>
        <w:t xml:space="preserve">V, </w:t>
      </w:r>
      <w:proofErr w:type="spellStart"/>
      <w:r w:rsidRPr="00594FAE">
        <w:rPr>
          <w:i/>
          <w:iCs/>
        </w:rPr>
        <w:t>N</w:t>
      </w:r>
      <w:r w:rsidRPr="00594FAE">
        <w:rPr>
          <w:vertAlign w:val="subscript"/>
        </w:rPr>
        <w:t>Ru</w:t>
      </w:r>
      <w:proofErr w:type="spellEnd"/>
      <w:r w:rsidRPr="00594FAE">
        <w:rPr>
          <w:i/>
          <w:iCs/>
        </w:rPr>
        <w:t>, N</w:t>
      </w:r>
      <w:r w:rsidRPr="00594FAE">
        <w:rPr>
          <w:vertAlign w:val="subscript"/>
        </w:rPr>
        <w:t>O</w:t>
      </w:r>
      <w:r w:rsidRPr="00594FAE">
        <w:t xml:space="preserve">) the non-zero temperature vibrational free energy contribution to </w:t>
      </w:r>
      <w:r w:rsidRPr="00594FAE">
        <w:rPr>
          <w:i/>
          <w:iCs/>
        </w:rPr>
        <w:t>F</w:t>
      </w:r>
      <w:r w:rsidRPr="00594FAE">
        <w:t>(</w:t>
      </w:r>
      <w:r w:rsidRPr="00594FAE">
        <w:rPr>
          <w:i/>
          <w:iCs/>
        </w:rPr>
        <w:t>T</w:t>
      </w:r>
      <w:r w:rsidRPr="00594FAE">
        <w:t xml:space="preserve">, </w:t>
      </w:r>
      <w:r w:rsidRPr="00594FAE">
        <w:rPr>
          <w:i/>
          <w:iCs/>
        </w:rPr>
        <w:t xml:space="preserve">V , </w:t>
      </w:r>
      <w:proofErr w:type="spellStart"/>
      <w:r w:rsidRPr="00594FAE">
        <w:rPr>
          <w:i/>
          <w:iCs/>
        </w:rPr>
        <w:t>N</w:t>
      </w:r>
      <w:r w:rsidRPr="00594FAE">
        <w:rPr>
          <w:vertAlign w:val="subscript"/>
        </w:rPr>
        <w:t>Ru</w:t>
      </w:r>
      <w:proofErr w:type="spellEnd"/>
      <w:r w:rsidRPr="00594FAE">
        <w:rPr>
          <w:i/>
          <w:iCs/>
        </w:rPr>
        <w:t>, N</w:t>
      </w:r>
      <w:r w:rsidRPr="00594FAE">
        <w:rPr>
          <w:vertAlign w:val="subscript"/>
        </w:rPr>
        <w:t>O</w:t>
      </w:r>
      <w:r w:rsidRPr="00594FAE">
        <w:t>). Reuter and Scheffler showed these vibrational contributions can be ignored in RuO</w:t>
      </w:r>
      <w:r w:rsidRPr="00594FAE">
        <w:rPr>
          <w:vertAlign w:val="subscript"/>
        </w:rPr>
        <w:t>2</w:t>
      </w:r>
      <w:r w:rsidRPr="00594FAE">
        <w:t>, which allows the surface free energy to be written as: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DE0988" w:rsidRPr="00DE0988" w14:paraId="714F4D79" w14:textId="77777777" w:rsidTr="00DE0988">
        <w:tc>
          <w:tcPr>
            <w:tcW w:w="7938" w:type="dxa"/>
            <w:tcMar>
              <w:left w:w="28" w:type="dxa"/>
              <w:right w:w="28" w:type="dxa"/>
            </w:tcMar>
            <w:vAlign w:val="center"/>
          </w:tcPr>
          <w:p w14:paraId="7DE1E6C2" w14:textId="53F44FD8" w:rsidR="00DE0988" w:rsidRPr="00DE0988" w:rsidRDefault="00DE0988" w:rsidP="00E45E28">
            <w:pPr>
              <w:spacing w:before="60" w:after="60"/>
              <w:rPr>
                <w:bCs/>
                <w:sz w:val="20"/>
                <w:szCs w:val="20"/>
              </w:rPr>
            </w:pPr>
            <m:oMathPara>
              <m:oMath>
                <m:r>
                  <w:rPr>
                    <w:rFonts w:ascii="Cambria Math" w:hAnsi="Cambria Math"/>
                    <w:sz w:val="20"/>
                    <w:szCs w:val="20"/>
                  </w:rPr>
                  <m:t>γ</m:t>
                </m:r>
                <m:d>
                  <m:dPr>
                    <m:ctrlPr>
                      <w:rPr>
                        <w:rFonts w:ascii="Cambria Math" w:hAnsi="Cambria Math"/>
                        <w:i/>
                        <w:iCs/>
                        <w:sz w:val="20"/>
                        <w:szCs w:val="20"/>
                      </w:rPr>
                    </m:ctrlPr>
                  </m:dPr>
                  <m:e>
                    <m:r>
                      <w:rPr>
                        <w:rFonts w:ascii="Cambria Math" w:hAnsi="Cambria Math"/>
                        <w:sz w:val="20"/>
                        <w:szCs w:val="20"/>
                      </w:rPr>
                      <m:t>T, p</m:t>
                    </m:r>
                  </m:e>
                </m:d>
                <m:r>
                  <w:rPr>
                    <w:rFonts w:ascii="Cambria Math" w:hAnsi="Cambria Math"/>
                    <w:sz w:val="20"/>
                    <w:szCs w:val="20"/>
                  </w:rPr>
                  <m:t>=</m:t>
                </m:r>
                <m:f>
                  <m:fPr>
                    <m:ctrlPr>
                      <w:rPr>
                        <w:rFonts w:ascii="Cambria Math" w:hAnsi="Cambria Math"/>
                        <w:i/>
                        <w:iCs/>
                        <w:sz w:val="20"/>
                        <w:szCs w:val="20"/>
                      </w:rPr>
                    </m:ctrlPr>
                  </m:fPr>
                  <m:num>
                    <m:r>
                      <w:rPr>
                        <w:rFonts w:ascii="Cambria Math" w:hAnsi="Cambria Math"/>
                        <w:sz w:val="20"/>
                        <w:szCs w:val="20"/>
                      </w:rPr>
                      <m:t>1</m:t>
                    </m:r>
                  </m:num>
                  <m:den>
                    <m:r>
                      <w:rPr>
                        <w:rFonts w:ascii="Cambria Math" w:hAnsi="Cambria Math"/>
                        <w:sz w:val="20"/>
                        <w:szCs w:val="20"/>
                      </w:rPr>
                      <m:t>2A</m:t>
                    </m:r>
                  </m:den>
                </m:f>
                <m:r>
                  <w:rPr>
                    <w:rFonts w:ascii="Cambria Math" w:hAnsi="Cambria Math"/>
                    <w:sz w:val="20"/>
                    <w:szCs w:val="20"/>
                  </w:rPr>
                  <m:t>∆G</m:t>
                </m:r>
                <m:r>
                  <m:rPr>
                    <m:sty m:val="p"/>
                  </m:rPr>
                  <w:rPr>
                    <w:rFonts w:ascii="Cambria Math" w:hAnsi="Cambria Math"/>
                    <w:sz w:val="20"/>
                    <w:szCs w:val="20"/>
                  </w:rPr>
                  <m:t>(</m:t>
                </m:r>
                <m:r>
                  <w:rPr>
                    <w:rFonts w:ascii="Cambria Math" w:hAnsi="Cambria Math"/>
                    <w:sz w:val="20"/>
                    <w:szCs w:val="20"/>
                  </w:rPr>
                  <m:t>T</m:t>
                </m:r>
                <m:r>
                  <m:rPr>
                    <m:sty m:val="p"/>
                  </m:rPr>
                  <w:rPr>
                    <w:rFonts w:ascii="Cambria Math" w:hAnsi="Cambria Math"/>
                    <w:sz w:val="20"/>
                    <w:szCs w:val="20"/>
                  </w:rPr>
                  <m:t xml:space="preserve">, </m:t>
                </m:r>
                <m:r>
                  <w:rPr>
                    <w:rFonts w:ascii="Cambria Math" w:hAnsi="Cambria Math"/>
                    <w:sz w:val="20"/>
                    <w:szCs w:val="20"/>
                  </w:rPr>
                  <m:t xml:space="preserve">p, </m:t>
                </m:r>
                <m:sSub>
                  <m:sSubPr>
                    <m:ctrlPr>
                      <w:rPr>
                        <w:rFonts w:ascii="Cambria Math" w:hAnsi="Cambria Math"/>
                        <w:i/>
                        <w:iCs/>
                        <w:sz w:val="20"/>
                        <w:szCs w:val="20"/>
                      </w:rPr>
                    </m:ctrlPr>
                  </m:sSubPr>
                  <m:e>
                    <m:r>
                      <w:rPr>
                        <w:rFonts w:ascii="Cambria Math" w:hAnsi="Cambria Math"/>
                        <w:sz w:val="20"/>
                        <w:szCs w:val="20"/>
                      </w:rPr>
                      <m:t>N</m:t>
                    </m:r>
                  </m:e>
                  <m:sub>
                    <m:r>
                      <m:rPr>
                        <m:sty m:val="p"/>
                      </m:rPr>
                      <w:rPr>
                        <w:rFonts w:ascii="Cambria Math" w:hAnsi="Cambria Math"/>
                        <w:sz w:val="20"/>
                        <w:szCs w:val="20"/>
                      </w:rPr>
                      <m:t>Ru</m:t>
                    </m:r>
                  </m:sub>
                </m:sSub>
                <m:r>
                  <w:rPr>
                    <w:rFonts w:ascii="Cambria Math" w:hAnsi="Cambria Math"/>
                    <w:sz w:val="20"/>
                    <w:szCs w:val="20"/>
                  </w:rPr>
                  <m:t xml:space="preserve">, </m:t>
                </m:r>
                <m:sSub>
                  <m:sSubPr>
                    <m:ctrlPr>
                      <w:rPr>
                        <w:rFonts w:ascii="Cambria Math" w:hAnsi="Cambria Math"/>
                        <w:i/>
                        <w:iCs/>
                        <w:sz w:val="20"/>
                        <w:szCs w:val="20"/>
                      </w:rPr>
                    </m:ctrlPr>
                  </m:sSubPr>
                  <m:e>
                    <m:r>
                      <w:rPr>
                        <w:rFonts w:ascii="Cambria Math" w:hAnsi="Cambria Math"/>
                        <w:sz w:val="20"/>
                        <w:szCs w:val="20"/>
                      </w:rPr>
                      <m:t>N</m:t>
                    </m:r>
                  </m:e>
                  <m:sub>
                    <m:r>
                      <m:rPr>
                        <m:sty m:val="p"/>
                      </m:rPr>
                      <w:rPr>
                        <w:rFonts w:ascii="Cambria Math" w:hAnsi="Cambria Math"/>
                        <w:sz w:val="20"/>
                        <w:szCs w:val="20"/>
                      </w:rPr>
                      <m:t>O</m:t>
                    </m:r>
                  </m:sub>
                </m:sSub>
                <m:r>
                  <m:rPr>
                    <m:sty m:val="p"/>
                  </m:rPr>
                  <w:rPr>
                    <w:rFonts w:ascii="Cambria Math" w:hAnsi="Cambria Math"/>
                    <w:sz w:val="20"/>
                    <w:szCs w:val="20"/>
                  </w:rPr>
                  <m:t>)</m:t>
                </m:r>
                <m:r>
                  <w:rPr>
                    <w:rFonts w:ascii="Cambria Math" w:hAnsi="Cambria Math"/>
                    <w:sz w:val="20"/>
                    <w:szCs w:val="20"/>
                  </w:rPr>
                  <m:t>≈</m:t>
                </m:r>
                <m:f>
                  <m:fPr>
                    <m:ctrlPr>
                      <w:rPr>
                        <w:rFonts w:ascii="Cambria Math" w:hAnsi="Cambria Math"/>
                        <w:i/>
                        <w:iCs/>
                        <w:sz w:val="20"/>
                        <w:szCs w:val="20"/>
                      </w:rPr>
                    </m:ctrlPr>
                  </m:fPr>
                  <m:num>
                    <m:r>
                      <w:rPr>
                        <w:rFonts w:ascii="Cambria Math" w:hAnsi="Cambria Math"/>
                        <w:sz w:val="20"/>
                        <w:szCs w:val="20"/>
                      </w:rPr>
                      <m:t>1</m:t>
                    </m:r>
                  </m:num>
                  <m:den>
                    <m:r>
                      <w:rPr>
                        <w:rFonts w:ascii="Cambria Math" w:hAnsi="Cambria Math"/>
                        <w:sz w:val="20"/>
                        <w:szCs w:val="20"/>
                      </w:rPr>
                      <m:t>2A</m:t>
                    </m:r>
                  </m:den>
                </m:f>
                <m:d>
                  <m:dPr>
                    <m:begChr m:val="["/>
                    <m:endChr m:val="]"/>
                    <m:ctrlPr>
                      <w:rPr>
                        <w:rFonts w:ascii="Cambria Math" w:hAnsi="Cambria Math"/>
                        <w:i/>
                        <w:iCs/>
                        <w:sz w:val="20"/>
                        <w:szCs w:val="20"/>
                      </w:rPr>
                    </m:ctrlPr>
                  </m:dPr>
                  <m:e>
                    <m:sSub>
                      <m:sSubPr>
                        <m:ctrlPr>
                          <w:rPr>
                            <w:rFonts w:ascii="Cambria Math" w:hAnsi="Cambria Math"/>
                            <w:i/>
                            <w:iCs/>
                            <w:sz w:val="20"/>
                            <w:szCs w:val="20"/>
                          </w:rPr>
                        </m:ctrlPr>
                      </m:sSubPr>
                      <m:e>
                        <m:r>
                          <w:rPr>
                            <w:rFonts w:ascii="Cambria Math" w:hAnsi="Cambria Math"/>
                            <w:sz w:val="20"/>
                            <w:szCs w:val="20"/>
                          </w:rPr>
                          <m:t>E</m:t>
                        </m:r>
                      </m:e>
                      <m:sub>
                        <m:r>
                          <m:rPr>
                            <m:sty m:val="p"/>
                          </m:rPr>
                          <w:rPr>
                            <w:rFonts w:ascii="Cambria Math" w:hAnsi="Cambria Math"/>
                            <w:sz w:val="20"/>
                            <w:szCs w:val="20"/>
                          </w:rPr>
                          <m:t>surface</m:t>
                        </m:r>
                      </m:sub>
                    </m:sSub>
                    <m:d>
                      <m:dPr>
                        <m:ctrlPr>
                          <w:rPr>
                            <w:rFonts w:ascii="Cambria Math" w:hAnsi="Cambria Math"/>
                            <w:i/>
                            <w:iCs/>
                            <w:sz w:val="20"/>
                            <w:szCs w:val="20"/>
                          </w:rPr>
                        </m:ctrlPr>
                      </m:dPr>
                      <m:e>
                        <m:r>
                          <w:rPr>
                            <w:rFonts w:ascii="Cambria Math" w:hAnsi="Cambria Math"/>
                            <w:sz w:val="20"/>
                            <w:szCs w:val="20"/>
                          </w:rPr>
                          <m:t xml:space="preserve">V, </m:t>
                        </m:r>
                        <m:sSub>
                          <m:sSubPr>
                            <m:ctrlPr>
                              <w:rPr>
                                <w:rFonts w:ascii="Cambria Math" w:hAnsi="Cambria Math"/>
                                <w:i/>
                                <w:iCs/>
                                <w:sz w:val="20"/>
                                <w:szCs w:val="20"/>
                              </w:rPr>
                            </m:ctrlPr>
                          </m:sSubPr>
                          <m:e>
                            <m:r>
                              <w:rPr>
                                <w:rFonts w:ascii="Cambria Math" w:hAnsi="Cambria Math"/>
                                <w:sz w:val="20"/>
                                <w:szCs w:val="20"/>
                              </w:rPr>
                              <m:t>N</m:t>
                            </m:r>
                          </m:e>
                          <m:sub>
                            <m:r>
                              <m:rPr>
                                <m:sty m:val="p"/>
                              </m:rPr>
                              <w:rPr>
                                <w:rFonts w:ascii="Cambria Math" w:hAnsi="Cambria Math"/>
                                <w:sz w:val="20"/>
                                <w:szCs w:val="20"/>
                              </w:rPr>
                              <m:t>Ru</m:t>
                            </m:r>
                          </m:sub>
                        </m:sSub>
                        <m:r>
                          <w:rPr>
                            <w:rFonts w:ascii="Cambria Math" w:hAnsi="Cambria Math"/>
                            <w:sz w:val="20"/>
                            <w:szCs w:val="20"/>
                          </w:rPr>
                          <m:t xml:space="preserve">, </m:t>
                        </m:r>
                        <m:sSub>
                          <m:sSubPr>
                            <m:ctrlPr>
                              <w:rPr>
                                <w:rFonts w:ascii="Cambria Math" w:hAnsi="Cambria Math"/>
                                <w:i/>
                                <w:iCs/>
                                <w:sz w:val="20"/>
                                <w:szCs w:val="20"/>
                              </w:rPr>
                            </m:ctrlPr>
                          </m:sSubPr>
                          <m:e>
                            <m:r>
                              <w:rPr>
                                <w:rFonts w:ascii="Cambria Math" w:hAnsi="Cambria Math"/>
                                <w:sz w:val="20"/>
                                <w:szCs w:val="20"/>
                              </w:rPr>
                              <m:t>N</m:t>
                            </m:r>
                          </m:e>
                          <m:sub>
                            <m:r>
                              <m:rPr>
                                <m:sty m:val="p"/>
                              </m:rPr>
                              <w:rPr>
                                <w:rFonts w:ascii="Cambria Math" w:hAnsi="Cambria Math"/>
                                <w:sz w:val="20"/>
                                <w:szCs w:val="20"/>
                              </w:rPr>
                              <m:t>O</m:t>
                            </m:r>
                          </m:sub>
                        </m:sSub>
                      </m:e>
                    </m:d>
                    <m:r>
                      <w:rPr>
                        <w:rFonts w:ascii="Cambria Math" w:hAnsi="Cambria Math"/>
                        <w:sz w:val="20"/>
                        <w:szCs w:val="20"/>
                      </w:rPr>
                      <m:t>-</m:t>
                    </m:r>
                    <m:f>
                      <m:fPr>
                        <m:ctrlPr>
                          <w:rPr>
                            <w:rFonts w:ascii="Cambria Math" w:hAnsi="Cambria Math"/>
                            <w:i/>
                            <w:iCs/>
                            <w:sz w:val="20"/>
                            <w:szCs w:val="20"/>
                          </w:rPr>
                        </m:ctrlPr>
                      </m:fPr>
                      <m:num>
                        <m:sSub>
                          <m:sSubPr>
                            <m:ctrlPr>
                              <w:rPr>
                                <w:rFonts w:ascii="Cambria Math" w:hAnsi="Cambria Math"/>
                                <w:i/>
                                <w:iCs/>
                                <w:sz w:val="20"/>
                                <w:szCs w:val="20"/>
                              </w:rPr>
                            </m:ctrlPr>
                          </m:sSubPr>
                          <m:e>
                            <m:r>
                              <w:rPr>
                                <w:rFonts w:ascii="Cambria Math" w:hAnsi="Cambria Math"/>
                                <w:sz w:val="20"/>
                                <w:szCs w:val="20"/>
                              </w:rPr>
                              <m:t>N</m:t>
                            </m:r>
                          </m:e>
                          <m:sub>
                            <m:r>
                              <m:rPr>
                                <m:sty m:val="p"/>
                              </m:rPr>
                              <w:rPr>
                                <w:rFonts w:ascii="Cambria Math" w:hAnsi="Cambria Math"/>
                                <w:sz w:val="20"/>
                                <w:szCs w:val="20"/>
                              </w:rPr>
                              <m:t>O</m:t>
                            </m:r>
                          </m:sub>
                        </m:sSub>
                      </m:num>
                      <m:den>
                        <m:r>
                          <w:rPr>
                            <w:rFonts w:ascii="Cambria Math" w:hAnsi="Cambria Math"/>
                            <w:sz w:val="20"/>
                            <w:szCs w:val="20"/>
                          </w:rPr>
                          <m:t>2</m:t>
                        </m:r>
                      </m:den>
                    </m:f>
                    <m:sSub>
                      <m:sSubPr>
                        <m:ctrlPr>
                          <w:rPr>
                            <w:rFonts w:ascii="Cambria Math" w:hAnsi="Cambria Math"/>
                            <w:i/>
                            <w:iCs/>
                            <w:sz w:val="20"/>
                            <w:szCs w:val="20"/>
                          </w:rPr>
                        </m:ctrlPr>
                      </m:sSubPr>
                      <m:e>
                        <m:r>
                          <w:rPr>
                            <w:rFonts w:ascii="Cambria Math" w:hAnsi="Cambria Math"/>
                            <w:sz w:val="20"/>
                            <w:szCs w:val="20"/>
                          </w:rPr>
                          <m:t>μ</m:t>
                        </m:r>
                      </m:e>
                      <m:sub>
                        <m:r>
                          <m:rPr>
                            <m:sty m:val="p"/>
                          </m:rPr>
                          <w:rPr>
                            <w:rFonts w:ascii="Cambria Math" w:hAnsi="Cambria Math"/>
                            <w:sz w:val="20"/>
                            <w:szCs w:val="20"/>
                          </w:rPr>
                          <m:t>O2</m:t>
                        </m:r>
                      </m:sub>
                    </m:sSub>
                    <m:d>
                      <m:dPr>
                        <m:ctrlPr>
                          <w:rPr>
                            <w:rFonts w:ascii="Cambria Math" w:hAnsi="Cambria Math"/>
                            <w:i/>
                            <w:iCs/>
                            <w:sz w:val="20"/>
                            <w:szCs w:val="20"/>
                          </w:rPr>
                        </m:ctrlPr>
                      </m:dPr>
                      <m:e>
                        <m:r>
                          <w:rPr>
                            <w:rFonts w:ascii="Cambria Math" w:hAnsi="Cambria Math"/>
                            <w:sz w:val="20"/>
                            <w:szCs w:val="20"/>
                          </w:rPr>
                          <m:t>T,p</m:t>
                        </m:r>
                      </m:e>
                    </m:d>
                    <m:r>
                      <w:rPr>
                        <w:rFonts w:ascii="Cambria Math" w:hAnsi="Cambria Math"/>
                        <w:sz w:val="20"/>
                        <w:szCs w:val="20"/>
                      </w:rPr>
                      <m:t>-</m:t>
                    </m:r>
                    <m:sSub>
                      <m:sSubPr>
                        <m:ctrlPr>
                          <w:rPr>
                            <w:rFonts w:ascii="Cambria Math" w:hAnsi="Cambria Math"/>
                            <w:i/>
                            <w:iCs/>
                            <w:sz w:val="20"/>
                            <w:szCs w:val="20"/>
                          </w:rPr>
                        </m:ctrlPr>
                      </m:sSubPr>
                      <m:e>
                        <m:r>
                          <w:rPr>
                            <w:rFonts w:ascii="Cambria Math" w:hAnsi="Cambria Math"/>
                            <w:sz w:val="20"/>
                            <w:szCs w:val="20"/>
                          </w:rPr>
                          <m:t>N</m:t>
                        </m:r>
                      </m:e>
                      <m:sub>
                        <m:r>
                          <m:rPr>
                            <m:sty m:val="p"/>
                          </m:rPr>
                          <w:rPr>
                            <w:rFonts w:ascii="Cambria Math" w:hAnsi="Cambria Math"/>
                            <w:sz w:val="20"/>
                            <w:szCs w:val="20"/>
                          </w:rPr>
                          <m:t>Ru</m:t>
                        </m:r>
                      </m:sub>
                    </m:sSub>
                    <m:sSub>
                      <m:sSubPr>
                        <m:ctrlPr>
                          <w:rPr>
                            <w:rFonts w:ascii="Cambria Math" w:hAnsi="Cambria Math"/>
                            <w:i/>
                            <w:iCs/>
                            <w:sz w:val="20"/>
                            <w:szCs w:val="20"/>
                          </w:rPr>
                        </m:ctrlPr>
                      </m:sSubPr>
                      <m:e>
                        <m:r>
                          <w:rPr>
                            <w:rFonts w:ascii="Cambria Math" w:hAnsi="Cambria Math"/>
                            <w:sz w:val="20"/>
                            <w:szCs w:val="20"/>
                          </w:rPr>
                          <m:t>E</m:t>
                        </m:r>
                      </m:e>
                      <m:sub>
                        <m:r>
                          <m:rPr>
                            <m:sty m:val="p"/>
                          </m:rPr>
                          <w:rPr>
                            <w:rFonts w:ascii="Cambria Math" w:hAnsi="Cambria Math"/>
                            <w:sz w:val="20"/>
                            <w:szCs w:val="20"/>
                          </w:rPr>
                          <m:t>Ru,bulk</m:t>
                        </m:r>
                      </m:sub>
                    </m:sSub>
                    <m:d>
                      <m:dPr>
                        <m:ctrlPr>
                          <w:rPr>
                            <w:rFonts w:ascii="Cambria Math" w:hAnsi="Cambria Math"/>
                            <w:i/>
                            <w:iCs/>
                            <w:sz w:val="20"/>
                            <w:szCs w:val="20"/>
                          </w:rPr>
                        </m:ctrlPr>
                      </m:dPr>
                      <m:e>
                        <m:r>
                          <w:rPr>
                            <w:rFonts w:ascii="Cambria Math" w:hAnsi="Cambria Math"/>
                            <w:sz w:val="20"/>
                            <w:szCs w:val="20"/>
                          </w:rPr>
                          <m:t>V</m:t>
                        </m:r>
                      </m:e>
                    </m:d>
                  </m:e>
                </m:d>
              </m:oMath>
            </m:oMathPara>
          </w:p>
        </w:tc>
        <w:tc>
          <w:tcPr>
            <w:tcW w:w="1134" w:type="dxa"/>
            <w:tcMar>
              <w:left w:w="28" w:type="dxa"/>
              <w:right w:w="28" w:type="dxa"/>
            </w:tcMar>
            <w:vAlign w:val="center"/>
          </w:tcPr>
          <w:p w14:paraId="5E5EAE3D" w14:textId="24034092" w:rsidR="00DE0988" w:rsidRPr="00DE0988" w:rsidRDefault="00317CF1" w:rsidP="00E45E28">
            <w:pPr>
              <w:keepNext/>
              <w:jc w:val="right"/>
              <w:rPr>
                <w:bCs/>
                <w:sz w:val="20"/>
                <w:szCs w:val="20"/>
              </w:rPr>
            </w:pPr>
            <w:bookmarkStart w:id="55" w:name="_Ref159509337"/>
            <w:r>
              <w:rPr>
                <w:sz w:val="20"/>
                <w:szCs w:val="20"/>
              </w:rPr>
              <w:t xml:space="preserve"> </w:t>
            </w:r>
            <w:bookmarkStart w:id="56" w:name="_Ref159883334"/>
            <w:r w:rsidR="00DE0988" w:rsidRPr="00DE0988">
              <w:rPr>
                <w:sz w:val="20"/>
                <w:szCs w:val="20"/>
              </w:rPr>
              <w:t xml:space="preserve">Equation </w:t>
            </w:r>
            <w:r w:rsidR="00DE0988" w:rsidRPr="00DE0988">
              <w:rPr>
                <w:sz w:val="20"/>
                <w:szCs w:val="20"/>
              </w:rPr>
              <w:fldChar w:fldCharType="begin"/>
            </w:r>
            <w:r w:rsidR="00DE0988" w:rsidRPr="00DE0988">
              <w:rPr>
                <w:sz w:val="20"/>
                <w:szCs w:val="20"/>
              </w:rPr>
              <w:instrText xml:space="preserve"> SEQ Equation \* ARABIC </w:instrText>
            </w:r>
            <w:r w:rsidR="00DE0988" w:rsidRPr="00DE0988">
              <w:rPr>
                <w:sz w:val="20"/>
                <w:szCs w:val="20"/>
              </w:rPr>
              <w:fldChar w:fldCharType="separate"/>
            </w:r>
            <w:r w:rsidR="00536CF0">
              <w:rPr>
                <w:noProof/>
                <w:sz w:val="20"/>
                <w:szCs w:val="20"/>
              </w:rPr>
              <w:t>23</w:t>
            </w:r>
            <w:r w:rsidR="00DE0988" w:rsidRPr="00DE0988">
              <w:rPr>
                <w:sz w:val="20"/>
                <w:szCs w:val="20"/>
              </w:rPr>
              <w:fldChar w:fldCharType="end"/>
            </w:r>
            <w:bookmarkEnd w:id="55"/>
            <w:bookmarkEnd w:id="56"/>
          </w:p>
        </w:tc>
      </w:tr>
    </w:tbl>
    <w:p w14:paraId="5F0021E4" w14:textId="79814FB6" w:rsidR="00594FAE" w:rsidRDefault="00594FAE" w:rsidP="00594FAE">
      <w:pPr>
        <w:rPr>
          <w:color w:val="000000" w:themeColor="text1"/>
          <w:szCs w:val="22"/>
        </w:rPr>
      </w:pPr>
      <w:r w:rsidRPr="00EC6E98">
        <w:rPr>
          <w:color w:val="000000" w:themeColor="text1"/>
          <w:szCs w:val="22"/>
          <w:shd w:val="clear" w:color="auto" w:fill="FFFFFF"/>
        </w:rPr>
        <w:t xml:space="preserve">where </w:t>
      </w:r>
      <m:oMath>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E</m:t>
            </m:r>
          </m:e>
          <m:sub>
            <m:r>
              <m:rPr>
                <m:sty m:val="p"/>
              </m:rPr>
              <w:rPr>
                <w:rFonts w:ascii="Cambria Math" w:hAnsi="Cambria Math"/>
                <w:color w:val="000000" w:themeColor="text1"/>
                <w:szCs w:val="22"/>
                <w:shd w:val="clear" w:color="auto" w:fill="FFFFFF"/>
              </w:rPr>
              <m:t>surface</m:t>
            </m:r>
          </m:sub>
        </m:sSub>
        <m:d>
          <m:dPr>
            <m:ctrlPr>
              <w:rPr>
                <w:rFonts w:ascii="Cambria Math" w:eastAsiaTheme="minorHAnsi" w:hAnsi="Cambria Math"/>
                <w:i/>
                <w:iCs/>
                <w:color w:val="000000" w:themeColor="text1"/>
                <w:szCs w:val="22"/>
                <w:shd w:val="clear" w:color="auto" w:fill="FFFFFF"/>
              </w:rPr>
            </m:ctrlPr>
          </m:dPr>
          <m:e>
            <m:r>
              <w:rPr>
                <w:rFonts w:ascii="Cambria Math" w:hAnsi="Cambria Math"/>
                <w:color w:val="000000" w:themeColor="text1"/>
                <w:szCs w:val="22"/>
                <w:shd w:val="clear" w:color="auto" w:fill="FFFFFF"/>
              </w:rPr>
              <m:t xml:space="preserve">V, </m:t>
            </m:r>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N</m:t>
                </m:r>
              </m:e>
              <m:sub>
                <m:r>
                  <m:rPr>
                    <m:sty m:val="p"/>
                  </m:rPr>
                  <w:rPr>
                    <w:rFonts w:ascii="Cambria Math" w:hAnsi="Cambria Math"/>
                    <w:color w:val="000000" w:themeColor="text1"/>
                    <w:szCs w:val="22"/>
                    <w:shd w:val="clear" w:color="auto" w:fill="FFFFFF"/>
                  </w:rPr>
                  <m:t>Ru</m:t>
                </m:r>
              </m:sub>
            </m:sSub>
            <m:r>
              <w:rPr>
                <w:rFonts w:ascii="Cambria Math" w:hAnsi="Cambria Math"/>
                <w:color w:val="000000" w:themeColor="text1"/>
                <w:szCs w:val="22"/>
                <w:shd w:val="clear" w:color="auto" w:fill="FFFFFF"/>
              </w:rPr>
              <m:t xml:space="preserve">, </m:t>
            </m:r>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N</m:t>
                </m:r>
              </m:e>
              <m:sub>
                <m:r>
                  <m:rPr>
                    <m:sty m:val="p"/>
                  </m:rPr>
                  <w:rPr>
                    <w:rFonts w:ascii="Cambria Math" w:hAnsi="Cambria Math"/>
                    <w:color w:val="000000" w:themeColor="text1"/>
                    <w:szCs w:val="22"/>
                    <w:shd w:val="clear" w:color="auto" w:fill="FFFFFF"/>
                  </w:rPr>
                  <m:t>O</m:t>
                </m:r>
              </m:sub>
            </m:sSub>
          </m:e>
        </m:d>
      </m:oMath>
      <w:r w:rsidRPr="00EC6E98">
        <w:rPr>
          <w:iCs/>
          <w:color w:val="000000" w:themeColor="text1"/>
          <w:szCs w:val="22"/>
          <w:shd w:val="clear" w:color="auto" w:fill="FFFFFF"/>
        </w:rPr>
        <w:t xml:space="preserve"> is the total energy of a cell with </w:t>
      </w:r>
      <m:oMath>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N</m:t>
            </m:r>
          </m:e>
          <m:sub>
            <m:r>
              <m:rPr>
                <m:sty m:val="p"/>
              </m:rPr>
              <w:rPr>
                <w:rFonts w:ascii="Cambria Math" w:hAnsi="Cambria Math"/>
                <w:color w:val="000000" w:themeColor="text1"/>
                <w:szCs w:val="22"/>
                <w:shd w:val="clear" w:color="auto" w:fill="FFFFFF"/>
              </w:rPr>
              <m:t>Ru</m:t>
            </m:r>
          </m:sub>
        </m:sSub>
      </m:oMath>
      <w:r w:rsidRPr="00EC6E98">
        <w:rPr>
          <w:iCs/>
          <w:color w:val="000000" w:themeColor="text1"/>
          <w:szCs w:val="22"/>
          <w:shd w:val="clear" w:color="auto" w:fill="FFFFFF"/>
        </w:rPr>
        <w:t xml:space="preserve"> ruthenium atoms and </w:t>
      </w:r>
      <m:oMath>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N</m:t>
            </m:r>
          </m:e>
          <m:sub>
            <m:r>
              <m:rPr>
                <m:sty m:val="p"/>
              </m:rPr>
              <w:rPr>
                <w:rFonts w:ascii="Cambria Math" w:hAnsi="Cambria Math"/>
                <w:color w:val="000000" w:themeColor="text1"/>
                <w:szCs w:val="22"/>
                <w:shd w:val="clear" w:color="auto" w:fill="FFFFFF"/>
              </w:rPr>
              <m:t>O</m:t>
            </m:r>
          </m:sub>
        </m:sSub>
      </m:oMath>
      <w:r w:rsidRPr="00EC6E98">
        <w:rPr>
          <w:iCs/>
          <w:color w:val="000000" w:themeColor="text1"/>
          <w:szCs w:val="22"/>
          <w:shd w:val="clear" w:color="auto" w:fill="FFFFFF"/>
        </w:rPr>
        <w:t xml:space="preserve"> oxygen atoms computed from DFT. The </w:t>
      </w:r>
      <m:oMath>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E</m:t>
            </m:r>
          </m:e>
          <m:sub>
            <m:r>
              <m:rPr>
                <m:sty m:val="p"/>
              </m:rPr>
              <w:rPr>
                <w:rFonts w:ascii="Cambria Math" w:hAnsi="Cambria Math"/>
                <w:color w:val="000000" w:themeColor="text1"/>
                <w:szCs w:val="22"/>
                <w:shd w:val="clear" w:color="auto" w:fill="FFFFFF"/>
              </w:rPr>
              <m:t>Ru,bulk</m:t>
            </m:r>
          </m:sub>
        </m:sSub>
        <m:d>
          <m:dPr>
            <m:ctrlPr>
              <w:rPr>
                <w:rFonts w:ascii="Cambria Math" w:eastAsiaTheme="minorHAnsi" w:hAnsi="Cambria Math"/>
                <w:i/>
                <w:iCs/>
                <w:color w:val="000000" w:themeColor="text1"/>
                <w:szCs w:val="22"/>
                <w:shd w:val="clear" w:color="auto" w:fill="FFFFFF"/>
              </w:rPr>
            </m:ctrlPr>
          </m:dPr>
          <m:e>
            <m:r>
              <w:rPr>
                <w:rFonts w:ascii="Cambria Math" w:hAnsi="Cambria Math"/>
                <w:color w:val="000000" w:themeColor="text1"/>
                <w:szCs w:val="22"/>
                <w:shd w:val="clear" w:color="auto" w:fill="FFFFFF"/>
              </w:rPr>
              <m:t>V</m:t>
            </m:r>
          </m:e>
        </m:d>
      </m:oMath>
      <w:r w:rsidRPr="00EC6E98">
        <w:rPr>
          <w:iCs/>
          <w:color w:val="000000" w:themeColor="text1"/>
          <w:szCs w:val="22"/>
          <w:shd w:val="clear" w:color="auto" w:fill="FFFFFF"/>
        </w:rPr>
        <w:t xml:space="preserve"> term is the total energy of bulk ruthenium metal; it represents the thermodynamic reservoir for ruthenium, which is assumed to be independent of temperature, thus allowing the DFT total energy to be used. The final </w:t>
      </w:r>
      <w:r w:rsidRPr="00317CF1">
        <w:rPr>
          <w:iCs/>
          <w:color w:val="000000" w:themeColor="text1"/>
          <w:szCs w:val="22"/>
          <w:shd w:val="clear" w:color="auto" w:fill="FFFFFF"/>
        </w:rPr>
        <w:t>term in</w:t>
      </w:r>
      <w:r w:rsidR="00317CF1" w:rsidRPr="00317CF1">
        <w:rPr>
          <w:iCs/>
          <w:color w:val="000000" w:themeColor="text1"/>
          <w:szCs w:val="22"/>
          <w:shd w:val="clear" w:color="auto" w:fill="FFFFFF"/>
        </w:rPr>
        <w:t xml:space="preserve"> </w:t>
      </w:r>
      <w:r w:rsidR="00317CF1" w:rsidRPr="00317CF1">
        <w:rPr>
          <w:iCs/>
          <w:color w:val="000000" w:themeColor="text1"/>
          <w:szCs w:val="22"/>
          <w:shd w:val="clear" w:color="auto" w:fill="FFFFFF"/>
        </w:rPr>
        <w:fldChar w:fldCharType="begin"/>
      </w:r>
      <w:r w:rsidR="00317CF1" w:rsidRPr="00317CF1">
        <w:rPr>
          <w:iCs/>
          <w:color w:val="000000" w:themeColor="text1"/>
          <w:szCs w:val="22"/>
          <w:shd w:val="clear" w:color="auto" w:fill="FFFFFF"/>
        </w:rPr>
        <w:instrText xml:space="preserve"> REF _Ref159509337 \h </w:instrText>
      </w:r>
      <w:r w:rsidR="00317CF1">
        <w:rPr>
          <w:iCs/>
          <w:color w:val="000000" w:themeColor="text1"/>
          <w:szCs w:val="22"/>
          <w:shd w:val="clear" w:color="auto" w:fill="FFFFFF"/>
        </w:rPr>
        <w:instrText xml:space="preserve"> \* MERGEFORMAT </w:instrText>
      </w:r>
      <w:r w:rsidR="00317CF1" w:rsidRPr="00317CF1">
        <w:rPr>
          <w:iCs/>
          <w:color w:val="000000" w:themeColor="text1"/>
          <w:szCs w:val="22"/>
          <w:shd w:val="clear" w:color="auto" w:fill="FFFFFF"/>
        </w:rPr>
      </w:r>
      <w:r w:rsidR="00317CF1" w:rsidRPr="00317CF1">
        <w:rPr>
          <w:iCs/>
          <w:color w:val="000000" w:themeColor="text1"/>
          <w:szCs w:val="22"/>
          <w:shd w:val="clear" w:color="auto" w:fill="FFFFFF"/>
        </w:rPr>
        <w:fldChar w:fldCharType="separate"/>
      </w:r>
      <w:r w:rsidR="00536CF0" w:rsidRPr="00245F0C">
        <w:rPr>
          <w:szCs w:val="22"/>
        </w:rPr>
        <w:t xml:space="preserve"> Equation</w:t>
      </w:r>
      <w:r w:rsidR="00536CF0" w:rsidRPr="00245F0C">
        <w:rPr>
          <w:noProof/>
          <w:szCs w:val="22"/>
        </w:rPr>
        <w:t xml:space="preserve"> </w:t>
      </w:r>
      <w:r w:rsidR="00536CF0">
        <w:rPr>
          <w:noProof/>
          <w:sz w:val="20"/>
          <w:szCs w:val="20"/>
        </w:rPr>
        <w:t>23</w:t>
      </w:r>
      <w:r w:rsidR="00317CF1" w:rsidRPr="00317CF1">
        <w:rPr>
          <w:iCs/>
          <w:color w:val="000000" w:themeColor="text1"/>
          <w:szCs w:val="22"/>
          <w:shd w:val="clear" w:color="auto" w:fill="FFFFFF"/>
        </w:rPr>
        <w:fldChar w:fldCharType="end"/>
      </w:r>
      <w:r w:rsidRPr="00317CF1">
        <w:rPr>
          <w:iCs/>
          <w:color w:val="000000" w:themeColor="text1"/>
          <w:szCs w:val="22"/>
          <w:shd w:val="clear" w:color="auto" w:fill="FFFFFF"/>
        </w:rPr>
        <w:t>,</w:t>
      </w:r>
      <w:r w:rsidRPr="00EC6E98">
        <w:rPr>
          <w:iCs/>
          <w:color w:val="000000" w:themeColor="text1"/>
          <w:szCs w:val="22"/>
          <w:shd w:val="clear" w:color="auto" w:fill="FFFFFF"/>
        </w:rPr>
        <w:t xml:space="preserve"> </w:t>
      </w:r>
      <m:oMath>
        <m:f>
          <m:fPr>
            <m:ctrlPr>
              <w:rPr>
                <w:rFonts w:ascii="Cambria Math" w:eastAsiaTheme="minorHAnsi" w:hAnsi="Cambria Math"/>
                <w:i/>
                <w:iCs/>
                <w:color w:val="000000" w:themeColor="text1"/>
                <w:szCs w:val="22"/>
                <w:shd w:val="clear" w:color="auto" w:fill="FFFFFF"/>
              </w:rPr>
            </m:ctrlPr>
          </m:fPr>
          <m:num>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N</m:t>
                </m:r>
              </m:e>
              <m:sub>
                <m:r>
                  <m:rPr>
                    <m:sty m:val="p"/>
                  </m:rPr>
                  <w:rPr>
                    <w:rFonts w:ascii="Cambria Math" w:hAnsi="Cambria Math"/>
                    <w:color w:val="000000" w:themeColor="text1"/>
                    <w:szCs w:val="22"/>
                    <w:shd w:val="clear" w:color="auto" w:fill="FFFFFF"/>
                  </w:rPr>
                  <m:t>O</m:t>
                </m:r>
              </m:sub>
            </m:sSub>
          </m:num>
          <m:den>
            <m:r>
              <w:rPr>
                <w:rFonts w:ascii="Cambria Math" w:hAnsi="Cambria Math"/>
                <w:color w:val="000000" w:themeColor="text1"/>
                <w:szCs w:val="22"/>
                <w:shd w:val="clear" w:color="auto" w:fill="FFFFFF"/>
              </w:rPr>
              <m:t>2</m:t>
            </m:r>
          </m:den>
        </m:f>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μ</m:t>
            </m:r>
          </m:e>
          <m:sub>
            <m:r>
              <m:rPr>
                <m:sty m:val="p"/>
              </m:rPr>
              <w:rPr>
                <w:rFonts w:ascii="Cambria Math" w:hAnsi="Cambria Math"/>
                <w:color w:val="000000" w:themeColor="text1"/>
                <w:szCs w:val="22"/>
                <w:shd w:val="clear" w:color="auto" w:fill="FFFFFF"/>
              </w:rPr>
              <m:t>O2</m:t>
            </m:r>
          </m:sub>
        </m:sSub>
        <m:d>
          <m:dPr>
            <m:ctrlPr>
              <w:rPr>
                <w:rFonts w:ascii="Cambria Math" w:eastAsiaTheme="minorHAnsi" w:hAnsi="Cambria Math"/>
                <w:i/>
                <w:iCs/>
                <w:color w:val="000000" w:themeColor="text1"/>
                <w:szCs w:val="22"/>
                <w:shd w:val="clear" w:color="auto" w:fill="FFFFFF"/>
              </w:rPr>
            </m:ctrlPr>
          </m:dPr>
          <m:e>
            <m:r>
              <w:rPr>
                <w:rFonts w:ascii="Cambria Math" w:hAnsi="Cambria Math"/>
                <w:color w:val="000000" w:themeColor="text1"/>
                <w:szCs w:val="22"/>
                <w:shd w:val="clear" w:color="auto" w:fill="FFFFFF"/>
              </w:rPr>
              <m:t>T,p</m:t>
            </m:r>
          </m:e>
        </m:d>
      </m:oMath>
      <w:r w:rsidRPr="00EC6E98">
        <w:rPr>
          <w:iCs/>
          <w:color w:val="000000" w:themeColor="text1"/>
          <w:szCs w:val="22"/>
          <w:shd w:val="clear" w:color="auto" w:fill="FFFFFF"/>
        </w:rPr>
        <w:t xml:space="preserve">, is the essence of </w:t>
      </w:r>
      <w:r w:rsidRPr="00EC6E98">
        <w:rPr>
          <w:i/>
          <w:iCs/>
          <w:color w:val="000000" w:themeColor="text1"/>
          <w:szCs w:val="22"/>
        </w:rPr>
        <w:t xml:space="preserve">ab initio </w:t>
      </w:r>
      <w:r w:rsidRPr="00EC6E98">
        <w:rPr>
          <w:color w:val="000000" w:themeColor="text1"/>
          <w:szCs w:val="22"/>
        </w:rPr>
        <w:t>atomistic thermodynamics. It</w:t>
      </w:r>
      <w:r w:rsidRPr="00EC6E98">
        <w:rPr>
          <w:iCs/>
          <w:color w:val="000000" w:themeColor="text1"/>
          <w:szCs w:val="22"/>
          <w:shd w:val="clear" w:color="auto" w:fill="FFFFFF"/>
        </w:rPr>
        <w:t xml:space="preserve"> is the chemical potential of the </w:t>
      </w:r>
      <w:r w:rsidRPr="00EC6E98">
        <w:rPr>
          <w:iCs/>
          <w:color w:val="000000" w:themeColor="text1"/>
          <w:szCs w:val="22"/>
          <w:shd w:val="clear" w:color="auto" w:fill="FFFFFF"/>
        </w:rPr>
        <w:lastRenderedPageBreak/>
        <w:t xml:space="preserve">thermodynamic reservoir of oxygen with which the surface is assumed to be equilibrated. This chemical potential depends strongly on </w:t>
      </w:r>
      <m:oMath>
        <m:d>
          <m:dPr>
            <m:ctrlPr>
              <w:rPr>
                <w:rFonts w:ascii="Cambria Math" w:eastAsiaTheme="minorHAnsi" w:hAnsi="Cambria Math"/>
                <w:i/>
                <w:iCs/>
                <w:color w:val="000000" w:themeColor="text1"/>
                <w:szCs w:val="22"/>
                <w:shd w:val="clear" w:color="auto" w:fill="FFFFFF"/>
              </w:rPr>
            </m:ctrlPr>
          </m:dPr>
          <m:e>
            <m:r>
              <w:rPr>
                <w:rFonts w:ascii="Cambria Math" w:hAnsi="Cambria Math"/>
                <w:color w:val="000000" w:themeColor="text1"/>
                <w:szCs w:val="22"/>
                <w:shd w:val="clear" w:color="auto" w:fill="FFFFFF"/>
              </w:rPr>
              <m:t>T,p</m:t>
            </m:r>
          </m:e>
        </m:d>
      </m:oMath>
      <w:r w:rsidRPr="00EC6E98">
        <w:rPr>
          <w:iCs/>
          <w:color w:val="000000" w:themeColor="text1"/>
          <w:szCs w:val="22"/>
          <w:shd w:val="clear" w:color="auto" w:fill="FFFFFF"/>
        </w:rPr>
        <w:t xml:space="preserve">. </w:t>
      </w:r>
      <w:r w:rsidRPr="00EC6E98">
        <w:rPr>
          <w:color w:val="000000" w:themeColor="text1"/>
          <w:szCs w:val="22"/>
        </w:rPr>
        <w:t>Reuter and Scheffler showed for gas-phase species, in this case oxygen, the chemical potential can be written as: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7655"/>
        <w:gridCol w:w="1417"/>
      </w:tblGrid>
      <w:tr w:rsidR="008333D5" w:rsidRPr="00DE0988" w14:paraId="5C9322D7" w14:textId="77777777" w:rsidTr="008333D5">
        <w:tc>
          <w:tcPr>
            <w:tcW w:w="7655" w:type="dxa"/>
            <w:vAlign w:val="center"/>
          </w:tcPr>
          <w:p w14:paraId="71236BD1" w14:textId="7F10B03F" w:rsidR="008333D5" w:rsidRPr="00DE0988" w:rsidRDefault="00000000" w:rsidP="00E45E28">
            <w:pPr>
              <w:spacing w:before="60" w:after="60"/>
              <w:rPr>
                <w:bCs/>
                <w:sz w:val="20"/>
                <w:szCs w:val="20"/>
              </w:rPr>
            </w:pPr>
            <m:oMathPara>
              <m:oMath>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O2</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T,p</m:t>
                    </m:r>
                  </m:e>
                </m:d>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E</m:t>
                    </m:r>
                  </m:e>
                  <m:sub>
                    <m:r>
                      <m:rPr>
                        <m:sty m:val="p"/>
                      </m:rPr>
                      <w:rPr>
                        <w:rFonts w:ascii="Cambria Math" w:hAnsi="Cambria Math"/>
                        <w:color w:val="000000" w:themeColor="text1"/>
                        <w:sz w:val="20"/>
                        <w:szCs w:val="20"/>
                        <w:shd w:val="clear" w:color="auto" w:fill="FFFFFF"/>
                      </w:rPr>
                      <m:t>O2</m:t>
                    </m:r>
                  </m:sub>
                </m:sSub>
                <m:r>
                  <w:rPr>
                    <w:rFonts w:ascii="Cambria Math" w:hAnsi="Cambria Math"/>
                    <w:color w:val="000000" w:themeColor="text1"/>
                    <w:sz w:val="20"/>
                    <w:szCs w:val="20"/>
                    <w:shd w:val="clear" w:color="auto" w:fill="FFFFFF"/>
                  </w:rPr>
                  <m:t>+</m:t>
                </m:r>
                <m:d>
                  <m:dPr>
                    <m:begChr m:val="["/>
                    <m:endChr m:val="]"/>
                    <m:ctrlPr>
                      <w:rPr>
                        <w:rFonts w:ascii="Cambria Math" w:eastAsiaTheme="minorHAnsi" w:hAnsi="Cambria Math"/>
                        <w:i/>
                        <w:iCs/>
                        <w:color w:val="000000" w:themeColor="text1"/>
                        <w:sz w:val="20"/>
                        <w:szCs w:val="20"/>
                        <w:shd w:val="clear" w:color="auto" w:fill="FFFFFF"/>
                      </w:rPr>
                    </m:ctrlPr>
                  </m:dPr>
                  <m:e>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H</m:t>
                        </m:r>
                      </m:e>
                      <m:sub>
                        <m:r>
                          <m:rPr>
                            <m:sty m:val="p"/>
                          </m:rPr>
                          <w:rPr>
                            <w:rFonts w:ascii="Cambria Math" w:hAnsi="Cambria Math"/>
                            <w:color w:val="000000" w:themeColor="text1"/>
                            <w:sz w:val="20"/>
                            <w:szCs w:val="20"/>
                            <w:shd w:val="clear" w:color="auto" w:fill="FFFFFF"/>
                          </w:rPr>
                          <m:t>O2</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T,</m:t>
                        </m:r>
                        <m:sSup>
                          <m:sSupPr>
                            <m:ctrlPr>
                              <w:rPr>
                                <w:rFonts w:ascii="Cambria Math" w:eastAsiaTheme="minorHAnsi" w:hAnsi="Cambria Math"/>
                                <w:i/>
                                <w:iCs/>
                                <w:color w:val="000000" w:themeColor="text1"/>
                                <w:sz w:val="20"/>
                                <w:szCs w:val="20"/>
                                <w:shd w:val="clear" w:color="auto" w:fill="FFFFFF"/>
                              </w:rPr>
                            </m:ctrlPr>
                          </m:sSupPr>
                          <m:e>
                            <m:r>
                              <w:rPr>
                                <w:rFonts w:ascii="Cambria Math" w:hAnsi="Cambria Math"/>
                                <w:color w:val="000000" w:themeColor="text1"/>
                                <w:sz w:val="20"/>
                                <w:szCs w:val="20"/>
                                <w:shd w:val="clear" w:color="auto" w:fill="FFFFFF"/>
                              </w:rPr>
                              <m:t>p</m:t>
                            </m:r>
                          </m:e>
                          <m:sup>
                            <m:r>
                              <w:rPr>
                                <w:rFonts w:ascii="Cambria Math" w:hAnsi="Cambria Math"/>
                                <w:color w:val="000000" w:themeColor="text1"/>
                                <w:sz w:val="20"/>
                                <w:szCs w:val="20"/>
                                <w:shd w:val="clear" w:color="auto" w:fill="FFFFFF"/>
                              </w:rPr>
                              <m:t>0</m:t>
                            </m:r>
                          </m:sup>
                        </m:sSup>
                      </m:e>
                    </m:d>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H</m:t>
                        </m:r>
                      </m:e>
                      <m:sub>
                        <m:r>
                          <m:rPr>
                            <m:sty m:val="p"/>
                          </m:rPr>
                          <w:rPr>
                            <w:rFonts w:ascii="Cambria Math" w:hAnsi="Cambria Math"/>
                            <w:color w:val="000000" w:themeColor="text1"/>
                            <w:sz w:val="20"/>
                            <w:szCs w:val="20"/>
                            <w:shd w:val="clear" w:color="auto" w:fill="FFFFFF"/>
                          </w:rPr>
                          <m:t>O2</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0,</m:t>
                        </m:r>
                        <m:sSup>
                          <m:sSupPr>
                            <m:ctrlPr>
                              <w:rPr>
                                <w:rFonts w:ascii="Cambria Math" w:eastAsiaTheme="minorHAnsi" w:hAnsi="Cambria Math"/>
                                <w:i/>
                                <w:iCs/>
                                <w:color w:val="000000" w:themeColor="text1"/>
                                <w:sz w:val="20"/>
                                <w:szCs w:val="20"/>
                                <w:shd w:val="clear" w:color="auto" w:fill="FFFFFF"/>
                              </w:rPr>
                            </m:ctrlPr>
                          </m:sSupPr>
                          <m:e>
                            <m:r>
                              <w:rPr>
                                <w:rFonts w:ascii="Cambria Math" w:hAnsi="Cambria Math"/>
                                <w:color w:val="000000" w:themeColor="text1"/>
                                <w:sz w:val="20"/>
                                <w:szCs w:val="20"/>
                                <w:shd w:val="clear" w:color="auto" w:fill="FFFFFF"/>
                              </w:rPr>
                              <m:t>p</m:t>
                            </m:r>
                          </m:e>
                          <m:sup>
                            <m:r>
                              <w:rPr>
                                <w:rFonts w:ascii="Cambria Math" w:hAnsi="Cambria Math"/>
                                <w:color w:val="000000" w:themeColor="text1"/>
                                <w:sz w:val="20"/>
                                <w:szCs w:val="20"/>
                                <w:shd w:val="clear" w:color="auto" w:fill="FFFFFF"/>
                              </w:rPr>
                              <m:t>0</m:t>
                            </m:r>
                          </m:sup>
                        </m:sSup>
                      </m:e>
                    </m:d>
                  </m:e>
                </m:d>
                <m:r>
                  <w:rPr>
                    <w:rFonts w:ascii="Cambria Math" w:hAnsi="Cambria Math"/>
                    <w:color w:val="000000" w:themeColor="text1"/>
                    <w:sz w:val="20"/>
                    <w:szCs w:val="20"/>
                    <w:shd w:val="clear" w:color="auto" w:fill="FFFFFF"/>
                  </w:rPr>
                  <m:t>-T</m:t>
                </m:r>
                <m:d>
                  <m:dPr>
                    <m:begChr m:val="["/>
                    <m:endChr m:val="]"/>
                    <m:ctrlPr>
                      <w:rPr>
                        <w:rFonts w:ascii="Cambria Math" w:eastAsiaTheme="minorHAnsi" w:hAnsi="Cambria Math"/>
                        <w:i/>
                        <w:iCs/>
                        <w:color w:val="000000" w:themeColor="text1"/>
                        <w:sz w:val="20"/>
                        <w:szCs w:val="20"/>
                        <w:shd w:val="clear" w:color="auto" w:fill="FFFFFF"/>
                      </w:rPr>
                    </m:ctrlPr>
                  </m:dPr>
                  <m:e>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S</m:t>
                        </m:r>
                      </m:e>
                      <m:sub>
                        <m:r>
                          <m:rPr>
                            <m:sty m:val="p"/>
                          </m:rPr>
                          <w:rPr>
                            <w:rFonts w:ascii="Cambria Math" w:hAnsi="Cambria Math"/>
                            <w:color w:val="000000" w:themeColor="text1"/>
                            <w:sz w:val="20"/>
                            <w:szCs w:val="20"/>
                            <w:shd w:val="clear" w:color="auto" w:fill="FFFFFF"/>
                          </w:rPr>
                          <m:t>O2</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T,</m:t>
                        </m:r>
                        <m:sSup>
                          <m:sSupPr>
                            <m:ctrlPr>
                              <w:rPr>
                                <w:rFonts w:ascii="Cambria Math" w:eastAsiaTheme="minorHAnsi" w:hAnsi="Cambria Math"/>
                                <w:i/>
                                <w:iCs/>
                                <w:color w:val="000000" w:themeColor="text1"/>
                                <w:sz w:val="20"/>
                                <w:szCs w:val="20"/>
                                <w:shd w:val="clear" w:color="auto" w:fill="FFFFFF"/>
                              </w:rPr>
                            </m:ctrlPr>
                          </m:sSupPr>
                          <m:e>
                            <m:r>
                              <w:rPr>
                                <w:rFonts w:ascii="Cambria Math" w:hAnsi="Cambria Math"/>
                                <w:color w:val="000000" w:themeColor="text1"/>
                                <w:sz w:val="20"/>
                                <w:szCs w:val="20"/>
                                <w:shd w:val="clear" w:color="auto" w:fill="FFFFFF"/>
                              </w:rPr>
                              <m:t>p</m:t>
                            </m:r>
                          </m:e>
                          <m:sup>
                            <m:r>
                              <w:rPr>
                                <w:rFonts w:ascii="Cambria Math" w:hAnsi="Cambria Math"/>
                                <w:color w:val="000000" w:themeColor="text1"/>
                                <w:sz w:val="20"/>
                                <w:szCs w:val="20"/>
                                <w:shd w:val="clear" w:color="auto" w:fill="FFFFFF"/>
                              </w:rPr>
                              <m:t>0</m:t>
                            </m:r>
                          </m:sup>
                        </m:sSup>
                      </m:e>
                    </m:d>
                  </m:e>
                </m:d>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k</m:t>
                    </m:r>
                  </m:e>
                  <m:sub>
                    <m:r>
                      <w:rPr>
                        <w:rFonts w:ascii="Cambria Math" w:hAnsi="Cambria Math"/>
                        <w:color w:val="000000" w:themeColor="text1"/>
                        <w:sz w:val="20"/>
                        <w:szCs w:val="20"/>
                        <w:shd w:val="clear" w:color="auto" w:fill="FFFFFF"/>
                      </w:rPr>
                      <m:t>B</m:t>
                    </m:r>
                  </m:sub>
                </m:sSub>
                <m:r>
                  <w:rPr>
                    <w:rFonts w:ascii="Cambria Math" w:hAnsi="Cambria Math"/>
                    <w:color w:val="000000" w:themeColor="text1"/>
                    <w:sz w:val="20"/>
                    <w:szCs w:val="20"/>
                    <w:shd w:val="clear" w:color="auto" w:fill="FFFFFF"/>
                  </w:rPr>
                  <m:t xml:space="preserve">T </m:t>
                </m:r>
                <m:r>
                  <m:rPr>
                    <m:sty m:val="p"/>
                  </m:rPr>
                  <w:rPr>
                    <w:rFonts w:ascii="Cambria Math" w:hAnsi="Cambria Math"/>
                    <w:color w:val="000000" w:themeColor="text1"/>
                    <w:sz w:val="20"/>
                    <w:szCs w:val="20"/>
                    <w:shd w:val="clear" w:color="auto" w:fill="FFFFFF"/>
                  </w:rPr>
                  <m:t>ln</m:t>
                </m:r>
                <m:d>
                  <m:dPr>
                    <m:ctrlPr>
                      <w:rPr>
                        <w:rFonts w:ascii="Cambria Math" w:eastAsiaTheme="minorHAnsi" w:hAnsi="Cambria Math"/>
                        <w:color w:val="000000" w:themeColor="text1"/>
                        <w:sz w:val="20"/>
                        <w:szCs w:val="20"/>
                        <w:shd w:val="clear" w:color="auto" w:fill="FFFFFF"/>
                      </w:rPr>
                    </m:ctrlPr>
                  </m:dPr>
                  <m:e>
                    <m:r>
                      <w:rPr>
                        <w:rFonts w:ascii="Cambria Math" w:hAnsi="Cambria Math"/>
                        <w:color w:val="000000" w:themeColor="text1"/>
                        <w:sz w:val="20"/>
                        <w:szCs w:val="20"/>
                        <w:shd w:val="clear" w:color="auto" w:fill="FFFFFF"/>
                      </w:rPr>
                      <m:t>p/</m:t>
                    </m:r>
                    <m:sSup>
                      <m:sSupPr>
                        <m:ctrlPr>
                          <w:rPr>
                            <w:rFonts w:ascii="Cambria Math" w:eastAsiaTheme="minorHAnsi" w:hAnsi="Cambria Math"/>
                            <w:i/>
                            <w:iCs/>
                            <w:color w:val="000000" w:themeColor="text1"/>
                            <w:sz w:val="20"/>
                            <w:szCs w:val="20"/>
                            <w:shd w:val="clear" w:color="auto" w:fill="FFFFFF"/>
                          </w:rPr>
                        </m:ctrlPr>
                      </m:sSupPr>
                      <m:e>
                        <m:r>
                          <w:rPr>
                            <w:rFonts w:ascii="Cambria Math" w:hAnsi="Cambria Math"/>
                            <w:color w:val="000000" w:themeColor="text1"/>
                            <w:sz w:val="20"/>
                            <w:szCs w:val="20"/>
                            <w:shd w:val="clear" w:color="auto" w:fill="FFFFFF"/>
                          </w:rPr>
                          <m:t>p</m:t>
                        </m:r>
                      </m:e>
                      <m:sup>
                        <m:r>
                          <w:rPr>
                            <w:rFonts w:ascii="Cambria Math" w:hAnsi="Cambria Math"/>
                            <w:color w:val="000000" w:themeColor="text1"/>
                            <w:sz w:val="20"/>
                            <w:szCs w:val="20"/>
                            <w:shd w:val="clear" w:color="auto" w:fill="FFFFFF"/>
                          </w:rPr>
                          <m:t>0</m:t>
                        </m:r>
                      </m:sup>
                    </m:sSup>
                  </m:e>
                </m:d>
              </m:oMath>
            </m:oMathPara>
          </w:p>
        </w:tc>
        <w:tc>
          <w:tcPr>
            <w:tcW w:w="1417" w:type="dxa"/>
            <w:vAlign w:val="center"/>
          </w:tcPr>
          <w:p w14:paraId="76EC26A3" w14:textId="300DB614" w:rsidR="008333D5" w:rsidRPr="00DE0988" w:rsidRDefault="008333D5" w:rsidP="00E45E28">
            <w:pPr>
              <w:keepNext/>
              <w:jc w:val="right"/>
              <w:rPr>
                <w:bCs/>
                <w:sz w:val="20"/>
                <w:szCs w:val="20"/>
              </w:rPr>
            </w:pPr>
            <w:bookmarkStart w:id="57" w:name="_Ref159506785"/>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536CF0">
              <w:rPr>
                <w:noProof/>
                <w:sz w:val="20"/>
                <w:szCs w:val="20"/>
              </w:rPr>
              <w:t>24</w:t>
            </w:r>
            <w:r w:rsidRPr="00DE0988">
              <w:rPr>
                <w:sz w:val="20"/>
                <w:szCs w:val="20"/>
              </w:rPr>
              <w:fldChar w:fldCharType="end"/>
            </w:r>
            <w:bookmarkEnd w:id="57"/>
          </w:p>
        </w:tc>
      </w:tr>
    </w:tbl>
    <w:p w14:paraId="5CA83712" w14:textId="6EC148A3" w:rsidR="00594FAE" w:rsidRDefault="00594FAE" w:rsidP="00594FAE">
      <w:pPr>
        <w:rPr>
          <w:iCs/>
          <w:color w:val="000000" w:themeColor="text1"/>
          <w:szCs w:val="22"/>
          <w:shd w:val="clear" w:color="auto" w:fill="FFFFFF"/>
        </w:rPr>
      </w:pPr>
      <w:r w:rsidRPr="00EC6E98">
        <w:rPr>
          <w:color w:val="000000" w:themeColor="text1"/>
          <w:szCs w:val="22"/>
          <w:shd w:val="clear" w:color="auto" w:fill="FFFFFF"/>
        </w:rPr>
        <w:t>where the computed or tabulated</w:t>
      </w:r>
      <w:r>
        <w:rPr>
          <w:color w:val="000000" w:themeColor="text1"/>
          <w:szCs w:val="22"/>
          <w:shd w:val="clear" w:color="auto" w:fill="FFFFFF"/>
        </w:rPr>
        <w:fldChar w:fldCharType="begin"/>
      </w:r>
      <w:r w:rsidR="009F6662">
        <w:rPr>
          <w:color w:val="000000" w:themeColor="text1"/>
          <w:szCs w:val="22"/>
          <w:shd w:val="clear" w:color="auto" w:fill="FFFFFF"/>
        </w:rPr>
        <w:instrText xml:space="preserve"> ADDIN EN.CITE &lt;EndNote&gt;&lt;Cite&gt;&lt;Author&gt;Malcolm W. Chase&lt;/Author&gt;&lt;Year&gt;1998&lt;/Year&gt;&lt;RecNum&gt;55&lt;/RecNum&gt;&lt;DisplayText&gt;&lt;style face="superscript"&gt;55&lt;/style&gt;&lt;/DisplayText&gt;&lt;record&gt;&lt;rec-number&gt;55&lt;/rec-number&gt;&lt;foreign-keys&gt;&lt;key app="EN" db-id="2xex0erf4eexr4e2dpbxpdd829xttesxxxdr" timestamp="1715075296"&gt;55&lt;/key&gt;&lt;/foreign-keys&gt;&lt;ref-type name="Book"&gt;6&lt;/ref-type&gt;&lt;contributors&gt;&lt;authors&gt;&lt;author&gt;Malcolm W. Chase,, Jr.&lt;/author&gt;&lt;/authors&gt;&lt;/contributors&gt;&lt;titles&gt;&lt;title&gt;NIST-JANAF thermochemical tables&lt;/title&gt;&lt;/titles&gt;&lt;dates&gt;&lt;year&gt;1998&lt;/year&gt;&lt;/dates&gt;&lt;publisher&gt;Fourth edition. Washington, DC : American Chemical Society ; New York : American Institute of Physics for the National Institute of Standards and Technology, 1998.&lt;/publisher&gt;&lt;call-num&gt;QD511 N57 1998 (B142-22-C-1)&amp;#xD;QD511 .N57 1998&lt;/call-num&gt;&lt;urls&gt;&lt;related-urls&gt;&lt;url&gt;https://search.library.wisc.edu/catalog/999842910902121&lt;/url&gt;&lt;/related-urls&gt;&lt;/urls&gt;&lt;/record&gt;&lt;/Cite&gt;&lt;/EndNote&gt;</w:instrText>
      </w:r>
      <w:r>
        <w:rPr>
          <w:color w:val="000000" w:themeColor="text1"/>
          <w:szCs w:val="22"/>
          <w:shd w:val="clear" w:color="auto" w:fill="FFFFFF"/>
        </w:rPr>
        <w:fldChar w:fldCharType="separate"/>
      </w:r>
      <w:r w:rsidR="009F6662" w:rsidRPr="009F6662">
        <w:rPr>
          <w:noProof/>
          <w:color w:val="000000" w:themeColor="text1"/>
          <w:szCs w:val="22"/>
          <w:shd w:val="clear" w:color="auto" w:fill="FFFFFF"/>
          <w:vertAlign w:val="superscript"/>
        </w:rPr>
        <w:t>55</w:t>
      </w:r>
      <w:r>
        <w:rPr>
          <w:color w:val="000000" w:themeColor="text1"/>
          <w:szCs w:val="22"/>
          <w:shd w:val="clear" w:color="auto" w:fill="FFFFFF"/>
        </w:rPr>
        <w:fldChar w:fldCharType="end"/>
      </w:r>
      <w:r w:rsidRPr="00EC6E98">
        <w:rPr>
          <w:color w:val="000000" w:themeColor="text1"/>
          <w:szCs w:val="22"/>
          <w:shd w:val="clear" w:color="auto" w:fill="FFFFFF"/>
        </w:rPr>
        <w:t xml:space="preserve"> gas-phase enthalpies and entropies can be used to set the oxygen chemical potential with </w:t>
      </w:r>
      <w:r w:rsidRPr="00EC6E98">
        <w:rPr>
          <w:i/>
          <w:iCs/>
          <w:color w:val="000000" w:themeColor="text1"/>
          <w:szCs w:val="22"/>
          <w:shd w:val="clear" w:color="auto" w:fill="FFFFFF"/>
        </w:rPr>
        <w:t>p</w:t>
      </w:r>
      <w:r w:rsidRPr="00EC6E98">
        <w:rPr>
          <w:color w:val="000000" w:themeColor="text1"/>
          <w:szCs w:val="22"/>
          <w:shd w:val="clear" w:color="auto" w:fill="FFFFFF"/>
          <w:vertAlign w:val="superscript"/>
        </w:rPr>
        <w:t>0</w:t>
      </w:r>
      <w:r w:rsidRPr="00EC6E98">
        <w:rPr>
          <w:color w:val="000000" w:themeColor="text1"/>
          <w:szCs w:val="22"/>
          <w:shd w:val="clear" w:color="auto" w:fill="FFFFFF"/>
        </w:rPr>
        <w:t>= 1 atm. That is, the total energy from DFT (</w:t>
      </w:r>
      <m:oMath>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E</m:t>
            </m:r>
          </m:e>
          <m:sub>
            <m:r>
              <m:rPr>
                <m:sty m:val="p"/>
              </m:rPr>
              <w:rPr>
                <w:rFonts w:ascii="Cambria Math" w:hAnsi="Cambria Math"/>
                <w:color w:val="000000" w:themeColor="text1"/>
                <w:szCs w:val="22"/>
                <w:shd w:val="clear" w:color="auto" w:fill="FFFFFF"/>
              </w:rPr>
              <m:t>O2</m:t>
            </m:r>
          </m:sub>
        </m:sSub>
      </m:oMath>
      <w:r w:rsidRPr="00EC6E98">
        <w:rPr>
          <w:iCs/>
          <w:color w:val="000000" w:themeColor="text1"/>
          <w:szCs w:val="22"/>
          <w:shd w:val="clear" w:color="auto" w:fill="FFFFFF"/>
        </w:rPr>
        <w:t xml:space="preserve">) can be corrected for non-zero temperature to place the gas-phase chemical potential on an experimental </w:t>
      </w:r>
      <w:r w:rsidRPr="00EC6E98">
        <w:rPr>
          <w:color w:val="000000" w:themeColor="text1"/>
          <w:szCs w:val="22"/>
        </w:rPr>
        <w:t>(</w:t>
      </w:r>
      <w:r w:rsidRPr="00EC6E98">
        <w:rPr>
          <w:i/>
          <w:iCs/>
          <w:color w:val="000000" w:themeColor="text1"/>
          <w:szCs w:val="22"/>
        </w:rPr>
        <w:t>T</w:t>
      </w:r>
      <w:r w:rsidRPr="00EC6E98">
        <w:rPr>
          <w:color w:val="000000" w:themeColor="text1"/>
          <w:szCs w:val="22"/>
        </w:rPr>
        <w:t xml:space="preserve">, </w:t>
      </w:r>
      <w:r w:rsidRPr="00EC6E98">
        <w:rPr>
          <w:i/>
          <w:iCs/>
          <w:color w:val="000000" w:themeColor="text1"/>
          <w:szCs w:val="22"/>
        </w:rPr>
        <w:t>p</w:t>
      </w:r>
      <w:r w:rsidRPr="00EC6E98">
        <w:rPr>
          <w:color w:val="000000" w:themeColor="text1"/>
          <w:szCs w:val="22"/>
        </w:rPr>
        <w:t xml:space="preserve">) scale. Note that, while we have written </w:t>
      </w:r>
      <w:r w:rsidR="005233ED" w:rsidRPr="00B471BD">
        <w:rPr>
          <w:color w:val="000000" w:themeColor="text1"/>
          <w:szCs w:val="22"/>
        </w:rPr>
        <w:fldChar w:fldCharType="begin"/>
      </w:r>
      <w:r w:rsidR="005233ED" w:rsidRPr="00B471BD">
        <w:rPr>
          <w:color w:val="000000" w:themeColor="text1"/>
          <w:szCs w:val="22"/>
        </w:rPr>
        <w:instrText xml:space="preserve"> REF _Ref159506785 \h </w:instrText>
      </w:r>
      <w:r w:rsidR="00B471BD" w:rsidRPr="00B471BD">
        <w:rPr>
          <w:color w:val="000000" w:themeColor="text1"/>
          <w:szCs w:val="22"/>
        </w:rPr>
        <w:instrText xml:space="preserve"> \* MERGEFORMAT </w:instrText>
      </w:r>
      <w:r w:rsidR="005233ED" w:rsidRPr="00B471BD">
        <w:rPr>
          <w:color w:val="000000" w:themeColor="text1"/>
          <w:szCs w:val="22"/>
        </w:rPr>
      </w:r>
      <w:r w:rsidR="005233ED" w:rsidRPr="00B471BD">
        <w:rPr>
          <w:color w:val="000000" w:themeColor="text1"/>
          <w:szCs w:val="22"/>
        </w:rPr>
        <w:fldChar w:fldCharType="separate"/>
      </w:r>
      <w:r w:rsidR="00536CF0" w:rsidRPr="00245F0C">
        <w:rPr>
          <w:szCs w:val="22"/>
        </w:rPr>
        <w:t xml:space="preserve">Equation </w:t>
      </w:r>
      <w:r w:rsidR="00536CF0" w:rsidRPr="00245F0C">
        <w:rPr>
          <w:noProof/>
          <w:szCs w:val="22"/>
        </w:rPr>
        <w:t>24</w:t>
      </w:r>
      <w:r w:rsidR="005233ED" w:rsidRPr="00B471BD">
        <w:rPr>
          <w:color w:val="000000" w:themeColor="text1"/>
          <w:szCs w:val="22"/>
        </w:rPr>
        <w:fldChar w:fldCharType="end"/>
      </w:r>
      <w:r w:rsidR="005233ED">
        <w:rPr>
          <w:color w:val="000000" w:themeColor="text1"/>
          <w:szCs w:val="22"/>
        </w:rPr>
        <w:t xml:space="preserve"> </w:t>
      </w:r>
      <w:r w:rsidRPr="00EC6E98">
        <w:rPr>
          <w:color w:val="000000" w:themeColor="text1"/>
          <w:szCs w:val="22"/>
        </w:rPr>
        <w:t>using the total energy of an O</w:t>
      </w:r>
      <w:r w:rsidRPr="00EC6E98">
        <w:rPr>
          <w:color w:val="000000" w:themeColor="text1"/>
          <w:szCs w:val="22"/>
          <w:vertAlign w:val="subscript"/>
        </w:rPr>
        <w:t>2</w:t>
      </w:r>
      <w:r w:rsidRPr="00EC6E98">
        <w:rPr>
          <w:color w:val="000000" w:themeColor="text1"/>
          <w:szCs w:val="22"/>
        </w:rPr>
        <w:t xml:space="preserve"> molecule, in practice alterative definitions of </w:t>
      </w:r>
      <m:oMath>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E</m:t>
            </m:r>
          </m:e>
          <m:sub>
            <m:r>
              <m:rPr>
                <m:sty m:val="p"/>
              </m:rPr>
              <w:rPr>
                <w:rFonts w:ascii="Cambria Math" w:hAnsi="Cambria Math"/>
                <w:color w:val="000000" w:themeColor="text1"/>
                <w:szCs w:val="22"/>
                <w:shd w:val="clear" w:color="auto" w:fill="FFFFFF"/>
              </w:rPr>
              <m:t>O2</m:t>
            </m:r>
          </m:sub>
        </m:sSub>
      </m:oMath>
      <w:r w:rsidRPr="00EC6E98">
        <w:rPr>
          <w:iCs/>
          <w:color w:val="000000" w:themeColor="text1"/>
          <w:szCs w:val="22"/>
          <w:shd w:val="clear" w:color="auto" w:fill="FFFFFF"/>
        </w:rPr>
        <w:t xml:space="preserve"> are used</w:t>
      </w:r>
      <w:r>
        <w:rPr>
          <w:color w:val="000000" w:themeColor="text1"/>
          <w:szCs w:val="22"/>
          <w:shd w:val="clear" w:color="auto" w:fill="FFFFFF"/>
        </w:rPr>
        <w:fldChar w:fldCharType="begin">
          <w:fldData xml:space="preserve">PEVuZE5vdGU+PENpdGU+PEF1dGhvcj5QZXJzc29uPC9BdXRob3I+PFllYXI+MjAxMjwvWWVhcj48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</w:fldData>
        </w:fldChar>
      </w:r>
      <w:r w:rsidR="00FC5BEB">
        <w:rPr>
          <w:color w:val="000000" w:themeColor="text1"/>
          <w:szCs w:val="22"/>
          <w:shd w:val="clear" w:color="auto" w:fill="FFFFFF"/>
        </w:rPr>
        <w:instrText xml:space="preserve"> ADDIN EN.CITE </w:instrText>
      </w:r>
      <w:r w:rsidR="00FC5BEB">
        <w:rPr>
          <w:color w:val="000000" w:themeColor="text1"/>
          <w:szCs w:val="22"/>
          <w:shd w:val="clear" w:color="auto" w:fill="FFFFFF"/>
        </w:rPr>
        <w:fldChar w:fldCharType="begin">
          <w:fldData xml:space="preserve">PEVuZE5vdGU+PENpdGU+PEF1dGhvcj5QZXJzc29uPC9BdXRob3I+PFllYXI+MjAxMjwvWWVhcj48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</w:fldData>
        </w:fldChar>
      </w:r>
      <w:r w:rsidR="00FC5BEB">
        <w:rPr>
          <w:color w:val="000000" w:themeColor="text1"/>
          <w:szCs w:val="22"/>
          <w:shd w:val="clear" w:color="auto" w:fill="FFFFFF"/>
        </w:rPr>
        <w:instrText xml:space="preserve"> ADDIN EN.CITE.DATA </w:instrText>
      </w:r>
      <w:r w:rsidR="00FC5BEB">
        <w:rPr>
          <w:color w:val="000000" w:themeColor="text1"/>
          <w:szCs w:val="22"/>
          <w:shd w:val="clear" w:color="auto" w:fill="FFFFFF"/>
        </w:rPr>
      </w:r>
      <w:r w:rsidR="00FC5BEB">
        <w:rPr>
          <w:color w:val="000000" w:themeColor="text1"/>
          <w:szCs w:val="22"/>
          <w:shd w:val="clear" w:color="auto" w:fill="FFFFFF"/>
        </w:rPr>
        <w:fldChar w:fldCharType="end"/>
      </w:r>
      <w:r>
        <w:rPr>
          <w:color w:val="000000" w:themeColor="text1"/>
          <w:szCs w:val="22"/>
          <w:shd w:val="clear" w:color="auto" w:fill="FFFFFF"/>
        </w:rPr>
      </w:r>
      <w:r>
        <w:rPr>
          <w:color w:val="000000" w:themeColor="text1"/>
          <w:szCs w:val="22"/>
          <w:shd w:val="clear" w:color="auto" w:fill="FFFFFF"/>
        </w:rPr>
        <w:fldChar w:fldCharType="separate"/>
      </w:r>
      <w:r w:rsidR="00FC5BEB" w:rsidRPr="00FC5BEB">
        <w:rPr>
          <w:noProof/>
          <w:color w:val="000000" w:themeColor="text1"/>
          <w:szCs w:val="22"/>
          <w:shd w:val="clear" w:color="auto" w:fill="FFFFFF"/>
          <w:vertAlign w:val="superscript"/>
        </w:rPr>
        <w:t>110-113</w:t>
      </w:r>
      <w:r>
        <w:rPr>
          <w:color w:val="000000" w:themeColor="text1"/>
          <w:szCs w:val="22"/>
          <w:shd w:val="clear" w:color="auto" w:fill="FFFFFF"/>
        </w:rPr>
        <w:fldChar w:fldCharType="end"/>
      </w:r>
      <w:r w:rsidRPr="00EC6E98">
        <w:rPr>
          <w:iCs/>
          <w:color w:val="000000" w:themeColor="text1"/>
          <w:szCs w:val="22"/>
          <w:shd w:val="clear" w:color="auto" w:fill="FFFFFF"/>
        </w:rPr>
        <w:t xml:space="preserve"> due to the well-known </w:t>
      </w:r>
      <w:proofErr w:type="spellStart"/>
      <w:r w:rsidRPr="00EC6E98">
        <w:rPr>
          <w:iCs/>
          <w:color w:val="000000" w:themeColor="text1"/>
          <w:szCs w:val="22"/>
          <w:shd w:val="clear" w:color="auto" w:fill="FFFFFF"/>
        </w:rPr>
        <w:t>overbinding</w:t>
      </w:r>
      <w:proofErr w:type="spellEnd"/>
      <w:r w:rsidRPr="00EC6E98">
        <w:rPr>
          <w:iCs/>
          <w:color w:val="000000" w:themeColor="text1"/>
          <w:szCs w:val="22"/>
          <w:shd w:val="clear" w:color="auto" w:fill="FFFFFF"/>
        </w:rPr>
        <w:t xml:space="preserve"> of the O</w:t>
      </w:r>
      <w:r w:rsidRPr="00EC6E98">
        <w:rPr>
          <w:iCs/>
          <w:color w:val="000000" w:themeColor="text1"/>
          <w:szCs w:val="22"/>
          <w:shd w:val="clear" w:color="auto" w:fill="FFFFFF"/>
          <w:vertAlign w:val="subscript"/>
        </w:rPr>
        <w:t>2</w:t>
      </w:r>
      <w:r w:rsidRPr="00EC6E98">
        <w:rPr>
          <w:iCs/>
          <w:color w:val="000000" w:themeColor="text1"/>
          <w:szCs w:val="22"/>
          <w:shd w:val="clear" w:color="auto" w:fill="FFFFFF"/>
        </w:rPr>
        <w:t xml:space="preserve"> molecule in the local spin density approximation (LDA), generalized gradient approximation (GGA)s</w:t>
      </w:r>
      <w:r>
        <w:rPr>
          <w:iCs/>
          <w:color w:val="000000" w:themeColor="text1"/>
          <w:szCs w:val="22"/>
          <w:shd w:val="clear" w:color="auto" w:fill="FFFFFF"/>
        </w:rPr>
        <w:fldChar w:fldCharType="begin"/>
      </w:r>
      <w:r w:rsidR="00FC5BEB">
        <w:rPr>
          <w:iCs/>
          <w:color w:val="000000" w:themeColor="text1"/>
          <w:szCs w:val="22"/>
          <w:shd w:val="clear" w:color="auto" w:fill="FFFFFF"/>
        </w:rPr>
        <w:instrText xml:space="preserve"> ADDIN EN.CITE &lt;EndNote&gt;&lt;Cite&gt;&lt;Author&gt;Kurth&lt;/Author&gt;&lt;Year&gt;1999&lt;/Year&gt;&lt;RecNum&gt;112&lt;/RecNum&gt;&lt;DisplayText&gt;&lt;style face="superscript"&gt;114&lt;/style&gt;&lt;/DisplayText&gt;&lt;record&gt;&lt;rec-number&gt;112&lt;/rec-number&gt;&lt;foreign-keys&gt;&lt;key app="EN" db-id="2xex0erf4eexr4e2dpbxpdd829xttesxxxdr" timestamp="1715075296"&gt;112&lt;/key&gt;&lt;/foreign-keys&gt;&lt;ref-type name="Journal Article"&gt;17&lt;/ref-type&gt;&lt;contributors&gt;&lt;authors&gt;&lt;author&gt;Kurth, Stefan&lt;/author&gt;&lt;author&gt;Perdew, John P.&lt;/author&gt;&lt;author&gt;Blaha, Peter&lt;/author&gt;&lt;/authors&gt;&lt;/contributors&gt;&lt;titles&gt;&lt;title&gt;Molecular and solid-state tests of density functional approximations: LSD, GGAs, and meta-GGAs&lt;/title&gt;&lt;secondary-title&gt;Int. J. Quantum Chem.&lt;/secondary-title&gt;&lt;/titles&gt;&lt;periodical&gt;&lt;full-title&gt;International Journal of Quantum Chemistry&lt;/full-title&gt;&lt;abbr-1&gt;Int. J. Quantum Chem.&lt;/abbr-1&gt;&lt;abbr-2&gt;Int J Quantum Chem&lt;/abbr-2&gt;&lt;/periodical&gt;&lt;pages&gt;889-909&lt;/pages&gt;&lt;volume&gt;75&lt;/volume&gt;&lt;number&gt;4-5&lt;/number&gt;&lt;dates&gt;&lt;year&gt;1999&lt;/year&gt;&lt;/dates&gt;&lt;isbn&gt;0020-7608&lt;/isbn&gt;&lt;urls&gt;&lt;related-urls&gt;&lt;url&gt;https://onlinelibrary.wiley.com/doi/abs/10.1002/%28SICI%291097-461X%281999%2975%3A4/5%3C889%3A%3AAID-QUA54%3E3.0.CO%3B2-8&lt;/url&gt;&lt;/related-urls&gt;&lt;/urls&gt;&lt;electronic-resource-num&gt;https://doi.org/10.1002/(SICI)1097-461X(1999)75:4/5&amp;lt;889::AID-QUA54&amp;gt;3.0.CO;2-8&lt;/electronic-resource-num&gt;&lt;/record&gt;&lt;/Cite&gt;&lt;/EndNote&gt;</w:instrText>
      </w:r>
      <w:r>
        <w:rPr>
          <w:iCs/>
          <w:color w:val="000000" w:themeColor="text1"/>
          <w:szCs w:val="22"/>
          <w:shd w:val="clear" w:color="auto" w:fill="FFFFFF"/>
        </w:rPr>
        <w:fldChar w:fldCharType="separate"/>
      </w:r>
      <w:r w:rsidR="00FC5BEB" w:rsidRPr="00FC5BEB">
        <w:rPr>
          <w:iCs/>
          <w:noProof/>
          <w:color w:val="000000" w:themeColor="text1"/>
          <w:szCs w:val="22"/>
          <w:shd w:val="clear" w:color="auto" w:fill="FFFFFF"/>
          <w:vertAlign w:val="superscript"/>
        </w:rPr>
        <w:t>114</w:t>
      </w:r>
      <w:r>
        <w:rPr>
          <w:iCs/>
          <w:color w:val="000000" w:themeColor="text1"/>
          <w:szCs w:val="22"/>
          <w:shd w:val="clear" w:color="auto" w:fill="FFFFFF"/>
        </w:rPr>
        <w:fldChar w:fldCharType="end"/>
      </w:r>
      <w:r w:rsidRPr="00EC6E98">
        <w:rPr>
          <w:iCs/>
          <w:color w:val="000000" w:themeColor="text1"/>
          <w:szCs w:val="22"/>
          <w:shd w:val="clear" w:color="auto" w:fill="FFFFFF"/>
        </w:rPr>
        <w:t>, and hybrid functionals</w:t>
      </w:r>
      <w:r>
        <w:rPr>
          <w:iCs/>
          <w:color w:val="000000" w:themeColor="text1"/>
          <w:szCs w:val="22"/>
          <w:shd w:val="clear" w:color="auto" w:fill="FFFFFF"/>
        </w:rPr>
        <w:fldChar w:fldCharType="begin"/>
      </w:r>
      <w:r w:rsidR="00FC5BEB">
        <w:rPr>
          <w:iCs/>
          <w:color w:val="000000" w:themeColor="text1"/>
          <w:szCs w:val="22"/>
          <w:shd w:val="clear" w:color="auto" w:fill="FFFFFF"/>
        </w:rPr>
        <w:instrText xml:space="preserve"> ADDIN EN.CITE &lt;EndNote&gt;&lt;Cite&gt;&lt;Author&gt;Almeida&lt;/Author&gt;&lt;Year&gt;2022&lt;/Year&gt;&lt;RecNum&gt;113&lt;/RecNum&gt;&lt;DisplayText&gt;&lt;style face="superscript"&gt;115&lt;/style&gt;&lt;/DisplayText&gt;&lt;record&gt;&lt;rec-number&gt;113&lt;/rec-number&gt;&lt;foreign-keys&gt;&lt;key app="EN" db-id="2xex0erf4eexr4e2dpbxpdd829xttesxxxdr" timestamp="1715075296"&gt;113&lt;/key&gt;&lt;/foreign-keys&gt;&lt;ref-type name="Journal Article"&gt;17&lt;/ref-type&gt;&lt;contributors&gt;&lt;authors&gt;&lt;author&gt;Almeida, Michell O.&lt;/author&gt;&lt;author&gt;Kolb, Manuel J.&lt;/author&gt;&lt;author&gt;Lanza, Marcos R. V.&lt;/author&gt;&lt;author&gt;Illas, Francesc&lt;/author&gt;&lt;author&gt;Calle-Vallejo, Federico&lt;/author&gt;&lt;/authors&gt;&lt;/contributors&gt;&lt;titles&gt;&lt;title&gt;Gas-Phase Errors Affect DFT-Based Electrocatalysis Models of Oxygen Reduction to Hydrogen Peroxide&lt;/title&gt;&lt;secondary-title&gt;ChemElectroChem&lt;/secondary-title&gt;&lt;/titles&gt;&lt;pages&gt;e202200210&lt;/pages&gt;&lt;volume&gt;9&lt;/volume&gt;&lt;number&gt;12&lt;/number&gt;&lt;dates&gt;&lt;year&gt;2022&lt;/year&gt;&lt;/dates&gt;&lt;isbn&gt;2196-0216&lt;/isbn&gt;&lt;urls&gt;&lt;related-urls&gt;&lt;url&gt;https://chemistry-europe.onlinelibrary.wiley.com/doi/abs/10.1002/celc.202200210&lt;/url&gt;&lt;/related-urls&gt;&lt;/urls&gt;&lt;electronic-resource-num&gt;https://doi.org/10.1002/celc.202200210&lt;/electronic-resource-num&gt;&lt;/record&gt;&lt;/Cite&gt;&lt;/EndNote&gt;</w:instrText>
      </w:r>
      <w:r>
        <w:rPr>
          <w:iCs/>
          <w:color w:val="000000" w:themeColor="text1"/>
          <w:szCs w:val="22"/>
          <w:shd w:val="clear" w:color="auto" w:fill="FFFFFF"/>
        </w:rPr>
        <w:fldChar w:fldCharType="separate"/>
      </w:r>
      <w:r w:rsidR="00FC5BEB" w:rsidRPr="00FC5BEB">
        <w:rPr>
          <w:iCs/>
          <w:noProof/>
          <w:color w:val="000000" w:themeColor="text1"/>
          <w:szCs w:val="22"/>
          <w:shd w:val="clear" w:color="auto" w:fill="FFFFFF"/>
          <w:vertAlign w:val="superscript"/>
        </w:rPr>
        <w:t>115</w:t>
      </w:r>
      <w:r>
        <w:rPr>
          <w:iCs/>
          <w:color w:val="000000" w:themeColor="text1"/>
          <w:szCs w:val="22"/>
          <w:shd w:val="clear" w:color="auto" w:fill="FFFFFF"/>
        </w:rPr>
        <w:fldChar w:fldCharType="end"/>
      </w:r>
      <w:r>
        <w:rPr>
          <w:iCs/>
          <w:color w:val="000000" w:themeColor="text1"/>
          <w:szCs w:val="22"/>
          <w:shd w:val="clear" w:color="auto" w:fill="FFFFFF"/>
        </w:rPr>
        <w:t>.</w:t>
      </w:r>
      <w:r w:rsidRPr="00EC6E98">
        <w:rPr>
          <w:color w:val="000000" w:themeColor="text1"/>
          <w:szCs w:val="22"/>
        </w:rPr>
        <w:t xml:space="preserve"> </w:t>
      </w:r>
      <w:r w:rsidRPr="00EC6E98">
        <w:rPr>
          <w:iCs/>
          <w:color w:val="000000" w:themeColor="text1"/>
          <w:szCs w:val="22"/>
          <w:shd w:val="clear" w:color="auto" w:fill="FFFFFF"/>
        </w:rPr>
        <w:t xml:space="preserve">For instance, the energy of oxygen can be written in terms of the computed total energies of gas-phase water and hydrogen together with the measured heat of formation of water as: </w:t>
      </w:r>
      <m:oMath>
        <m:sSub>
          <m:sSubPr>
            <m:ctrlPr>
              <w:rPr>
                <w:rFonts w:ascii="Cambria Math" w:eastAsiaTheme="minorHAnsi" w:hAnsi="Cambria Math"/>
                <w:i/>
                <w:iCs/>
                <w:color w:val="000000" w:themeColor="text1"/>
                <w:szCs w:val="22"/>
                <w:shd w:val="clear" w:color="auto" w:fill="FFFFFF"/>
              </w:rPr>
            </m:ctrlPr>
          </m:sSubPr>
          <m:e>
            <m:f>
              <m:fPr>
                <m:ctrlPr>
                  <w:rPr>
                    <w:rFonts w:ascii="Cambria Math" w:eastAsiaTheme="minorHAnsi" w:hAnsi="Cambria Math"/>
                    <w:i/>
                    <w:iCs/>
                    <w:color w:val="000000" w:themeColor="text1"/>
                    <w:szCs w:val="22"/>
                    <w:shd w:val="clear" w:color="auto" w:fill="FFFFFF"/>
                  </w:rPr>
                </m:ctrlPr>
              </m:fPr>
              <m:num>
                <m:r>
                  <w:rPr>
                    <w:rFonts w:ascii="Cambria Math" w:hAnsi="Cambria Math"/>
                    <w:color w:val="000000" w:themeColor="text1"/>
                    <w:szCs w:val="22"/>
                    <w:shd w:val="clear" w:color="auto" w:fill="FFFFFF"/>
                  </w:rPr>
                  <m:t>1</m:t>
                </m:r>
              </m:num>
              <m:den>
                <m:r>
                  <w:rPr>
                    <w:rFonts w:ascii="Cambria Math" w:hAnsi="Cambria Math"/>
                    <w:color w:val="000000" w:themeColor="text1"/>
                    <w:szCs w:val="22"/>
                    <w:shd w:val="clear" w:color="auto" w:fill="FFFFFF"/>
                  </w:rPr>
                  <m:t>2</m:t>
                </m:r>
              </m:den>
            </m:f>
            <m:r>
              <w:rPr>
                <w:rFonts w:ascii="Cambria Math" w:hAnsi="Cambria Math"/>
                <w:color w:val="000000" w:themeColor="text1"/>
                <w:szCs w:val="22"/>
                <w:shd w:val="clear" w:color="auto" w:fill="FFFFFF"/>
              </w:rPr>
              <m:t>E</m:t>
            </m:r>
          </m:e>
          <m:sub>
            <m:r>
              <m:rPr>
                <m:sty m:val="p"/>
              </m:rPr>
              <w:rPr>
                <w:rFonts w:ascii="Cambria Math" w:hAnsi="Cambria Math"/>
                <w:color w:val="000000" w:themeColor="text1"/>
                <w:szCs w:val="22"/>
                <w:shd w:val="clear" w:color="auto" w:fill="FFFFFF"/>
              </w:rPr>
              <m:t>O2</m:t>
            </m:r>
          </m:sub>
        </m:sSub>
        <m:r>
          <w:rPr>
            <w:rFonts w:ascii="Cambria Math" w:hAnsi="Cambria Math"/>
            <w:color w:val="000000" w:themeColor="text1"/>
            <w:szCs w:val="22"/>
            <w:shd w:val="clear" w:color="auto" w:fill="FFFFFF"/>
          </w:rPr>
          <m:t>=</m:t>
        </m:r>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E</m:t>
            </m:r>
          </m:e>
          <m:sub>
            <m:r>
              <m:rPr>
                <m:sty m:val="p"/>
              </m:rPr>
              <w:rPr>
                <w:rFonts w:ascii="Cambria Math" w:hAnsi="Cambria Math"/>
                <w:color w:val="000000" w:themeColor="text1"/>
                <w:szCs w:val="22"/>
                <w:shd w:val="clear" w:color="auto" w:fill="FFFFFF"/>
              </w:rPr>
              <m:t>H2O,gas</m:t>
            </m:r>
          </m:sub>
        </m:sSub>
        <m:r>
          <w:rPr>
            <w:rFonts w:ascii="Cambria Math" w:hAnsi="Cambria Math"/>
            <w:color w:val="000000" w:themeColor="text1"/>
            <w:szCs w:val="22"/>
            <w:shd w:val="clear" w:color="auto" w:fill="FFFFFF"/>
          </w:rPr>
          <m:t>-</m:t>
        </m:r>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E</m:t>
            </m:r>
          </m:e>
          <m:sub>
            <m:r>
              <m:rPr>
                <m:sty m:val="p"/>
              </m:rPr>
              <w:rPr>
                <w:rFonts w:ascii="Cambria Math" w:hAnsi="Cambria Math"/>
                <w:color w:val="000000" w:themeColor="text1"/>
                <w:szCs w:val="22"/>
                <w:shd w:val="clear" w:color="auto" w:fill="FFFFFF"/>
              </w:rPr>
              <m:t>H2,gas</m:t>
            </m:r>
          </m:sub>
        </m:sSub>
        <m:r>
          <w:rPr>
            <w:rFonts w:ascii="Cambria Math" w:hAnsi="Cambria Math"/>
            <w:color w:val="000000" w:themeColor="text1"/>
            <w:szCs w:val="22"/>
            <w:shd w:val="clear" w:color="auto" w:fill="FFFFFF"/>
          </w:rPr>
          <m:t>-∆</m:t>
        </m:r>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H</m:t>
            </m:r>
          </m:e>
          <m:sub>
            <m:r>
              <w:rPr>
                <w:rFonts w:ascii="Cambria Math" w:hAnsi="Cambria Math"/>
                <w:color w:val="000000" w:themeColor="text1"/>
                <w:szCs w:val="22"/>
                <w:shd w:val="clear" w:color="auto" w:fill="FFFFFF"/>
              </w:rPr>
              <m:t>f</m:t>
            </m:r>
            <m:r>
              <m:rPr>
                <m:sty m:val="p"/>
              </m:rPr>
              <w:rPr>
                <w:rFonts w:ascii="Cambria Math" w:hAnsi="Cambria Math"/>
                <w:color w:val="000000" w:themeColor="text1"/>
                <w:szCs w:val="22"/>
                <w:shd w:val="clear" w:color="auto" w:fill="FFFFFF"/>
              </w:rPr>
              <m:t>,H2O,gas</m:t>
            </m:r>
          </m:sub>
        </m:sSub>
      </m:oMath>
      <w:r w:rsidRPr="00EC6E98">
        <w:rPr>
          <w:iCs/>
          <w:color w:val="000000" w:themeColor="text1"/>
          <w:szCs w:val="22"/>
          <w:shd w:val="clear" w:color="auto" w:fill="FFFFFF"/>
        </w:rPr>
        <w:t>. Such approaches to compute the energy of oxygen are not always used, but they may offer a chance to reduce computational errors, and care must be taken when comparing results from different authors to ensure similar schemes were used to compute the oxygen energy. An example of the error reduction that is possible can be seen in, for instance, Ref.</w:t>
      </w:r>
      <w:r>
        <w:rPr>
          <w:iCs/>
          <w:color w:val="000000" w:themeColor="text1"/>
          <w:szCs w:val="22"/>
          <w:shd w:val="clear" w:color="auto" w:fill="FFFFFF"/>
        </w:rPr>
        <w:t xml:space="preserve"> </w:t>
      </w:r>
      <w:r>
        <w:rPr>
          <w:iCs/>
          <w:color w:val="000000" w:themeColor="text1"/>
          <w:szCs w:val="22"/>
          <w:shd w:val="clear" w:color="auto" w:fill="FFFFFF"/>
        </w:rPr>
        <w:fldChar w:fldCharType="begin"/>
      </w:r>
      <w:r w:rsidR="00FC5BEB">
        <w:rPr>
          <w:iCs/>
          <w:color w:val="000000" w:themeColor="text1"/>
          <w:szCs w:val="22"/>
          <w:shd w:val="clear" w:color="auto" w:fill="FFFFFF"/>
        </w:rPr>
        <w:instrText xml:space="preserve"> ADDIN EN.CITE &lt;EndNote&gt;&lt;Cite&gt;&lt;Author&gt;Martínez&lt;/Author&gt;&lt;Year&gt;2009&lt;/Year&gt;&lt;RecNum&gt;111&lt;/RecNum&gt;&lt;DisplayText&gt;&lt;style face="superscript"&gt;113&lt;/style&gt;&lt;/DisplayText&gt;&lt;record&gt;&lt;rec-number&gt;111&lt;/rec-number&gt;&lt;foreign-keys&gt;&lt;key app="EN" db-id="2xex0erf4eexr4e2dpbxpdd829xttesxxxdr" timestamp="1715075296"&gt;111&lt;/key&gt;&lt;/foreign-keys&gt;&lt;ref-type name="Journal Article"&gt;17&lt;/ref-type&gt;&lt;contributors&gt;&lt;authors&gt;&lt;author&gt;Martínez, J. I.&lt;/author&gt;&lt;author&gt;Hansen, H. A.&lt;/author&gt;&lt;author&gt;Rossmeisl, J.&lt;/author&gt;&lt;author&gt;Nørskov, J. K.&lt;/author&gt;&lt;/authors&gt;&lt;/contributors&gt;&lt;titles&gt;&lt;title&gt;Formation energies of rutile metal dioxides using density functional theory&lt;/title&gt;&lt;secondary-title&gt;Physical Review B&lt;/secondary-title&gt;&lt;/titles&gt;&lt;periodical&gt;&lt;full-title&gt;Physical Review B&lt;/full-title&gt;&lt;abbr-1&gt;Phys. Rev. B&lt;/abbr-1&gt;&lt;abbr-2&gt;Phys Rev B&lt;/abbr-2&gt;&lt;/periodical&gt;&lt;pages&gt;045120&lt;/pages&gt;&lt;volume&gt;79&lt;/volume&gt;&lt;number&gt;4&lt;/number&gt;&lt;dates&gt;&lt;year&gt;2009&lt;/year&gt;&lt;pub-dates&gt;&lt;date&gt;01/26/&lt;/date&gt;&lt;/pub-dates&gt;&lt;/dates&gt;&lt;publisher&gt;American Physical Society&lt;/publisher&gt;&lt;urls&gt;&lt;related-urls&gt;&lt;url&gt;https://link.aps.org/doi/10.1103/PhysRevB.79.045120&lt;/url&gt;&lt;/related-urls&gt;&lt;/urls&gt;&lt;electronic-resource-num&gt;10.1103/PhysRevB.79.045120&lt;/electronic-resource-num&gt;&lt;/record&gt;&lt;/Cite&gt;&lt;/EndNote&gt;</w:instrText>
      </w:r>
      <w:r>
        <w:rPr>
          <w:iCs/>
          <w:color w:val="000000" w:themeColor="text1"/>
          <w:szCs w:val="22"/>
          <w:shd w:val="clear" w:color="auto" w:fill="FFFFFF"/>
        </w:rPr>
        <w:fldChar w:fldCharType="separate"/>
      </w:r>
      <w:r w:rsidR="00FC5BEB" w:rsidRPr="00FC5BEB">
        <w:rPr>
          <w:iCs/>
          <w:noProof/>
          <w:color w:val="000000" w:themeColor="text1"/>
          <w:szCs w:val="22"/>
          <w:shd w:val="clear" w:color="auto" w:fill="FFFFFF"/>
          <w:vertAlign w:val="superscript"/>
        </w:rPr>
        <w:t>113</w:t>
      </w:r>
      <w:r>
        <w:rPr>
          <w:iCs/>
          <w:color w:val="000000" w:themeColor="text1"/>
          <w:szCs w:val="22"/>
          <w:shd w:val="clear" w:color="auto" w:fill="FFFFFF"/>
        </w:rPr>
        <w:fldChar w:fldCharType="end"/>
      </w:r>
      <w:r w:rsidRPr="00EC6E98">
        <w:rPr>
          <w:iCs/>
          <w:color w:val="000000" w:themeColor="text1"/>
          <w:szCs w:val="22"/>
          <w:shd w:val="clear" w:color="auto" w:fill="FFFFFF"/>
        </w:rPr>
        <w:t>. The authors computed the energy of formation of rutile type oxides using H</w:t>
      </w:r>
      <w:r w:rsidRPr="00EC6E98">
        <w:rPr>
          <w:iCs/>
          <w:color w:val="000000" w:themeColor="text1"/>
          <w:szCs w:val="22"/>
          <w:shd w:val="clear" w:color="auto" w:fill="FFFFFF"/>
          <w:vertAlign w:val="subscript"/>
        </w:rPr>
        <w:t>2</w:t>
      </w:r>
      <w:r w:rsidRPr="00EC6E98">
        <w:rPr>
          <w:iCs/>
          <w:color w:val="000000" w:themeColor="text1"/>
          <w:szCs w:val="22"/>
          <w:shd w:val="clear" w:color="auto" w:fill="FFFFFF"/>
        </w:rPr>
        <w:t xml:space="preserve"> and H</w:t>
      </w:r>
      <w:r w:rsidRPr="00EC6E98">
        <w:rPr>
          <w:iCs/>
          <w:color w:val="000000" w:themeColor="text1"/>
          <w:szCs w:val="22"/>
          <w:shd w:val="clear" w:color="auto" w:fill="FFFFFF"/>
          <w:vertAlign w:val="subscript"/>
        </w:rPr>
        <w:t>2</w:t>
      </w:r>
      <w:r w:rsidRPr="00EC6E98">
        <w:rPr>
          <w:iCs/>
          <w:color w:val="000000" w:themeColor="text1"/>
          <w:szCs w:val="22"/>
          <w:shd w:val="clear" w:color="auto" w:fill="FFFFFF"/>
        </w:rPr>
        <w:t>O as reference states, rather than O</w:t>
      </w:r>
      <w:r w:rsidRPr="00EC6E98">
        <w:rPr>
          <w:iCs/>
          <w:color w:val="000000" w:themeColor="text1"/>
          <w:szCs w:val="22"/>
          <w:shd w:val="clear" w:color="auto" w:fill="FFFFFF"/>
          <w:vertAlign w:val="subscript"/>
        </w:rPr>
        <w:t>2</w:t>
      </w:r>
      <w:r w:rsidRPr="00EC6E98">
        <w:rPr>
          <w:iCs/>
          <w:color w:val="000000" w:themeColor="text1"/>
          <w:szCs w:val="22"/>
          <w:shd w:val="clear" w:color="auto" w:fill="FFFFFF"/>
        </w:rPr>
        <w:t xml:space="preserve">, resulting in a mean absolute error of 0.29 eV within the </w:t>
      </w:r>
      <w:r w:rsidRPr="00EC6E98">
        <w:rPr>
          <w:color w:val="000000" w:themeColor="text1"/>
          <w:szCs w:val="22"/>
          <w:shd w:val="clear" w:color="auto" w:fill="FFFFFF"/>
        </w:rPr>
        <w:t xml:space="preserve">revised </w:t>
      </w:r>
      <w:proofErr w:type="spellStart"/>
      <w:r w:rsidRPr="00EC6E98">
        <w:rPr>
          <w:color w:val="000000" w:themeColor="text1"/>
          <w:szCs w:val="22"/>
          <w:shd w:val="clear" w:color="auto" w:fill="FFFFFF"/>
        </w:rPr>
        <w:t>Perdew</w:t>
      </w:r>
      <w:proofErr w:type="spellEnd"/>
      <w:r w:rsidRPr="00EC6E98">
        <w:rPr>
          <w:color w:val="000000" w:themeColor="text1"/>
          <w:szCs w:val="22"/>
          <w:shd w:val="clear" w:color="auto" w:fill="FFFFFF"/>
        </w:rPr>
        <w:t>-Burke-</w:t>
      </w:r>
      <w:proofErr w:type="spellStart"/>
      <w:r w:rsidRPr="00EC6E98">
        <w:rPr>
          <w:color w:val="000000" w:themeColor="text1"/>
          <w:szCs w:val="22"/>
          <w:shd w:val="clear" w:color="auto" w:fill="FFFFFF"/>
        </w:rPr>
        <w:t>Ernzerhof</w:t>
      </w:r>
      <w:proofErr w:type="spellEnd"/>
      <w:r w:rsidRPr="00EC6E98">
        <w:rPr>
          <w:rStyle w:val="apple-converted-space"/>
          <w:color w:val="000000" w:themeColor="text1"/>
          <w:szCs w:val="22"/>
          <w:shd w:val="clear" w:color="auto" w:fill="FFFFFF"/>
        </w:rPr>
        <w:t> </w:t>
      </w:r>
      <w:r w:rsidRPr="00EC6E98">
        <w:rPr>
          <w:iCs/>
          <w:color w:val="000000" w:themeColor="text1"/>
          <w:szCs w:val="22"/>
          <w:shd w:val="clear" w:color="auto" w:fill="FFFFFF"/>
        </w:rPr>
        <w:t>GGA</w:t>
      </w:r>
      <w:r>
        <w:rPr>
          <w:iCs/>
          <w:color w:val="000000" w:themeColor="text1"/>
          <w:szCs w:val="22"/>
          <w:shd w:val="clear" w:color="auto" w:fill="FFFFFF"/>
        </w:rPr>
        <w:fldChar w:fldCharType="begin"/>
      </w:r>
      <w:r w:rsidR="00FC5BEB">
        <w:rPr>
          <w:iCs/>
          <w:color w:val="000000" w:themeColor="text1"/>
          <w:szCs w:val="22"/>
          <w:shd w:val="clear" w:color="auto" w:fill="FFFFFF"/>
        </w:rPr>
        <w:instrText xml:space="preserve"> ADDIN EN.CITE &lt;EndNote&gt;&lt;Cite&gt;&lt;Author&gt;Martínez&lt;/Author&gt;&lt;Year&gt;2009&lt;/Year&gt;&lt;RecNum&gt;111&lt;/RecNum&gt;&lt;DisplayText&gt;&lt;style face="superscript"&gt;113&lt;/style&gt;&lt;/DisplayText&gt;&lt;record&gt;&lt;rec-number&gt;111&lt;/rec-number&gt;&lt;foreign-keys&gt;&lt;key app="EN" db-id="2xex0erf4eexr4e2dpbxpdd829xttesxxxdr" timestamp="1715075296"&gt;111&lt;/key&gt;&lt;/foreign-keys&gt;&lt;ref-type name="Journal Article"&gt;17&lt;/ref-type&gt;&lt;contributors&gt;&lt;authors&gt;&lt;author&gt;Martínez, J. I.&lt;/author&gt;&lt;author&gt;Hansen, H. A.&lt;/author&gt;&lt;author&gt;Rossmeisl, J.&lt;/author&gt;&lt;author&gt;Nørskov, J. K.&lt;/author&gt;&lt;/authors&gt;&lt;/contributors&gt;&lt;titles&gt;&lt;title&gt;Formation energies of rutile metal dioxides using density functional theory&lt;/title&gt;&lt;secondary-title&gt;Physical Review B&lt;/secondary-title&gt;&lt;/titles&gt;&lt;periodical&gt;&lt;full-title&gt;Physical Review B&lt;/full-title&gt;&lt;abbr-1&gt;Phys. Rev. B&lt;/abbr-1&gt;&lt;abbr-2&gt;Phys Rev B&lt;/abbr-2&gt;&lt;/periodical&gt;&lt;pages&gt;045120&lt;/pages&gt;&lt;volume&gt;79&lt;/volume&gt;&lt;number&gt;4&lt;/number&gt;&lt;dates&gt;&lt;year&gt;2009&lt;/year&gt;&lt;pub-dates&gt;&lt;date&gt;01/26/&lt;/date&gt;&lt;/pub-dates&gt;&lt;/dates&gt;&lt;publisher&gt;American Physical Society&lt;/publisher&gt;&lt;urls&gt;&lt;related-urls&gt;&lt;url&gt;https://link.aps.org/doi/10.1103/PhysRevB.79.045120&lt;/url&gt;&lt;/related-urls&gt;&lt;/urls&gt;&lt;electronic-resource-num&gt;10.1103/PhysRevB.79.045120&lt;/electronic-resource-num&gt;&lt;/record&gt;&lt;/Cite&gt;&lt;/EndNote&gt;</w:instrText>
      </w:r>
      <w:r>
        <w:rPr>
          <w:iCs/>
          <w:color w:val="000000" w:themeColor="text1"/>
          <w:szCs w:val="22"/>
          <w:shd w:val="clear" w:color="auto" w:fill="FFFFFF"/>
        </w:rPr>
        <w:fldChar w:fldCharType="separate"/>
      </w:r>
      <w:r w:rsidR="00FC5BEB" w:rsidRPr="00FC5BEB">
        <w:rPr>
          <w:iCs/>
          <w:noProof/>
          <w:color w:val="000000" w:themeColor="text1"/>
          <w:szCs w:val="22"/>
          <w:shd w:val="clear" w:color="auto" w:fill="FFFFFF"/>
          <w:vertAlign w:val="superscript"/>
        </w:rPr>
        <w:t>113</w:t>
      </w:r>
      <w:r>
        <w:rPr>
          <w:iCs/>
          <w:color w:val="000000" w:themeColor="text1"/>
          <w:szCs w:val="22"/>
          <w:shd w:val="clear" w:color="auto" w:fill="FFFFFF"/>
        </w:rPr>
        <w:fldChar w:fldCharType="end"/>
      </w:r>
      <w:r w:rsidRPr="00EC6E98">
        <w:rPr>
          <w:iCs/>
          <w:color w:val="000000" w:themeColor="text1"/>
          <w:szCs w:val="22"/>
          <w:shd w:val="clear" w:color="auto" w:fill="FFFFFF"/>
        </w:rPr>
        <w:t>. This error is significantly less than the 0.60 eV error in the O</w:t>
      </w:r>
      <w:r w:rsidRPr="00EC6E98">
        <w:rPr>
          <w:iCs/>
          <w:color w:val="000000" w:themeColor="text1"/>
          <w:szCs w:val="22"/>
          <w:shd w:val="clear" w:color="auto" w:fill="FFFFFF"/>
          <w:vertAlign w:val="subscript"/>
        </w:rPr>
        <w:t>2</w:t>
      </w:r>
      <w:r w:rsidRPr="00EC6E98">
        <w:rPr>
          <w:iCs/>
          <w:color w:val="000000" w:themeColor="text1"/>
          <w:szCs w:val="22"/>
          <w:shd w:val="clear" w:color="auto" w:fill="FFFFFF"/>
        </w:rPr>
        <w:t xml:space="preserve"> bond energy within the same approximation. The choice of oxygen reference state can have a significant impact on predicted oxygen electrochemistry</w:t>
      </w:r>
      <w:r>
        <w:rPr>
          <w:iCs/>
          <w:color w:val="000000" w:themeColor="text1"/>
          <w:szCs w:val="22"/>
          <w:shd w:val="clear" w:color="auto" w:fill="FFFFFF"/>
        </w:rPr>
        <w:fldChar w:fldCharType="begin">
          <w:fldData xml:space="preserve">PEVuZE5vdGU+PENpdGU+PEF1dGhvcj5TYXJnZWFudDwvQXV0aG9yPjxZZWFyPjIwMjE8L1llYXI+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</w:fldData>
        </w:fldChar>
      </w:r>
      <w:r w:rsidR="00FC5BEB">
        <w:rPr>
          <w:iCs/>
          <w:color w:val="000000" w:themeColor="text1"/>
          <w:szCs w:val="22"/>
          <w:shd w:val="clear" w:color="auto" w:fill="FFFFFF"/>
        </w:rPr>
        <w:instrText xml:space="preserve"> ADDIN EN.CITE </w:instrText>
      </w:r>
      <w:r w:rsidR="00FC5BEB">
        <w:rPr>
          <w:iCs/>
          <w:color w:val="000000" w:themeColor="text1"/>
          <w:szCs w:val="22"/>
          <w:shd w:val="clear" w:color="auto" w:fill="FFFFFF"/>
        </w:rPr>
        <w:fldChar w:fldCharType="begin">
          <w:fldData xml:space="preserve">PEVuZE5vdGU+PENpdGU+PEF1dGhvcj5TYXJnZWFudDwvQXV0aG9yPjxZZWFyPjIwMjE8L1llYXI+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</w:fldData>
        </w:fldChar>
      </w:r>
      <w:r w:rsidR="00FC5BEB">
        <w:rPr>
          <w:iCs/>
          <w:color w:val="000000" w:themeColor="text1"/>
          <w:szCs w:val="22"/>
          <w:shd w:val="clear" w:color="auto" w:fill="FFFFFF"/>
        </w:rPr>
        <w:instrText xml:space="preserve"> ADDIN EN.CITE.DATA </w:instrText>
      </w:r>
      <w:r w:rsidR="00FC5BEB">
        <w:rPr>
          <w:iCs/>
          <w:color w:val="000000" w:themeColor="text1"/>
          <w:szCs w:val="22"/>
          <w:shd w:val="clear" w:color="auto" w:fill="FFFFFF"/>
        </w:rPr>
      </w:r>
      <w:r w:rsidR="00FC5BEB">
        <w:rPr>
          <w:iCs/>
          <w:color w:val="000000" w:themeColor="text1"/>
          <w:szCs w:val="22"/>
          <w:shd w:val="clear" w:color="auto" w:fill="FFFFFF"/>
        </w:rPr>
        <w:fldChar w:fldCharType="end"/>
      </w:r>
      <w:r>
        <w:rPr>
          <w:iCs/>
          <w:color w:val="000000" w:themeColor="text1"/>
          <w:szCs w:val="22"/>
          <w:shd w:val="clear" w:color="auto" w:fill="FFFFFF"/>
        </w:rPr>
      </w:r>
      <w:r>
        <w:rPr>
          <w:iCs/>
          <w:color w:val="000000" w:themeColor="text1"/>
          <w:szCs w:val="22"/>
          <w:shd w:val="clear" w:color="auto" w:fill="FFFFFF"/>
        </w:rPr>
        <w:fldChar w:fldCharType="separate"/>
      </w:r>
      <w:r w:rsidR="00FC5BEB" w:rsidRPr="00FC5BEB">
        <w:rPr>
          <w:iCs/>
          <w:noProof/>
          <w:color w:val="000000" w:themeColor="text1"/>
          <w:szCs w:val="22"/>
          <w:shd w:val="clear" w:color="auto" w:fill="FFFFFF"/>
          <w:vertAlign w:val="superscript"/>
        </w:rPr>
        <w:t>112, 115</w:t>
      </w:r>
      <w:r>
        <w:rPr>
          <w:iCs/>
          <w:color w:val="000000" w:themeColor="text1"/>
          <w:szCs w:val="22"/>
          <w:shd w:val="clear" w:color="auto" w:fill="FFFFFF"/>
        </w:rPr>
        <w:fldChar w:fldCharType="end"/>
      </w:r>
      <w:r w:rsidRPr="00EC6E98">
        <w:rPr>
          <w:iCs/>
          <w:color w:val="000000" w:themeColor="text1"/>
          <w:szCs w:val="22"/>
          <w:shd w:val="clear" w:color="auto" w:fill="FFFFFF"/>
        </w:rPr>
        <w:t>.</w:t>
      </w:r>
    </w:p>
    <w:p w14:paraId="6AFB3506" w14:textId="7A2952E6" w:rsidR="00605198" w:rsidRPr="00EC6E98" w:rsidRDefault="00605198" w:rsidP="00594FAE">
      <w:pPr>
        <w:rPr>
          <w:iCs/>
          <w:color w:val="000000" w:themeColor="text1"/>
          <w:szCs w:val="22"/>
          <w:shd w:val="clear" w:color="auto" w:fill="FFFFFF"/>
        </w:rPr>
      </w:pPr>
      <w:r>
        <w:rPr>
          <w:iCs/>
          <w:noProof/>
          <w:color w:val="000000" w:themeColor="text1"/>
          <w:szCs w:val="22"/>
          <w:shd w:val="clear" w:color="auto" w:fill="FFFFFF"/>
          <w14:ligatures w14:val="standardContextual"/>
        </w:rPr>
        <w:drawing>
          <wp:inline distT="0" distB="0" distL="0" distR="0" wp14:anchorId="1E5E4654" wp14:editId="31500919">
            <wp:extent cx="5731510" cy="3644265"/>
            <wp:effectExtent l="0" t="0" r="0" b="635"/>
            <wp:docPr id="5508945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0894524" name="Picture 550894524"/>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31510" cy="3644265"/>
                    </a:xfrm>
                    <a:prstGeom prst="rect">
                      <a:avLst/>
                    </a:prstGeom>
                  </pic:spPr>
                </pic:pic>
              </a:graphicData>
            </a:graphic>
          </wp:inline>
        </w:drawing>
      </w:r>
    </w:p>
    <w:p w14:paraId="349E10C4" w14:textId="4B56CFFC" w:rsidR="00DB17F2" w:rsidRPr="00DB17F2" w:rsidRDefault="00DB17F2" w:rsidP="00DB17F2">
      <w:pPr>
        <w:pStyle w:val="Caption"/>
        <w:rPr>
          <w:sz w:val="22"/>
        </w:rPr>
      </w:pPr>
      <w:bookmarkStart w:id="58" w:name="_Ref159509491"/>
      <w:r w:rsidRPr="00912480">
        <w:rPr>
          <w:b/>
          <w:bCs w:val="0"/>
          <w:sz w:val="22"/>
        </w:rPr>
        <w:t xml:space="preserve">Figure </w:t>
      </w:r>
      <w:r w:rsidRPr="00912480">
        <w:rPr>
          <w:b/>
          <w:bCs w:val="0"/>
          <w:sz w:val="22"/>
        </w:rPr>
        <w:fldChar w:fldCharType="begin"/>
      </w:r>
      <w:r w:rsidRPr="00912480">
        <w:rPr>
          <w:b/>
          <w:bCs w:val="0"/>
          <w:sz w:val="22"/>
        </w:rPr>
        <w:instrText xml:space="preserve"> SEQ Figure \* ARABIC </w:instrText>
      </w:r>
      <w:r w:rsidRPr="00912480">
        <w:rPr>
          <w:b/>
          <w:bCs w:val="0"/>
          <w:sz w:val="22"/>
        </w:rPr>
        <w:fldChar w:fldCharType="separate"/>
      </w:r>
      <w:r w:rsidR="00536CF0">
        <w:rPr>
          <w:b/>
          <w:bCs w:val="0"/>
          <w:noProof/>
          <w:sz w:val="22"/>
        </w:rPr>
        <w:t>8</w:t>
      </w:r>
      <w:r w:rsidRPr="00912480">
        <w:rPr>
          <w:b/>
          <w:bCs w:val="0"/>
          <w:sz w:val="22"/>
        </w:rPr>
        <w:fldChar w:fldCharType="end"/>
      </w:r>
      <w:bookmarkEnd w:id="58"/>
      <w:r w:rsidRPr="00EC6E98">
        <w:rPr>
          <w:sz w:val="22"/>
        </w:rPr>
        <w:t xml:space="preserve"> </w:t>
      </w:r>
      <w:r w:rsidRPr="006E7C22">
        <w:rPr>
          <w:szCs w:val="20"/>
        </w:rPr>
        <w:t>Surface phase diagram for the (110) surface of rutile-type RuO</w:t>
      </w:r>
      <w:r w:rsidRPr="006E7C22">
        <w:rPr>
          <w:szCs w:val="20"/>
          <w:vertAlign w:val="subscript"/>
        </w:rPr>
        <w:t>2</w:t>
      </w:r>
      <w:r w:rsidRPr="006E7C22">
        <w:rPr>
          <w:szCs w:val="20"/>
        </w:rPr>
        <w:t xml:space="preserve"> in a gas-phase oxygen atmosphere together with the corresponding ball and stick models. RuO</w:t>
      </w:r>
      <w:r w:rsidRPr="006E7C22">
        <w:rPr>
          <w:szCs w:val="20"/>
          <w:vertAlign w:val="subscript"/>
        </w:rPr>
        <w:t>2</w:t>
      </w:r>
      <w:r w:rsidRPr="006E7C22">
        <w:rPr>
          <w:szCs w:val="20"/>
        </w:rPr>
        <w:t>(110)-</w:t>
      </w:r>
      <w:proofErr w:type="spellStart"/>
      <w:r w:rsidRPr="006E7C22">
        <w:rPr>
          <w:szCs w:val="20"/>
        </w:rPr>
        <w:t>O</w:t>
      </w:r>
      <w:r w:rsidRPr="006E7C22">
        <w:rPr>
          <w:szCs w:val="20"/>
          <w:vertAlign w:val="superscript"/>
        </w:rPr>
        <w:t>bridge</w:t>
      </w:r>
      <w:proofErr w:type="spellEnd"/>
      <w:r w:rsidRPr="006E7C22">
        <w:rPr>
          <w:szCs w:val="20"/>
        </w:rPr>
        <w:t xml:space="preserve"> is the stoichiometric surface termination. RuO</w:t>
      </w:r>
      <w:r w:rsidRPr="006E7C22">
        <w:rPr>
          <w:szCs w:val="20"/>
          <w:vertAlign w:val="subscript"/>
        </w:rPr>
        <w:t>2</w:t>
      </w:r>
      <w:r w:rsidRPr="006E7C22">
        <w:rPr>
          <w:szCs w:val="20"/>
        </w:rPr>
        <w:t>(110)-O</w:t>
      </w:r>
      <w:r w:rsidRPr="006E7C22">
        <w:rPr>
          <w:szCs w:val="20"/>
          <w:vertAlign w:val="superscript"/>
        </w:rPr>
        <w:t>CUS</w:t>
      </w:r>
      <w:r w:rsidRPr="006E7C22">
        <w:rPr>
          <w:szCs w:val="20"/>
        </w:rPr>
        <w:t xml:space="preserve"> is a polar surface termination where the </w:t>
      </w:r>
      <w:r w:rsidRPr="006E7C22">
        <w:rPr>
          <w:iCs/>
          <w:szCs w:val="20"/>
          <w:shd w:val="clear" w:color="auto" w:fill="FFFFFF"/>
        </w:rPr>
        <w:t xml:space="preserve">coordinatively unsaturated sites (CUS) are occupied with adsorbed oxygen, </w:t>
      </w:r>
      <w:r w:rsidRPr="006E7C22">
        <w:rPr>
          <w:iCs/>
          <w:szCs w:val="20"/>
        </w:rPr>
        <w:sym w:font="Symbol" w:char="F06D"/>
      </w:r>
      <w:r w:rsidRPr="006E7C22">
        <w:rPr>
          <w:iCs/>
          <w:szCs w:val="20"/>
          <w:vertAlign w:val="subscript"/>
        </w:rPr>
        <w:t>1</w:t>
      </w:r>
      <w:r w:rsidRPr="006E7C22">
        <w:rPr>
          <w:iCs/>
          <w:szCs w:val="20"/>
        </w:rPr>
        <w:t xml:space="preserve">-O </w:t>
      </w:r>
      <w:proofErr w:type="spellStart"/>
      <w:r w:rsidRPr="006E7C22">
        <w:rPr>
          <w:iCs/>
          <w:szCs w:val="20"/>
        </w:rPr>
        <w:t>oxyl</w:t>
      </w:r>
      <w:proofErr w:type="spellEnd"/>
      <w:r w:rsidRPr="006E7C22">
        <w:rPr>
          <w:iCs/>
          <w:szCs w:val="20"/>
          <w:shd w:val="clear" w:color="auto" w:fill="FFFFFF"/>
        </w:rPr>
        <w:t xml:space="preserve">. The dashed line shows a </w:t>
      </w:r>
      <w:r w:rsidRPr="006E7C22">
        <w:rPr>
          <w:szCs w:val="20"/>
        </w:rPr>
        <w:t>RuO</w:t>
      </w:r>
      <w:r w:rsidRPr="006E7C22">
        <w:rPr>
          <w:szCs w:val="20"/>
          <w:vertAlign w:val="subscript"/>
        </w:rPr>
        <w:t>2</w:t>
      </w:r>
      <w:r w:rsidRPr="006E7C22">
        <w:rPr>
          <w:szCs w:val="20"/>
        </w:rPr>
        <w:t>(110)-O</w:t>
      </w:r>
      <w:r w:rsidRPr="006E7C22">
        <w:rPr>
          <w:szCs w:val="20"/>
          <w:vertAlign w:val="superscript"/>
        </w:rPr>
        <w:t>CUS</w:t>
      </w:r>
      <w:r w:rsidRPr="006E7C22">
        <w:rPr>
          <w:szCs w:val="20"/>
        </w:rPr>
        <w:t xml:space="preserve"> surface where half of the CUS sites are occupied with </w:t>
      </w:r>
      <w:r w:rsidRPr="006E7C22">
        <w:rPr>
          <w:iCs/>
          <w:szCs w:val="20"/>
        </w:rPr>
        <w:sym w:font="Symbol" w:char="F06D"/>
      </w:r>
      <w:r w:rsidRPr="006E7C22">
        <w:rPr>
          <w:iCs/>
          <w:szCs w:val="20"/>
          <w:vertAlign w:val="subscript"/>
        </w:rPr>
        <w:t>1</w:t>
      </w:r>
      <w:r w:rsidRPr="006E7C22">
        <w:rPr>
          <w:iCs/>
          <w:szCs w:val="20"/>
        </w:rPr>
        <w:t xml:space="preserve">-O </w:t>
      </w:r>
      <w:proofErr w:type="spellStart"/>
      <w:r w:rsidRPr="006E7C22">
        <w:rPr>
          <w:iCs/>
          <w:szCs w:val="20"/>
        </w:rPr>
        <w:t>oxyl</w:t>
      </w:r>
      <w:proofErr w:type="spellEnd"/>
      <w:r w:rsidRPr="006E7C22">
        <w:rPr>
          <w:szCs w:val="20"/>
        </w:rPr>
        <w:t>. RuO</w:t>
      </w:r>
      <w:r w:rsidRPr="006E7C22">
        <w:rPr>
          <w:szCs w:val="20"/>
          <w:vertAlign w:val="subscript"/>
        </w:rPr>
        <w:t>2</w:t>
      </w:r>
      <w:r w:rsidRPr="006E7C22">
        <w:rPr>
          <w:szCs w:val="20"/>
        </w:rPr>
        <w:t xml:space="preserve">(110)-Ru shows the metal terminated surface. </w:t>
      </w:r>
      <w:r w:rsidR="000757AA" w:rsidRPr="006E7C22">
        <w:rPr>
          <w:szCs w:val="20"/>
        </w:rPr>
        <w:t>Reproduced from Ref.</w:t>
      </w:r>
      <w:r w:rsidRPr="006E7C22">
        <w:rPr>
          <w:szCs w:val="20"/>
          <w:shd w:val="clear" w:color="auto" w:fill="FFFFFF"/>
        </w:rPr>
        <w:t xml:space="preserve"> </w:t>
      </w:r>
      <w:r w:rsidRPr="006E7C22">
        <w:rPr>
          <w:szCs w:val="20"/>
          <w:shd w:val="clear" w:color="auto" w:fill="FFFFFF"/>
        </w:rPr>
        <w:fldChar w:fldCharType="begin"/>
      </w:r>
      <w:r w:rsidR="00FC5BEB">
        <w:rPr>
          <w:szCs w:val="20"/>
          <w:shd w:val="clear" w:color="auto" w:fill="FFFFFF"/>
        </w:rPr>
        <w:instrText xml:space="preserve"> ADDIN EN.CITE &lt;EndNote&gt;&lt;Cite&gt;&lt;Author&gt;Reuter&lt;/Author&gt;&lt;Year&gt;2001&lt;/Year&gt;&lt;RecNum&gt;103&lt;/RecNum&gt;&lt;DisplayText&gt;&lt;style face="superscript"&gt;105&lt;/style&gt;&lt;/DisplayText&gt;&lt;record&gt;&lt;rec-number&gt;103&lt;/rec-number&gt;&lt;foreign-keys&gt;&lt;key app="EN" db-id="2xex0erf4eexr4e2dpbxpdd829xttesxxxdr" timestamp="1715075296"&gt;103&lt;/key&gt;&lt;/foreign-keys&gt;&lt;ref-type name="Journal Article"&gt;17&lt;/ref-type&gt;&lt;contributors&gt;&lt;authors&gt;&lt;author&gt;Reuter, Karsten&lt;/author&gt;&lt;author&gt;Scheffler, Matthias&lt;/author&gt;&lt;/authors&gt;&lt;/contributors&gt;&lt;titles&gt;&lt;title&gt;Composition, structure, and stability of RuO2(110) as a function of oxygen pressure&lt;/title&gt;&lt;secondary-title&gt;Physical Review B&lt;/secondary-title&gt;&lt;/titles&gt;&lt;periodical&gt;&lt;full-title&gt;Physical Review B&lt;/full-title&gt;&lt;abbr-1&gt;Phys. Rev. B&lt;/abbr-1&gt;&lt;abbr-2&gt;Phys Rev B&lt;/abbr-2&gt;&lt;/periodical&gt;&lt;pages&gt;035406&lt;/pages&gt;&lt;volume&gt;65&lt;/volume&gt;&lt;number&gt;3&lt;/number&gt;&lt;dates&gt;&lt;year&gt;2001&lt;/year&gt;&lt;pub-dates&gt;&lt;date&gt;12/19/&lt;/date&gt;&lt;/pub-dates&gt;&lt;/dates&gt;&lt;publisher&gt;American Physical Society&lt;/publisher&gt;&lt;urls&gt;&lt;related-urls&gt;&lt;url&gt;https://link.aps.org/doi/10.1103/PhysRevB.65.035406&lt;/url&gt;&lt;/related-urls&gt;&lt;/urls&gt;&lt;electronic-resource-num&gt;10.1103/PhysRevB.65.035406&lt;/electronic-resource-num&gt;&lt;/record&gt;&lt;/Cite&gt;&lt;/EndNote&gt;</w:instrText>
      </w:r>
      <w:r w:rsidRPr="006E7C22">
        <w:rPr>
          <w:szCs w:val="20"/>
          <w:shd w:val="clear" w:color="auto" w:fill="FFFFFF"/>
        </w:rPr>
        <w:fldChar w:fldCharType="separate"/>
      </w:r>
      <w:r w:rsidR="00FC5BEB" w:rsidRPr="00FC5BEB">
        <w:rPr>
          <w:noProof/>
          <w:szCs w:val="20"/>
          <w:shd w:val="clear" w:color="auto" w:fill="FFFFFF"/>
          <w:vertAlign w:val="superscript"/>
        </w:rPr>
        <w:t>105</w:t>
      </w:r>
      <w:r w:rsidRPr="006E7C22">
        <w:rPr>
          <w:szCs w:val="20"/>
          <w:shd w:val="clear" w:color="auto" w:fill="FFFFFF"/>
        </w:rPr>
        <w:fldChar w:fldCharType="end"/>
      </w:r>
      <w:r w:rsidR="006171E1">
        <w:rPr>
          <w:szCs w:val="20"/>
          <w:shd w:val="clear" w:color="auto" w:fill="FFFFFF"/>
        </w:rPr>
        <w:t xml:space="preserve"> under the </w:t>
      </w:r>
      <w:r w:rsidR="006171E1" w:rsidRPr="006171E1">
        <w:rPr>
          <w:szCs w:val="20"/>
          <w:shd w:val="clear" w:color="auto" w:fill="FFFFFF"/>
        </w:rPr>
        <w:t>Creative Commons Attribution 3.0 License</w:t>
      </w:r>
      <w:r w:rsidR="006171E1">
        <w:rPr>
          <w:szCs w:val="20"/>
          <w:shd w:val="clear" w:color="auto" w:fill="FFFFFF"/>
        </w:rPr>
        <w:t>.</w:t>
      </w:r>
    </w:p>
    <w:p w14:paraId="3A342F05" w14:textId="28A77735" w:rsidR="00594FAE" w:rsidRPr="00EC6E98" w:rsidRDefault="00594FAE" w:rsidP="00594FAE">
      <w:pPr>
        <w:ind w:firstLine="720"/>
        <w:rPr>
          <w:color w:val="000000" w:themeColor="text1"/>
          <w:szCs w:val="22"/>
        </w:rPr>
      </w:pPr>
      <w:r w:rsidRPr="00EC6E98">
        <w:rPr>
          <w:color w:val="000000" w:themeColor="text1"/>
          <w:szCs w:val="22"/>
        </w:rPr>
        <w:t xml:space="preserve">An example of applying </w:t>
      </w:r>
      <w:r w:rsidRPr="00EC6E98">
        <w:rPr>
          <w:i/>
          <w:iCs/>
          <w:color w:val="000000" w:themeColor="text1"/>
          <w:szCs w:val="22"/>
        </w:rPr>
        <w:t xml:space="preserve">ab initio </w:t>
      </w:r>
      <w:r w:rsidRPr="00EC6E98">
        <w:rPr>
          <w:color w:val="000000" w:themeColor="text1"/>
          <w:szCs w:val="22"/>
        </w:rPr>
        <w:t>atomistic thermodynamics to thermal chemistry can be seen in the surface phase diagram of RuO</w:t>
      </w:r>
      <w:r w:rsidRPr="00EC6E98">
        <w:rPr>
          <w:color w:val="000000" w:themeColor="text1"/>
          <w:szCs w:val="22"/>
          <w:vertAlign w:val="subscript"/>
        </w:rPr>
        <w:t>2</w:t>
      </w:r>
      <w:r w:rsidRPr="00EC6E98">
        <w:rPr>
          <w:color w:val="000000" w:themeColor="text1"/>
          <w:szCs w:val="22"/>
        </w:rPr>
        <w:t>(110) in an O</w:t>
      </w:r>
      <w:r w:rsidRPr="00EC6E98">
        <w:rPr>
          <w:color w:val="000000" w:themeColor="text1"/>
          <w:szCs w:val="22"/>
          <w:vertAlign w:val="subscript"/>
        </w:rPr>
        <w:t>2</w:t>
      </w:r>
      <w:r w:rsidRPr="00EC6E98">
        <w:rPr>
          <w:color w:val="000000" w:themeColor="text1"/>
          <w:szCs w:val="22"/>
        </w:rPr>
        <w:t xml:space="preserve"> atmosphere in </w:t>
      </w:r>
      <w:r w:rsidR="00912480">
        <w:rPr>
          <w:color w:val="000000" w:themeColor="text1"/>
          <w:szCs w:val="22"/>
        </w:rPr>
        <w:fldChar w:fldCharType="begin"/>
      </w:r>
      <w:r w:rsidR="00912480">
        <w:rPr>
          <w:color w:val="000000" w:themeColor="text1"/>
          <w:szCs w:val="22"/>
        </w:rPr>
        <w:instrText xml:space="preserve"> REF _Ref159509491 \h </w:instrText>
      </w:r>
      <w:r w:rsidR="00912480">
        <w:rPr>
          <w:color w:val="000000" w:themeColor="text1"/>
          <w:szCs w:val="22"/>
        </w:rPr>
      </w:r>
      <w:r w:rsidR="00912480">
        <w:rPr>
          <w:color w:val="000000" w:themeColor="text1"/>
          <w:szCs w:val="22"/>
        </w:rPr>
        <w:fldChar w:fldCharType="separate"/>
      </w:r>
      <w:r w:rsidR="00536CF0" w:rsidRPr="00912480">
        <w:rPr>
          <w:b/>
          <w:bCs/>
        </w:rPr>
        <w:t xml:space="preserve">Figure </w:t>
      </w:r>
      <w:r w:rsidR="00536CF0">
        <w:rPr>
          <w:b/>
          <w:bCs/>
          <w:noProof/>
        </w:rPr>
        <w:t>8</w:t>
      </w:r>
      <w:r w:rsidR="00912480">
        <w:rPr>
          <w:color w:val="000000" w:themeColor="text1"/>
          <w:szCs w:val="22"/>
        </w:rPr>
        <w:fldChar w:fldCharType="end"/>
      </w:r>
      <w:r>
        <w:rPr>
          <w:color w:val="000000" w:themeColor="text1"/>
          <w:szCs w:val="22"/>
        </w:rPr>
        <w:fldChar w:fldCharType="begin"/>
      </w:r>
      <w:r w:rsidR="00FC5BEB">
        <w:rPr>
          <w:color w:val="000000" w:themeColor="text1"/>
          <w:szCs w:val="22"/>
        </w:rPr>
        <w:instrText xml:space="preserve"> ADDIN EN.CITE &lt;EndNote&gt;&lt;Cite&gt;&lt;Author&gt;Reuter&lt;/Author&gt;&lt;Year&gt;2001&lt;/Year&gt;&lt;RecNum&gt;103&lt;/RecNum&gt;&lt;DisplayText&gt;&lt;style face="superscript"&gt;105&lt;/style&gt;&lt;/DisplayText&gt;&lt;record&gt;&lt;rec-number&gt;103&lt;/rec-number&gt;&lt;foreign-keys&gt;&lt;key app="EN" db-id="2xex0erf4eexr4e2dpbxpdd829xttesxxxdr" timestamp="1715075296"&gt;103&lt;/key&gt;&lt;/foreign-keys&gt;&lt;ref-type name="Journal Article"&gt;17&lt;/ref-type&gt;&lt;contributors&gt;&lt;authors&gt;&lt;author&gt;Reuter, Karsten&lt;/author&gt;&lt;author&gt;Scheffler, Matthias&lt;/author&gt;&lt;/authors&gt;&lt;/contributors&gt;&lt;titles&gt;&lt;title&gt;Composition, structure, and stability of RuO2(110) as a function of oxygen pressure&lt;/title&gt;&lt;secondary-title&gt;Physical Review B&lt;/secondary-title&gt;&lt;/titles&gt;&lt;periodical&gt;&lt;full-title&gt;Physical Review B&lt;/full-title&gt;&lt;abbr-1&gt;Phys. Rev. B&lt;/abbr-1&gt;&lt;abbr-2&gt;Phys Rev B&lt;/abbr-2&gt;&lt;/periodical&gt;&lt;pages&gt;035406&lt;/pages&gt;&lt;volume&gt;65&lt;/volume&gt;&lt;number&gt;3&lt;/number&gt;&lt;dates&gt;&lt;year&gt;2001&lt;/year&gt;&lt;pub-dates&gt;&lt;date&gt;12/19/&lt;/date&gt;&lt;/pub-dates&gt;&lt;/dates&gt;&lt;publisher&gt;American Physical Society&lt;/publisher&gt;&lt;urls&gt;&lt;related-urls&gt;&lt;url&gt;https://link.aps.org/doi/10.1103/PhysRevB.65.035406&lt;/url&gt;&lt;/related-urls&gt;&lt;/urls&gt;&lt;electronic-resource-num&gt;10.1103/PhysRevB.65.035406&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105</w:t>
      </w:r>
      <w:r>
        <w:rPr>
          <w:color w:val="000000" w:themeColor="text1"/>
          <w:szCs w:val="22"/>
        </w:rPr>
        <w:fldChar w:fldCharType="end"/>
      </w:r>
      <w:r w:rsidRPr="00EC6E98">
        <w:rPr>
          <w:color w:val="000000" w:themeColor="text1"/>
          <w:szCs w:val="22"/>
        </w:rPr>
        <w:t>. The phase diagram shows the energies of various surface terminations between an oxygen rich limit—</w:t>
      </w:r>
    </w:p>
    <w:p w14:paraId="02320A56" w14:textId="76E91E00" w:rsidR="00594FAE" w:rsidRPr="00DB17F2" w:rsidRDefault="00594FAE" w:rsidP="00DB17F2">
      <w:pPr>
        <w:rPr>
          <w:iCs/>
          <w:color w:val="000000" w:themeColor="text1"/>
          <w:szCs w:val="22"/>
          <w:shd w:val="clear" w:color="auto" w:fill="FFFFFF"/>
        </w:rPr>
      </w:pPr>
      <w:r w:rsidRPr="00EC6E98">
        <w:rPr>
          <w:color w:val="000000" w:themeColor="text1"/>
          <w:szCs w:val="22"/>
        </w:rPr>
        <w:lastRenderedPageBreak/>
        <w:t xml:space="preserve"> defined as the chemical potential of a free oxygen molecule at </w:t>
      </w:r>
      <w:r w:rsidRPr="00EC6E98">
        <w:rPr>
          <w:i/>
          <w:iCs/>
          <w:color w:val="000000" w:themeColor="text1"/>
          <w:szCs w:val="22"/>
        </w:rPr>
        <w:t>T</w:t>
      </w:r>
      <w:r w:rsidRPr="00EC6E98">
        <w:rPr>
          <w:color w:val="000000" w:themeColor="text1"/>
          <w:szCs w:val="22"/>
        </w:rPr>
        <w:t>=0</w:t>
      </w:r>
      <w:r w:rsidR="000757AA">
        <w:rPr>
          <w:color w:val="000000" w:themeColor="text1"/>
          <w:szCs w:val="22"/>
        </w:rPr>
        <w:t xml:space="preserve"> K</w:t>
      </w:r>
      <w:r w:rsidRPr="00EC6E98">
        <w:rPr>
          <w:color w:val="000000" w:themeColor="text1"/>
          <w:szCs w:val="22"/>
        </w:rPr>
        <w:t>—</w:t>
      </w:r>
      <w:r w:rsidRPr="00EC6E98">
        <w:rPr>
          <w:iCs/>
          <w:color w:val="000000" w:themeColor="text1"/>
          <w:szCs w:val="22"/>
          <w:shd w:val="clear" w:color="auto" w:fill="FFFFFF"/>
        </w:rPr>
        <w:t>and an oxygen poor limit—defined as the oxygen chemical potential below which RuO</w:t>
      </w:r>
      <w:r w:rsidRPr="00EC6E98">
        <w:rPr>
          <w:iCs/>
          <w:color w:val="000000" w:themeColor="text1"/>
          <w:szCs w:val="22"/>
          <w:shd w:val="clear" w:color="auto" w:fill="FFFFFF"/>
          <w:vertAlign w:val="subscript"/>
        </w:rPr>
        <w:t>2</w:t>
      </w:r>
      <w:r w:rsidRPr="00EC6E98">
        <w:rPr>
          <w:iCs/>
          <w:color w:val="000000" w:themeColor="text1"/>
          <w:szCs w:val="22"/>
          <w:shd w:val="clear" w:color="auto" w:fill="FFFFFF"/>
        </w:rPr>
        <w:t xml:space="preserve"> is reduced to metal—given by: </w:t>
      </w:r>
      <m:oMath>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m:t>
            </m:r>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G</m:t>
                </m:r>
              </m:e>
              <m:sub>
                <m:r>
                  <m:rPr>
                    <m:sty m:val="p"/>
                  </m:rPr>
                  <w:rPr>
                    <w:rFonts w:ascii="Cambria Math" w:hAnsi="Cambria Math"/>
                    <w:color w:val="000000" w:themeColor="text1"/>
                    <w:szCs w:val="22"/>
                    <w:shd w:val="clear" w:color="auto" w:fill="FFFFFF"/>
                  </w:rPr>
                  <m:t>f,RuO2</m:t>
                </m:r>
              </m:sub>
            </m:sSub>
            <m:d>
              <m:dPr>
                <m:ctrlPr>
                  <w:rPr>
                    <w:rFonts w:ascii="Cambria Math" w:eastAsiaTheme="minorHAnsi" w:hAnsi="Cambria Math"/>
                    <w:i/>
                    <w:iCs/>
                    <w:color w:val="000000" w:themeColor="text1"/>
                    <w:szCs w:val="22"/>
                    <w:shd w:val="clear" w:color="auto" w:fill="FFFFFF"/>
                  </w:rPr>
                </m:ctrlPr>
              </m:dPr>
              <m:e>
                <m:r>
                  <w:rPr>
                    <w:rFonts w:ascii="Cambria Math" w:hAnsi="Cambria Math"/>
                    <w:color w:val="000000" w:themeColor="text1"/>
                    <w:szCs w:val="22"/>
                    <w:shd w:val="clear" w:color="auto" w:fill="FFFFFF"/>
                  </w:rPr>
                  <m:t>0,0</m:t>
                </m:r>
              </m:e>
            </m:d>
            <m:r>
              <w:rPr>
                <w:rFonts w:ascii="Cambria Math" w:hAnsi="Cambria Math"/>
                <w:color w:val="000000" w:themeColor="text1"/>
                <w:szCs w:val="22"/>
                <w:shd w:val="clear" w:color="auto" w:fill="FFFFFF"/>
              </w:rPr>
              <m:t>≤μ</m:t>
            </m:r>
          </m:e>
          <m:sub>
            <m:r>
              <m:rPr>
                <m:sty m:val="p"/>
              </m:rPr>
              <w:rPr>
                <w:rFonts w:ascii="Cambria Math" w:hAnsi="Cambria Math"/>
                <w:color w:val="000000" w:themeColor="text1"/>
                <w:szCs w:val="22"/>
                <w:shd w:val="clear" w:color="auto" w:fill="FFFFFF"/>
              </w:rPr>
              <m:t>O</m:t>
            </m:r>
          </m:sub>
        </m:sSub>
        <m:d>
          <m:dPr>
            <m:ctrlPr>
              <w:rPr>
                <w:rFonts w:ascii="Cambria Math" w:eastAsiaTheme="minorHAnsi" w:hAnsi="Cambria Math"/>
                <w:i/>
                <w:iCs/>
                <w:color w:val="000000" w:themeColor="text1"/>
                <w:szCs w:val="22"/>
                <w:shd w:val="clear" w:color="auto" w:fill="FFFFFF"/>
              </w:rPr>
            </m:ctrlPr>
          </m:dPr>
          <m:e>
            <m:r>
              <w:rPr>
                <w:rFonts w:ascii="Cambria Math" w:hAnsi="Cambria Math"/>
                <w:color w:val="000000" w:themeColor="text1"/>
                <w:szCs w:val="22"/>
                <w:shd w:val="clear" w:color="auto" w:fill="FFFFFF"/>
              </w:rPr>
              <m:t>T,p</m:t>
            </m:r>
          </m:e>
        </m:d>
        <m:r>
          <w:rPr>
            <w:rFonts w:ascii="Cambria Math" w:hAnsi="Cambria Math"/>
            <w:color w:val="000000" w:themeColor="text1"/>
            <w:szCs w:val="22"/>
            <w:shd w:val="clear" w:color="auto" w:fill="FFFFFF"/>
          </w:rPr>
          <m:t>-</m:t>
        </m:r>
        <m:f>
          <m:fPr>
            <m:ctrlPr>
              <w:rPr>
                <w:rFonts w:ascii="Cambria Math" w:hAnsi="Cambria Math"/>
                <w:i/>
                <w:iCs/>
                <w:color w:val="000000" w:themeColor="text1"/>
                <w:szCs w:val="22"/>
                <w:shd w:val="clear" w:color="auto" w:fill="FFFFFF"/>
              </w:rPr>
            </m:ctrlPr>
          </m:fPr>
          <m:num>
            <m:r>
              <w:rPr>
                <w:rFonts w:ascii="Cambria Math" w:hAnsi="Cambria Math"/>
                <w:color w:val="000000" w:themeColor="text1"/>
                <w:szCs w:val="22"/>
                <w:shd w:val="clear" w:color="auto" w:fill="FFFFFF"/>
              </w:rPr>
              <m:t>1</m:t>
            </m:r>
          </m:num>
          <m:den>
            <m:r>
              <w:rPr>
                <w:rFonts w:ascii="Cambria Math" w:hAnsi="Cambria Math"/>
                <w:color w:val="000000" w:themeColor="text1"/>
                <w:szCs w:val="22"/>
                <w:shd w:val="clear" w:color="auto" w:fill="FFFFFF"/>
              </w:rPr>
              <m:t>2</m:t>
            </m:r>
          </m:den>
        </m:f>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E</m:t>
            </m:r>
          </m:e>
          <m:sub>
            <m:r>
              <m:rPr>
                <m:sty m:val="p"/>
              </m:rPr>
              <w:rPr>
                <w:rFonts w:ascii="Cambria Math" w:hAnsi="Cambria Math"/>
                <w:color w:val="000000" w:themeColor="text1"/>
                <w:szCs w:val="22"/>
                <w:shd w:val="clear" w:color="auto" w:fill="FFFFFF"/>
              </w:rPr>
              <m:t>O2</m:t>
            </m:r>
          </m:sub>
        </m:sSub>
        <m:r>
          <w:rPr>
            <w:rFonts w:ascii="Cambria Math" w:hAnsi="Cambria Math"/>
            <w:color w:val="000000" w:themeColor="text1"/>
            <w:szCs w:val="22"/>
            <w:shd w:val="clear" w:color="auto" w:fill="FFFFFF"/>
          </w:rPr>
          <m:t>≤0</m:t>
        </m:r>
      </m:oMath>
      <w:r w:rsidRPr="00EC6E98">
        <w:rPr>
          <w:iCs/>
          <w:color w:val="000000" w:themeColor="text1"/>
          <w:szCs w:val="22"/>
          <w:shd w:val="clear" w:color="auto" w:fill="FFFFFF"/>
        </w:rPr>
        <w:t xml:space="preserve">. Inspection of </w:t>
      </w:r>
      <w:r w:rsidR="00EC6677">
        <w:rPr>
          <w:iCs/>
          <w:color w:val="000000" w:themeColor="text1"/>
          <w:szCs w:val="22"/>
          <w:shd w:val="clear" w:color="auto" w:fill="FFFFFF"/>
        </w:rPr>
        <w:fldChar w:fldCharType="begin"/>
      </w:r>
      <w:r w:rsidR="00EC6677">
        <w:rPr>
          <w:iCs/>
          <w:color w:val="000000" w:themeColor="text1"/>
          <w:szCs w:val="22"/>
          <w:shd w:val="clear" w:color="auto" w:fill="FFFFFF"/>
        </w:rPr>
        <w:instrText xml:space="preserve"> REF _Ref159509491 \h </w:instrText>
      </w:r>
      <w:r w:rsidR="00EC6677">
        <w:rPr>
          <w:iCs/>
          <w:color w:val="000000" w:themeColor="text1"/>
          <w:szCs w:val="22"/>
          <w:shd w:val="clear" w:color="auto" w:fill="FFFFFF"/>
        </w:rPr>
      </w:r>
      <w:r w:rsidR="00EC6677">
        <w:rPr>
          <w:iCs/>
          <w:color w:val="000000" w:themeColor="text1"/>
          <w:szCs w:val="22"/>
          <w:shd w:val="clear" w:color="auto" w:fill="FFFFFF"/>
        </w:rPr>
        <w:fldChar w:fldCharType="separate"/>
      </w:r>
      <w:r w:rsidR="00536CF0" w:rsidRPr="00912480">
        <w:rPr>
          <w:b/>
          <w:bCs/>
        </w:rPr>
        <w:t xml:space="preserve">Figure </w:t>
      </w:r>
      <w:r w:rsidR="00536CF0">
        <w:rPr>
          <w:b/>
          <w:bCs/>
          <w:noProof/>
        </w:rPr>
        <w:t>8</w:t>
      </w:r>
      <w:r w:rsidR="00EC6677">
        <w:rPr>
          <w:iCs/>
          <w:color w:val="000000" w:themeColor="text1"/>
          <w:szCs w:val="22"/>
          <w:shd w:val="clear" w:color="auto" w:fill="FFFFFF"/>
        </w:rPr>
        <w:fldChar w:fldCharType="end"/>
      </w:r>
      <w:r w:rsidRPr="00EC6E98">
        <w:rPr>
          <w:iCs/>
          <w:color w:val="000000" w:themeColor="text1"/>
          <w:szCs w:val="22"/>
          <w:shd w:val="clear" w:color="auto" w:fill="FFFFFF"/>
        </w:rPr>
        <w:t xml:space="preserve"> reveals that at high oxygen chemical potentials within this range, </w:t>
      </w:r>
      <m:oMath>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μ</m:t>
            </m:r>
          </m:e>
          <m:sub>
            <m:r>
              <m:rPr>
                <m:sty m:val="p"/>
              </m:rPr>
              <w:rPr>
                <w:rFonts w:ascii="Cambria Math" w:hAnsi="Cambria Math"/>
                <w:color w:val="000000" w:themeColor="text1"/>
                <w:szCs w:val="22"/>
                <w:shd w:val="clear" w:color="auto" w:fill="FFFFFF"/>
              </w:rPr>
              <m:t>O</m:t>
            </m:r>
          </m:sub>
        </m:sSub>
        <m:d>
          <m:dPr>
            <m:ctrlPr>
              <w:rPr>
                <w:rFonts w:ascii="Cambria Math" w:eastAsiaTheme="minorHAnsi" w:hAnsi="Cambria Math"/>
                <w:i/>
                <w:iCs/>
                <w:color w:val="000000" w:themeColor="text1"/>
                <w:szCs w:val="22"/>
                <w:shd w:val="clear" w:color="auto" w:fill="FFFFFF"/>
              </w:rPr>
            </m:ctrlPr>
          </m:dPr>
          <m:e>
            <m:r>
              <w:rPr>
                <w:rFonts w:ascii="Cambria Math" w:hAnsi="Cambria Math"/>
                <w:color w:val="000000" w:themeColor="text1"/>
                <w:szCs w:val="22"/>
                <w:shd w:val="clear" w:color="auto" w:fill="FFFFFF"/>
              </w:rPr>
              <m:t>T,p</m:t>
            </m:r>
          </m:e>
        </m:d>
        <m:r>
          <w:rPr>
            <w:rFonts w:ascii="Cambria Math" w:hAnsi="Cambria Math"/>
            <w:color w:val="000000" w:themeColor="text1"/>
            <w:szCs w:val="22"/>
            <w:shd w:val="clear" w:color="auto" w:fill="FFFFFF"/>
          </w:rPr>
          <m:t xml:space="preserve"> ≥-0.9 </m:t>
        </m:r>
        <m:r>
          <m:rPr>
            <m:sty m:val="p"/>
          </m:rPr>
          <w:rPr>
            <w:rFonts w:ascii="Cambria Math" w:hAnsi="Cambria Math"/>
            <w:color w:val="000000" w:themeColor="text1"/>
            <w:szCs w:val="22"/>
            <w:shd w:val="clear" w:color="auto" w:fill="FFFFFF"/>
          </w:rPr>
          <m:t>eV</m:t>
        </m:r>
      </m:oMath>
      <w:r w:rsidRPr="00EC6E98">
        <w:rPr>
          <w:color w:val="000000" w:themeColor="text1"/>
          <w:szCs w:val="22"/>
          <w:shd w:val="clear" w:color="auto" w:fill="FFFFFF"/>
        </w:rPr>
        <w:t>,</w:t>
      </w:r>
      <w:r w:rsidRPr="00EC6E98">
        <w:rPr>
          <w:iCs/>
          <w:color w:val="000000" w:themeColor="text1"/>
          <w:szCs w:val="22"/>
          <w:shd w:val="clear" w:color="auto" w:fill="FFFFFF"/>
        </w:rPr>
        <w:t xml:space="preserve"> the surface where all the coordinatively unsaturated sites (CUS) on RuO</w:t>
      </w:r>
      <w:r w:rsidRPr="00EC6E98">
        <w:rPr>
          <w:iCs/>
          <w:color w:val="000000" w:themeColor="text1"/>
          <w:szCs w:val="22"/>
          <w:shd w:val="clear" w:color="auto" w:fill="FFFFFF"/>
          <w:vertAlign w:val="subscript"/>
        </w:rPr>
        <w:t>2</w:t>
      </w:r>
      <w:r w:rsidRPr="00EC6E98">
        <w:rPr>
          <w:iCs/>
          <w:color w:val="000000" w:themeColor="text1"/>
          <w:szCs w:val="22"/>
          <w:shd w:val="clear" w:color="auto" w:fill="FFFFFF"/>
        </w:rPr>
        <w:t xml:space="preserve">(110) </w:t>
      </w:r>
      <w:r w:rsidRPr="00EC6E98">
        <w:rPr>
          <w:color w:val="000000" w:themeColor="text1"/>
          <w:szCs w:val="22"/>
        </w:rPr>
        <w:t xml:space="preserve">are occupied with </w:t>
      </w:r>
      <w:r w:rsidRPr="00EC6E98">
        <w:rPr>
          <w:iCs/>
          <w:color w:val="000000" w:themeColor="text1"/>
          <w:szCs w:val="22"/>
        </w:rPr>
        <w:sym w:font="Symbol" w:char="F06D"/>
      </w:r>
      <w:r w:rsidRPr="00EC6E98">
        <w:rPr>
          <w:iCs/>
          <w:color w:val="000000" w:themeColor="text1"/>
          <w:szCs w:val="22"/>
          <w:vertAlign w:val="subscript"/>
        </w:rPr>
        <w:t>1</w:t>
      </w:r>
      <w:r w:rsidRPr="00EC6E98">
        <w:rPr>
          <w:iCs/>
          <w:color w:val="000000" w:themeColor="text1"/>
          <w:szCs w:val="22"/>
        </w:rPr>
        <w:t xml:space="preserve">-O </w:t>
      </w:r>
      <w:proofErr w:type="spellStart"/>
      <w:r w:rsidRPr="00EC6E98">
        <w:rPr>
          <w:iCs/>
          <w:color w:val="000000" w:themeColor="text1"/>
          <w:szCs w:val="22"/>
        </w:rPr>
        <w:t>oxyl</w:t>
      </w:r>
      <w:proofErr w:type="spellEnd"/>
      <w:r w:rsidRPr="00EC6E98">
        <w:rPr>
          <w:iCs/>
          <w:color w:val="000000" w:themeColor="text1"/>
          <w:szCs w:val="22"/>
          <w:shd w:val="clear" w:color="auto" w:fill="FFFFFF"/>
        </w:rPr>
        <w:t xml:space="preserve"> is the lowest energy surface and thus the thermodynamically stable phase, </w:t>
      </w:r>
      <w:r w:rsidR="00912480">
        <w:rPr>
          <w:iCs/>
          <w:color w:val="000000" w:themeColor="text1"/>
          <w:szCs w:val="22"/>
          <w:shd w:val="clear" w:color="auto" w:fill="FFFFFF"/>
        </w:rPr>
        <w:fldChar w:fldCharType="begin"/>
      </w:r>
      <w:r w:rsidR="00912480">
        <w:rPr>
          <w:iCs/>
          <w:color w:val="000000" w:themeColor="text1"/>
          <w:szCs w:val="22"/>
          <w:shd w:val="clear" w:color="auto" w:fill="FFFFFF"/>
        </w:rPr>
        <w:instrText xml:space="preserve"> REF _Ref159509491 \h </w:instrText>
      </w:r>
      <w:r w:rsidR="00912480">
        <w:rPr>
          <w:iCs/>
          <w:color w:val="000000" w:themeColor="text1"/>
          <w:szCs w:val="22"/>
          <w:shd w:val="clear" w:color="auto" w:fill="FFFFFF"/>
        </w:rPr>
      </w:r>
      <w:r w:rsidR="00912480">
        <w:rPr>
          <w:iCs/>
          <w:color w:val="000000" w:themeColor="text1"/>
          <w:szCs w:val="22"/>
          <w:shd w:val="clear" w:color="auto" w:fill="FFFFFF"/>
        </w:rPr>
        <w:fldChar w:fldCharType="separate"/>
      </w:r>
      <w:r w:rsidR="00536CF0" w:rsidRPr="00912480">
        <w:rPr>
          <w:b/>
          <w:bCs/>
        </w:rPr>
        <w:t xml:space="preserve">Figure </w:t>
      </w:r>
      <w:r w:rsidR="00536CF0">
        <w:rPr>
          <w:b/>
          <w:bCs/>
          <w:noProof/>
        </w:rPr>
        <w:t>8</w:t>
      </w:r>
      <w:r w:rsidR="00912480">
        <w:rPr>
          <w:iCs/>
          <w:color w:val="000000" w:themeColor="text1"/>
          <w:szCs w:val="22"/>
          <w:shd w:val="clear" w:color="auto" w:fill="FFFFFF"/>
        </w:rPr>
        <w:fldChar w:fldCharType="end"/>
      </w:r>
      <w:r w:rsidRPr="00967BAD">
        <w:rPr>
          <w:b/>
          <w:bCs/>
          <w:iCs/>
          <w:color w:val="000000" w:themeColor="text1"/>
          <w:szCs w:val="22"/>
          <w:shd w:val="clear" w:color="auto" w:fill="FFFFFF"/>
        </w:rPr>
        <w:t>c</w:t>
      </w:r>
      <w:r w:rsidRPr="00EC6E98">
        <w:rPr>
          <w:iCs/>
          <w:color w:val="000000" w:themeColor="text1"/>
          <w:szCs w:val="22"/>
          <w:shd w:val="clear" w:color="auto" w:fill="FFFFFF"/>
        </w:rPr>
        <w:t xml:space="preserve">. At these high oxygen chemical potentials, the </w:t>
      </w:r>
      <w:r w:rsidR="000757AA">
        <w:rPr>
          <w:iCs/>
          <w:color w:val="000000" w:themeColor="text1"/>
          <w:szCs w:val="22"/>
          <w:shd w:val="clear" w:color="auto" w:fill="FFFFFF"/>
        </w:rPr>
        <w:t>stoichiometric</w:t>
      </w:r>
      <w:r w:rsidRPr="00EC6E98">
        <w:rPr>
          <w:iCs/>
          <w:color w:val="000000" w:themeColor="text1"/>
          <w:szCs w:val="22"/>
          <w:shd w:val="clear" w:color="auto" w:fill="FFFFFF"/>
        </w:rPr>
        <w:t xml:space="preserve"> termination, </w:t>
      </w:r>
      <w:r w:rsidRPr="00EC6E98">
        <w:rPr>
          <w:color w:val="000000" w:themeColor="text1"/>
          <w:szCs w:val="22"/>
        </w:rPr>
        <w:t>RuO</w:t>
      </w:r>
      <w:r w:rsidRPr="00EC6E98">
        <w:rPr>
          <w:color w:val="000000" w:themeColor="text1"/>
          <w:szCs w:val="22"/>
          <w:vertAlign w:val="subscript"/>
        </w:rPr>
        <w:t>2</w:t>
      </w:r>
      <w:r w:rsidRPr="00EC6E98">
        <w:rPr>
          <w:color w:val="000000" w:themeColor="text1"/>
          <w:szCs w:val="22"/>
        </w:rPr>
        <w:t>(110)-</w:t>
      </w:r>
      <w:proofErr w:type="spellStart"/>
      <w:r w:rsidRPr="00EC6E98">
        <w:rPr>
          <w:color w:val="000000" w:themeColor="text1"/>
          <w:szCs w:val="22"/>
        </w:rPr>
        <w:t>O</w:t>
      </w:r>
      <w:r w:rsidRPr="00EC6E98">
        <w:rPr>
          <w:color w:val="000000" w:themeColor="text1"/>
          <w:szCs w:val="22"/>
          <w:vertAlign w:val="superscript"/>
        </w:rPr>
        <w:t>bridge</w:t>
      </w:r>
      <w:proofErr w:type="spellEnd"/>
      <w:r w:rsidRPr="00EC6E98">
        <w:rPr>
          <w:color w:val="000000" w:themeColor="text1"/>
          <w:szCs w:val="22"/>
        </w:rPr>
        <w:t xml:space="preserve"> (</w:t>
      </w:r>
      <w:r w:rsidR="00912480">
        <w:rPr>
          <w:color w:val="000000" w:themeColor="text1"/>
          <w:szCs w:val="22"/>
        </w:rPr>
        <w:fldChar w:fldCharType="begin"/>
      </w:r>
      <w:r w:rsidR="00912480">
        <w:rPr>
          <w:color w:val="000000" w:themeColor="text1"/>
          <w:szCs w:val="22"/>
        </w:rPr>
        <w:instrText xml:space="preserve"> REF _Ref159509491 \h </w:instrText>
      </w:r>
      <w:r w:rsidR="00912480">
        <w:rPr>
          <w:color w:val="000000" w:themeColor="text1"/>
          <w:szCs w:val="22"/>
        </w:rPr>
      </w:r>
      <w:r w:rsidR="00912480">
        <w:rPr>
          <w:color w:val="000000" w:themeColor="text1"/>
          <w:szCs w:val="22"/>
        </w:rPr>
        <w:fldChar w:fldCharType="separate"/>
      </w:r>
      <w:r w:rsidR="00536CF0" w:rsidRPr="00912480">
        <w:rPr>
          <w:b/>
          <w:bCs/>
        </w:rPr>
        <w:t xml:space="preserve">Figure </w:t>
      </w:r>
      <w:r w:rsidR="00536CF0">
        <w:rPr>
          <w:b/>
          <w:bCs/>
          <w:noProof/>
        </w:rPr>
        <w:t>8</w:t>
      </w:r>
      <w:r w:rsidR="00912480">
        <w:rPr>
          <w:color w:val="000000" w:themeColor="text1"/>
          <w:szCs w:val="22"/>
        </w:rPr>
        <w:fldChar w:fldCharType="end"/>
      </w:r>
      <w:r w:rsidRPr="00967BAD">
        <w:rPr>
          <w:b/>
          <w:bCs/>
          <w:color w:val="000000" w:themeColor="text1"/>
          <w:szCs w:val="22"/>
        </w:rPr>
        <w:t>b</w:t>
      </w:r>
      <w:r w:rsidRPr="00EC6E98">
        <w:rPr>
          <w:color w:val="000000" w:themeColor="text1"/>
          <w:szCs w:val="22"/>
        </w:rPr>
        <w:t>), and the reduced surface, RuO</w:t>
      </w:r>
      <w:r w:rsidRPr="00EC6E98">
        <w:rPr>
          <w:color w:val="000000" w:themeColor="text1"/>
          <w:szCs w:val="22"/>
          <w:vertAlign w:val="subscript"/>
        </w:rPr>
        <w:t>2</w:t>
      </w:r>
      <w:r w:rsidRPr="00EC6E98">
        <w:rPr>
          <w:color w:val="000000" w:themeColor="text1"/>
          <w:szCs w:val="22"/>
        </w:rPr>
        <w:t>(110)-Ru (</w:t>
      </w:r>
      <w:r w:rsidR="00912480">
        <w:rPr>
          <w:color w:val="000000" w:themeColor="text1"/>
          <w:szCs w:val="22"/>
        </w:rPr>
        <w:fldChar w:fldCharType="begin"/>
      </w:r>
      <w:r w:rsidR="00912480">
        <w:rPr>
          <w:color w:val="000000" w:themeColor="text1"/>
          <w:szCs w:val="22"/>
        </w:rPr>
        <w:instrText xml:space="preserve"> REF _Ref159509491 \h </w:instrText>
      </w:r>
      <w:r w:rsidR="00912480">
        <w:rPr>
          <w:color w:val="000000" w:themeColor="text1"/>
          <w:szCs w:val="22"/>
        </w:rPr>
      </w:r>
      <w:r w:rsidR="00912480">
        <w:rPr>
          <w:color w:val="000000" w:themeColor="text1"/>
          <w:szCs w:val="22"/>
        </w:rPr>
        <w:fldChar w:fldCharType="separate"/>
      </w:r>
      <w:r w:rsidR="00536CF0" w:rsidRPr="00912480">
        <w:rPr>
          <w:b/>
          <w:bCs/>
        </w:rPr>
        <w:t xml:space="preserve">Figure </w:t>
      </w:r>
      <w:r w:rsidR="00536CF0">
        <w:rPr>
          <w:b/>
          <w:bCs/>
          <w:noProof/>
        </w:rPr>
        <w:t>8</w:t>
      </w:r>
      <w:r w:rsidR="00912480">
        <w:rPr>
          <w:color w:val="000000" w:themeColor="text1"/>
          <w:szCs w:val="22"/>
        </w:rPr>
        <w:fldChar w:fldCharType="end"/>
      </w:r>
      <w:r w:rsidRPr="00967BAD">
        <w:rPr>
          <w:b/>
          <w:bCs/>
          <w:color w:val="000000" w:themeColor="text1"/>
          <w:szCs w:val="22"/>
        </w:rPr>
        <w:t>d</w:t>
      </w:r>
      <w:r w:rsidRPr="00EC6E98">
        <w:rPr>
          <w:color w:val="000000" w:themeColor="text1"/>
          <w:szCs w:val="22"/>
        </w:rPr>
        <w:t xml:space="preserve">), are both metastable, with the </w:t>
      </w:r>
      <w:r w:rsidR="000757AA">
        <w:rPr>
          <w:iCs/>
          <w:color w:val="000000" w:themeColor="text1"/>
          <w:szCs w:val="22"/>
          <w:shd w:val="clear" w:color="auto" w:fill="FFFFFF"/>
        </w:rPr>
        <w:t>stoichiometric</w:t>
      </w:r>
      <w:r w:rsidRPr="00EC6E98">
        <w:rPr>
          <w:iCs/>
          <w:color w:val="000000" w:themeColor="text1"/>
          <w:szCs w:val="22"/>
          <w:shd w:val="clear" w:color="auto" w:fill="FFFFFF"/>
        </w:rPr>
        <w:t xml:space="preserve"> termination being of lower energy than the reduced surface. As the oxygen chemical potential is lowered, the </w:t>
      </w:r>
      <w:r w:rsidR="000757AA">
        <w:rPr>
          <w:iCs/>
          <w:color w:val="000000" w:themeColor="text1"/>
          <w:szCs w:val="22"/>
          <w:shd w:val="clear" w:color="auto" w:fill="FFFFFF"/>
        </w:rPr>
        <w:t>stoichiometric</w:t>
      </w:r>
      <w:r w:rsidRPr="00EC6E98">
        <w:rPr>
          <w:iCs/>
          <w:color w:val="000000" w:themeColor="text1"/>
          <w:szCs w:val="22"/>
          <w:shd w:val="clear" w:color="auto" w:fill="FFFFFF"/>
        </w:rPr>
        <w:t xml:space="preserve"> termination becomes the stable phase. The power of </w:t>
      </w:r>
      <w:r w:rsidRPr="00EC6E98">
        <w:rPr>
          <w:i/>
          <w:iCs/>
          <w:color w:val="000000" w:themeColor="text1"/>
          <w:szCs w:val="22"/>
        </w:rPr>
        <w:t xml:space="preserve">ab initio </w:t>
      </w:r>
      <w:r w:rsidRPr="00EC6E98">
        <w:rPr>
          <w:color w:val="000000" w:themeColor="text1"/>
          <w:szCs w:val="22"/>
        </w:rPr>
        <w:t>atomistic thermodynamics is in its ability to predict both stable and metastable phases of surfaces in equilibrium with a thermodynamic reservoir. And</w:t>
      </w:r>
      <w:r w:rsidRPr="00EC6E98">
        <w:rPr>
          <w:iCs/>
          <w:color w:val="000000" w:themeColor="text1"/>
          <w:szCs w:val="22"/>
          <w:shd w:val="clear" w:color="auto" w:fill="FFFFFF"/>
        </w:rPr>
        <w:t xml:space="preserve"> while these results are in the gas-phase, we will see similar behavior and structures emerge in studies of the OER over rutile-type oxides. Moreover, the CHE is a simple extension of this </w:t>
      </w:r>
      <w:r w:rsidRPr="00EC6E98">
        <w:rPr>
          <w:i/>
          <w:iCs/>
          <w:color w:val="000000" w:themeColor="text1"/>
          <w:szCs w:val="22"/>
        </w:rPr>
        <w:t xml:space="preserve">ab initio </w:t>
      </w:r>
      <w:r w:rsidRPr="00EC6E98">
        <w:rPr>
          <w:color w:val="000000" w:themeColor="text1"/>
          <w:szCs w:val="22"/>
        </w:rPr>
        <w:t>atomistic thermodynamic methodology first developed for gas-phase thermal chemistry.</w:t>
      </w:r>
      <w:r w:rsidRPr="00EC6E98">
        <w:rPr>
          <w:iCs/>
          <w:color w:val="000000" w:themeColor="text1"/>
          <w:szCs w:val="22"/>
          <w:shd w:val="clear" w:color="auto" w:fill="FFFFFF"/>
        </w:rPr>
        <w:t xml:space="preserve"> </w:t>
      </w:r>
    </w:p>
    <w:p w14:paraId="31600E5A" w14:textId="77777777" w:rsidR="00594FAE" w:rsidRPr="00EC6E98" w:rsidRDefault="00594FAE" w:rsidP="00594FAE">
      <w:pPr>
        <w:rPr>
          <w:color w:val="000000" w:themeColor="text1"/>
          <w:szCs w:val="22"/>
        </w:rPr>
      </w:pPr>
    </w:p>
    <w:p w14:paraId="4D136EEE" w14:textId="70155219" w:rsidR="00594FAE" w:rsidRPr="00BC7855" w:rsidRDefault="00577291" w:rsidP="00BC7855">
      <w:pPr>
        <w:pStyle w:val="Heading4"/>
      </w:pPr>
      <w:r>
        <w:t xml:space="preserve"> </w:t>
      </w:r>
      <w:bookmarkStart w:id="59" w:name="_Toc166441732"/>
      <w:r w:rsidR="00594FAE" w:rsidRPr="00BC7855">
        <w:t xml:space="preserve">Multicomponent </w:t>
      </w:r>
      <w:r w:rsidR="004D7F67">
        <w:t>s</w:t>
      </w:r>
      <w:r w:rsidR="00594FAE" w:rsidRPr="00BC7855">
        <w:t>ystems</w:t>
      </w:r>
      <w:bookmarkEnd w:id="59"/>
    </w:p>
    <w:p w14:paraId="0F1412CA" w14:textId="77777777" w:rsidR="007C5D34" w:rsidRDefault="007C5D34" w:rsidP="00DB17F2">
      <w:pPr>
        <w:ind w:firstLine="720"/>
        <w:rPr>
          <w:color w:val="000000" w:themeColor="text1"/>
          <w:szCs w:val="22"/>
          <w:shd w:val="clear" w:color="auto" w:fill="FFFFFF"/>
        </w:rPr>
      </w:pPr>
    </w:p>
    <w:p w14:paraId="213A25F2" w14:textId="785361BE" w:rsidR="00594FAE" w:rsidRDefault="00594FAE" w:rsidP="00DB17F2">
      <w:pPr>
        <w:ind w:firstLine="720"/>
        <w:rPr>
          <w:iCs/>
          <w:color w:val="000000" w:themeColor="text1"/>
          <w:szCs w:val="22"/>
          <w:shd w:val="clear" w:color="auto" w:fill="FFFFFF"/>
        </w:rPr>
      </w:pPr>
      <w:r w:rsidRPr="00EC6E98">
        <w:rPr>
          <w:color w:val="000000" w:themeColor="text1"/>
          <w:szCs w:val="22"/>
          <w:shd w:val="clear" w:color="auto" w:fill="FFFFFF"/>
        </w:rPr>
        <w:t xml:space="preserve">Before moving on to the CHE formulation of </w:t>
      </w:r>
      <w:r w:rsidRPr="00EC6E98">
        <w:rPr>
          <w:i/>
          <w:iCs/>
          <w:color w:val="000000" w:themeColor="text1"/>
          <w:szCs w:val="22"/>
        </w:rPr>
        <w:t xml:space="preserve">ab initio </w:t>
      </w:r>
      <w:r w:rsidRPr="00EC6E98">
        <w:rPr>
          <w:color w:val="000000" w:themeColor="text1"/>
          <w:szCs w:val="22"/>
        </w:rPr>
        <w:t>atomistic thermodynamics</w:t>
      </w:r>
      <w:r w:rsidRPr="00EC6E98">
        <w:rPr>
          <w:color w:val="000000" w:themeColor="text1"/>
          <w:szCs w:val="22"/>
          <w:shd w:val="clear" w:color="auto" w:fill="FFFFFF"/>
        </w:rPr>
        <w:t xml:space="preserve">, we note that in electrochemical environments, we must define thermodynamic reservoirs for multiple species. In </w:t>
      </w:r>
      <w:r w:rsidR="00912480" w:rsidRPr="004B35B6">
        <w:rPr>
          <w:color w:val="000000" w:themeColor="text1"/>
          <w:szCs w:val="22"/>
          <w:shd w:val="clear" w:color="auto" w:fill="FFFFFF"/>
        </w:rPr>
        <w:fldChar w:fldCharType="begin"/>
      </w:r>
      <w:r w:rsidR="00912480" w:rsidRPr="004B35B6">
        <w:rPr>
          <w:color w:val="000000" w:themeColor="text1"/>
          <w:szCs w:val="22"/>
          <w:shd w:val="clear" w:color="auto" w:fill="FFFFFF"/>
        </w:rPr>
        <w:instrText xml:space="preserve"> REF _Ref159509337 \h </w:instrText>
      </w:r>
      <w:r w:rsidR="004B35B6">
        <w:rPr>
          <w:color w:val="000000" w:themeColor="text1"/>
          <w:szCs w:val="22"/>
          <w:shd w:val="clear" w:color="auto" w:fill="FFFFFF"/>
        </w:rPr>
        <w:instrText xml:space="preserve"> \* MERGEFORMAT </w:instrText>
      </w:r>
      <w:r w:rsidR="00912480" w:rsidRPr="004B35B6">
        <w:rPr>
          <w:color w:val="000000" w:themeColor="text1"/>
          <w:szCs w:val="22"/>
          <w:shd w:val="clear" w:color="auto" w:fill="FFFFFF"/>
        </w:rPr>
      </w:r>
      <w:r w:rsidR="00912480" w:rsidRPr="004B35B6">
        <w:rPr>
          <w:color w:val="000000" w:themeColor="text1"/>
          <w:szCs w:val="22"/>
          <w:shd w:val="clear" w:color="auto" w:fill="FFFFFF"/>
        </w:rPr>
        <w:fldChar w:fldCharType="separate"/>
      </w:r>
      <w:r w:rsidR="00536CF0" w:rsidRPr="00245F0C">
        <w:rPr>
          <w:szCs w:val="22"/>
        </w:rPr>
        <w:t xml:space="preserve"> Equation</w:t>
      </w:r>
      <w:r w:rsidR="00536CF0" w:rsidRPr="00245F0C">
        <w:rPr>
          <w:noProof/>
          <w:szCs w:val="22"/>
        </w:rPr>
        <w:t xml:space="preserve"> </w:t>
      </w:r>
      <w:r w:rsidR="00536CF0">
        <w:rPr>
          <w:noProof/>
          <w:sz w:val="20"/>
          <w:szCs w:val="20"/>
        </w:rPr>
        <w:t>23</w:t>
      </w:r>
      <w:r w:rsidR="00912480" w:rsidRPr="004B35B6">
        <w:rPr>
          <w:color w:val="000000" w:themeColor="text1"/>
          <w:szCs w:val="22"/>
          <w:shd w:val="clear" w:color="auto" w:fill="FFFFFF"/>
        </w:rPr>
        <w:fldChar w:fldCharType="end"/>
      </w:r>
      <w:r w:rsidR="00912480">
        <w:rPr>
          <w:color w:val="000000" w:themeColor="text1"/>
          <w:szCs w:val="22"/>
          <w:shd w:val="clear" w:color="auto" w:fill="FFFFFF"/>
        </w:rPr>
        <w:t xml:space="preserve"> </w:t>
      </w:r>
      <w:r w:rsidRPr="00EC6E98">
        <w:rPr>
          <w:color w:val="000000" w:themeColor="text1"/>
          <w:szCs w:val="22"/>
          <w:shd w:val="clear" w:color="auto" w:fill="FFFFFF"/>
        </w:rPr>
        <w:t xml:space="preserve">this was the trivial result of assuming changes in the entropic contributions in the solid phases are small, hence </w:t>
      </w:r>
      <w:r w:rsidRPr="00EC6E98">
        <w:rPr>
          <w:iCs/>
          <w:color w:val="000000" w:themeColor="text1"/>
          <w:szCs w:val="22"/>
          <w:shd w:val="clear" w:color="auto" w:fill="FFFFFF"/>
        </w:rPr>
        <w:t>the total energy of bulk ruthenium metal was used as the ruthenium chemical potential. In aqueous environments, however, the chemical potentials of hydrogen and oxygen must be defined. Consider, for instance, the RuO</w:t>
      </w:r>
      <w:r w:rsidRPr="00EC6E98">
        <w:rPr>
          <w:iCs/>
          <w:color w:val="000000" w:themeColor="text1"/>
          <w:szCs w:val="22"/>
          <w:shd w:val="clear" w:color="auto" w:fill="FFFFFF"/>
          <w:vertAlign w:val="subscript"/>
        </w:rPr>
        <w:t>2</w:t>
      </w:r>
      <w:r w:rsidRPr="00EC6E98">
        <w:rPr>
          <w:iCs/>
          <w:color w:val="000000" w:themeColor="text1"/>
          <w:szCs w:val="22"/>
          <w:shd w:val="clear" w:color="auto" w:fill="FFFFFF"/>
        </w:rPr>
        <w:t xml:space="preserve">(110) surface in a humid atmosphere. The surface free energy of this system is a function of three chemical potentials, </w:t>
      </w:r>
      <w:r w:rsidRPr="006E7C22">
        <w:rPr>
          <w:i/>
          <w:color w:val="000000" w:themeColor="text1"/>
          <w:szCs w:val="22"/>
          <w:shd w:val="clear" w:color="auto" w:fill="FFFFFF"/>
        </w:rPr>
        <w:sym w:font="Symbol" w:char="F06D"/>
      </w:r>
      <w:r w:rsidRPr="00EC6E98">
        <w:rPr>
          <w:iCs/>
          <w:color w:val="000000" w:themeColor="text1"/>
          <w:szCs w:val="22"/>
          <w:shd w:val="clear" w:color="auto" w:fill="FFFFFF"/>
          <w:vertAlign w:val="subscript"/>
        </w:rPr>
        <w:t>Ru</w:t>
      </w:r>
      <w:r w:rsidRPr="00EC6E98">
        <w:rPr>
          <w:iCs/>
          <w:color w:val="000000" w:themeColor="text1"/>
          <w:szCs w:val="22"/>
          <w:shd w:val="clear" w:color="auto" w:fill="FFFFFF"/>
        </w:rPr>
        <w:t xml:space="preserve">, </w:t>
      </w:r>
      <w:r w:rsidRPr="006E7C22">
        <w:rPr>
          <w:i/>
          <w:color w:val="000000" w:themeColor="text1"/>
          <w:szCs w:val="22"/>
          <w:shd w:val="clear" w:color="auto" w:fill="FFFFFF"/>
        </w:rPr>
        <w:sym w:font="Symbol" w:char="F06D"/>
      </w:r>
      <w:r w:rsidRPr="00EC6E98">
        <w:rPr>
          <w:iCs/>
          <w:color w:val="000000" w:themeColor="text1"/>
          <w:szCs w:val="22"/>
          <w:shd w:val="clear" w:color="auto" w:fill="FFFFFF"/>
          <w:vertAlign w:val="subscript"/>
        </w:rPr>
        <w:t>O</w:t>
      </w:r>
      <w:r w:rsidRPr="00EC6E98">
        <w:rPr>
          <w:iCs/>
          <w:color w:val="000000" w:themeColor="text1"/>
          <w:szCs w:val="22"/>
          <w:shd w:val="clear" w:color="auto" w:fill="FFFFFF"/>
        </w:rPr>
        <w:t xml:space="preserve">, and </w:t>
      </w:r>
      <w:r w:rsidRPr="006E7C22">
        <w:rPr>
          <w:i/>
          <w:color w:val="000000" w:themeColor="text1"/>
          <w:szCs w:val="22"/>
          <w:shd w:val="clear" w:color="auto" w:fill="FFFFFF"/>
        </w:rPr>
        <w:sym w:font="Symbol" w:char="F06D"/>
      </w:r>
      <w:r w:rsidRPr="00EC6E98">
        <w:rPr>
          <w:iCs/>
          <w:color w:val="000000" w:themeColor="text1"/>
          <w:szCs w:val="22"/>
          <w:shd w:val="clear" w:color="auto" w:fill="FFFFFF"/>
          <w:vertAlign w:val="subscript"/>
        </w:rPr>
        <w:t>H</w:t>
      </w:r>
      <w:r w:rsidRPr="00EC6E98">
        <w:rPr>
          <w:iCs/>
          <w:color w:val="000000" w:themeColor="text1"/>
          <w:szCs w:val="22"/>
          <w:shd w:val="clear" w:color="auto" w:fill="FFFFFF"/>
        </w:rPr>
        <w:t xml:space="preserve">. </w:t>
      </w:r>
      <w:r>
        <w:rPr>
          <w:iCs/>
          <w:color w:val="000000" w:themeColor="text1"/>
          <w:szCs w:val="22"/>
          <w:shd w:val="clear" w:color="auto" w:fill="FFFFFF"/>
        </w:rPr>
        <w:t>By assuming t</w:t>
      </w:r>
      <w:r w:rsidRPr="00EC6E98">
        <w:rPr>
          <w:iCs/>
          <w:color w:val="000000" w:themeColor="text1"/>
          <w:szCs w:val="22"/>
          <w:shd w:val="clear" w:color="auto" w:fill="FFFFFF"/>
        </w:rPr>
        <w:t>he</w:t>
      </w:r>
      <w:r>
        <w:rPr>
          <w:iCs/>
          <w:color w:val="000000" w:themeColor="text1"/>
          <w:szCs w:val="22"/>
          <w:shd w:val="clear" w:color="auto" w:fill="FFFFFF"/>
        </w:rPr>
        <w:t xml:space="preserve"> surface is equilibrated with the bulk oxide the authors were able write</w:t>
      </w:r>
      <w:r w:rsidRPr="00EC6E98">
        <w:rPr>
          <w:iCs/>
          <w:color w:val="000000" w:themeColor="text1"/>
          <w:szCs w:val="22"/>
          <w:shd w:val="clear" w:color="auto" w:fill="FFFFFF"/>
        </w:rPr>
        <w:t xml:space="preserve"> the surface free energy in terms of the oxygen and hydrogen chemical potentials. Both </w:t>
      </w:r>
      <w:r w:rsidRPr="00EC6E98">
        <w:rPr>
          <w:iCs/>
          <w:color w:val="000000" w:themeColor="text1"/>
          <w:szCs w:val="22"/>
          <w:shd w:val="clear" w:color="auto" w:fill="FFFFFF"/>
        </w:rPr>
        <w:sym w:font="Symbol" w:char="F06D"/>
      </w:r>
      <w:r w:rsidRPr="00EC6E98">
        <w:rPr>
          <w:iCs/>
          <w:color w:val="000000" w:themeColor="text1"/>
          <w:szCs w:val="22"/>
          <w:shd w:val="clear" w:color="auto" w:fill="FFFFFF"/>
          <w:vertAlign w:val="subscript"/>
        </w:rPr>
        <w:t>O</w:t>
      </w:r>
      <w:r w:rsidRPr="00EC6E98">
        <w:rPr>
          <w:iCs/>
          <w:color w:val="000000" w:themeColor="text1"/>
          <w:szCs w:val="22"/>
          <w:shd w:val="clear" w:color="auto" w:fill="FFFFFF"/>
        </w:rPr>
        <w:t xml:space="preserve"> and </w:t>
      </w:r>
      <w:r w:rsidRPr="00EC6E98">
        <w:rPr>
          <w:iCs/>
          <w:color w:val="000000" w:themeColor="text1"/>
          <w:szCs w:val="22"/>
          <w:shd w:val="clear" w:color="auto" w:fill="FFFFFF"/>
        </w:rPr>
        <w:sym w:font="Symbol" w:char="F06D"/>
      </w:r>
      <w:r w:rsidRPr="00EC6E98">
        <w:rPr>
          <w:iCs/>
          <w:color w:val="000000" w:themeColor="text1"/>
          <w:szCs w:val="22"/>
          <w:shd w:val="clear" w:color="auto" w:fill="FFFFFF"/>
          <w:vertAlign w:val="subscript"/>
        </w:rPr>
        <w:t>H</w:t>
      </w:r>
      <w:r w:rsidRPr="00EC6E98">
        <w:rPr>
          <w:iCs/>
          <w:color w:val="000000" w:themeColor="text1"/>
          <w:szCs w:val="22"/>
          <w:shd w:val="clear" w:color="auto" w:fill="FFFFFF"/>
        </w:rPr>
        <w:t xml:space="preserve"> depend on their corresponding thermodynamic reservoir. In thermodynamic equilibrium the surface and gas-phase components are all equilibrated. This so-called, complete equilibrium condition, allows us to uniquely identify the </w:t>
      </w:r>
      <w:r w:rsidRPr="006E7C22">
        <w:rPr>
          <w:i/>
          <w:color w:val="000000" w:themeColor="text1"/>
          <w:szCs w:val="22"/>
          <w:shd w:val="clear" w:color="auto" w:fill="FFFFFF"/>
        </w:rPr>
        <w:sym w:font="Symbol" w:char="F06D"/>
      </w:r>
      <w:r w:rsidRPr="00EC6E98">
        <w:rPr>
          <w:iCs/>
          <w:color w:val="000000" w:themeColor="text1"/>
          <w:szCs w:val="22"/>
          <w:shd w:val="clear" w:color="auto" w:fill="FFFFFF"/>
          <w:vertAlign w:val="subscript"/>
        </w:rPr>
        <w:t>O</w:t>
      </w:r>
      <w:r w:rsidRPr="00EC6E98">
        <w:rPr>
          <w:iCs/>
          <w:color w:val="000000" w:themeColor="text1"/>
          <w:szCs w:val="22"/>
          <w:shd w:val="clear" w:color="auto" w:fill="FFFFFF"/>
        </w:rPr>
        <w:t xml:space="preserve"> and </w:t>
      </w:r>
      <w:r w:rsidRPr="006E7C22">
        <w:rPr>
          <w:i/>
          <w:color w:val="000000" w:themeColor="text1"/>
          <w:szCs w:val="22"/>
          <w:shd w:val="clear" w:color="auto" w:fill="FFFFFF"/>
        </w:rPr>
        <w:sym w:font="Symbol" w:char="F06D"/>
      </w:r>
      <w:r w:rsidRPr="00EC6E98">
        <w:rPr>
          <w:iCs/>
          <w:color w:val="000000" w:themeColor="text1"/>
          <w:szCs w:val="22"/>
          <w:shd w:val="clear" w:color="auto" w:fill="FFFFFF"/>
          <w:vertAlign w:val="subscript"/>
        </w:rPr>
        <w:t>H</w:t>
      </w:r>
      <w:r w:rsidRPr="00EC6E98">
        <w:rPr>
          <w:iCs/>
          <w:color w:val="000000" w:themeColor="text1"/>
          <w:szCs w:val="22"/>
          <w:shd w:val="clear" w:color="auto" w:fill="FFFFFF"/>
        </w:rPr>
        <w:t xml:space="preserve"> chemical potentials. Sun, Reuter, and Scheffler showed that for the case of RuO</w:t>
      </w:r>
      <w:r w:rsidRPr="00EC6E98">
        <w:rPr>
          <w:iCs/>
          <w:color w:val="000000" w:themeColor="text1"/>
          <w:szCs w:val="22"/>
          <w:shd w:val="clear" w:color="auto" w:fill="FFFFFF"/>
          <w:vertAlign w:val="subscript"/>
        </w:rPr>
        <w:t>2</w:t>
      </w:r>
      <w:r w:rsidRPr="00EC6E98">
        <w:rPr>
          <w:iCs/>
          <w:color w:val="000000" w:themeColor="text1"/>
          <w:szCs w:val="22"/>
          <w:shd w:val="clear" w:color="auto" w:fill="FFFFFF"/>
        </w:rPr>
        <w:t>(110) in a humid atmosphere the complete equilibrium condition is likely satisfied</w:t>
      </w:r>
      <w:r>
        <w:rPr>
          <w:iCs/>
          <w:color w:val="000000" w:themeColor="text1"/>
          <w:szCs w:val="22"/>
          <w:shd w:val="clear" w:color="auto" w:fill="FFFFFF"/>
        </w:rPr>
        <w:fldChar w:fldCharType="begin"/>
      </w:r>
      <w:r w:rsidR="00FC5BEB">
        <w:rPr>
          <w:iCs/>
          <w:color w:val="000000" w:themeColor="text1"/>
          <w:szCs w:val="22"/>
          <w:shd w:val="clear" w:color="auto" w:fill="FFFFFF"/>
        </w:rPr>
        <w:instrText xml:space="preserve"> ADDIN EN.CITE &lt;EndNote&gt;&lt;Cite&gt;&lt;Author&gt;Sun&lt;/Author&gt;&lt;Year&gt;2003&lt;/Year&gt;&lt;RecNum&gt;114&lt;/RecNum&gt;&lt;DisplayText&gt;&lt;style face="superscript"&gt;116&lt;/style&gt;&lt;/DisplayText&gt;&lt;record&gt;&lt;rec-number&gt;114&lt;/rec-number&gt;&lt;foreign-keys&gt;&lt;key app="EN" db-id="2xex0erf4eexr4e2dpbxpdd829xttesxxxdr" timestamp="1715075296"&gt;114&lt;/key&gt;&lt;/foreign-keys&gt;&lt;ref-type name="Journal Article"&gt;17&lt;/ref-type&gt;&lt;contributors&gt;&lt;authors&gt;&lt;author&gt;Sun, Qiang&lt;/author&gt;&lt;author&gt;Reuter, Karsten&lt;/author&gt;&lt;author&gt;Scheffler, Matthias&lt;/author&gt;&lt;/authors&gt;&lt;/contributors&gt;&lt;titles&gt;&lt;title&gt;Effect of a humid environment on the surface structure of RuO2(110)&lt;/title&gt;&lt;secondary-title&gt;Physical Review B&lt;/secondary-title&gt;&lt;/titles&gt;&lt;periodical&gt;&lt;full-title&gt;Physical Review B&lt;/full-title&gt;&lt;abbr-1&gt;Phys. Rev. B&lt;/abbr-1&gt;&lt;abbr-2&gt;Phys Rev B&lt;/abbr-2&gt;&lt;/periodical&gt;&lt;pages&gt;205424&lt;/pages&gt;&lt;volume&gt;67&lt;/volume&gt;&lt;number&gt;20&lt;/number&gt;&lt;dates&gt;&lt;year&gt;2003&lt;/year&gt;&lt;pub-dates&gt;&lt;date&gt;05/30/&lt;/date&gt;&lt;/pub-dates&gt;&lt;/dates&gt;&lt;publisher&gt;American Physical Society&lt;/publisher&gt;&lt;urls&gt;&lt;related-urls&gt;&lt;url&gt;https://link.aps.org/doi/10.1103/PhysRevB.67.205424&lt;/url&gt;&lt;/related-urls&gt;&lt;/urls&gt;&lt;electronic-resource-num&gt;10.1103/PhysRevB.67.205424&lt;/electronic-resource-num&gt;&lt;/record&gt;&lt;/Cite&gt;&lt;/EndNote&gt;</w:instrText>
      </w:r>
      <w:r>
        <w:rPr>
          <w:iCs/>
          <w:color w:val="000000" w:themeColor="text1"/>
          <w:szCs w:val="22"/>
          <w:shd w:val="clear" w:color="auto" w:fill="FFFFFF"/>
        </w:rPr>
        <w:fldChar w:fldCharType="separate"/>
      </w:r>
      <w:r w:rsidR="00FC5BEB" w:rsidRPr="00FC5BEB">
        <w:rPr>
          <w:iCs/>
          <w:noProof/>
          <w:color w:val="000000" w:themeColor="text1"/>
          <w:szCs w:val="22"/>
          <w:shd w:val="clear" w:color="auto" w:fill="FFFFFF"/>
          <w:vertAlign w:val="superscript"/>
        </w:rPr>
        <w:t>116</w:t>
      </w:r>
      <w:r>
        <w:rPr>
          <w:iCs/>
          <w:color w:val="000000" w:themeColor="text1"/>
          <w:szCs w:val="22"/>
          <w:shd w:val="clear" w:color="auto" w:fill="FFFFFF"/>
        </w:rPr>
        <w:fldChar w:fldCharType="end"/>
      </w:r>
      <w:r w:rsidRPr="00EC6E98">
        <w:rPr>
          <w:iCs/>
          <w:color w:val="000000" w:themeColor="text1"/>
          <w:szCs w:val="22"/>
          <w:shd w:val="clear" w:color="auto" w:fill="FFFFFF"/>
        </w:rPr>
        <w:t xml:space="preserve">. In this case, the hydrogen chemical potential is determined by the water and oxygen chemical potentials as: </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7655"/>
        <w:gridCol w:w="1417"/>
      </w:tblGrid>
      <w:tr w:rsidR="005233ED" w:rsidRPr="00DE0988" w14:paraId="3B74E99B" w14:textId="77777777" w:rsidTr="008333D5">
        <w:tc>
          <w:tcPr>
            <w:tcW w:w="7655" w:type="dxa"/>
            <w:vAlign w:val="center"/>
          </w:tcPr>
          <w:p w14:paraId="2CA9AA7A" w14:textId="215AAC94" w:rsidR="005233ED" w:rsidRPr="00DE0988" w:rsidRDefault="00000000" w:rsidP="00E45E28">
            <w:pPr>
              <w:spacing w:before="60" w:after="60"/>
              <w:rPr>
                <w:bCs/>
                <w:sz w:val="20"/>
                <w:szCs w:val="20"/>
              </w:rPr>
            </w:pPr>
            <m:oMathPara>
              <m:oMath>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H</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p</m:t>
                        </m:r>
                      </m:e>
                      <m:sub>
                        <m:r>
                          <m:rPr>
                            <m:sty m:val="p"/>
                          </m:rPr>
                          <w:rPr>
                            <w:rFonts w:ascii="Cambria Math" w:hAnsi="Cambria Math"/>
                            <w:color w:val="000000" w:themeColor="text1"/>
                            <w:sz w:val="20"/>
                            <w:szCs w:val="20"/>
                            <w:shd w:val="clear" w:color="auto" w:fill="FFFFFF"/>
                          </w:rPr>
                          <m:t>H2O</m:t>
                        </m:r>
                      </m:sub>
                    </m:sSub>
                    <m:r>
                      <w:rPr>
                        <w:rFonts w:ascii="Cambria Math" w:hAnsi="Cambria Math"/>
                        <w:color w:val="000000" w:themeColor="text1"/>
                        <w:sz w:val="20"/>
                        <w:szCs w:val="20"/>
                        <w:shd w:val="clear" w:color="auto" w:fill="FFFFFF"/>
                      </w:rPr>
                      <m:t xml:space="preserve">, </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p</m:t>
                        </m:r>
                      </m:e>
                      <m:sub>
                        <m:r>
                          <m:rPr>
                            <m:sty m:val="p"/>
                          </m:rPr>
                          <w:rPr>
                            <w:rFonts w:ascii="Cambria Math" w:hAnsi="Cambria Math"/>
                            <w:color w:val="000000" w:themeColor="text1"/>
                            <w:sz w:val="20"/>
                            <w:szCs w:val="20"/>
                            <w:shd w:val="clear" w:color="auto" w:fill="FFFFFF"/>
                          </w:rPr>
                          <m:t>O2</m:t>
                        </m:r>
                      </m:sub>
                    </m:sSub>
                  </m:e>
                </m:d>
                <m:r>
                  <w:rPr>
                    <w:rFonts w:ascii="Cambria Math" w:hAnsi="Cambria Math"/>
                    <w:color w:val="000000" w:themeColor="text1"/>
                    <w:sz w:val="20"/>
                    <w:szCs w:val="20"/>
                    <w:shd w:val="clear" w:color="auto" w:fill="FFFFFF"/>
                  </w:rPr>
                  <m:t>=</m:t>
                </m:r>
                <m:f>
                  <m:fPr>
                    <m:ctrlPr>
                      <w:rPr>
                        <w:rFonts w:ascii="Cambria Math" w:eastAsiaTheme="minorHAnsi" w:hAnsi="Cambria Math"/>
                        <w:i/>
                        <w:iCs/>
                        <w:color w:val="000000" w:themeColor="text1"/>
                        <w:sz w:val="20"/>
                        <w:szCs w:val="20"/>
                        <w:shd w:val="clear" w:color="auto" w:fill="FFFFFF"/>
                      </w:rPr>
                    </m:ctrlPr>
                  </m:fPr>
                  <m:num>
                    <m:r>
                      <w:rPr>
                        <w:rFonts w:ascii="Cambria Math" w:hAnsi="Cambria Math"/>
                        <w:color w:val="000000" w:themeColor="text1"/>
                        <w:sz w:val="20"/>
                        <w:szCs w:val="20"/>
                        <w:shd w:val="clear" w:color="auto" w:fill="FFFFFF"/>
                      </w:rPr>
                      <m:t>1</m:t>
                    </m:r>
                  </m:num>
                  <m:den>
                    <m:r>
                      <w:rPr>
                        <w:rFonts w:ascii="Cambria Math" w:hAnsi="Cambria Math"/>
                        <w:color w:val="000000" w:themeColor="text1"/>
                        <w:sz w:val="20"/>
                        <w:szCs w:val="20"/>
                        <w:shd w:val="clear" w:color="auto" w:fill="FFFFFF"/>
                      </w:rPr>
                      <m:t>2</m:t>
                    </m:r>
                  </m:den>
                </m:f>
                <m:d>
                  <m:dPr>
                    <m:begChr m:val="["/>
                    <m:endChr m:val="]"/>
                    <m:ctrlPr>
                      <w:rPr>
                        <w:rFonts w:ascii="Cambria Math" w:eastAsiaTheme="minorHAnsi" w:hAnsi="Cambria Math"/>
                        <w:i/>
                        <w:iCs/>
                        <w:color w:val="000000" w:themeColor="text1"/>
                        <w:sz w:val="20"/>
                        <w:szCs w:val="20"/>
                        <w:shd w:val="clear" w:color="auto" w:fill="FFFFFF"/>
                      </w:rPr>
                    </m:ctrlPr>
                  </m:dPr>
                  <m:e>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H2O</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p</m:t>
                            </m:r>
                          </m:e>
                          <m:sub>
                            <m:r>
                              <m:rPr>
                                <m:sty m:val="p"/>
                              </m:rPr>
                              <w:rPr>
                                <w:rFonts w:ascii="Cambria Math" w:hAnsi="Cambria Math"/>
                                <w:color w:val="000000" w:themeColor="text1"/>
                                <w:sz w:val="20"/>
                                <w:szCs w:val="20"/>
                                <w:shd w:val="clear" w:color="auto" w:fill="FFFFFF"/>
                              </w:rPr>
                              <m:t>H2O</m:t>
                            </m:r>
                          </m:sub>
                        </m:sSub>
                      </m:e>
                    </m:d>
                    <m:r>
                      <m:rPr>
                        <m:sty m:val="p"/>
                      </m:rPr>
                      <w:rPr>
                        <w:rFonts w:ascii="Cambria Math" w:hAnsi="Cambria Math"/>
                        <w:color w:val="000000" w:themeColor="text1"/>
                        <w:sz w:val="20"/>
                        <w:szCs w:val="20"/>
                        <w:shd w:val="clear" w:color="auto" w:fill="FFFFFF"/>
                      </w:rPr>
                      <m:t>-</m:t>
                    </m:r>
                    <m:f>
                      <m:fPr>
                        <m:ctrlPr>
                          <w:rPr>
                            <w:rFonts w:ascii="Cambria Math" w:hAnsi="Cambria Math"/>
                            <w:iCs/>
                            <w:color w:val="000000" w:themeColor="text1"/>
                            <w:sz w:val="20"/>
                            <w:szCs w:val="20"/>
                            <w:shd w:val="clear" w:color="auto" w:fill="FFFFFF"/>
                          </w:rPr>
                        </m:ctrlPr>
                      </m:fPr>
                      <m:num>
                        <m:r>
                          <w:rPr>
                            <w:rFonts w:ascii="Cambria Math" w:hAnsi="Cambria Math"/>
                            <w:color w:val="000000" w:themeColor="text1"/>
                            <w:sz w:val="20"/>
                            <w:szCs w:val="20"/>
                            <w:shd w:val="clear" w:color="auto" w:fill="FFFFFF"/>
                          </w:rPr>
                          <m:t>1</m:t>
                        </m:r>
                      </m:num>
                      <m:den>
                        <m:r>
                          <w:rPr>
                            <w:rFonts w:ascii="Cambria Math" w:hAnsi="Cambria Math"/>
                            <w:color w:val="000000" w:themeColor="text1"/>
                            <w:sz w:val="20"/>
                            <w:szCs w:val="20"/>
                            <w:shd w:val="clear" w:color="auto" w:fill="FFFFFF"/>
                          </w:rPr>
                          <m:t>2</m:t>
                        </m:r>
                      </m:den>
                    </m:f>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O2</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p</m:t>
                            </m:r>
                          </m:e>
                          <m:sub>
                            <m:r>
                              <m:rPr>
                                <m:sty m:val="p"/>
                              </m:rPr>
                              <w:rPr>
                                <w:rFonts w:ascii="Cambria Math" w:hAnsi="Cambria Math"/>
                                <w:color w:val="000000" w:themeColor="text1"/>
                                <w:sz w:val="20"/>
                                <w:szCs w:val="20"/>
                                <w:shd w:val="clear" w:color="auto" w:fill="FFFFFF"/>
                              </w:rPr>
                              <m:t>O2</m:t>
                            </m:r>
                          </m:sub>
                        </m:sSub>
                      </m:e>
                    </m:d>
                  </m:e>
                </m:d>
              </m:oMath>
            </m:oMathPara>
          </w:p>
        </w:tc>
        <w:tc>
          <w:tcPr>
            <w:tcW w:w="1417" w:type="dxa"/>
            <w:vAlign w:val="center"/>
          </w:tcPr>
          <w:p w14:paraId="03FDD22E" w14:textId="15BC18A3" w:rsidR="005233ED" w:rsidRPr="00DE0988" w:rsidRDefault="005233ED" w:rsidP="00E45E28">
            <w:pPr>
              <w:keepNext/>
              <w:jc w:val="right"/>
              <w:rPr>
                <w:bCs/>
                <w:sz w:val="20"/>
                <w:szCs w:val="20"/>
              </w:rPr>
            </w:pPr>
            <w:bookmarkStart w:id="60" w:name="_Ref159507054"/>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536CF0">
              <w:rPr>
                <w:noProof/>
                <w:sz w:val="20"/>
                <w:szCs w:val="20"/>
              </w:rPr>
              <w:t>25</w:t>
            </w:r>
            <w:r w:rsidRPr="00DE0988">
              <w:rPr>
                <w:sz w:val="20"/>
                <w:szCs w:val="20"/>
              </w:rPr>
              <w:fldChar w:fldCharType="end"/>
            </w:r>
            <w:bookmarkEnd w:id="60"/>
          </w:p>
        </w:tc>
      </w:tr>
    </w:tbl>
    <w:p w14:paraId="6FF946C4" w14:textId="4A526E65" w:rsidR="00594FAE" w:rsidRDefault="00594FAE" w:rsidP="00594FAE">
      <w:pPr>
        <w:rPr>
          <w:iCs/>
          <w:color w:val="000000" w:themeColor="text1"/>
          <w:szCs w:val="22"/>
          <w:shd w:val="clear" w:color="auto" w:fill="FFFFFF"/>
        </w:rPr>
      </w:pPr>
      <w:r w:rsidRPr="00EC6E98">
        <w:rPr>
          <w:iCs/>
          <w:color w:val="000000" w:themeColor="text1"/>
          <w:szCs w:val="22"/>
          <w:shd w:val="clear" w:color="auto" w:fill="FFFFFF"/>
        </w:rPr>
        <w:t xml:space="preserve">The gas-phase water chemical potential can be written in a form like </w:t>
      </w:r>
      <w:r w:rsidR="005233ED">
        <w:rPr>
          <w:iCs/>
          <w:color w:val="000000" w:themeColor="text1"/>
          <w:szCs w:val="22"/>
          <w:shd w:val="clear" w:color="auto" w:fill="FFFFFF"/>
        </w:rPr>
        <w:fldChar w:fldCharType="begin"/>
      </w:r>
      <w:r w:rsidR="005233ED">
        <w:rPr>
          <w:iCs/>
          <w:color w:val="000000" w:themeColor="text1"/>
          <w:szCs w:val="22"/>
          <w:shd w:val="clear" w:color="auto" w:fill="FFFFFF"/>
        </w:rPr>
        <w:instrText xml:space="preserve"> REF _Ref159506785 \h </w:instrText>
      </w:r>
      <w:r w:rsidR="005233ED">
        <w:rPr>
          <w:iCs/>
          <w:color w:val="000000" w:themeColor="text1"/>
          <w:szCs w:val="22"/>
          <w:shd w:val="clear" w:color="auto" w:fill="FFFFFF"/>
        </w:rPr>
      </w:r>
      <w:r w:rsidR="005233ED">
        <w:rPr>
          <w:iCs/>
          <w:color w:val="000000" w:themeColor="text1"/>
          <w:szCs w:val="22"/>
          <w:shd w:val="clear" w:color="auto" w:fill="FFFFFF"/>
        </w:rPr>
        <w:fldChar w:fldCharType="separate"/>
      </w:r>
      <w:r w:rsidR="00536CF0" w:rsidRPr="00DE0988">
        <w:rPr>
          <w:sz w:val="20"/>
          <w:szCs w:val="20"/>
        </w:rPr>
        <w:t xml:space="preserve">Equation </w:t>
      </w:r>
      <w:r w:rsidR="00536CF0">
        <w:rPr>
          <w:noProof/>
          <w:sz w:val="20"/>
          <w:szCs w:val="20"/>
        </w:rPr>
        <w:t>24</w:t>
      </w:r>
      <w:r w:rsidR="005233ED">
        <w:rPr>
          <w:iCs/>
          <w:color w:val="000000" w:themeColor="text1"/>
          <w:szCs w:val="22"/>
          <w:shd w:val="clear" w:color="auto" w:fill="FFFFFF"/>
        </w:rPr>
        <w:fldChar w:fldCharType="end"/>
      </w:r>
      <w:r w:rsidRPr="00EC6E98">
        <w:rPr>
          <w:iCs/>
          <w:color w:val="000000" w:themeColor="text1"/>
          <w:szCs w:val="22"/>
          <w:shd w:val="clear" w:color="auto" w:fill="FFFFFF"/>
        </w:rPr>
        <w:t>:</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7655"/>
        <w:gridCol w:w="1417"/>
      </w:tblGrid>
      <w:tr w:rsidR="005233ED" w:rsidRPr="00DE0988" w14:paraId="519DCEF7" w14:textId="77777777" w:rsidTr="005233ED">
        <w:tc>
          <w:tcPr>
            <w:tcW w:w="7655" w:type="dxa"/>
            <w:vAlign w:val="center"/>
          </w:tcPr>
          <w:p w14:paraId="7FE3EABB" w14:textId="6CEDF0F0" w:rsidR="005233ED" w:rsidRPr="00DE0988" w:rsidRDefault="00000000" w:rsidP="00E45E28">
            <w:pPr>
              <w:spacing w:before="60" w:after="60"/>
              <w:rPr>
                <w:bCs/>
                <w:sz w:val="20"/>
                <w:szCs w:val="20"/>
              </w:rPr>
            </w:pPr>
            <m:oMathPara>
              <m:oMath>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H2O</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T,p</m:t>
                    </m:r>
                  </m:e>
                </m:d>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E</m:t>
                    </m:r>
                  </m:e>
                  <m:sub>
                    <m:r>
                      <m:rPr>
                        <m:sty m:val="p"/>
                      </m:rPr>
                      <w:rPr>
                        <w:rFonts w:ascii="Cambria Math" w:hAnsi="Cambria Math"/>
                        <w:color w:val="000000" w:themeColor="text1"/>
                        <w:sz w:val="20"/>
                        <w:szCs w:val="20"/>
                        <w:shd w:val="clear" w:color="auto" w:fill="FFFFFF"/>
                      </w:rPr>
                      <m:t>H2O</m:t>
                    </m:r>
                  </m:sub>
                </m:sSub>
                <m:r>
                  <w:rPr>
                    <w:rFonts w:ascii="Cambria Math" w:hAnsi="Cambria Math"/>
                    <w:color w:val="000000" w:themeColor="text1"/>
                    <w:sz w:val="20"/>
                    <w:szCs w:val="20"/>
                    <w:shd w:val="clear" w:color="auto" w:fill="FFFFFF"/>
                  </w:rPr>
                  <m:t>+</m:t>
                </m:r>
                <m:d>
                  <m:dPr>
                    <m:begChr m:val="["/>
                    <m:endChr m:val="]"/>
                    <m:ctrlPr>
                      <w:rPr>
                        <w:rFonts w:ascii="Cambria Math" w:eastAsiaTheme="minorHAnsi" w:hAnsi="Cambria Math"/>
                        <w:i/>
                        <w:iCs/>
                        <w:color w:val="000000" w:themeColor="text1"/>
                        <w:sz w:val="20"/>
                        <w:szCs w:val="20"/>
                        <w:shd w:val="clear" w:color="auto" w:fill="FFFFFF"/>
                      </w:rPr>
                    </m:ctrlPr>
                  </m:dPr>
                  <m:e>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H</m:t>
                        </m:r>
                      </m:e>
                      <m:sub>
                        <m:r>
                          <m:rPr>
                            <m:sty m:val="p"/>
                          </m:rPr>
                          <w:rPr>
                            <w:rFonts w:ascii="Cambria Math" w:hAnsi="Cambria Math"/>
                            <w:color w:val="000000" w:themeColor="text1"/>
                            <w:sz w:val="20"/>
                            <w:szCs w:val="20"/>
                            <w:shd w:val="clear" w:color="auto" w:fill="FFFFFF"/>
                          </w:rPr>
                          <m:t>H2O</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T,</m:t>
                        </m:r>
                        <m:sSup>
                          <m:sSupPr>
                            <m:ctrlPr>
                              <w:rPr>
                                <w:rFonts w:ascii="Cambria Math" w:eastAsiaTheme="minorHAnsi" w:hAnsi="Cambria Math"/>
                                <w:i/>
                                <w:iCs/>
                                <w:color w:val="000000" w:themeColor="text1"/>
                                <w:sz w:val="20"/>
                                <w:szCs w:val="20"/>
                                <w:shd w:val="clear" w:color="auto" w:fill="FFFFFF"/>
                              </w:rPr>
                            </m:ctrlPr>
                          </m:sSupPr>
                          <m:e>
                            <m:r>
                              <w:rPr>
                                <w:rFonts w:ascii="Cambria Math" w:hAnsi="Cambria Math"/>
                                <w:color w:val="000000" w:themeColor="text1"/>
                                <w:sz w:val="20"/>
                                <w:szCs w:val="20"/>
                                <w:shd w:val="clear" w:color="auto" w:fill="FFFFFF"/>
                              </w:rPr>
                              <m:t>p</m:t>
                            </m:r>
                          </m:e>
                          <m:sup>
                            <m:r>
                              <w:rPr>
                                <w:rFonts w:ascii="Cambria Math" w:hAnsi="Cambria Math"/>
                                <w:color w:val="000000" w:themeColor="text1"/>
                                <w:sz w:val="20"/>
                                <w:szCs w:val="20"/>
                                <w:shd w:val="clear" w:color="auto" w:fill="FFFFFF"/>
                              </w:rPr>
                              <m:t>0</m:t>
                            </m:r>
                          </m:sup>
                        </m:sSup>
                      </m:e>
                    </m:d>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H</m:t>
                        </m:r>
                      </m:e>
                      <m:sub>
                        <m:r>
                          <m:rPr>
                            <m:sty m:val="p"/>
                          </m:rPr>
                          <w:rPr>
                            <w:rFonts w:ascii="Cambria Math" w:hAnsi="Cambria Math"/>
                            <w:color w:val="000000" w:themeColor="text1"/>
                            <w:sz w:val="20"/>
                            <w:szCs w:val="20"/>
                            <w:shd w:val="clear" w:color="auto" w:fill="FFFFFF"/>
                          </w:rPr>
                          <m:t>H2O</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0,</m:t>
                        </m:r>
                        <m:sSup>
                          <m:sSupPr>
                            <m:ctrlPr>
                              <w:rPr>
                                <w:rFonts w:ascii="Cambria Math" w:eastAsiaTheme="minorHAnsi" w:hAnsi="Cambria Math"/>
                                <w:i/>
                                <w:iCs/>
                                <w:color w:val="000000" w:themeColor="text1"/>
                                <w:sz w:val="20"/>
                                <w:szCs w:val="20"/>
                                <w:shd w:val="clear" w:color="auto" w:fill="FFFFFF"/>
                              </w:rPr>
                            </m:ctrlPr>
                          </m:sSupPr>
                          <m:e>
                            <m:r>
                              <w:rPr>
                                <w:rFonts w:ascii="Cambria Math" w:hAnsi="Cambria Math"/>
                                <w:color w:val="000000" w:themeColor="text1"/>
                                <w:sz w:val="20"/>
                                <w:szCs w:val="20"/>
                                <w:shd w:val="clear" w:color="auto" w:fill="FFFFFF"/>
                              </w:rPr>
                              <m:t>p</m:t>
                            </m:r>
                          </m:e>
                          <m:sup>
                            <m:r>
                              <w:rPr>
                                <w:rFonts w:ascii="Cambria Math" w:hAnsi="Cambria Math"/>
                                <w:color w:val="000000" w:themeColor="text1"/>
                                <w:sz w:val="20"/>
                                <w:szCs w:val="20"/>
                                <w:shd w:val="clear" w:color="auto" w:fill="FFFFFF"/>
                              </w:rPr>
                              <m:t>0</m:t>
                            </m:r>
                          </m:sup>
                        </m:sSup>
                      </m:e>
                    </m:d>
                  </m:e>
                </m:d>
                <m:r>
                  <w:rPr>
                    <w:rFonts w:ascii="Cambria Math" w:hAnsi="Cambria Math"/>
                    <w:color w:val="000000" w:themeColor="text1"/>
                    <w:sz w:val="20"/>
                    <w:szCs w:val="20"/>
                    <w:shd w:val="clear" w:color="auto" w:fill="FFFFFF"/>
                  </w:rPr>
                  <m:t>-T</m:t>
                </m:r>
                <m:d>
                  <m:dPr>
                    <m:begChr m:val="["/>
                    <m:endChr m:val="]"/>
                    <m:ctrlPr>
                      <w:rPr>
                        <w:rFonts w:ascii="Cambria Math" w:eastAsiaTheme="minorHAnsi" w:hAnsi="Cambria Math"/>
                        <w:i/>
                        <w:iCs/>
                        <w:color w:val="000000" w:themeColor="text1"/>
                        <w:sz w:val="20"/>
                        <w:szCs w:val="20"/>
                        <w:shd w:val="clear" w:color="auto" w:fill="FFFFFF"/>
                      </w:rPr>
                    </m:ctrlPr>
                  </m:dPr>
                  <m:e>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S</m:t>
                        </m:r>
                      </m:e>
                      <m:sub>
                        <m:r>
                          <m:rPr>
                            <m:sty m:val="p"/>
                          </m:rPr>
                          <w:rPr>
                            <w:rFonts w:ascii="Cambria Math" w:hAnsi="Cambria Math"/>
                            <w:color w:val="000000" w:themeColor="text1"/>
                            <w:sz w:val="20"/>
                            <w:szCs w:val="20"/>
                            <w:shd w:val="clear" w:color="auto" w:fill="FFFFFF"/>
                          </w:rPr>
                          <m:t>H2O</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T,</m:t>
                        </m:r>
                        <m:sSup>
                          <m:sSupPr>
                            <m:ctrlPr>
                              <w:rPr>
                                <w:rFonts w:ascii="Cambria Math" w:eastAsiaTheme="minorHAnsi" w:hAnsi="Cambria Math"/>
                                <w:i/>
                                <w:iCs/>
                                <w:color w:val="000000" w:themeColor="text1"/>
                                <w:sz w:val="20"/>
                                <w:szCs w:val="20"/>
                                <w:shd w:val="clear" w:color="auto" w:fill="FFFFFF"/>
                              </w:rPr>
                            </m:ctrlPr>
                          </m:sSupPr>
                          <m:e>
                            <m:r>
                              <w:rPr>
                                <w:rFonts w:ascii="Cambria Math" w:hAnsi="Cambria Math"/>
                                <w:color w:val="000000" w:themeColor="text1"/>
                                <w:sz w:val="20"/>
                                <w:szCs w:val="20"/>
                                <w:shd w:val="clear" w:color="auto" w:fill="FFFFFF"/>
                              </w:rPr>
                              <m:t>p</m:t>
                            </m:r>
                          </m:e>
                          <m:sup>
                            <m:r>
                              <w:rPr>
                                <w:rFonts w:ascii="Cambria Math" w:hAnsi="Cambria Math"/>
                                <w:color w:val="000000" w:themeColor="text1"/>
                                <w:sz w:val="20"/>
                                <w:szCs w:val="20"/>
                                <w:shd w:val="clear" w:color="auto" w:fill="FFFFFF"/>
                              </w:rPr>
                              <m:t>0</m:t>
                            </m:r>
                          </m:sup>
                        </m:sSup>
                      </m:e>
                    </m:d>
                  </m:e>
                </m:d>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k</m:t>
                    </m:r>
                  </m:e>
                  <m:sub>
                    <m:r>
                      <w:rPr>
                        <w:rFonts w:ascii="Cambria Math" w:hAnsi="Cambria Math"/>
                        <w:color w:val="000000" w:themeColor="text1"/>
                        <w:sz w:val="20"/>
                        <w:szCs w:val="20"/>
                        <w:shd w:val="clear" w:color="auto" w:fill="FFFFFF"/>
                      </w:rPr>
                      <m:t>B</m:t>
                    </m:r>
                  </m:sub>
                </m:sSub>
                <m:r>
                  <w:rPr>
                    <w:rFonts w:ascii="Cambria Math" w:hAnsi="Cambria Math"/>
                    <w:color w:val="000000" w:themeColor="text1"/>
                    <w:sz w:val="20"/>
                    <w:szCs w:val="20"/>
                    <w:shd w:val="clear" w:color="auto" w:fill="FFFFFF"/>
                  </w:rPr>
                  <m:t xml:space="preserve">T </m:t>
                </m:r>
                <m:r>
                  <m:rPr>
                    <m:sty m:val="p"/>
                  </m:rPr>
                  <w:rPr>
                    <w:rFonts w:ascii="Cambria Math" w:hAnsi="Cambria Math"/>
                    <w:color w:val="000000" w:themeColor="text1"/>
                    <w:sz w:val="20"/>
                    <w:szCs w:val="20"/>
                    <w:shd w:val="clear" w:color="auto" w:fill="FFFFFF"/>
                  </w:rPr>
                  <m:t>ln</m:t>
                </m:r>
                <m:d>
                  <m:dPr>
                    <m:ctrlPr>
                      <w:rPr>
                        <w:rFonts w:ascii="Cambria Math" w:eastAsiaTheme="minorHAnsi" w:hAnsi="Cambria Math"/>
                        <w:color w:val="000000" w:themeColor="text1"/>
                        <w:sz w:val="20"/>
                        <w:szCs w:val="20"/>
                        <w:shd w:val="clear" w:color="auto" w:fill="FFFFFF"/>
                      </w:rPr>
                    </m:ctrlPr>
                  </m:dPr>
                  <m:e>
                    <m:r>
                      <w:rPr>
                        <w:rFonts w:ascii="Cambria Math" w:hAnsi="Cambria Math"/>
                        <w:color w:val="000000" w:themeColor="text1"/>
                        <w:sz w:val="20"/>
                        <w:szCs w:val="20"/>
                        <w:shd w:val="clear" w:color="auto" w:fill="FFFFFF"/>
                      </w:rPr>
                      <m:t>p/</m:t>
                    </m:r>
                    <m:sSup>
                      <m:sSupPr>
                        <m:ctrlPr>
                          <w:rPr>
                            <w:rFonts w:ascii="Cambria Math" w:eastAsiaTheme="minorHAnsi" w:hAnsi="Cambria Math"/>
                            <w:i/>
                            <w:iCs/>
                            <w:color w:val="000000" w:themeColor="text1"/>
                            <w:sz w:val="20"/>
                            <w:szCs w:val="20"/>
                            <w:shd w:val="clear" w:color="auto" w:fill="FFFFFF"/>
                          </w:rPr>
                        </m:ctrlPr>
                      </m:sSupPr>
                      <m:e>
                        <m:r>
                          <w:rPr>
                            <w:rFonts w:ascii="Cambria Math" w:hAnsi="Cambria Math"/>
                            <w:color w:val="000000" w:themeColor="text1"/>
                            <w:sz w:val="20"/>
                            <w:szCs w:val="20"/>
                            <w:shd w:val="clear" w:color="auto" w:fill="FFFFFF"/>
                          </w:rPr>
                          <m:t>p</m:t>
                        </m:r>
                      </m:e>
                      <m:sup>
                        <m:r>
                          <w:rPr>
                            <w:rFonts w:ascii="Cambria Math" w:hAnsi="Cambria Math"/>
                            <w:color w:val="000000" w:themeColor="text1"/>
                            <w:sz w:val="20"/>
                            <w:szCs w:val="20"/>
                            <w:shd w:val="clear" w:color="auto" w:fill="FFFFFF"/>
                          </w:rPr>
                          <m:t>0</m:t>
                        </m:r>
                      </m:sup>
                    </m:sSup>
                  </m:e>
                </m:d>
              </m:oMath>
            </m:oMathPara>
          </w:p>
        </w:tc>
        <w:tc>
          <w:tcPr>
            <w:tcW w:w="1417" w:type="dxa"/>
            <w:vAlign w:val="center"/>
          </w:tcPr>
          <w:p w14:paraId="65B0FB19" w14:textId="0F86F17F" w:rsidR="005233ED" w:rsidRPr="00DE0988" w:rsidRDefault="005233ED" w:rsidP="00E45E28">
            <w:pPr>
              <w:keepNext/>
              <w:jc w:val="right"/>
              <w:rPr>
                <w:bCs/>
                <w:sz w:val="20"/>
                <w:szCs w:val="20"/>
              </w:rPr>
            </w:pPr>
            <w:bookmarkStart w:id="61" w:name="_Ref159507057"/>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536CF0">
              <w:rPr>
                <w:noProof/>
                <w:sz w:val="20"/>
                <w:szCs w:val="20"/>
              </w:rPr>
              <w:t>26</w:t>
            </w:r>
            <w:r w:rsidRPr="00DE0988">
              <w:rPr>
                <w:sz w:val="20"/>
                <w:szCs w:val="20"/>
              </w:rPr>
              <w:fldChar w:fldCharType="end"/>
            </w:r>
            <w:bookmarkEnd w:id="61"/>
          </w:p>
        </w:tc>
      </w:tr>
    </w:tbl>
    <w:p w14:paraId="613FDACF" w14:textId="65E65974" w:rsidR="00594FAE" w:rsidRPr="00EC6E98" w:rsidRDefault="00594FAE" w:rsidP="00594FAE">
      <w:pPr>
        <w:rPr>
          <w:color w:val="000000" w:themeColor="text1"/>
          <w:szCs w:val="22"/>
          <w:shd w:val="clear" w:color="auto" w:fill="FFFFFF"/>
        </w:rPr>
      </w:pPr>
      <w:r w:rsidRPr="00EC6E98">
        <w:rPr>
          <w:color w:val="000000" w:themeColor="text1"/>
          <w:szCs w:val="22"/>
          <w:shd w:val="clear" w:color="auto" w:fill="FFFFFF"/>
        </w:rPr>
        <w:t xml:space="preserve">Now with the necessary chemical potentials defined </w:t>
      </w:r>
      <w:r w:rsidRPr="00317CF1">
        <w:rPr>
          <w:color w:val="000000" w:themeColor="text1"/>
          <w:szCs w:val="22"/>
          <w:shd w:val="clear" w:color="auto" w:fill="FFFFFF"/>
        </w:rPr>
        <w:t xml:space="preserve">using </w:t>
      </w:r>
      <w:r w:rsidR="005233ED" w:rsidRPr="00317CF1">
        <w:rPr>
          <w:color w:val="000000" w:themeColor="text1"/>
          <w:szCs w:val="22"/>
          <w:shd w:val="clear" w:color="auto" w:fill="FFFFFF"/>
        </w:rPr>
        <w:fldChar w:fldCharType="begin"/>
      </w:r>
      <w:r w:rsidR="005233ED" w:rsidRPr="00317CF1">
        <w:rPr>
          <w:color w:val="000000" w:themeColor="text1"/>
          <w:szCs w:val="22"/>
          <w:shd w:val="clear" w:color="auto" w:fill="FFFFFF"/>
        </w:rPr>
        <w:instrText xml:space="preserve"> REF _Ref159506785 \h </w:instrText>
      </w:r>
      <w:r w:rsidR="00317CF1">
        <w:rPr>
          <w:color w:val="000000" w:themeColor="text1"/>
          <w:szCs w:val="22"/>
          <w:shd w:val="clear" w:color="auto" w:fill="FFFFFF"/>
        </w:rPr>
        <w:instrText xml:space="preserve"> \* MERGEFORMAT </w:instrText>
      </w:r>
      <w:r w:rsidR="005233ED" w:rsidRPr="00317CF1">
        <w:rPr>
          <w:color w:val="000000" w:themeColor="text1"/>
          <w:szCs w:val="22"/>
          <w:shd w:val="clear" w:color="auto" w:fill="FFFFFF"/>
        </w:rPr>
      </w:r>
      <w:r w:rsidR="005233ED" w:rsidRPr="00317CF1">
        <w:rPr>
          <w:color w:val="000000" w:themeColor="text1"/>
          <w:szCs w:val="22"/>
          <w:shd w:val="clear" w:color="auto" w:fill="FFFFFF"/>
        </w:rPr>
        <w:fldChar w:fldCharType="separate"/>
      </w:r>
      <w:r w:rsidR="00536CF0" w:rsidRPr="00245F0C">
        <w:rPr>
          <w:szCs w:val="22"/>
        </w:rPr>
        <w:t xml:space="preserve">Equation </w:t>
      </w:r>
      <w:r w:rsidR="00536CF0" w:rsidRPr="00245F0C">
        <w:rPr>
          <w:noProof/>
          <w:szCs w:val="22"/>
        </w:rPr>
        <w:t>24</w:t>
      </w:r>
      <w:r w:rsidR="005233ED" w:rsidRPr="00317CF1">
        <w:rPr>
          <w:color w:val="000000" w:themeColor="text1"/>
          <w:szCs w:val="22"/>
          <w:shd w:val="clear" w:color="auto" w:fill="FFFFFF"/>
        </w:rPr>
        <w:fldChar w:fldCharType="end"/>
      </w:r>
      <w:r w:rsidR="005233ED">
        <w:rPr>
          <w:color w:val="000000" w:themeColor="text1"/>
          <w:szCs w:val="22"/>
          <w:shd w:val="clear" w:color="auto" w:fill="FFFFFF"/>
        </w:rPr>
        <w:t xml:space="preserve">-26 </w:t>
      </w:r>
      <w:r w:rsidRPr="00EC6E98">
        <w:rPr>
          <w:color w:val="000000" w:themeColor="text1"/>
          <w:szCs w:val="22"/>
          <w:shd w:val="clear" w:color="auto" w:fill="FFFFFF"/>
        </w:rPr>
        <w:t xml:space="preserve">the surface phase diagram can be generated as with the example in dry oxygen. </w:t>
      </w:r>
      <w:r w:rsidRPr="00317CF1">
        <w:rPr>
          <w:color w:val="000000" w:themeColor="text1"/>
          <w:szCs w:val="22"/>
          <w:shd w:val="clear" w:color="auto" w:fill="FFFFFF"/>
        </w:rPr>
        <w:t xml:space="preserve">However, </w:t>
      </w:r>
      <w:r w:rsidR="00317CF1" w:rsidRPr="00317CF1">
        <w:rPr>
          <w:color w:val="000000" w:themeColor="text1"/>
          <w:szCs w:val="22"/>
          <w:shd w:val="clear" w:color="auto" w:fill="FFFFFF"/>
        </w:rPr>
        <w:fldChar w:fldCharType="begin"/>
      </w:r>
      <w:r w:rsidR="00317CF1" w:rsidRPr="00317CF1">
        <w:rPr>
          <w:color w:val="000000" w:themeColor="text1"/>
          <w:szCs w:val="22"/>
          <w:shd w:val="clear" w:color="auto" w:fill="FFFFFF"/>
        </w:rPr>
        <w:instrText xml:space="preserve"> REF _Ref159883334 \h </w:instrText>
      </w:r>
      <w:r w:rsidR="00317CF1">
        <w:rPr>
          <w:color w:val="000000" w:themeColor="text1"/>
          <w:szCs w:val="22"/>
          <w:shd w:val="clear" w:color="auto" w:fill="FFFFFF"/>
        </w:rPr>
        <w:instrText xml:space="preserve"> \* MERGEFORMAT </w:instrText>
      </w:r>
      <w:r w:rsidR="00317CF1" w:rsidRPr="00317CF1">
        <w:rPr>
          <w:color w:val="000000" w:themeColor="text1"/>
          <w:szCs w:val="22"/>
          <w:shd w:val="clear" w:color="auto" w:fill="FFFFFF"/>
        </w:rPr>
      </w:r>
      <w:r w:rsidR="00317CF1" w:rsidRPr="00317CF1">
        <w:rPr>
          <w:color w:val="000000" w:themeColor="text1"/>
          <w:szCs w:val="22"/>
          <w:shd w:val="clear" w:color="auto" w:fill="FFFFFF"/>
        </w:rPr>
        <w:fldChar w:fldCharType="separate"/>
      </w:r>
      <w:r w:rsidR="00536CF0" w:rsidRPr="00245F0C">
        <w:rPr>
          <w:szCs w:val="22"/>
        </w:rPr>
        <w:t xml:space="preserve">Equation </w:t>
      </w:r>
      <w:r w:rsidR="00536CF0" w:rsidRPr="00245F0C">
        <w:rPr>
          <w:noProof/>
          <w:szCs w:val="22"/>
        </w:rPr>
        <w:t>23</w:t>
      </w:r>
      <w:r w:rsidR="00317CF1" w:rsidRPr="00317CF1">
        <w:rPr>
          <w:color w:val="000000" w:themeColor="text1"/>
          <w:szCs w:val="22"/>
          <w:shd w:val="clear" w:color="auto" w:fill="FFFFFF"/>
        </w:rPr>
        <w:fldChar w:fldCharType="end"/>
      </w:r>
      <w:r w:rsidR="00317CF1" w:rsidRPr="00317CF1">
        <w:rPr>
          <w:color w:val="000000" w:themeColor="text1"/>
          <w:szCs w:val="22"/>
          <w:shd w:val="clear" w:color="auto" w:fill="FFFFFF"/>
        </w:rPr>
        <w:t xml:space="preserve"> </w:t>
      </w:r>
      <w:r w:rsidRPr="00317CF1">
        <w:rPr>
          <w:color w:val="000000" w:themeColor="text1"/>
          <w:szCs w:val="22"/>
          <w:shd w:val="clear" w:color="auto" w:fill="FFFFFF"/>
        </w:rPr>
        <w:t>cannot</w:t>
      </w:r>
      <w:r w:rsidRPr="00EC6E98">
        <w:rPr>
          <w:color w:val="000000" w:themeColor="text1"/>
          <w:szCs w:val="22"/>
          <w:shd w:val="clear" w:color="auto" w:fill="FFFFFF"/>
        </w:rPr>
        <w:t xml:space="preserve"> be used directly because the O-H bonds have high </w:t>
      </w:r>
      <w:r w:rsidR="000757AA">
        <w:rPr>
          <w:color w:val="000000" w:themeColor="text1"/>
          <w:szCs w:val="22"/>
          <w:shd w:val="clear" w:color="auto" w:fill="FFFFFF"/>
        </w:rPr>
        <w:t>zero-point energies</w:t>
      </w:r>
      <w:r w:rsidRPr="00EC6E98">
        <w:rPr>
          <w:color w:val="000000" w:themeColor="text1"/>
          <w:szCs w:val="22"/>
          <w:shd w:val="clear" w:color="auto" w:fill="FFFFFF"/>
        </w:rPr>
        <w:t xml:space="preserve">. Instead, the vibrational contribution to the free energy from adsorbed water and hydroxide must be included to achieve an accuracy of 10-15 </w:t>
      </w:r>
      <w:proofErr w:type="spellStart"/>
      <w:r w:rsidRPr="00EC6E98">
        <w:rPr>
          <w:color w:val="000000" w:themeColor="text1"/>
          <w:szCs w:val="22"/>
          <w:shd w:val="clear" w:color="auto" w:fill="FFFFFF"/>
        </w:rPr>
        <w:t>meV</w:t>
      </w:r>
      <w:proofErr w:type="spellEnd"/>
      <w:r w:rsidRPr="00EC6E98">
        <w:rPr>
          <w:color w:val="000000" w:themeColor="text1"/>
          <w:szCs w:val="22"/>
          <w:shd w:val="clear" w:color="auto" w:fill="FFFFFF"/>
        </w:rPr>
        <w:t>/Å</w:t>
      </w:r>
      <w:r w:rsidRPr="00EC6E98">
        <w:rPr>
          <w:color w:val="000000" w:themeColor="text1"/>
          <w:szCs w:val="22"/>
          <w:shd w:val="clear" w:color="auto" w:fill="FFFFFF"/>
          <w:vertAlign w:val="superscript"/>
        </w:rPr>
        <w:t>2</w:t>
      </w:r>
      <w:r w:rsidRPr="00EC6E98">
        <w:rPr>
          <w:color w:val="000000" w:themeColor="text1"/>
          <w:szCs w:val="22"/>
          <w:shd w:val="clear" w:color="auto" w:fill="FFFFFF"/>
        </w:rPr>
        <w:t>. Thus, the surface free energy becomes: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7655"/>
        <w:gridCol w:w="1417"/>
      </w:tblGrid>
      <w:tr w:rsidR="00156586" w:rsidRPr="00DE0988" w14:paraId="60C1C4FA" w14:textId="77777777" w:rsidTr="00156586">
        <w:tc>
          <w:tcPr>
            <w:tcW w:w="7655" w:type="dxa"/>
            <w:vAlign w:val="center"/>
          </w:tcPr>
          <w:p w14:paraId="196CA90C" w14:textId="79E22FAC" w:rsidR="00156586" w:rsidRPr="00DE0988" w:rsidRDefault="00156586" w:rsidP="00E45E28">
            <w:pPr>
              <w:spacing w:before="60" w:after="60"/>
              <w:rPr>
                <w:bCs/>
                <w:sz w:val="20"/>
                <w:szCs w:val="20"/>
              </w:rPr>
            </w:pPr>
            <m:oMathPara>
              <m:oMath>
                <m:r>
                  <w:rPr>
                    <w:rFonts w:ascii="Cambria Math" w:hAnsi="Cambria Math"/>
                    <w:color w:val="000000" w:themeColor="text1"/>
                    <w:sz w:val="20"/>
                    <w:szCs w:val="20"/>
                    <w:shd w:val="clear" w:color="auto" w:fill="FFFFFF"/>
                  </w:rPr>
                  <m:t>γ</m:t>
                </m:r>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 xml:space="preserve">T, </m:t>
                    </m:r>
                    <m:sSub>
                      <m:sSubPr>
                        <m:ctrlPr>
                          <w:rPr>
                            <w:rFonts w:ascii="Cambria Math" w:eastAsiaTheme="minorHAnsi" w:hAnsi="Cambria Math"/>
                            <w:i/>
                            <w:iCs/>
                            <w:color w:val="000000" w:themeColor="text1"/>
                            <w:sz w:val="20"/>
                            <w:szCs w:val="20"/>
                            <w:shd w:val="clear" w:color="auto" w:fill="FFFFFF"/>
                          </w:rPr>
                        </m:ctrlPr>
                      </m:sSubPr>
                      <m:e>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p</m:t>
                            </m:r>
                          </m:e>
                          <m:sub>
                            <m:r>
                              <m:rPr>
                                <m:sty m:val="p"/>
                              </m:rPr>
                              <w:rPr>
                                <w:rFonts w:ascii="Cambria Math" w:hAnsi="Cambria Math"/>
                                <w:color w:val="000000" w:themeColor="text1"/>
                                <w:sz w:val="20"/>
                                <w:szCs w:val="20"/>
                                <w:shd w:val="clear" w:color="auto" w:fill="FFFFFF"/>
                              </w:rPr>
                              <m:t>H2O</m:t>
                            </m:r>
                          </m:sub>
                        </m:sSub>
                        <m:r>
                          <w:rPr>
                            <w:rFonts w:ascii="Cambria Math" w:hAnsi="Cambria Math"/>
                            <w:color w:val="000000" w:themeColor="text1"/>
                            <w:sz w:val="20"/>
                            <w:szCs w:val="20"/>
                            <w:shd w:val="clear" w:color="auto" w:fill="FFFFFF"/>
                          </w:rPr>
                          <m:t>,p</m:t>
                        </m:r>
                      </m:e>
                      <m:sub>
                        <m:r>
                          <m:rPr>
                            <m:sty m:val="p"/>
                          </m:rPr>
                          <w:rPr>
                            <w:rFonts w:ascii="Cambria Math" w:hAnsi="Cambria Math"/>
                            <w:color w:val="000000" w:themeColor="text1"/>
                            <w:sz w:val="20"/>
                            <w:szCs w:val="20"/>
                            <w:shd w:val="clear" w:color="auto" w:fill="FFFFFF"/>
                          </w:rPr>
                          <m:t>O2</m:t>
                        </m:r>
                      </m:sub>
                    </m:sSub>
                  </m:e>
                </m:d>
                <m:r>
                  <w:rPr>
                    <w:rFonts w:ascii="Cambria Math" w:hAnsi="Cambria Math"/>
                    <w:color w:val="000000" w:themeColor="text1"/>
                    <w:sz w:val="20"/>
                    <w:szCs w:val="20"/>
                    <w:shd w:val="clear" w:color="auto" w:fill="FFFFFF"/>
                  </w:rPr>
                  <m:t>≈</m:t>
                </m:r>
                <m:f>
                  <m:fPr>
                    <m:ctrlPr>
                      <w:rPr>
                        <w:rFonts w:ascii="Cambria Math" w:eastAsiaTheme="minorHAnsi" w:hAnsi="Cambria Math"/>
                        <w:i/>
                        <w:iCs/>
                        <w:color w:val="000000" w:themeColor="text1"/>
                        <w:sz w:val="20"/>
                        <w:szCs w:val="20"/>
                        <w:shd w:val="clear" w:color="auto" w:fill="FFFFFF"/>
                      </w:rPr>
                    </m:ctrlPr>
                  </m:fPr>
                  <m:num>
                    <m:r>
                      <w:rPr>
                        <w:rFonts w:ascii="Cambria Math" w:hAnsi="Cambria Math"/>
                        <w:color w:val="000000" w:themeColor="text1"/>
                        <w:sz w:val="20"/>
                        <w:szCs w:val="20"/>
                        <w:shd w:val="clear" w:color="auto" w:fill="FFFFFF"/>
                      </w:rPr>
                      <m:t>1</m:t>
                    </m:r>
                  </m:num>
                  <m:den>
                    <m:r>
                      <w:rPr>
                        <w:rFonts w:ascii="Cambria Math" w:hAnsi="Cambria Math"/>
                        <w:color w:val="000000" w:themeColor="text1"/>
                        <w:sz w:val="20"/>
                        <w:szCs w:val="20"/>
                        <w:shd w:val="clear" w:color="auto" w:fill="FFFFFF"/>
                      </w:rPr>
                      <m:t>2A</m:t>
                    </m:r>
                  </m:den>
                </m:f>
                <m:d>
                  <m:dPr>
                    <m:begChr m:val="["/>
                    <m:endChr m:val="]"/>
                    <m:ctrlPr>
                      <w:rPr>
                        <w:rFonts w:ascii="Cambria Math" w:eastAsiaTheme="minorHAnsi" w:hAnsi="Cambria Math"/>
                        <w:i/>
                        <w:iCs/>
                        <w:color w:val="000000" w:themeColor="text1"/>
                        <w:sz w:val="20"/>
                        <w:szCs w:val="20"/>
                        <w:shd w:val="clear" w:color="auto" w:fill="FFFFFF"/>
                      </w:rPr>
                    </m:ctrlPr>
                  </m:dPr>
                  <m:e>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E</m:t>
                        </m:r>
                      </m:e>
                      <m:sub>
                        <m:r>
                          <m:rPr>
                            <m:sty m:val="p"/>
                          </m:rPr>
                          <w:rPr>
                            <w:rFonts w:ascii="Cambria Math" w:hAnsi="Cambria Math"/>
                            <w:color w:val="000000" w:themeColor="text1"/>
                            <w:sz w:val="20"/>
                            <w:szCs w:val="20"/>
                            <w:shd w:val="clear" w:color="auto" w:fill="FFFFFF"/>
                          </w:rPr>
                          <m:t>surface</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 xml:space="preserve">V, </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e>
                          <m:sub>
                            <m:r>
                              <m:rPr>
                                <m:sty m:val="p"/>
                              </m:rPr>
                              <w:rPr>
                                <w:rFonts w:ascii="Cambria Math" w:hAnsi="Cambria Math"/>
                                <w:color w:val="000000" w:themeColor="text1"/>
                                <w:sz w:val="20"/>
                                <w:szCs w:val="20"/>
                                <w:shd w:val="clear" w:color="auto" w:fill="FFFFFF"/>
                              </w:rPr>
                              <m:t>Ru</m:t>
                            </m:r>
                          </m:sub>
                        </m:sSub>
                        <m:r>
                          <w:rPr>
                            <w:rFonts w:ascii="Cambria Math" w:hAnsi="Cambria Math"/>
                            <w:color w:val="000000" w:themeColor="text1"/>
                            <w:sz w:val="20"/>
                            <w:szCs w:val="20"/>
                            <w:shd w:val="clear" w:color="auto" w:fill="FFFFFF"/>
                          </w:rPr>
                          <m:t xml:space="preserve">, </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e>
                          <m:sub>
                            <m:r>
                              <m:rPr>
                                <m:sty m:val="p"/>
                              </m:rPr>
                              <w:rPr>
                                <w:rFonts w:ascii="Cambria Math" w:hAnsi="Cambria Math"/>
                                <w:color w:val="000000" w:themeColor="text1"/>
                                <w:sz w:val="20"/>
                                <w:szCs w:val="20"/>
                                <w:shd w:val="clear" w:color="auto" w:fill="FFFFFF"/>
                              </w:rPr>
                              <m:t>O</m:t>
                            </m:r>
                          </m:sub>
                        </m:sSub>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e>
                          <m:sub>
                            <m:r>
                              <m:rPr>
                                <m:sty m:val="p"/>
                              </m:rPr>
                              <w:rPr>
                                <w:rFonts w:ascii="Cambria Math" w:hAnsi="Cambria Math"/>
                                <w:color w:val="000000" w:themeColor="text1"/>
                                <w:sz w:val="20"/>
                                <w:szCs w:val="20"/>
                                <w:shd w:val="clear" w:color="auto" w:fill="FFFFFF"/>
                              </w:rPr>
                              <m:t>H</m:t>
                            </m:r>
                          </m:sub>
                        </m:sSub>
                      </m:e>
                    </m:d>
                    <m:r>
                      <w:rPr>
                        <w:rFonts w:ascii="Cambria Math" w:hAnsi="Cambria Math"/>
                        <w:color w:val="000000" w:themeColor="text1"/>
                        <w:sz w:val="20"/>
                        <w:szCs w:val="20"/>
                        <w:shd w:val="clear" w:color="auto" w:fill="FFFFFF"/>
                      </w:rPr>
                      <m:t>-</m:t>
                    </m:r>
                    <m:f>
                      <m:fPr>
                        <m:ctrlPr>
                          <w:rPr>
                            <w:rFonts w:ascii="Cambria Math" w:eastAsiaTheme="minorHAnsi" w:hAnsi="Cambria Math"/>
                            <w:i/>
                            <w:iCs/>
                            <w:color w:val="000000" w:themeColor="text1"/>
                            <w:sz w:val="20"/>
                            <w:szCs w:val="20"/>
                            <w:shd w:val="clear" w:color="auto" w:fill="FFFFFF"/>
                          </w:rPr>
                        </m:ctrlPr>
                      </m:fPr>
                      <m:num>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e>
                          <m:sub>
                            <m:r>
                              <m:rPr>
                                <m:sty m:val="p"/>
                              </m:rPr>
                              <w:rPr>
                                <w:rFonts w:ascii="Cambria Math" w:hAnsi="Cambria Math"/>
                                <w:color w:val="000000" w:themeColor="text1"/>
                                <w:sz w:val="20"/>
                                <w:szCs w:val="20"/>
                                <w:shd w:val="clear" w:color="auto" w:fill="FFFFFF"/>
                              </w:rPr>
                              <m:t>O</m:t>
                            </m:r>
                          </m:sub>
                        </m:sSub>
                      </m:num>
                      <m:den>
                        <m:r>
                          <w:rPr>
                            <w:rFonts w:ascii="Cambria Math" w:hAnsi="Cambria Math"/>
                            <w:color w:val="000000" w:themeColor="text1"/>
                            <w:sz w:val="20"/>
                            <w:szCs w:val="20"/>
                            <w:shd w:val="clear" w:color="auto" w:fill="FFFFFF"/>
                          </w:rPr>
                          <m:t>2</m:t>
                        </m:r>
                      </m:den>
                    </m:f>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O2</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p</m:t>
                            </m:r>
                          </m:e>
                          <m:sub>
                            <m:r>
                              <m:rPr>
                                <m:sty m:val="p"/>
                              </m:rPr>
                              <w:rPr>
                                <w:rFonts w:ascii="Cambria Math" w:hAnsi="Cambria Math"/>
                                <w:color w:val="000000" w:themeColor="text1"/>
                                <w:sz w:val="20"/>
                                <w:szCs w:val="20"/>
                                <w:shd w:val="clear" w:color="auto" w:fill="FFFFFF"/>
                              </w:rPr>
                              <m:t>O2</m:t>
                            </m:r>
                          </m:sub>
                        </m:sSub>
                      </m:e>
                    </m:d>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e>
                      <m:sub>
                        <m:r>
                          <m:rPr>
                            <m:sty m:val="p"/>
                          </m:rPr>
                          <w:rPr>
                            <w:rFonts w:ascii="Cambria Math" w:hAnsi="Cambria Math"/>
                            <w:color w:val="000000" w:themeColor="text1"/>
                            <w:sz w:val="20"/>
                            <w:szCs w:val="20"/>
                            <w:shd w:val="clear" w:color="auto" w:fill="FFFFFF"/>
                          </w:rPr>
                          <m:t>H</m:t>
                        </m:r>
                      </m:sub>
                    </m:sSub>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H</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p</m:t>
                            </m:r>
                          </m:e>
                          <m:sub>
                            <m:r>
                              <m:rPr>
                                <m:sty m:val="p"/>
                              </m:rPr>
                              <w:rPr>
                                <w:rFonts w:ascii="Cambria Math" w:hAnsi="Cambria Math"/>
                                <w:color w:val="000000" w:themeColor="text1"/>
                                <w:sz w:val="20"/>
                                <w:szCs w:val="20"/>
                                <w:shd w:val="clear" w:color="auto" w:fill="FFFFFF"/>
                              </w:rPr>
                              <m:t>H2O</m:t>
                            </m:r>
                          </m:sub>
                        </m:sSub>
                        <m:r>
                          <w:rPr>
                            <w:rFonts w:ascii="Cambria Math" w:hAnsi="Cambria Math"/>
                            <w:color w:val="000000" w:themeColor="text1"/>
                            <w:sz w:val="20"/>
                            <w:szCs w:val="20"/>
                            <w:shd w:val="clear" w:color="auto" w:fill="FFFFFF"/>
                          </w:rPr>
                          <m:t xml:space="preserve">, </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p</m:t>
                            </m:r>
                          </m:e>
                          <m:sub>
                            <m:r>
                              <m:rPr>
                                <m:sty m:val="p"/>
                              </m:rPr>
                              <w:rPr>
                                <w:rFonts w:ascii="Cambria Math" w:hAnsi="Cambria Math"/>
                                <w:color w:val="000000" w:themeColor="text1"/>
                                <w:sz w:val="20"/>
                                <w:szCs w:val="20"/>
                                <w:shd w:val="clear" w:color="auto" w:fill="FFFFFF"/>
                              </w:rPr>
                              <m:t>O2</m:t>
                            </m:r>
                          </m:sub>
                        </m:sSub>
                      </m:e>
                    </m:d>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e>
                      <m:sub>
                        <m:r>
                          <m:rPr>
                            <m:sty m:val="p"/>
                          </m:rPr>
                          <w:rPr>
                            <w:rFonts w:ascii="Cambria Math" w:hAnsi="Cambria Math"/>
                            <w:color w:val="000000" w:themeColor="text1"/>
                            <w:sz w:val="20"/>
                            <w:szCs w:val="20"/>
                            <w:shd w:val="clear" w:color="auto" w:fill="FFFFFF"/>
                          </w:rPr>
                          <m:t>Ru</m:t>
                        </m:r>
                      </m:sub>
                    </m:sSub>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E</m:t>
                        </m:r>
                      </m:e>
                      <m:sub>
                        <m:r>
                          <m:rPr>
                            <m:sty m:val="p"/>
                          </m:rPr>
                          <w:rPr>
                            <w:rFonts w:ascii="Cambria Math" w:hAnsi="Cambria Math"/>
                            <w:color w:val="000000" w:themeColor="text1"/>
                            <w:sz w:val="20"/>
                            <w:szCs w:val="20"/>
                            <w:shd w:val="clear" w:color="auto" w:fill="FFFFFF"/>
                          </w:rPr>
                          <m:t>Ru,bulk</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V</m:t>
                        </m:r>
                      </m:e>
                    </m:d>
                    <m:r>
                      <m:rPr>
                        <m:sty m:val="p"/>
                      </m:rPr>
                      <w:rPr>
                        <w:rFonts w:ascii="Cambria Math" w:hAnsi="Cambria Math"/>
                        <w:color w:val="000000" w:themeColor="text1"/>
                        <w:sz w:val="20"/>
                        <w:szCs w:val="20"/>
                        <w:shd w:val="clear" w:color="auto" w:fill="FFFFFF"/>
                      </w:rPr>
                      <m:t xml:space="preserve">+ </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E</m:t>
                        </m:r>
                      </m:e>
                      <m:sub>
                        <m:r>
                          <m:rPr>
                            <m:sty m:val="p"/>
                          </m:rPr>
                          <w:rPr>
                            <w:rFonts w:ascii="Cambria Math" w:hAnsi="Cambria Math"/>
                            <w:color w:val="000000" w:themeColor="text1"/>
                            <w:sz w:val="20"/>
                            <w:szCs w:val="20"/>
                            <w:shd w:val="clear" w:color="auto" w:fill="FFFFFF"/>
                          </w:rPr>
                          <m:t>vib</m:t>
                        </m:r>
                      </m:sub>
                    </m:sSub>
                    <m:r>
                      <m:rPr>
                        <m:sty m:val="p"/>
                      </m:rPr>
                      <w:rPr>
                        <w:rFonts w:ascii="Cambria Math" w:hAnsi="Cambria Math"/>
                        <w:color w:val="000000" w:themeColor="text1"/>
                        <w:sz w:val="20"/>
                        <w:szCs w:val="20"/>
                        <w:shd w:val="clear" w:color="auto" w:fill="FFFFFF"/>
                      </w:rPr>
                      <m:t>(</m:t>
                    </m:r>
                    <m:r>
                      <w:rPr>
                        <w:rFonts w:ascii="Cambria Math" w:hAnsi="Cambria Math"/>
                        <w:color w:val="000000" w:themeColor="text1"/>
                        <w:sz w:val="20"/>
                        <w:szCs w:val="20"/>
                        <w:shd w:val="clear" w:color="auto" w:fill="FFFFFF"/>
                      </w:rPr>
                      <m:t>T</m:t>
                    </m:r>
                    <m:r>
                      <m:rPr>
                        <m:sty m:val="p"/>
                      </m:rPr>
                      <w:rPr>
                        <w:rFonts w:ascii="Cambria Math" w:hAnsi="Cambria Math"/>
                        <w:color w:val="000000" w:themeColor="text1"/>
                        <w:sz w:val="20"/>
                        <w:szCs w:val="20"/>
                        <w:shd w:val="clear" w:color="auto" w:fill="FFFFFF"/>
                      </w:rPr>
                      <m:t xml:space="preserve">, </m:t>
                    </m:r>
                    <m:r>
                      <w:rPr>
                        <w:rFonts w:ascii="Cambria Math" w:hAnsi="Cambria Math"/>
                        <w:color w:val="000000" w:themeColor="text1"/>
                        <w:sz w:val="20"/>
                        <w:szCs w:val="20"/>
                        <w:shd w:val="clear" w:color="auto" w:fill="FFFFFF"/>
                      </w:rPr>
                      <m:t xml:space="preserve">V, </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e>
                      <m:sub>
                        <m:r>
                          <m:rPr>
                            <m:sty m:val="p"/>
                          </m:rPr>
                          <w:rPr>
                            <w:rFonts w:ascii="Cambria Math" w:hAnsi="Cambria Math"/>
                            <w:color w:val="000000" w:themeColor="text1"/>
                            <w:sz w:val="20"/>
                            <w:szCs w:val="20"/>
                            <w:shd w:val="clear" w:color="auto" w:fill="FFFFFF"/>
                          </w:rPr>
                          <m:t>Ru</m:t>
                        </m:r>
                      </m:sub>
                    </m:sSub>
                    <m:r>
                      <w:rPr>
                        <w:rFonts w:ascii="Cambria Math" w:hAnsi="Cambria Math"/>
                        <w:color w:val="000000" w:themeColor="text1"/>
                        <w:sz w:val="20"/>
                        <w:szCs w:val="20"/>
                        <w:shd w:val="clear" w:color="auto" w:fill="FFFFFF"/>
                      </w:rPr>
                      <m:t xml:space="preserve">, </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e>
                      <m:sub>
                        <m:r>
                          <m:rPr>
                            <m:sty m:val="p"/>
                          </m:rPr>
                          <w:rPr>
                            <w:rFonts w:ascii="Cambria Math" w:hAnsi="Cambria Math"/>
                            <w:color w:val="000000" w:themeColor="text1"/>
                            <w:sz w:val="20"/>
                            <w:szCs w:val="20"/>
                            <w:shd w:val="clear" w:color="auto" w:fill="FFFFFF"/>
                          </w:rPr>
                          <m:t>O</m:t>
                        </m:r>
                      </m:sub>
                    </m:sSub>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e>
                      <m:sub>
                        <m:r>
                          <m:rPr>
                            <m:sty m:val="p"/>
                          </m:rPr>
                          <w:rPr>
                            <w:rFonts w:ascii="Cambria Math" w:hAnsi="Cambria Math"/>
                            <w:color w:val="000000" w:themeColor="text1"/>
                            <w:sz w:val="20"/>
                            <w:szCs w:val="20"/>
                            <w:shd w:val="clear" w:color="auto" w:fill="FFFFFF"/>
                          </w:rPr>
                          <m:t>H</m:t>
                        </m:r>
                      </m:sub>
                    </m:sSub>
                    <m:r>
                      <m:rPr>
                        <m:sty m:val="p"/>
                      </m:rPr>
                      <w:rPr>
                        <w:rFonts w:ascii="Cambria Math" w:hAnsi="Cambria Math"/>
                        <w:color w:val="000000" w:themeColor="text1"/>
                        <w:sz w:val="20"/>
                        <w:szCs w:val="20"/>
                        <w:shd w:val="clear" w:color="auto" w:fill="FFFFFF"/>
                      </w:rPr>
                      <m:t>) –</m:t>
                    </m:r>
                    <m:r>
                      <w:rPr>
                        <w:rFonts w:ascii="Cambria Math" w:hAnsi="Cambria Math"/>
                        <w:color w:val="000000" w:themeColor="text1"/>
                        <w:sz w:val="20"/>
                        <w:szCs w:val="20"/>
                        <w:shd w:val="clear" w:color="auto" w:fill="FFFFFF"/>
                      </w:rPr>
                      <m:t xml:space="preserve"> 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S</m:t>
                        </m:r>
                      </m:e>
                      <m:sub>
                        <m:r>
                          <m:rPr>
                            <m:sty m:val="p"/>
                          </m:rPr>
                          <w:rPr>
                            <w:rFonts w:ascii="Cambria Math" w:hAnsi="Cambria Math"/>
                            <w:color w:val="000000" w:themeColor="text1"/>
                            <w:sz w:val="20"/>
                            <w:szCs w:val="20"/>
                            <w:shd w:val="clear" w:color="auto" w:fill="FFFFFF"/>
                          </w:rPr>
                          <m:t>vib</m:t>
                        </m:r>
                      </m:sub>
                    </m:sSub>
                    <m:r>
                      <m:rPr>
                        <m:sty m:val="p"/>
                      </m:rPr>
                      <w:rPr>
                        <w:rFonts w:ascii="Cambria Math" w:hAnsi="Cambria Math"/>
                        <w:color w:val="000000" w:themeColor="text1"/>
                        <w:sz w:val="20"/>
                        <w:szCs w:val="20"/>
                        <w:shd w:val="clear" w:color="auto" w:fill="FFFFFF"/>
                      </w:rPr>
                      <m:t>(</m:t>
                    </m:r>
                    <m:r>
                      <w:rPr>
                        <w:rFonts w:ascii="Cambria Math" w:hAnsi="Cambria Math"/>
                        <w:color w:val="000000" w:themeColor="text1"/>
                        <w:sz w:val="20"/>
                        <w:szCs w:val="20"/>
                        <w:shd w:val="clear" w:color="auto" w:fill="FFFFFF"/>
                      </w:rPr>
                      <m:t>T</m:t>
                    </m:r>
                    <m:r>
                      <m:rPr>
                        <m:sty m:val="p"/>
                      </m:rPr>
                      <w:rPr>
                        <w:rFonts w:ascii="Cambria Math" w:hAnsi="Cambria Math"/>
                        <w:color w:val="000000" w:themeColor="text1"/>
                        <w:sz w:val="20"/>
                        <w:szCs w:val="20"/>
                        <w:shd w:val="clear" w:color="auto" w:fill="FFFFFF"/>
                      </w:rPr>
                      <m:t>,</m:t>
                    </m:r>
                    <m:r>
                      <w:rPr>
                        <w:rFonts w:ascii="Cambria Math" w:hAnsi="Cambria Math"/>
                        <w:color w:val="000000" w:themeColor="text1"/>
                        <w:sz w:val="20"/>
                        <w:szCs w:val="20"/>
                        <w:shd w:val="clear" w:color="auto" w:fill="FFFFFF"/>
                      </w:rPr>
                      <m:t xml:space="preserve">V, </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e>
                      <m:sub>
                        <m:r>
                          <m:rPr>
                            <m:sty m:val="p"/>
                          </m:rPr>
                          <w:rPr>
                            <w:rFonts w:ascii="Cambria Math" w:hAnsi="Cambria Math"/>
                            <w:color w:val="000000" w:themeColor="text1"/>
                            <w:sz w:val="20"/>
                            <w:szCs w:val="20"/>
                            <w:shd w:val="clear" w:color="auto" w:fill="FFFFFF"/>
                          </w:rPr>
                          <m:t>Ru</m:t>
                        </m:r>
                      </m:sub>
                    </m:sSub>
                    <m:r>
                      <w:rPr>
                        <w:rFonts w:ascii="Cambria Math" w:hAnsi="Cambria Math"/>
                        <w:color w:val="000000" w:themeColor="text1"/>
                        <w:sz w:val="20"/>
                        <w:szCs w:val="20"/>
                        <w:shd w:val="clear" w:color="auto" w:fill="FFFFFF"/>
                      </w:rPr>
                      <m:t xml:space="preserve">, </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e>
                      <m:sub>
                        <m:r>
                          <m:rPr>
                            <m:sty m:val="p"/>
                          </m:rPr>
                          <w:rPr>
                            <w:rFonts w:ascii="Cambria Math" w:hAnsi="Cambria Math"/>
                            <w:color w:val="000000" w:themeColor="text1"/>
                            <w:sz w:val="20"/>
                            <w:szCs w:val="20"/>
                            <w:shd w:val="clear" w:color="auto" w:fill="FFFFFF"/>
                          </w:rPr>
                          <m:t>O</m:t>
                        </m:r>
                      </m:sub>
                    </m:sSub>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e>
                      <m:sub>
                        <m:r>
                          <m:rPr>
                            <m:sty m:val="p"/>
                          </m:rPr>
                          <w:rPr>
                            <w:rFonts w:ascii="Cambria Math" w:hAnsi="Cambria Math"/>
                            <w:color w:val="000000" w:themeColor="text1"/>
                            <w:sz w:val="20"/>
                            <w:szCs w:val="20"/>
                            <w:shd w:val="clear" w:color="auto" w:fill="FFFFFF"/>
                          </w:rPr>
                          <m:t>H</m:t>
                        </m:r>
                      </m:sub>
                    </m:sSub>
                    <m:r>
                      <m:rPr>
                        <m:sty m:val="p"/>
                      </m:rPr>
                      <w:rPr>
                        <w:rFonts w:ascii="Cambria Math" w:hAnsi="Cambria Math"/>
                        <w:color w:val="000000" w:themeColor="text1"/>
                        <w:sz w:val="20"/>
                        <w:szCs w:val="20"/>
                        <w:shd w:val="clear" w:color="auto" w:fill="FFFFFF"/>
                      </w:rPr>
                      <m:t>)</m:t>
                    </m:r>
                  </m:e>
                </m:d>
              </m:oMath>
            </m:oMathPara>
          </w:p>
        </w:tc>
        <w:tc>
          <w:tcPr>
            <w:tcW w:w="1417" w:type="dxa"/>
            <w:vAlign w:val="center"/>
          </w:tcPr>
          <w:p w14:paraId="789E020E" w14:textId="421BDF66" w:rsidR="00156586" w:rsidRPr="00DE0988" w:rsidRDefault="00156586" w:rsidP="00E45E28">
            <w:pPr>
              <w:keepNext/>
              <w:jc w:val="right"/>
              <w:rPr>
                <w:bCs/>
                <w:sz w:val="20"/>
                <w:szCs w:val="20"/>
              </w:rPr>
            </w:pPr>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536CF0">
              <w:rPr>
                <w:noProof/>
                <w:sz w:val="20"/>
                <w:szCs w:val="20"/>
              </w:rPr>
              <w:t>27</w:t>
            </w:r>
            <w:r w:rsidRPr="00DE0988">
              <w:rPr>
                <w:sz w:val="20"/>
                <w:szCs w:val="20"/>
              </w:rPr>
              <w:fldChar w:fldCharType="end"/>
            </w:r>
          </w:p>
        </w:tc>
      </w:tr>
    </w:tbl>
    <w:p w14:paraId="64573DDC" w14:textId="0269C271" w:rsidR="00594FAE" w:rsidRPr="00EC6E98" w:rsidRDefault="00594FAE" w:rsidP="00594FAE">
      <w:pPr>
        <w:rPr>
          <w:iCs/>
          <w:color w:val="000000" w:themeColor="text1"/>
          <w:szCs w:val="22"/>
          <w:shd w:val="clear" w:color="auto" w:fill="FFFFFF"/>
        </w:rPr>
      </w:pPr>
      <w:r w:rsidRPr="00EC6E98">
        <w:rPr>
          <w:iCs/>
          <w:color w:val="000000" w:themeColor="text1"/>
          <w:szCs w:val="22"/>
          <w:shd w:val="clear" w:color="auto" w:fill="FFFFFF"/>
        </w:rPr>
        <w:t xml:space="preserve">In Ref. </w:t>
      </w:r>
      <w:r>
        <w:rPr>
          <w:iCs/>
          <w:color w:val="000000" w:themeColor="text1"/>
          <w:szCs w:val="22"/>
          <w:shd w:val="clear" w:color="auto" w:fill="FFFFFF"/>
        </w:rPr>
        <w:fldChar w:fldCharType="begin"/>
      </w:r>
      <w:r w:rsidR="00FC5BEB">
        <w:rPr>
          <w:iCs/>
          <w:color w:val="000000" w:themeColor="text1"/>
          <w:szCs w:val="22"/>
          <w:shd w:val="clear" w:color="auto" w:fill="FFFFFF"/>
        </w:rPr>
        <w:instrText xml:space="preserve"> ADDIN EN.CITE &lt;EndNote&gt;&lt;Cite&gt;&lt;Author&gt;Sun&lt;/Author&gt;&lt;Year&gt;2003&lt;/Year&gt;&lt;RecNum&gt;114&lt;/RecNum&gt;&lt;DisplayText&gt;&lt;style face="superscript"&gt;116&lt;/style&gt;&lt;/DisplayText&gt;&lt;record&gt;&lt;rec-number&gt;114&lt;/rec-number&gt;&lt;foreign-keys&gt;&lt;key app="EN" db-id="2xex0erf4eexr4e2dpbxpdd829xttesxxxdr" timestamp="1715075296"&gt;114&lt;/key&gt;&lt;/foreign-keys&gt;&lt;ref-type name="Journal Article"&gt;17&lt;/ref-type&gt;&lt;contributors&gt;&lt;authors&gt;&lt;author&gt;Sun, Qiang&lt;/author&gt;&lt;author&gt;Reuter, Karsten&lt;/author&gt;&lt;author&gt;Scheffler, Matthias&lt;/author&gt;&lt;/authors&gt;&lt;/contributors&gt;&lt;titles&gt;&lt;title&gt;Effect of a humid environment on the surface structure of RuO2(110)&lt;/title&gt;&lt;secondary-title&gt;Physical Review B&lt;/secondary-title&gt;&lt;/titles&gt;&lt;periodical&gt;&lt;full-title&gt;Physical Review B&lt;/full-title&gt;&lt;abbr-1&gt;Phys. Rev. B&lt;/abbr-1&gt;&lt;abbr-2&gt;Phys Rev B&lt;/abbr-2&gt;&lt;/periodical&gt;&lt;pages&gt;205424&lt;/pages&gt;&lt;volume&gt;67&lt;/volume&gt;&lt;number&gt;20&lt;/number&gt;&lt;dates&gt;&lt;year&gt;2003&lt;/year&gt;&lt;pub-dates&gt;&lt;date&gt;05/30/&lt;/date&gt;&lt;/pub-dates&gt;&lt;/dates&gt;&lt;publisher&gt;American Physical Society&lt;/publisher&gt;&lt;urls&gt;&lt;related-urls&gt;&lt;url&gt;https://link.aps.org/doi/10.1103/PhysRevB.67.205424&lt;/url&gt;&lt;/related-urls&gt;&lt;/urls&gt;&lt;electronic-resource-num&gt;10.1103/PhysRevB.67.205424&lt;/electronic-resource-num&gt;&lt;/record&gt;&lt;/Cite&gt;&lt;/EndNote&gt;</w:instrText>
      </w:r>
      <w:r>
        <w:rPr>
          <w:iCs/>
          <w:color w:val="000000" w:themeColor="text1"/>
          <w:szCs w:val="22"/>
          <w:shd w:val="clear" w:color="auto" w:fill="FFFFFF"/>
        </w:rPr>
        <w:fldChar w:fldCharType="separate"/>
      </w:r>
      <w:r w:rsidR="00FC5BEB" w:rsidRPr="00FC5BEB">
        <w:rPr>
          <w:iCs/>
          <w:noProof/>
          <w:color w:val="000000" w:themeColor="text1"/>
          <w:szCs w:val="22"/>
          <w:shd w:val="clear" w:color="auto" w:fill="FFFFFF"/>
          <w:vertAlign w:val="superscript"/>
        </w:rPr>
        <w:t>116</w:t>
      </w:r>
      <w:r>
        <w:rPr>
          <w:iCs/>
          <w:color w:val="000000" w:themeColor="text1"/>
          <w:szCs w:val="22"/>
          <w:shd w:val="clear" w:color="auto" w:fill="FFFFFF"/>
        </w:rPr>
        <w:fldChar w:fldCharType="end"/>
      </w:r>
      <w:r>
        <w:rPr>
          <w:iCs/>
          <w:color w:val="000000" w:themeColor="text1"/>
          <w:szCs w:val="22"/>
          <w:shd w:val="clear" w:color="auto" w:fill="FFFFFF"/>
        </w:rPr>
        <w:t xml:space="preserve"> </w:t>
      </w:r>
      <w:r w:rsidRPr="00EC6E98">
        <w:rPr>
          <w:iCs/>
          <w:color w:val="000000" w:themeColor="text1"/>
          <w:szCs w:val="22"/>
          <w:shd w:val="clear" w:color="auto" w:fill="FFFFFF"/>
        </w:rPr>
        <w:t>these vibrational contributions were computed by diagonalizing the complete dynamical matrix with the substrate held fixed</w:t>
      </w:r>
      <w:r>
        <w:rPr>
          <w:iCs/>
          <w:color w:val="000000" w:themeColor="text1"/>
          <w:szCs w:val="22"/>
          <w:shd w:val="clear" w:color="auto" w:fill="FFFFFF"/>
        </w:rPr>
        <w:fldChar w:fldCharType="begin">
          <w:fldData xml:space="preserve">PEVuZE5vdGU+PENpdGU+PEF1dGhvcj5TdW48L0F1dGhvcj48WWVhcj4yMDAzPC9ZZWFyPjxSZWNO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</w:fldData>
        </w:fldChar>
      </w:r>
      <w:r w:rsidR="00FC5BEB">
        <w:rPr>
          <w:iCs/>
          <w:color w:val="000000" w:themeColor="text1"/>
          <w:szCs w:val="22"/>
          <w:shd w:val="clear" w:color="auto" w:fill="FFFFFF"/>
        </w:rPr>
        <w:instrText xml:space="preserve"> ADDIN EN.CITE </w:instrText>
      </w:r>
      <w:r w:rsidR="00FC5BEB">
        <w:rPr>
          <w:iCs/>
          <w:color w:val="000000" w:themeColor="text1"/>
          <w:szCs w:val="22"/>
          <w:shd w:val="clear" w:color="auto" w:fill="FFFFFF"/>
        </w:rPr>
        <w:fldChar w:fldCharType="begin">
          <w:fldData xml:space="preserve">PEVuZE5vdGU+PENpdGU+PEF1dGhvcj5TdW48L0F1dGhvcj48WWVhcj4yMDAzPC9ZZWFyPjxSZWNO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</w:fldData>
        </w:fldChar>
      </w:r>
      <w:r w:rsidR="00FC5BEB">
        <w:rPr>
          <w:iCs/>
          <w:color w:val="000000" w:themeColor="text1"/>
          <w:szCs w:val="22"/>
          <w:shd w:val="clear" w:color="auto" w:fill="FFFFFF"/>
        </w:rPr>
        <w:instrText xml:space="preserve"> ADDIN EN.CITE.DATA </w:instrText>
      </w:r>
      <w:r w:rsidR="00FC5BEB">
        <w:rPr>
          <w:iCs/>
          <w:color w:val="000000" w:themeColor="text1"/>
          <w:szCs w:val="22"/>
          <w:shd w:val="clear" w:color="auto" w:fill="FFFFFF"/>
        </w:rPr>
      </w:r>
      <w:r w:rsidR="00FC5BEB">
        <w:rPr>
          <w:iCs/>
          <w:color w:val="000000" w:themeColor="text1"/>
          <w:szCs w:val="22"/>
          <w:shd w:val="clear" w:color="auto" w:fill="FFFFFF"/>
        </w:rPr>
        <w:fldChar w:fldCharType="end"/>
      </w:r>
      <w:r>
        <w:rPr>
          <w:iCs/>
          <w:color w:val="000000" w:themeColor="text1"/>
          <w:szCs w:val="22"/>
          <w:shd w:val="clear" w:color="auto" w:fill="FFFFFF"/>
        </w:rPr>
      </w:r>
      <w:r>
        <w:rPr>
          <w:iCs/>
          <w:color w:val="000000" w:themeColor="text1"/>
          <w:szCs w:val="22"/>
          <w:shd w:val="clear" w:color="auto" w:fill="FFFFFF"/>
        </w:rPr>
        <w:fldChar w:fldCharType="separate"/>
      </w:r>
      <w:r w:rsidR="00FC5BEB" w:rsidRPr="00FC5BEB">
        <w:rPr>
          <w:iCs/>
          <w:noProof/>
          <w:color w:val="000000" w:themeColor="text1"/>
          <w:szCs w:val="22"/>
          <w:shd w:val="clear" w:color="auto" w:fill="FFFFFF"/>
          <w:vertAlign w:val="superscript"/>
        </w:rPr>
        <w:t>116, 117</w:t>
      </w:r>
      <w:r>
        <w:rPr>
          <w:iCs/>
          <w:color w:val="000000" w:themeColor="text1"/>
          <w:szCs w:val="22"/>
          <w:shd w:val="clear" w:color="auto" w:fill="FFFFFF"/>
        </w:rPr>
        <w:fldChar w:fldCharType="end"/>
      </w:r>
      <w:r w:rsidRPr="00EC6E98">
        <w:rPr>
          <w:color w:val="000000" w:themeColor="text1"/>
          <w:szCs w:val="22"/>
        </w:rPr>
        <w:t>.</w:t>
      </w:r>
      <w:r w:rsidRPr="00EC6E98">
        <w:rPr>
          <w:iCs/>
          <w:color w:val="000000" w:themeColor="text1"/>
          <w:szCs w:val="22"/>
          <w:shd w:val="clear" w:color="auto" w:fill="FFFFFF"/>
        </w:rPr>
        <w:t xml:space="preserve"> The resultant surface phase diagram, </w:t>
      </w:r>
      <w:r w:rsidR="00912480">
        <w:rPr>
          <w:iCs/>
          <w:color w:val="000000" w:themeColor="text1"/>
          <w:szCs w:val="22"/>
          <w:shd w:val="clear" w:color="auto" w:fill="FFFFFF"/>
        </w:rPr>
        <w:fldChar w:fldCharType="begin"/>
      </w:r>
      <w:r w:rsidR="00912480">
        <w:rPr>
          <w:iCs/>
          <w:color w:val="000000" w:themeColor="text1"/>
          <w:szCs w:val="22"/>
          <w:shd w:val="clear" w:color="auto" w:fill="FFFFFF"/>
        </w:rPr>
        <w:instrText xml:space="preserve"> REF _Ref159509607 \h </w:instrText>
      </w:r>
      <w:r w:rsidR="00912480">
        <w:rPr>
          <w:iCs/>
          <w:color w:val="000000" w:themeColor="text1"/>
          <w:szCs w:val="22"/>
          <w:shd w:val="clear" w:color="auto" w:fill="FFFFFF"/>
        </w:rPr>
      </w:r>
      <w:r w:rsidR="00912480">
        <w:rPr>
          <w:iCs/>
          <w:color w:val="000000" w:themeColor="text1"/>
          <w:szCs w:val="22"/>
          <w:shd w:val="clear" w:color="auto" w:fill="FFFFFF"/>
        </w:rPr>
        <w:fldChar w:fldCharType="separate"/>
      </w:r>
      <w:r w:rsidR="00536CF0" w:rsidRPr="00912480">
        <w:rPr>
          <w:b/>
          <w:bCs/>
        </w:rPr>
        <w:t xml:space="preserve">Figure </w:t>
      </w:r>
      <w:r w:rsidR="00536CF0">
        <w:rPr>
          <w:b/>
          <w:bCs/>
          <w:noProof/>
        </w:rPr>
        <w:t>9</w:t>
      </w:r>
      <w:r w:rsidR="00912480">
        <w:rPr>
          <w:iCs/>
          <w:color w:val="000000" w:themeColor="text1"/>
          <w:szCs w:val="22"/>
          <w:shd w:val="clear" w:color="auto" w:fill="FFFFFF"/>
        </w:rPr>
        <w:fldChar w:fldCharType="end"/>
      </w:r>
      <w:r w:rsidRPr="00EC6E98">
        <w:rPr>
          <w:iCs/>
          <w:color w:val="000000" w:themeColor="text1"/>
          <w:szCs w:val="22"/>
          <w:shd w:val="clear" w:color="auto" w:fill="FFFFFF"/>
        </w:rPr>
        <w:t>, is like what was found in a dry oxygen atmosphere</w:t>
      </w:r>
      <w:r>
        <w:rPr>
          <w:iCs/>
          <w:color w:val="000000" w:themeColor="text1"/>
          <w:szCs w:val="22"/>
          <w:shd w:val="clear" w:color="auto" w:fill="FFFFFF"/>
        </w:rPr>
        <w:fldChar w:fldCharType="begin"/>
      </w:r>
      <w:r w:rsidR="00FC5BEB">
        <w:rPr>
          <w:iCs/>
          <w:color w:val="000000" w:themeColor="text1"/>
          <w:szCs w:val="22"/>
          <w:shd w:val="clear" w:color="auto" w:fill="FFFFFF"/>
        </w:rPr>
        <w:instrText xml:space="preserve"> ADDIN EN.CITE &lt;EndNote&gt;&lt;Cite&gt;&lt;Author&gt;Reuter&lt;/Author&gt;&lt;Year&gt;2001&lt;/Year&gt;&lt;RecNum&gt;103&lt;/RecNum&gt;&lt;DisplayText&gt;&lt;style face="superscript"&gt;105&lt;/style&gt;&lt;/DisplayText&gt;&lt;record&gt;&lt;rec-number&gt;103&lt;/rec-number&gt;&lt;foreign-keys&gt;&lt;key app="EN" db-id="2xex0erf4eexr4e2dpbxpdd829xttesxxxdr" timestamp="1715075296"&gt;103&lt;/key&gt;&lt;/foreign-keys&gt;&lt;ref-type name="Journal Article"&gt;17&lt;/ref-type&gt;&lt;contributors&gt;&lt;authors&gt;&lt;author&gt;Reuter, Karsten&lt;/author&gt;&lt;author&gt;Scheffler, Matthias&lt;/author&gt;&lt;/authors&gt;&lt;/contributors&gt;&lt;titles&gt;&lt;title&gt;Composition, structure, and stability of RuO2(110) as a function of oxygen pressure&lt;/title&gt;&lt;secondary-title&gt;Physical Review B&lt;/secondary-title&gt;&lt;/titles&gt;&lt;periodical&gt;&lt;full-title&gt;Physical Review B&lt;/full-title&gt;&lt;abbr-1&gt;Phys. Rev. B&lt;/abbr-1&gt;&lt;abbr-2&gt;Phys Rev B&lt;/abbr-2&gt;&lt;/periodical&gt;&lt;pages&gt;035406&lt;/pages&gt;&lt;volume&gt;65&lt;/volume&gt;&lt;number&gt;3&lt;/number&gt;&lt;dates&gt;&lt;year&gt;2001&lt;/year&gt;&lt;pub-dates&gt;&lt;date&gt;12/19/&lt;/date&gt;&lt;/pub-dates&gt;&lt;/dates&gt;&lt;publisher&gt;American Physical Society&lt;/publisher&gt;&lt;urls&gt;&lt;related-urls&gt;&lt;url&gt;https://link.aps.org/doi/10.1103/PhysRevB.65.035406&lt;/url&gt;&lt;/related-urls&gt;&lt;/urls&gt;&lt;electronic-resource-num&gt;10.1103/PhysRevB.65.035406&lt;/electronic-resource-num&gt;&lt;/record&gt;&lt;/Cite&gt;&lt;/EndNote&gt;</w:instrText>
      </w:r>
      <w:r>
        <w:rPr>
          <w:iCs/>
          <w:color w:val="000000" w:themeColor="text1"/>
          <w:szCs w:val="22"/>
          <w:shd w:val="clear" w:color="auto" w:fill="FFFFFF"/>
        </w:rPr>
        <w:fldChar w:fldCharType="separate"/>
      </w:r>
      <w:r w:rsidR="00FC5BEB" w:rsidRPr="00FC5BEB">
        <w:rPr>
          <w:iCs/>
          <w:noProof/>
          <w:color w:val="000000" w:themeColor="text1"/>
          <w:szCs w:val="22"/>
          <w:shd w:val="clear" w:color="auto" w:fill="FFFFFF"/>
          <w:vertAlign w:val="superscript"/>
        </w:rPr>
        <w:t>105</w:t>
      </w:r>
      <w:r>
        <w:rPr>
          <w:iCs/>
          <w:color w:val="000000" w:themeColor="text1"/>
          <w:szCs w:val="22"/>
          <w:shd w:val="clear" w:color="auto" w:fill="FFFFFF"/>
        </w:rPr>
        <w:fldChar w:fldCharType="end"/>
      </w:r>
      <w:r w:rsidRPr="00EC6E98">
        <w:rPr>
          <w:iCs/>
          <w:color w:val="000000" w:themeColor="text1"/>
          <w:szCs w:val="22"/>
          <w:shd w:val="clear" w:color="auto" w:fill="FFFFFF"/>
        </w:rPr>
        <w:t xml:space="preserve"> when the water chemical potential is low. As the water chemical potential increases, the surface becomes covered in hydroxide and water. Thus, </w:t>
      </w:r>
      <w:r w:rsidRPr="00EC6E98">
        <w:rPr>
          <w:i/>
          <w:color w:val="000000" w:themeColor="text1"/>
          <w:szCs w:val="22"/>
          <w:shd w:val="clear" w:color="auto" w:fill="FFFFFF"/>
        </w:rPr>
        <w:t xml:space="preserve">ab initio </w:t>
      </w:r>
      <w:r w:rsidRPr="00EC6E98">
        <w:rPr>
          <w:iCs/>
          <w:color w:val="000000" w:themeColor="text1"/>
          <w:szCs w:val="22"/>
          <w:shd w:val="clear" w:color="auto" w:fill="FFFFFF"/>
        </w:rPr>
        <w:t>atomistic thermodynamics can be used to determine the equilibrium surface terminations in multi-component gas-phase systems when assumptions about the equilibria are made. And as with the single component case</w:t>
      </w:r>
      <w:r>
        <w:rPr>
          <w:iCs/>
          <w:color w:val="000000" w:themeColor="text1"/>
          <w:szCs w:val="22"/>
          <w:shd w:val="clear" w:color="auto" w:fill="FFFFFF"/>
        </w:rPr>
        <w:fldChar w:fldCharType="begin"/>
      </w:r>
      <w:r w:rsidR="00FC5BEB">
        <w:rPr>
          <w:iCs/>
          <w:color w:val="000000" w:themeColor="text1"/>
          <w:szCs w:val="22"/>
          <w:shd w:val="clear" w:color="auto" w:fill="FFFFFF"/>
        </w:rPr>
        <w:instrText xml:space="preserve"> ADDIN EN.CITE &lt;EndNote&gt;&lt;Cite&gt;&lt;Author&gt;Reuter&lt;/Author&gt;&lt;Year&gt;2001&lt;/Year&gt;&lt;RecNum&gt;103&lt;/RecNum&gt;&lt;DisplayText&gt;&lt;style face="superscript"&gt;105&lt;/style&gt;&lt;/DisplayText&gt;&lt;record&gt;&lt;rec-number&gt;103&lt;/rec-number&gt;&lt;foreign-keys&gt;&lt;key app="EN" db-id="2xex0erf4eexr4e2dpbxpdd829xttesxxxdr" timestamp="1715075296"&gt;103&lt;/key&gt;&lt;/foreign-keys&gt;&lt;ref-type name="Journal Article"&gt;17&lt;/ref-type&gt;&lt;contributors&gt;&lt;authors&gt;&lt;author&gt;Reuter, Karsten&lt;/author&gt;&lt;author&gt;Scheffler, Matthias&lt;/author&gt;&lt;/authors&gt;&lt;/contributors&gt;&lt;titles&gt;&lt;title&gt;Composition, structure, and stability of RuO2(110) as a function of oxygen pressure&lt;/title&gt;&lt;secondary-title&gt;Physical Review B&lt;/secondary-title&gt;&lt;/titles&gt;&lt;periodical&gt;&lt;full-title&gt;Physical Review B&lt;/full-title&gt;&lt;abbr-1&gt;Phys. Rev. B&lt;/abbr-1&gt;&lt;abbr-2&gt;Phys Rev B&lt;/abbr-2&gt;&lt;/periodical&gt;&lt;pages&gt;035406&lt;/pages&gt;&lt;volume&gt;65&lt;/volume&gt;&lt;number&gt;3&lt;/number&gt;&lt;dates&gt;&lt;year&gt;2001&lt;/year&gt;&lt;pub-dates&gt;&lt;date&gt;12/19/&lt;/date&gt;&lt;/pub-dates&gt;&lt;/dates&gt;&lt;publisher&gt;American Physical Society&lt;/publisher&gt;&lt;urls&gt;&lt;related-urls&gt;&lt;url&gt;https://link.aps.org/doi/10.1103/PhysRevB.65.035406&lt;/url&gt;&lt;/related-urls&gt;&lt;/urls&gt;&lt;electronic-resource-num&gt;10.1103/PhysRevB.65.035406&lt;/electronic-resource-num&gt;&lt;/record&gt;&lt;/Cite&gt;&lt;/EndNote&gt;</w:instrText>
      </w:r>
      <w:r>
        <w:rPr>
          <w:iCs/>
          <w:color w:val="000000" w:themeColor="text1"/>
          <w:szCs w:val="22"/>
          <w:shd w:val="clear" w:color="auto" w:fill="FFFFFF"/>
        </w:rPr>
        <w:fldChar w:fldCharType="separate"/>
      </w:r>
      <w:r w:rsidR="00FC5BEB" w:rsidRPr="00FC5BEB">
        <w:rPr>
          <w:iCs/>
          <w:noProof/>
          <w:color w:val="000000" w:themeColor="text1"/>
          <w:szCs w:val="22"/>
          <w:shd w:val="clear" w:color="auto" w:fill="FFFFFF"/>
          <w:vertAlign w:val="superscript"/>
        </w:rPr>
        <w:t>105</w:t>
      </w:r>
      <w:r>
        <w:rPr>
          <w:iCs/>
          <w:color w:val="000000" w:themeColor="text1"/>
          <w:szCs w:val="22"/>
          <w:shd w:val="clear" w:color="auto" w:fill="FFFFFF"/>
        </w:rPr>
        <w:fldChar w:fldCharType="end"/>
      </w:r>
      <w:r w:rsidRPr="00EC6E98">
        <w:rPr>
          <w:iCs/>
          <w:color w:val="000000" w:themeColor="text1"/>
          <w:szCs w:val="22"/>
          <w:shd w:val="clear" w:color="auto" w:fill="FFFFFF"/>
        </w:rPr>
        <w:t xml:space="preserve">, metastable phases can also be identified, though these are not shown in </w:t>
      </w:r>
      <w:r w:rsidR="00912480">
        <w:rPr>
          <w:iCs/>
          <w:color w:val="000000" w:themeColor="text1"/>
          <w:szCs w:val="22"/>
          <w:shd w:val="clear" w:color="auto" w:fill="FFFFFF"/>
        </w:rPr>
        <w:fldChar w:fldCharType="begin"/>
      </w:r>
      <w:r w:rsidR="00912480">
        <w:rPr>
          <w:iCs/>
          <w:color w:val="000000" w:themeColor="text1"/>
          <w:szCs w:val="22"/>
          <w:shd w:val="clear" w:color="auto" w:fill="FFFFFF"/>
        </w:rPr>
        <w:instrText xml:space="preserve"> REF _Ref159509607 \h </w:instrText>
      </w:r>
      <w:r w:rsidR="00912480">
        <w:rPr>
          <w:iCs/>
          <w:color w:val="000000" w:themeColor="text1"/>
          <w:szCs w:val="22"/>
          <w:shd w:val="clear" w:color="auto" w:fill="FFFFFF"/>
        </w:rPr>
      </w:r>
      <w:r w:rsidR="00912480">
        <w:rPr>
          <w:iCs/>
          <w:color w:val="000000" w:themeColor="text1"/>
          <w:szCs w:val="22"/>
          <w:shd w:val="clear" w:color="auto" w:fill="FFFFFF"/>
        </w:rPr>
        <w:fldChar w:fldCharType="separate"/>
      </w:r>
      <w:r w:rsidR="00536CF0" w:rsidRPr="00912480">
        <w:rPr>
          <w:b/>
          <w:bCs/>
        </w:rPr>
        <w:t xml:space="preserve">Figure </w:t>
      </w:r>
      <w:r w:rsidR="00536CF0">
        <w:rPr>
          <w:b/>
          <w:bCs/>
          <w:noProof/>
        </w:rPr>
        <w:t>9</w:t>
      </w:r>
      <w:r w:rsidR="00912480">
        <w:rPr>
          <w:iCs/>
          <w:color w:val="000000" w:themeColor="text1"/>
          <w:szCs w:val="22"/>
          <w:shd w:val="clear" w:color="auto" w:fill="FFFFFF"/>
        </w:rPr>
        <w:fldChar w:fldCharType="end"/>
      </w:r>
      <w:r w:rsidRPr="00EC6E98">
        <w:rPr>
          <w:iCs/>
          <w:color w:val="000000" w:themeColor="text1"/>
          <w:szCs w:val="22"/>
          <w:shd w:val="clear" w:color="auto" w:fill="FFFFFF"/>
        </w:rPr>
        <w:t xml:space="preserve"> because this would require a 3D representation.</w:t>
      </w:r>
    </w:p>
    <w:p w14:paraId="01ED1344" w14:textId="77777777" w:rsidR="00594FAE" w:rsidRPr="00EC6E98" w:rsidRDefault="00594FAE" w:rsidP="00594FAE">
      <w:pPr>
        <w:rPr>
          <w:iCs/>
          <w:color w:val="000000" w:themeColor="text1"/>
          <w:szCs w:val="22"/>
          <w:shd w:val="clear" w:color="auto" w:fill="FFFFFF"/>
        </w:rPr>
      </w:pPr>
    </w:p>
    <w:p w14:paraId="7F08D238" w14:textId="77777777" w:rsidR="00594FAE" w:rsidRPr="00EC6E98" w:rsidRDefault="00594FAE" w:rsidP="00594FAE">
      <w:pPr>
        <w:jc w:val="center"/>
        <w:rPr>
          <w:iCs/>
          <w:color w:val="000000" w:themeColor="text1"/>
          <w:szCs w:val="22"/>
          <w:shd w:val="clear" w:color="auto" w:fill="FFFFFF"/>
        </w:rPr>
      </w:pPr>
      <w:r w:rsidRPr="00EC6E98">
        <w:rPr>
          <w:iCs/>
          <w:noProof/>
          <w:color w:val="000000" w:themeColor="text1"/>
          <w:szCs w:val="22"/>
          <w:shd w:val="clear" w:color="auto" w:fill="FFFFFF"/>
        </w:rPr>
        <w:lastRenderedPageBreak/>
        <w:drawing>
          <wp:inline distT="0" distB="0" distL="0" distR="0" wp14:anchorId="66C72722" wp14:editId="013525A9">
            <wp:extent cx="3638019" cy="2494919"/>
            <wp:effectExtent l="0" t="0" r="0" b="0"/>
            <wp:docPr id="16830288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3028877" name=""/>
                    <pic:cNvPicPr/>
                  </pic:nvPicPr>
                  <pic:blipFill>
                    <a:blip r:embed="rId19"/>
                    <a:stretch>
                      <a:fillRect/>
                    </a:stretch>
                  </pic:blipFill>
                  <pic:spPr>
                    <a:xfrm>
                      <a:off x="0" y="0"/>
                      <a:ext cx="3650376" cy="2503394"/>
                    </a:xfrm>
                    <a:prstGeom prst="rect">
                      <a:avLst/>
                    </a:prstGeom>
                  </pic:spPr>
                </pic:pic>
              </a:graphicData>
            </a:graphic>
          </wp:inline>
        </w:drawing>
      </w:r>
    </w:p>
    <w:p w14:paraId="0AA800E8" w14:textId="77777777" w:rsidR="00DE52A4" w:rsidRPr="00DE52A4" w:rsidRDefault="00912480" w:rsidP="00DE52A4">
      <w:pPr>
        <w:pStyle w:val="Caption"/>
        <w:rPr>
          <w:szCs w:val="20"/>
          <w:shd w:val="clear" w:color="auto" w:fill="FFFFFF"/>
          <w:lang w:val="en-US"/>
        </w:rPr>
      </w:pPr>
      <w:bookmarkStart w:id="62" w:name="_Ref159509607"/>
      <w:r w:rsidRPr="00912480">
        <w:rPr>
          <w:b/>
          <w:bCs w:val="0"/>
          <w:sz w:val="22"/>
        </w:rPr>
        <w:t xml:space="preserve">Figure </w:t>
      </w:r>
      <w:r w:rsidRPr="00912480">
        <w:rPr>
          <w:b/>
          <w:bCs w:val="0"/>
          <w:sz w:val="22"/>
        </w:rPr>
        <w:fldChar w:fldCharType="begin"/>
      </w:r>
      <w:r w:rsidRPr="00912480">
        <w:rPr>
          <w:b/>
          <w:bCs w:val="0"/>
          <w:sz w:val="22"/>
        </w:rPr>
        <w:instrText xml:space="preserve"> SEQ Figure \* ARABIC </w:instrText>
      </w:r>
      <w:r w:rsidRPr="00912480">
        <w:rPr>
          <w:b/>
          <w:bCs w:val="0"/>
          <w:sz w:val="22"/>
        </w:rPr>
        <w:fldChar w:fldCharType="separate"/>
      </w:r>
      <w:r w:rsidR="00536CF0">
        <w:rPr>
          <w:b/>
          <w:bCs w:val="0"/>
          <w:noProof/>
          <w:sz w:val="22"/>
        </w:rPr>
        <w:t>9</w:t>
      </w:r>
      <w:r w:rsidRPr="00912480">
        <w:rPr>
          <w:b/>
          <w:bCs w:val="0"/>
          <w:sz w:val="22"/>
        </w:rPr>
        <w:fldChar w:fldCharType="end"/>
      </w:r>
      <w:bookmarkEnd w:id="62"/>
      <w:r w:rsidR="00594FAE" w:rsidRPr="00EC6E98">
        <w:rPr>
          <w:sz w:val="22"/>
        </w:rPr>
        <w:t xml:space="preserve"> </w:t>
      </w:r>
      <w:r w:rsidR="00594FAE" w:rsidRPr="006E7C22">
        <w:rPr>
          <w:szCs w:val="20"/>
        </w:rPr>
        <w:t>Surface phase diagram for the (110) surface of rutile-type RuO</w:t>
      </w:r>
      <w:r w:rsidR="00594FAE" w:rsidRPr="006E7C22">
        <w:rPr>
          <w:szCs w:val="20"/>
          <w:vertAlign w:val="subscript"/>
        </w:rPr>
        <w:t>2</w:t>
      </w:r>
      <w:r w:rsidR="00594FAE" w:rsidRPr="006E7C22">
        <w:rPr>
          <w:szCs w:val="20"/>
        </w:rPr>
        <w:t xml:space="preserve"> in a humid oxygen atmosphere under the assumption of complete equilibrium, where labels show the species on the bridge and CUS sites as: O(H)</w:t>
      </w:r>
      <w:proofErr w:type="spellStart"/>
      <w:r w:rsidR="00594FAE" w:rsidRPr="006E7C22">
        <w:rPr>
          <w:szCs w:val="20"/>
          <w:vertAlign w:val="superscript"/>
        </w:rPr>
        <w:t>br</w:t>
      </w:r>
      <w:proofErr w:type="spellEnd"/>
      <w:r w:rsidR="00594FAE" w:rsidRPr="006E7C22">
        <w:rPr>
          <w:szCs w:val="20"/>
        </w:rPr>
        <w:t>/O(H)</w:t>
      </w:r>
      <w:proofErr w:type="spellStart"/>
      <w:r w:rsidR="00594FAE" w:rsidRPr="006E7C22">
        <w:rPr>
          <w:szCs w:val="20"/>
          <w:vertAlign w:val="superscript"/>
        </w:rPr>
        <w:t>cus</w:t>
      </w:r>
      <w:proofErr w:type="spellEnd"/>
      <w:r w:rsidR="00594FAE" w:rsidRPr="006E7C22">
        <w:rPr>
          <w:szCs w:val="20"/>
        </w:rPr>
        <w:t>. At low water chemical potentials, the surface phase diagram matches that computed in dry oxygen with the stoichiometric surface (</w:t>
      </w:r>
      <w:proofErr w:type="spellStart"/>
      <w:r w:rsidR="00594FAE" w:rsidRPr="006E7C22">
        <w:rPr>
          <w:szCs w:val="20"/>
        </w:rPr>
        <w:t>O</w:t>
      </w:r>
      <w:r w:rsidR="00594FAE" w:rsidRPr="006E7C22">
        <w:rPr>
          <w:szCs w:val="20"/>
          <w:vertAlign w:val="superscript"/>
        </w:rPr>
        <w:t>br</w:t>
      </w:r>
      <w:proofErr w:type="spellEnd"/>
      <w:r w:rsidR="00594FAE" w:rsidRPr="006E7C22">
        <w:rPr>
          <w:szCs w:val="20"/>
        </w:rPr>
        <w:t>/-) appearing at low oxygen chemical potential and the polar surface (</w:t>
      </w:r>
      <w:proofErr w:type="spellStart"/>
      <w:r w:rsidR="00594FAE" w:rsidRPr="006E7C22">
        <w:rPr>
          <w:szCs w:val="20"/>
        </w:rPr>
        <w:t>O</w:t>
      </w:r>
      <w:r w:rsidR="00594FAE" w:rsidRPr="006E7C22">
        <w:rPr>
          <w:szCs w:val="20"/>
          <w:vertAlign w:val="superscript"/>
        </w:rPr>
        <w:t>br</w:t>
      </w:r>
      <w:proofErr w:type="spellEnd"/>
      <w:r w:rsidR="00594FAE" w:rsidRPr="006E7C22">
        <w:rPr>
          <w:szCs w:val="20"/>
        </w:rPr>
        <w:t>/</w:t>
      </w:r>
      <w:proofErr w:type="spellStart"/>
      <w:r w:rsidR="00594FAE" w:rsidRPr="006E7C22">
        <w:rPr>
          <w:szCs w:val="20"/>
        </w:rPr>
        <w:t>O</w:t>
      </w:r>
      <w:r w:rsidR="00594FAE" w:rsidRPr="006E7C22">
        <w:rPr>
          <w:szCs w:val="20"/>
          <w:vertAlign w:val="superscript"/>
        </w:rPr>
        <w:t>cus</w:t>
      </w:r>
      <w:proofErr w:type="spellEnd"/>
      <w:r w:rsidR="00594FAE" w:rsidRPr="006E7C22">
        <w:rPr>
          <w:szCs w:val="20"/>
        </w:rPr>
        <w:t xml:space="preserve">) appearing as the stable phase at high oxygen chemical potential. At higher water chemical potentials hydroxide and water populate the surface sites. </w:t>
      </w:r>
      <w:r w:rsidR="000757AA" w:rsidRPr="006E7C22">
        <w:rPr>
          <w:szCs w:val="20"/>
        </w:rPr>
        <w:t>Reproduced with permission from Ref.</w:t>
      </w:r>
      <w:r w:rsidR="00594FAE" w:rsidRPr="006E7C22">
        <w:rPr>
          <w:iCs/>
          <w:szCs w:val="20"/>
          <w:shd w:val="clear" w:color="auto" w:fill="FFFFFF"/>
        </w:rPr>
        <w:t xml:space="preserve"> </w:t>
      </w:r>
      <w:r w:rsidR="00594FAE" w:rsidRPr="006E7C22">
        <w:rPr>
          <w:szCs w:val="20"/>
          <w:shd w:val="clear" w:color="auto" w:fill="FFFFFF"/>
        </w:rPr>
        <w:fldChar w:fldCharType="begin"/>
      </w:r>
      <w:r w:rsidR="00FC5BEB">
        <w:rPr>
          <w:szCs w:val="20"/>
          <w:shd w:val="clear" w:color="auto" w:fill="FFFFFF"/>
        </w:rPr>
        <w:instrText xml:space="preserve"> ADDIN EN.CITE &lt;EndNote&gt;&lt;Cite&gt;&lt;Author&gt;Sun&lt;/Author&gt;&lt;Year&gt;2003&lt;/Year&gt;&lt;RecNum&gt;114&lt;/RecNum&gt;&lt;DisplayText&gt;&lt;style face="superscript"&gt;116&lt;/style&gt;&lt;/DisplayText&gt;&lt;record&gt;&lt;rec-number&gt;114&lt;/rec-number&gt;&lt;foreign-keys&gt;&lt;key app="EN" db-id="2xex0erf4eexr4e2dpbxpdd829xttesxxxdr" timestamp="1715075296"&gt;114&lt;/key&gt;&lt;/foreign-keys&gt;&lt;ref-type name="Journal Article"&gt;17&lt;/ref-type&gt;&lt;contributors&gt;&lt;authors&gt;&lt;author&gt;Sun, Qiang&lt;/author&gt;&lt;author&gt;Reuter, Karsten&lt;/author&gt;&lt;author&gt;Scheffler, Matthias&lt;/author&gt;&lt;/authors&gt;&lt;/contributors&gt;&lt;titles&gt;&lt;title&gt;Effect of a humid environment on the surface structure of RuO2(110)&lt;/title&gt;&lt;secondary-title&gt;Physical Review B&lt;/secondary-title&gt;&lt;/titles&gt;&lt;periodical&gt;&lt;full-title&gt;Physical Review B&lt;/full-title&gt;&lt;abbr-1&gt;Phys. Rev. B&lt;/abbr-1&gt;&lt;abbr-2&gt;Phys Rev B&lt;/abbr-2&gt;&lt;/periodical&gt;&lt;pages&gt;205424&lt;/pages&gt;&lt;volume&gt;67&lt;/volume&gt;&lt;number&gt;20&lt;/number&gt;&lt;dates&gt;&lt;year&gt;2003&lt;/year&gt;&lt;pub-dates&gt;&lt;date&gt;05/30/&lt;/date&gt;&lt;/pub-dates&gt;&lt;/dates&gt;&lt;publisher&gt;American Physical Society&lt;/publisher&gt;&lt;urls&gt;&lt;related-urls&gt;&lt;url&gt;https://link.aps.org/doi/10.1103/PhysRevB.67.205424&lt;/url&gt;&lt;/related-urls&gt;&lt;/urls&gt;&lt;electronic-resource-num&gt;10.1103/PhysRevB.67.205424&lt;/electronic-resource-num&gt;&lt;/record&gt;&lt;/Cite&gt;&lt;/EndNote&gt;</w:instrText>
      </w:r>
      <w:r w:rsidR="00594FAE" w:rsidRPr="006E7C22">
        <w:rPr>
          <w:szCs w:val="20"/>
          <w:shd w:val="clear" w:color="auto" w:fill="FFFFFF"/>
        </w:rPr>
        <w:fldChar w:fldCharType="separate"/>
      </w:r>
      <w:r w:rsidR="00FC5BEB" w:rsidRPr="00FC5BEB">
        <w:rPr>
          <w:noProof/>
          <w:szCs w:val="20"/>
          <w:shd w:val="clear" w:color="auto" w:fill="FFFFFF"/>
          <w:vertAlign w:val="superscript"/>
        </w:rPr>
        <w:t>116</w:t>
      </w:r>
      <w:r w:rsidR="00594FAE" w:rsidRPr="006E7C22">
        <w:rPr>
          <w:szCs w:val="20"/>
          <w:shd w:val="clear" w:color="auto" w:fill="FFFFFF"/>
        </w:rPr>
        <w:fldChar w:fldCharType="end"/>
      </w:r>
      <w:r w:rsidR="00594FAE" w:rsidRPr="006E7C22">
        <w:rPr>
          <w:szCs w:val="20"/>
          <w:shd w:val="clear" w:color="auto" w:fill="FFFFFF"/>
        </w:rPr>
        <w:t>.</w:t>
      </w:r>
      <w:r w:rsidR="00DE52A4">
        <w:rPr>
          <w:szCs w:val="20"/>
          <w:shd w:val="clear" w:color="auto" w:fill="FFFFFF"/>
        </w:rPr>
        <w:t xml:space="preserve"> </w:t>
      </w:r>
      <w:r w:rsidR="00DE52A4" w:rsidRPr="00DE52A4">
        <w:rPr>
          <w:szCs w:val="20"/>
          <w:shd w:val="clear" w:color="auto" w:fill="FFFFFF"/>
          <w:lang w:val="en-US"/>
        </w:rPr>
        <w:t>Copyright 2003 American Physical Society.</w:t>
      </w:r>
    </w:p>
    <w:p w14:paraId="1075A93B" w14:textId="6A37773B" w:rsidR="00594FAE" w:rsidRPr="00EC6E98" w:rsidRDefault="00594FAE" w:rsidP="00912480">
      <w:pPr>
        <w:pStyle w:val="Caption"/>
        <w:rPr>
          <w:sz w:val="22"/>
          <w:shd w:val="clear" w:color="auto" w:fill="FFFFFF"/>
        </w:rPr>
      </w:pPr>
    </w:p>
    <w:p w14:paraId="08742EFD" w14:textId="77777777" w:rsidR="00594FAE" w:rsidRPr="00EC6E98" w:rsidRDefault="00594FAE" w:rsidP="00594FAE">
      <w:pPr>
        <w:rPr>
          <w:color w:val="000000" w:themeColor="text1"/>
          <w:szCs w:val="22"/>
          <w:shd w:val="clear" w:color="auto" w:fill="FFFFFF"/>
        </w:rPr>
      </w:pPr>
    </w:p>
    <w:p w14:paraId="6C3B587B" w14:textId="0E000007" w:rsidR="00594FAE" w:rsidRPr="00BC7855" w:rsidRDefault="00B471BD" w:rsidP="00BC7855">
      <w:pPr>
        <w:pStyle w:val="Heading4"/>
      </w:pPr>
      <w:r>
        <w:t xml:space="preserve"> </w:t>
      </w:r>
      <w:bookmarkStart w:id="63" w:name="_Toc166441733"/>
      <w:r w:rsidR="00594FAE" w:rsidRPr="00BC7855">
        <w:t xml:space="preserve">Constrained </w:t>
      </w:r>
      <w:r w:rsidR="004D7F67">
        <w:t>e</w:t>
      </w:r>
      <w:r w:rsidR="00594FAE" w:rsidRPr="00BC7855">
        <w:t xml:space="preserve">quilibrium and </w:t>
      </w:r>
      <w:r w:rsidR="004D7F67">
        <w:t>r</w:t>
      </w:r>
      <w:r w:rsidR="00594FAE" w:rsidRPr="00BC7855">
        <w:t xml:space="preserve">eactive </w:t>
      </w:r>
      <w:r w:rsidR="004D7F67">
        <w:t>s</w:t>
      </w:r>
      <w:r w:rsidR="00594FAE" w:rsidRPr="00BC7855">
        <w:t>ystems</w:t>
      </w:r>
      <w:bookmarkEnd w:id="63"/>
    </w:p>
    <w:p w14:paraId="6DD7AD9E" w14:textId="77777777" w:rsidR="007C5D34" w:rsidRDefault="007C5D34" w:rsidP="00DB17F2">
      <w:pPr>
        <w:ind w:firstLine="720"/>
        <w:rPr>
          <w:color w:val="000000" w:themeColor="text1"/>
          <w:szCs w:val="22"/>
          <w:shd w:val="clear" w:color="auto" w:fill="FFFFFF"/>
        </w:rPr>
      </w:pPr>
    </w:p>
    <w:p w14:paraId="0D8A3D2C" w14:textId="5772F67D" w:rsidR="00594FAE" w:rsidRPr="00EC6E98" w:rsidRDefault="00594FAE" w:rsidP="00DB17F2">
      <w:pPr>
        <w:ind w:firstLine="720"/>
        <w:rPr>
          <w:iCs/>
          <w:color w:val="000000" w:themeColor="text1"/>
          <w:szCs w:val="22"/>
          <w:shd w:val="clear" w:color="auto" w:fill="FFFFFF"/>
        </w:rPr>
      </w:pPr>
      <w:r w:rsidRPr="00EC6E98">
        <w:rPr>
          <w:color w:val="000000" w:themeColor="text1"/>
          <w:szCs w:val="22"/>
          <w:shd w:val="clear" w:color="auto" w:fill="FFFFFF"/>
        </w:rPr>
        <w:t xml:space="preserve">Studying the OER necessarily involves studying surface catalyzed reactions. Here too, </w:t>
      </w:r>
      <w:r w:rsidRPr="00EC6E98">
        <w:rPr>
          <w:i/>
          <w:iCs/>
          <w:color w:val="000000" w:themeColor="text1"/>
          <w:szCs w:val="22"/>
          <w:shd w:val="clear" w:color="auto" w:fill="FFFFFF"/>
        </w:rPr>
        <w:t xml:space="preserve">ab initio </w:t>
      </w:r>
      <w:r w:rsidRPr="00EC6E98">
        <w:rPr>
          <w:color w:val="000000" w:themeColor="text1"/>
          <w:szCs w:val="22"/>
          <w:shd w:val="clear" w:color="auto" w:fill="FFFFFF"/>
        </w:rPr>
        <w:t xml:space="preserve">atomistic thermodynamics has played a prominent role in gas-phase thermal chemistry. Before going to the details of such studies for the OER, it </w:t>
      </w:r>
      <w:r w:rsidR="000757AA">
        <w:rPr>
          <w:color w:val="000000" w:themeColor="text1"/>
          <w:szCs w:val="22"/>
          <w:shd w:val="clear" w:color="auto" w:fill="FFFFFF"/>
        </w:rPr>
        <w:t xml:space="preserve">is </w:t>
      </w:r>
      <w:r w:rsidRPr="00EC6E98">
        <w:rPr>
          <w:color w:val="000000" w:themeColor="text1"/>
          <w:szCs w:val="22"/>
          <w:shd w:val="clear" w:color="auto" w:fill="FFFFFF"/>
        </w:rPr>
        <w:t xml:space="preserve">worthwhile covering the development of </w:t>
      </w:r>
      <w:r w:rsidRPr="00EC6E98">
        <w:rPr>
          <w:i/>
          <w:iCs/>
          <w:color w:val="000000" w:themeColor="text1"/>
          <w:szCs w:val="22"/>
          <w:shd w:val="clear" w:color="auto" w:fill="FFFFFF"/>
        </w:rPr>
        <w:t xml:space="preserve">ab initio </w:t>
      </w:r>
      <w:r w:rsidRPr="00EC6E98">
        <w:rPr>
          <w:color w:val="000000" w:themeColor="text1"/>
          <w:szCs w:val="22"/>
          <w:shd w:val="clear" w:color="auto" w:fill="FFFFFF"/>
        </w:rPr>
        <w:t>atomistic thermodynamics in reactive systems by again focusing on RuO</w:t>
      </w:r>
      <w:r w:rsidRPr="00EC6E98">
        <w:rPr>
          <w:color w:val="000000" w:themeColor="text1"/>
          <w:szCs w:val="22"/>
          <w:shd w:val="clear" w:color="auto" w:fill="FFFFFF"/>
          <w:vertAlign w:val="subscript"/>
        </w:rPr>
        <w:t>2</w:t>
      </w:r>
      <w:r w:rsidRPr="00EC6E98">
        <w:rPr>
          <w:color w:val="000000" w:themeColor="text1"/>
          <w:szCs w:val="22"/>
          <w:shd w:val="clear" w:color="auto" w:fill="FFFFFF"/>
        </w:rPr>
        <w:t xml:space="preserve">(110). In Ref. </w:t>
      </w:r>
      <w:r>
        <w:rPr>
          <w:color w:val="000000" w:themeColor="text1"/>
          <w:szCs w:val="22"/>
          <w:shd w:val="clear" w:color="auto" w:fill="FFFFFF"/>
        </w:rPr>
        <w:fldChar w:fldCharType="begin"/>
      </w:r>
      <w:r w:rsidR="00FC5BEB">
        <w:rPr>
          <w:color w:val="000000" w:themeColor="text1"/>
          <w:szCs w:val="22"/>
          <w:shd w:val="clear" w:color="auto" w:fill="FFFFFF"/>
        </w:rPr>
        <w:instrText xml:space="preserve"> ADDIN EN.CITE &lt;EndNote&gt;&lt;Cite&gt;&lt;Author&gt;Reuter&lt;/Author&gt;&lt;Year&gt;2003&lt;/Year&gt;&lt;RecNum&gt;116&lt;/RecNum&gt;&lt;DisplayText&gt;&lt;style face="superscript"&gt;118&lt;/style&gt;&lt;/DisplayText&gt;&lt;record&gt;&lt;rec-number&gt;116&lt;/rec-number&gt;&lt;foreign-keys&gt;&lt;key app="EN" db-id="2xex0erf4eexr4e2dpbxpdd829xttesxxxdr" timestamp="1715075296"&gt;116&lt;/key&gt;&lt;/foreign-keys&gt;&lt;ref-type name="Journal Article"&gt;17&lt;/ref-type&gt;&lt;contributors&gt;&lt;authors&gt;&lt;author&gt;Reuter, Karsten&lt;/author&gt;&lt;author&gt;Scheffler, Matthias&lt;/author&gt;&lt;/authors&gt;&lt;/contributors&gt;&lt;titles&gt;&lt;title&gt;First-Principles Atomistic Thermodynamics for Oxidation Catalysis: Surface Phase Diagrams and Catalytically Interesting Regions&lt;/title&gt;&lt;secondary-title&gt;Physical Review Letters&lt;/secondary-title&gt;&lt;/titles&gt;&lt;periodical&gt;&lt;full-title&gt;Physical Review Letters&lt;/full-title&gt;&lt;abbr-1&gt;Phys. Rev. Lett.&lt;/abbr-1&gt;&lt;abbr-2&gt;Phys Rev Lett&lt;/abbr-2&gt;&lt;/periodical&gt;&lt;pages&gt;046103&lt;/pages&gt;&lt;volume&gt;90&lt;/volume&gt;&lt;number&gt;4&lt;/number&gt;&lt;dates&gt;&lt;year&gt;2003&lt;/year&gt;&lt;pub-dates&gt;&lt;date&gt;01/30/&lt;/date&gt;&lt;/pub-dates&gt;&lt;/dates&gt;&lt;publisher&gt;American Physical Society&lt;/publisher&gt;&lt;urls&gt;&lt;related-urls&gt;&lt;url&gt;https://link.aps.org/doi/10.1103/PhysRevLett.90.046103&lt;/url&gt;&lt;/related-urls&gt;&lt;/urls&gt;&lt;electronic-resource-num&gt;10.1103/PhysRevLett.90.046103&lt;/electronic-resource-num&gt;&lt;/record&gt;&lt;/Cite&gt;&lt;/EndNote&gt;</w:instrText>
      </w:r>
      <w:r>
        <w:rPr>
          <w:color w:val="000000" w:themeColor="text1"/>
          <w:szCs w:val="22"/>
          <w:shd w:val="clear" w:color="auto" w:fill="FFFFFF"/>
        </w:rPr>
        <w:fldChar w:fldCharType="separate"/>
      </w:r>
      <w:r w:rsidR="00FC5BEB" w:rsidRPr="00FC5BEB">
        <w:rPr>
          <w:noProof/>
          <w:color w:val="000000" w:themeColor="text1"/>
          <w:szCs w:val="22"/>
          <w:shd w:val="clear" w:color="auto" w:fill="FFFFFF"/>
          <w:vertAlign w:val="superscript"/>
        </w:rPr>
        <w:t>118</w:t>
      </w:r>
      <w:r>
        <w:rPr>
          <w:color w:val="000000" w:themeColor="text1"/>
          <w:szCs w:val="22"/>
          <w:shd w:val="clear" w:color="auto" w:fill="FFFFFF"/>
        </w:rPr>
        <w:fldChar w:fldCharType="end"/>
      </w:r>
      <w:r w:rsidRPr="00EC6E98">
        <w:rPr>
          <w:color w:val="000000" w:themeColor="text1"/>
          <w:szCs w:val="22"/>
          <w:shd w:val="clear" w:color="auto" w:fill="FFFFFF"/>
        </w:rPr>
        <w:t xml:space="preserve">, Reuter and Scheffler argued </w:t>
      </w:r>
      <w:r w:rsidRPr="00EC6E98">
        <w:rPr>
          <w:i/>
          <w:iCs/>
          <w:color w:val="000000" w:themeColor="text1"/>
          <w:szCs w:val="22"/>
          <w:shd w:val="clear" w:color="auto" w:fill="FFFFFF"/>
        </w:rPr>
        <w:t xml:space="preserve">ab initio </w:t>
      </w:r>
      <w:r w:rsidRPr="00EC6E98">
        <w:rPr>
          <w:color w:val="000000" w:themeColor="text1"/>
          <w:szCs w:val="22"/>
          <w:shd w:val="clear" w:color="auto" w:fill="FFFFFF"/>
        </w:rPr>
        <w:t xml:space="preserve">atomistic thermodynamics can be applied to model the surface of </w:t>
      </w:r>
      <w:r w:rsidR="000757AA">
        <w:rPr>
          <w:color w:val="000000" w:themeColor="text1"/>
          <w:szCs w:val="22"/>
          <w:shd w:val="clear" w:color="auto" w:fill="FFFFFF"/>
        </w:rPr>
        <w:t>heterogeneous</w:t>
      </w:r>
      <w:r w:rsidRPr="00EC6E98">
        <w:rPr>
          <w:color w:val="000000" w:themeColor="text1"/>
          <w:szCs w:val="22"/>
          <w:shd w:val="clear" w:color="auto" w:fill="FFFFFF"/>
        </w:rPr>
        <w:t xml:space="preserve"> catalyst in a reactive flow, in this case CO and O</w:t>
      </w:r>
      <w:r w:rsidRPr="00EC6E98">
        <w:rPr>
          <w:color w:val="000000" w:themeColor="text1"/>
          <w:szCs w:val="22"/>
          <w:shd w:val="clear" w:color="auto" w:fill="FFFFFF"/>
          <w:vertAlign w:val="subscript"/>
        </w:rPr>
        <w:t>2</w:t>
      </w:r>
      <w:r w:rsidRPr="00EC6E98">
        <w:rPr>
          <w:color w:val="000000" w:themeColor="text1"/>
          <w:szCs w:val="22"/>
          <w:shd w:val="clear" w:color="auto" w:fill="FFFFFF"/>
        </w:rPr>
        <w:t xml:space="preserve">, if the catalyst is operated near thermodynamic equilibrium. Because ruthenium, carbon, and oxygen are present, three chemical potentials are required, </w:t>
      </w:r>
      <w:r w:rsidRPr="006E7C22">
        <w:rPr>
          <w:i/>
          <w:color w:val="000000" w:themeColor="text1"/>
          <w:szCs w:val="22"/>
          <w:shd w:val="clear" w:color="auto" w:fill="FFFFFF"/>
        </w:rPr>
        <w:sym w:font="Symbol" w:char="F06D"/>
      </w:r>
      <w:r w:rsidRPr="00EC6E98">
        <w:rPr>
          <w:iCs/>
          <w:color w:val="000000" w:themeColor="text1"/>
          <w:szCs w:val="22"/>
          <w:shd w:val="clear" w:color="auto" w:fill="FFFFFF"/>
          <w:vertAlign w:val="subscript"/>
        </w:rPr>
        <w:t>Ru</w:t>
      </w:r>
      <w:r w:rsidRPr="00EC6E98">
        <w:rPr>
          <w:iCs/>
          <w:color w:val="000000" w:themeColor="text1"/>
          <w:szCs w:val="22"/>
          <w:shd w:val="clear" w:color="auto" w:fill="FFFFFF"/>
        </w:rPr>
        <w:t xml:space="preserve">, </w:t>
      </w:r>
      <w:r w:rsidRPr="006E7C22">
        <w:rPr>
          <w:i/>
          <w:color w:val="000000" w:themeColor="text1"/>
          <w:szCs w:val="22"/>
          <w:shd w:val="clear" w:color="auto" w:fill="FFFFFF"/>
        </w:rPr>
        <w:sym w:font="Symbol" w:char="F06D"/>
      </w:r>
      <w:r w:rsidRPr="00EC6E98">
        <w:rPr>
          <w:iCs/>
          <w:color w:val="000000" w:themeColor="text1"/>
          <w:szCs w:val="22"/>
          <w:shd w:val="clear" w:color="auto" w:fill="FFFFFF"/>
          <w:vertAlign w:val="subscript"/>
        </w:rPr>
        <w:t>O</w:t>
      </w:r>
      <w:r w:rsidRPr="00EC6E98">
        <w:rPr>
          <w:iCs/>
          <w:color w:val="000000" w:themeColor="text1"/>
          <w:szCs w:val="22"/>
          <w:shd w:val="clear" w:color="auto" w:fill="FFFFFF"/>
        </w:rPr>
        <w:t xml:space="preserve">, and </w:t>
      </w:r>
      <w:r w:rsidRPr="006E7C22">
        <w:rPr>
          <w:i/>
          <w:color w:val="000000" w:themeColor="text1"/>
          <w:szCs w:val="22"/>
          <w:shd w:val="clear" w:color="auto" w:fill="FFFFFF"/>
        </w:rPr>
        <w:sym w:font="Symbol" w:char="F06D"/>
      </w:r>
      <w:r w:rsidRPr="00EC6E98">
        <w:rPr>
          <w:iCs/>
          <w:color w:val="000000" w:themeColor="text1"/>
          <w:szCs w:val="22"/>
          <w:shd w:val="clear" w:color="auto" w:fill="FFFFFF"/>
          <w:vertAlign w:val="subscript"/>
        </w:rPr>
        <w:t>C</w:t>
      </w:r>
      <w:r w:rsidRPr="00EC6E98">
        <w:rPr>
          <w:iCs/>
          <w:color w:val="000000" w:themeColor="text1"/>
          <w:szCs w:val="22"/>
          <w:shd w:val="clear" w:color="auto" w:fill="FFFFFF"/>
        </w:rPr>
        <w:t>. And since RuO</w:t>
      </w:r>
      <w:r w:rsidRPr="00EC6E98">
        <w:rPr>
          <w:iCs/>
          <w:color w:val="000000" w:themeColor="text1"/>
          <w:szCs w:val="22"/>
          <w:shd w:val="clear" w:color="auto" w:fill="FFFFFF"/>
          <w:vertAlign w:val="subscript"/>
        </w:rPr>
        <w:t>2</w:t>
      </w:r>
      <w:r w:rsidRPr="00EC6E98">
        <w:rPr>
          <w:iCs/>
          <w:color w:val="000000" w:themeColor="text1"/>
          <w:szCs w:val="22"/>
          <w:shd w:val="clear" w:color="auto" w:fill="FFFFFF"/>
        </w:rPr>
        <w:t xml:space="preserve"> is being used as a catalyst for CO combustion, the authors argued it is reasonable to assume the rate of CO</w:t>
      </w:r>
      <w:r w:rsidRPr="00EC6E98">
        <w:rPr>
          <w:iCs/>
          <w:color w:val="000000" w:themeColor="text1"/>
          <w:szCs w:val="22"/>
          <w:shd w:val="clear" w:color="auto" w:fill="FFFFFF"/>
          <w:vertAlign w:val="subscript"/>
        </w:rPr>
        <w:t>2</w:t>
      </w:r>
      <w:r w:rsidRPr="00EC6E98">
        <w:rPr>
          <w:iCs/>
          <w:color w:val="000000" w:themeColor="text1"/>
          <w:szCs w:val="22"/>
          <w:shd w:val="clear" w:color="auto" w:fill="FFFFFF"/>
        </w:rPr>
        <w:t xml:space="preserve"> formation in the gas phase is negligible. As such, the catalyst surface is in constrained equilibrium with the CO and O</w:t>
      </w:r>
      <w:r w:rsidRPr="00EC6E98">
        <w:rPr>
          <w:iCs/>
          <w:color w:val="000000" w:themeColor="text1"/>
          <w:szCs w:val="22"/>
          <w:shd w:val="clear" w:color="auto" w:fill="FFFFFF"/>
          <w:vertAlign w:val="subscript"/>
        </w:rPr>
        <w:t>2</w:t>
      </w:r>
      <w:r w:rsidRPr="00EC6E98">
        <w:rPr>
          <w:iCs/>
          <w:color w:val="000000" w:themeColor="text1"/>
          <w:szCs w:val="22"/>
          <w:shd w:val="clear" w:color="auto" w:fill="FFFFFF"/>
        </w:rPr>
        <w:t xml:space="preserve"> gas-phase species, while the gas-phase species are not equilibrated with one another. In that case, the thermodynamic reservoirs can be chosen as ruthenium metal and O</w:t>
      </w:r>
      <w:proofErr w:type="gramStart"/>
      <w:r w:rsidRPr="00EC6E98">
        <w:rPr>
          <w:iCs/>
          <w:color w:val="000000" w:themeColor="text1"/>
          <w:szCs w:val="22"/>
          <w:shd w:val="clear" w:color="auto" w:fill="FFFFFF"/>
          <w:vertAlign w:val="subscript"/>
        </w:rPr>
        <w:t>2,gas</w:t>
      </w:r>
      <w:proofErr w:type="gramEnd"/>
      <w:r w:rsidRPr="00EC6E98">
        <w:rPr>
          <w:iCs/>
          <w:color w:val="000000" w:themeColor="text1"/>
          <w:szCs w:val="22"/>
          <w:shd w:val="clear" w:color="auto" w:fill="FFFFFF"/>
        </w:rPr>
        <w:t xml:space="preserve">, as before, together with </w:t>
      </w:r>
      <w:proofErr w:type="spellStart"/>
      <w:r w:rsidRPr="00EC6E98">
        <w:rPr>
          <w:iCs/>
          <w:color w:val="000000" w:themeColor="text1"/>
          <w:szCs w:val="22"/>
          <w:shd w:val="clear" w:color="auto" w:fill="FFFFFF"/>
        </w:rPr>
        <w:t>CO</w:t>
      </w:r>
      <w:r w:rsidRPr="00EC6E98">
        <w:rPr>
          <w:iCs/>
          <w:color w:val="000000" w:themeColor="text1"/>
          <w:szCs w:val="22"/>
          <w:shd w:val="clear" w:color="auto" w:fill="FFFFFF"/>
          <w:vertAlign w:val="subscript"/>
        </w:rPr>
        <w:t>gas</w:t>
      </w:r>
      <w:proofErr w:type="spellEnd"/>
      <w:r w:rsidRPr="00EC6E98">
        <w:rPr>
          <w:iCs/>
          <w:color w:val="000000" w:themeColor="text1"/>
          <w:szCs w:val="22"/>
          <w:shd w:val="clear" w:color="auto" w:fill="FFFFFF"/>
        </w:rPr>
        <w:t xml:space="preserve">. The use of </w:t>
      </w:r>
      <w:proofErr w:type="spellStart"/>
      <w:r w:rsidRPr="00EC6E98">
        <w:rPr>
          <w:iCs/>
          <w:color w:val="000000" w:themeColor="text1"/>
          <w:szCs w:val="22"/>
          <w:shd w:val="clear" w:color="auto" w:fill="FFFFFF"/>
        </w:rPr>
        <w:t>CO</w:t>
      </w:r>
      <w:r w:rsidRPr="00EC6E98">
        <w:rPr>
          <w:iCs/>
          <w:color w:val="000000" w:themeColor="text1"/>
          <w:szCs w:val="22"/>
          <w:shd w:val="clear" w:color="auto" w:fill="FFFFFF"/>
          <w:vertAlign w:val="subscript"/>
        </w:rPr>
        <w:t>gas</w:t>
      </w:r>
      <w:proofErr w:type="spellEnd"/>
      <w:r w:rsidRPr="00EC6E98">
        <w:rPr>
          <w:iCs/>
          <w:color w:val="000000" w:themeColor="text1"/>
          <w:szCs w:val="22"/>
          <w:shd w:val="clear" w:color="auto" w:fill="FFFFFF"/>
        </w:rPr>
        <w:t xml:space="preserve"> as an independent thermodynamic reservoir is the constrained equilibrium assumption—as opposed to the total equilibrium assumption which would yield the following: </w:t>
      </w:r>
      <m:oMath>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μ</m:t>
            </m:r>
          </m:e>
          <m:sub>
            <m:r>
              <m:rPr>
                <m:sty m:val="p"/>
              </m:rPr>
              <w:rPr>
                <w:rFonts w:ascii="Cambria Math" w:hAnsi="Cambria Math"/>
                <w:color w:val="000000" w:themeColor="text1"/>
                <w:szCs w:val="22"/>
                <w:shd w:val="clear" w:color="auto" w:fill="FFFFFF"/>
              </w:rPr>
              <m:t>C</m:t>
            </m:r>
          </m:sub>
        </m:sSub>
        <m:d>
          <m:dPr>
            <m:ctrlPr>
              <w:rPr>
                <w:rFonts w:ascii="Cambria Math" w:eastAsiaTheme="minorHAnsi" w:hAnsi="Cambria Math"/>
                <w:i/>
                <w:iCs/>
                <w:color w:val="000000" w:themeColor="text1"/>
                <w:szCs w:val="22"/>
                <w:shd w:val="clear" w:color="auto" w:fill="FFFFFF"/>
              </w:rPr>
            </m:ctrlPr>
          </m:dPr>
          <m:e>
            <m:r>
              <w:rPr>
                <w:rFonts w:ascii="Cambria Math" w:hAnsi="Cambria Math"/>
                <w:color w:val="000000" w:themeColor="text1"/>
                <w:szCs w:val="22"/>
                <w:shd w:val="clear" w:color="auto" w:fill="FFFFFF"/>
              </w:rPr>
              <m:t>T,</m:t>
            </m:r>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p</m:t>
                </m:r>
              </m:e>
              <m:sub>
                <m:r>
                  <m:rPr>
                    <m:sty m:val="p"/>
                  </m:rPr>
                  <w:rPr>
                    <w:rFonts w:ascii="Cambria Math" w:hAnsi="Cambria Math"/>
                    <w:color w:val="000000" w:themeColor="text1"/>
                    <w:szCs w:val="22"/>
                    <w:shd w:val="clear" w:color="auto" w:fill="FFFFFF"/>
                  </w:rPr>
                  <m:t>CO2</m:t>
                </m:r>
              </m:sub>
            </m:sSub>
            <m:r>
              <w:rPr>
                <w:rFonts w:ascii="Cambria Math" w:hAnsi="Cambria Math"/>
                <w:color w:val="000000" w:themeColor="text1"/>
                <w:szCs w:val="22"/>
                <w:shd w:val="clear" w:color="auto" w:fill="FFFFFF"/>
              </w:rPr>
              <m:t xml:space="preserve">, </m:t>
            </m:r>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p</m:t>
                </m:r>
              </m:e>
              <m:sub>
                <m:r>
                  <m:rPr>
                    <m:sty m:val="p"/>
                  </m:rPr>
                  <w:rPr>
                    <w:rFonts w:ascii="Cambria Math" w:hAnsi="Cambria Math"/>
                    <w:color w:val="000000" w:themeColor="text1"/>
                    <w:szCs w:val="22"/>
                    <w:shd w:val="clear" w:color="auto" w:fill="FFFFFF"/>
                  </w:rPr>
                  <m:t>O2</m:t>
                </m:r>
              </m:sub>
            </m:sSub>
          </m:e>
        </m:d>
        <m:r>
          <w:rPr>
            <w:rFonts w:ascii="Cambria Math" w:hAnsi="Cambria Math"/>
            <w:color w:val="000000" w:themeColor="text1"/>
            <w:szCs w:val="22"/>
            <w:shd w:val="clear" w:color="auto" w:fill="FFFFFF"/>
          </w:rPr>
          <m:t>=</m:t>
        </m:r>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μ</m:t>
            </m:r>
          </m:e>
          <m:sub>
            <m:r>
              <m:rPr>
                <m:sty m:val="p"/>
              </m:rPr>
              <w:rPr>
                <w:rFonts w:ascii="Cambria Math" w:hAnsi="Cambria Math"/>
                <w:color w:val="000000" w:themeColor="text1"/>
                <w:szCs w:val="22"/>
                <w:shd w:val="clear" w:color="auto" w:fill="FFFFFF"/>
              </w:rPr>
              <m:t>CO2</m:t>
            </m:r>
          </m:sub>
        </m:sSub>
        <m:d>
          <m:dPr>
            <m:ctrlPr>
              <w:rPr>
                <w:rFonts w:ascii="Cambria Math" w:eastAsiaTheme="minorHAnsi" w:hAnsi="Cambria Math"/>
                <w:i/>
                <w:iCs/>
                <w:color w:val="000000" w:themeColor="text1"/>
                <w:szCs w:val="22"/>
                <w:shd w:val="clear" w:color="auto" w:fill="FFFFFF"/>
              </w:rPr>
            </m:ctrlPr>
          </m:dPr>
          <m:e>
            <m:r>
              <w:rPr>
                <w:rFonts w:ascii="Cambria Math" w:hAnsi="Cambria Math"/>
                <w:color w:val="000000" w:themeColor="text1"/>
                <w:szCs w:val="22"/>
                <w:shd w:val="clear" w:color="auto" w:fill="FFFFFF"/>
              </w:rPr>
              <m:t>T,</m:t>
            </m:r>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p</m:t>
                </m:r>
              </m:e>
              <m:sub>
                <m:r>
                  <m:rPr>
                    <m:sty m:val="p"/>
                  </m:rPr>
                  <w:rPr>
                    <w:rFonts w:ascii="Cambria Math" w:hAnsi="Cambria Math"/>
                    <w:color w:val="000000" w:themeColor="text1"/>
                    <w:szCs w:val="22"/>
                    <w:shd w:val="clear" w:color="auto" w:fill="FFFFFF"/>
                  </w:rPr>
                  <m:t>CO2</m:t>
                </m:r>
              </m:sub>
            </m:sSub>
          </m:e>
        </m:d>
        <m:r>
          <m:rPr>
            <m:sty m:val="p"/>
          </m:rPr>
          <w:rPr>
            <w:rFonts w:ascii="Cambria Math" w:hAnsi="Cambria Math"/>
            <w:color w:val="000000" w:themeColor="text1"/>
            <w:szCs w:val="22"/>
            <w:shd w:val="clear" w:color="auto" w:fill="FFFFFF"/>
          </w:rPr>
          <m:t>-</m:t>
        </m:r>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μ</m:t>
            </m:r>
          </m:e>
          <m:sub>
            <m:r>
              <m:rPr>
                <m:sty m:val="p"/>
              </m:rPr>
              <w:rPr>
                <w:rFonts w:ascii="Cambria Math" w:hAnsi="Cambria Math"/>
                <w:color w:val="000000" w:themeColor="text1"/>
                <w:szCs w:val="22"/>
                <w:shd w:val="clear" w:color="auto" w:fill="FFFFFF"/>
              </w:rPr>
              <m:t>O2</m:t>
            </m:r>
          </m:sub>
        </m:sSub>
        <m:d>
          <m:dPr>
            <m:ctrlPr>
              <w:rPr>
                <w:rFonts w:ascii="Cambria Math" w:eastAsiaTheme="minorHAnsi" w:hAnsi="Cambria Math"/>
                <w:i/>
                <w:iCs/>
                <w:color w:val="000000" w:themeColor="text1"/>
                <w:szCs w:val="22"/>
                <w:shd w:val="clear" w:color="auto" w:fill="FFFFFF"/>
              </w:rPr>
            </m:ctrlPr>
          </m:dPr>
          <m:e>
            <m:r>
              <w:rPr>
                <w:rFonts w:ascii="Cambria Math" w:hAnsi="Cambria Math"/>
                <w:color w:val="000000" w:themeColor="text1"/>
                <w:szCs w:val="22"/>
                <w:shd w:val="clear" w:color="auto" w:fill="FFFFFF"/>
              </w:rPr>
              <m:t>T,</m:t>
            </m:r>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p</m:t>
                </m:r>
              </m:e>
              <m:sub>
                <m:r>
                  <m:rPr>
                    <m:sty m:val="p"/>
                  </m:rPr>
                  <w:rPr>
                    <w:rFonts w:ascii="Cambria Math" w:hAnsi="Cambria Math"/>
                    <w:color w:val="000000" w:themeColor="text1"/>
                    <w:szCs w:val="22"/>
                    <w:shd w:val="clear" w:color="auto" w:fill="FFFFFF"/>
                  </w:rPr>
                  <m:t>O2</m:t>
                </m:r>
              </m:sub>
            </m:sSub>
          </m:e>
        </m:d>
      </m:oMath>
      <w:r w:rsidRPr="00EC6E98">
        <w:rPr>
          <w:iCs/>
          <w:color w:val="000000" w:themeColor="text1"/>
          <w:szCs w:val="22"/>
          <w:shd w:val="clear" w:color="auto" w:fill="FFFFFF"/>
        </w:rPr>
        <w:t>. The constrained equilibrium condition can then be seen as a means of approximating thermodynamic equilibrium in an open (reactive) system, though such a system can only reach steady-state and not thermodynamic equilibrium. We will see that this approximation proves to be powerful but is also prone to failure if not mindfully applied.</w:t>
      </w:r>
    </w:p>
    <w:p w14:paraId="0B598253" w14:textId="77777777" w:rsidR="00594FAE" w:rsidRPr="00EC6E98" w:rsidRDefault="00594FAE" w:rsidP="00156586">
      <w:pPr>
        <w:rPr>
          <w:iCs/>
          <w:color w:val="000000" w:themeColor="text1"/>
          <w:szCs w:val="22"/>
          <w:shd w:val="clear" w:color="auto" w:fill="FFFFFF"/>
        </w:rPr>
      </w:pPr>
      <w:r w:rsidRPr="00EC6E98">
        <w:rPr>
          <w:iCs/>
          <w:color w:val="000000" w:themeColor="text1"/>
          <w:szCs w:val="22"/>
          <w:shd w:val="clear" w:color="auto" w:fill="FFFFFF"/>
        </w:rPr>
        <w:t>With the chemical potentials defined it is straightforward to compute the surface energies as: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156586" w:rsidRPr="00DE0988" w14:paraId="3F580E74" w14:textId="77777777" w:rsidTr="00DE0988">
        <w:tc>
          <w:tcPr>
            <w:tcW w:w="7938" w:type="dxa"/>
            <w:tcMar>
              <w:left w:w="28" w:type="dxa"/>
              <w:right w:w="28" w:type="dxa"/>
            </w:tcMar>
            <w:vAlign w:val="center"/>
          </w:tcPr>
          <w:p w14:paraId="00966494" w14:textId="5A7A5DC1" w:rsidR="00156586" w:rsidRPr="00DE0988" w:rsidRDefault="00156586" w:rsidP="00E45E28">
            <w:pPr>
              <w:spacing w:before="60" w:after="60"/>
              <w:rPr>
                <w:bCs/>
                <w:sz w:val="20"/>
                <w:szCs w:val="20"/>
              </w:rPr>
            </w:pPr>
            <m:oMathPara>
              <m:oMath>
                <m:r>
                  <w:rPr>
                    <w:rFonts w:ascii="Cambria Math" w:hAnsi="Cambria Math"/>
                    <w:color w:val="000000" w:themeColor="text1"/>
                    <w:sz w:val="20"/>
                    <w:szCs w:val="20"/>
                    <w:shd w:val="clear" w:color="auto" w:fill="FFFFFF"/>
                  </w:rPr>
                  <m:t>γ</m:t>
                </m:r>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 xml:space="preserve">T, </m:t>
                    </m:r>
                    <m:sSub>
                      <m:sSubPr>
                        <m:ctrlPr>
                          <w:rPr>
                            <w:rFonts w:ascii="Cambria Math" w:eastAsiaTheme="minorHAnsi" w:hAnsi="Cambria Math"/>
                            <w:i/>
                            <w:iCs/>
                            <w:color w:val="000000" w:themeColor="text1"/>
                            <w:sz w:val="20"/>
                            <w:szCs w:val="20"/>
                            <w:shd w:val="clear" w:color="auto" w:fill="FFFFFF"/>
                          </w:rPr>
                        </m:ctrlPr>
                      </m:sSubPr>
                      <m:e>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p</m:t>
                            </m:r>
                            <m:ctrlPr>
                              <w:rPr>
                                <w:rFonts w:ascii="Cambria Math" w:eastAsia="Cambria Math" w:hAnsi="Cambria Math" w:cs="Cambria Math"/>
                                <w:i/>
                                <w:iCs/>
                                <w:color w:val="000000" w:themeColor="text1"/>
                                <w:sz w:val="20"/>
                                <w:szCs w:val="20"/>
                                <w:shd w:val="clear" w:color="auto" w:fill="FFFFFF"/>
                              </w:rPr>
                            </m:ctrlPr>
                          </m:e>
                          <m:sub>
                            <m:r>
                              <m:rPr>
                                <m:sty m:val="p"/>
                              </m:rPr>
                              <w:rPr>
                                <w:rFonts w:ascii="Cambria Math" w:hAnsi="Cambria Math"/>
                                <w:color w:val="000000" w:themeColor="text1"/>
                                <w:sz w:val="20"/>
                                <w:szCs w:val="20"/>
                                <w:shd w:val="clear" w:color="auto" w:fill="FFFFFF"/>
                              </w:rPr>
                              <m:t>CO</m:t>
                            </m:r>
                          </m:sub>
                        </m:sSub>
                        <m:r>
                          <w:rPr>
                            <w:rFonts w:ascii="Cambria Math" w:hAnsi="Cambria Math"/>
                            <w:color w:val="000000" w:themeColor="text1"/>
                            <w:sz w:val="20"/>
                            <w:szCs w:val="20"/>
                            <w:shd w:val="clear" w:color="auto" w:fill="FFFFFF"/>
                          </w:rPr>
                          <m:t>,p</m:t>
                        </m:r>
                        <m:ctrlPr>
                          <w:rPr>
                            <w:rFonts w:ascii="Cambria Math" w:hAnsi="Cambria Math"/>
                            <w:i/>
                            <w:color w:val="000000" w:themeColor="text1"/>
                            <w:sz w:val="20"/>
                            <w:szCs w:val="20"/>
                            <w:shd w:val="clear" w:color="auto" w:fill="FFFFFF"/>
                          </w:rPr>
                        </m:ctrlPr>
                      </m:e>
                      <m:sub>
                        <m:r>
                          <m:rPr>
                            <m:sty m:val="p"/>
                          </m:rPr>
                          <w:rPr>
                            <w:rFonts w:ascii="Cambria Math" w:hAnsi="Cambria Math"/>
                            <w:color w:val="000000" w:themeColor="text1"/>
                            <w:sz w:val="20"/>
                            <w:szCs w:val="20"/>
                            <w:shd w:val="clear" w:color="auto" w:fill="FFFFFF"/>
                          </w:rPr>
                          <m:t>O2</m:t>
                        </m:r>
                      </m:sub>
                    </m:sSub>
                  </m:e>
                </m:d>
                <m:r>
                  <w:rPr>
                    <w:rFonts w:ascii="Cambria Math" w:hAnsi="Cambria Math"/>
                    <w:color w:val="000000" w:themeColor="text1"/>
                    <w:sz w:val="20"/>
                    <w:szCs w:val="20"/>
                    <w:shd w:val="clear" w:color="auto" w:fill="FFFFFF"/>
                  </w:rPr>
                  <m:t>≈</m:t>
                </m:r>
                <m:f>
                  <m:fPr>
                    <m:ctrlPr>
                      <w:rPr>
                        <w:rFonts w:ascii="Cambria Math" w:eastAsiaTheme="minorHAnsi" w:hAnsi="Cambria Math"/>
                        <w:i/>
                        <w:iCs/>
                        <w:color w:val="000000" w:themeColor="text1"/>
                        <w:sz w:val="20"/>
                        <w:szCs w:val="20"/>
                        <w:shd w:val="clear" w:color="auto" w:fill="FFFFFF"/>
                      </w:rPr>
                    </m:ctrlPr>
                  </m:fPr>
                  <m:num>
                    <m:r>
                      <w:rPr>
                        <w:rFonts w:ascii="Cambria Math" w:hAnsi="Cambria Math"/>
                        <w:color w:val="000000" w:themeColor="text1"/>
                        <w:sz w:val="20"/>
                        <w:szCs w:val="20"/>
                        <w:shd w:val="clear" w:color="auto" w:fill="FFFFFF"/>
                      </w:rPr>
                      <m:t>1</m:t>
                    </m:r>
                    <m:ctrlPr>
                      <w:rPr>
                        <w:rFonts w:ascii="Cambria Math" w:hAnsi="Cambria Math"/>
                        <w:i/>
                        <w:color w:val="000000" w:themeColor="text1"/>
                        <w:sz w:val="20"/>
                        <w:szCs w:val="20"/>
                        <w:shd w:val="clear" w:color="auto" w:fill="FFFFFF"/>
                      </w:rPr>
                    </m:ctrlPr>
                  </m:num>
                  <m:den>
                    <m:r>
                      <w:rPr>
                        <w:rFonts w:ascii="Cambria Math" w:hAnsi="Cambria Math"/>
                        <w:color w:val="000000" w:themeColor="text1"/>
                        <w:sz w:val="20"/>
                        <w:szCs w:val="20"/>
                        <w:shd w:val="clear" w:color="auto" w:fill="FFFFFF"/>
                      </w:rPr>
                      <m:t>2A</m:t>
                    </m:r>
                  </m:den>
                </m:f>
                <m:d>
                  <m:dPr>
                    <m:begChr m:val="["/>
                    <m:endChr m:val="]"/>
                    <m:ctrlPr>
                      <w:rPr>
                        <w:rFonts w:ascii="Cambria Math" w:eastAsiaTheme="minorHAnsi" w:hAnsi="Cambria Math"/>
                        <w:i/>
                        <w:iCs/>
                        <w:color w:val="000000" w:themeColor="text1"/>
                        <w:sz w:val="20"/>
                        <w:szCs w:val="20"/>
                        <w:shd w:val="clear" w:color="auto" w:fill="FFFFFF"/>
                      </w:rPr>
                    </m:ctrlPr>
                  </m:dPr>
                  <m:e>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E</m:t>
                        </m:r>
                      </m:e>
                      <m:sub>
                        <m:r>
                          <m:rPr>
                            <m:sty m:val="p"/>
                          </m:rPr>
                          <w:rPr>
                            <w:rFonts w:ascii="Cambria Math" w:hAnsi="Cambria Math"/>
                            <w:color w:val="000000" w:themeColor="text1"/>
                            <w:sz w:val="20"/>
                            <w:szCs w:val="20"/>
                            <w:shd w:val="clear" w:color="auto" w:fill="FFFFFF"/>
                          </w:rPr>
                          <m:t>surface</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 xml:space="preserve">V, </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ctrlPr>
                              <w:rPr>
                                <w:rFonts w:ascii="Cambria Math" w:hAnsi="Cambria Math"/>
                                <w:i/>
                                <w:color w:val="000000" w:themeColor="text1"/>
                                <w:sz w:val="20"/>
                                <w:szCs w:val="20"/>
                                <w:shd w:val="clear" w:color="auto" w:fill="FFFFFF"/>
                              </w:rPr>
                            </m:ctrlPr>
                          </m:e>
                          <m:sub>
                            <m:r>
                              <m:rPr>
                                <m:sty m:val="p"/>
                              </m:rPr>
                              <w:rPr>
                                <w:rFonts w:ascii="Cambria Math" w:hAnsi="Cambria Math"/>
                                <w:color w:val="000000" w:themeColor="text1"/>
                                <w:sz w:val="20"/>
                                <w:szCs w:val="20"/>
                                <w:shd w:val="clear" w:color="auto" w:fill="FFFFFF"/>
                              </w:rPr>
                              <m:t>Ru</m:t>
                            </m:r>
                          </m:sub>
                        </m:sSub>
                        <m:r>
                          <w:rPr>
                            <w:rFonts w:ascii="Cambria Math" w:hAnsi="Cambria Math"/>
                            <w:color w:val="000000" w:themeColor="text1"/>
                            <w:sz w:val="20"/>
                            <w:szCs w:val="20"/>
                            <w:shd w:val="clear" w:color="auto" w:fill="FFFFFF"/>
                          </w:rPr>
                          <m:t xml:space="preserve">, </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ctrlPr>
                              <w:rPr>
                                <w:rFonts w:ascii="Cambria Math" w:hAnsi="Cambria Math"/>
                                <w:i/>
                                <w:color w:val="000000" w:themeColor="text1"/>
                                <w:sz w:val="20"/>
                                <w:szCs w:val="20"/>
                                <w:shd w:val="clear" w:color="auto" w:fill="FFFFFF"/>
                              </w:rPr>
                            </m:ctrlPr>
                          </m:e>
                          <m:sub>
                            <m:r>
                              <m:rPr>
                                <m:sty m:val="p"/>
                              </m:rPr>
                              <w:rPr>
                                <w:rFonts w:ascii="Cambria Math" w:hAnsi="Cambria Math"/>
                                <w:color w:val="000000" w:themeColor="text1"/>
                                <w:sz w:val="20"/>
                                <w:szCs w:val="20"/>
                                <w:shd w:val="clear" w:color="auto" w:fill="FFFFFF"/>
                              </w:rPr>
                              <m:t>O</m:t>
                            </m:r>
                          </m:sub>
                        </m:sSub>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ctrlPr>
                              <w:rPr>
                                <w:rFonts w:ascii="Cambria Math" w:hAnsi="Cambria Math"/>
                                <w:i/>
                                <w:color w:val="000000" w:themeColor="text1"/>
                                <w:sz w:val="20"/>
                                <w:szCs w:val="20"/>
                                <w:shd w:val="clear" w:color="auto" w:fill="FFFFFF"/>
                              </w:rPr>
                            </m:ctrlPr>
                          </m:e>
                          <m:sub>
                            <m:r>
                              <m:rPr>
                                <m:sty m:val="p"/>
                              </m:rPr>
                              <w:rPr>
                                <w:rFonts w:ascii="Cambria Math" w:hAnsi="Cambria Math"/>
                                <w:color w:val="000000" w:themeColor="text1"/>
                                <w:sz w:val="20"/>
                                <w:szCs w:val="20"/>
                                <w:shd w:val="clear" w:color="auto" w:fill="FFFFFF"/>
                              </w:rPr>
                              <m:t>CO</m:t>
                            </m:r>
                          </m:sub>
                        </m:sSub>
                      </m:e>
                    </m:d>
                    <m:r>
                      <w:rPr>
                        <w:rFonts w:ascii="Cambria Math" w:hAnsi="Cambria Math"/>
                        <w:color w:val="000000" w:themeColor="text1"/>
                        <w:sz w:val="20"/>
                        <w:szCs w:val="20"/>
                        <w:shd w:val="clear" w:color="auto" w:fill="FFFFFF"/>
                      </w:rPr>
                      <m:t>-</m:t>
                    </m:r>
                    <m:f>
                      <m:fPr>
                        <m:ctrlPr>
                          <w:rPr>
                            <w:rFonts w:ascii="Cambria Math" w:eastAsiaTheme="minorHAnsi" w:hAnsi="Cambria Math"/>
                            <w:i/>
                            <w:iCs/>
                            <w:color w:val="000000" w:themeColor="text1"/>
                            <w:sz w:val="20"/>
                            <w:szCs w:val="20"/>
                            <w:shd w:val="clear" w:color="auto" w:fill="FFFFFF"/>
                          </w:rPr>
                        </m:ctrlPr>
                      </m:fPr>
                      <m:num>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ctrlPr>
                              <w:rPr>
                                <w:rFonts w:ascii="Cambria Math" w:hAnsi="Cambria Math"/>
                                <w:i/>
                                <w:color w:val="000000" w:themeColor="text1"/>
                                <w:sz w:val="20"/>
                                <w:szCs w:val="20"/>
                                <w:shd w:val="clear" w:color="auto" w:fill="FFFFFF"/>
                              </w:rPr>
                            </m:ctrlPr>
                          </m:e>
                          <m:sub>
                            <m:r>
                              <m:rPr>
                                <m:sty m:val="p"/>
                              </m:rPr>
                              <w:rPr>
                                <w:rFonts w:ascii="Cambria Math" w:hAnsi="Cambria Math"/>
                                <w:color w:val="000000" w:themeColor="text1"/>
                                <w:sz w:val="20"/>
                                <w:szCs w:val="20"/>
                                <w:shd w:val="clear" w:color="auto" w:fill="FFFFFF"/>
                              </w:rPr>
                              <m:t>O</m:t>
                            </m:r>
                          </m:sub>
                        </m:sSub>
                        <m:ctrlPr>
                          <w:rPr>
                            <w:rFonts w:ascii="Cambria Math" w:hAnsi="Cambria Math"/>
                            <w:i/>
                            <w:color w:val="000000" w:themeColor="text1"/>
                            <w:sz w:val="20"/>
                            <w:szCs w:val="20"/>
                            <w:shd w:val="clear" w:color="auto" w:fill="FFFFFF"/>
                          </w:rPr>
                        </m:ctrlPr>
                      </m:num>
                      <m:den>
                        <m:r>
                          <w:rPr>
                            <w:rFonts w:ascii="Cambria Math" w:hAnsi="Cambria Math"/>
                            <w:color w:val="000000" w:themeColor="text1"/>
                            <w:sz w:val="20"/>
                            <w:szCs w:val="20"/>
                            <w:shd w:val="clear" w:color="auto" w:fill="FFFFFF"/>
                          </w:rPr>
                          <m:t>2</m:t>
                        </m:r>
                      </m:den>
                    </m:f>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ctrlPr>
                          <w:rPr>
                            <w:rFonts w:ascii="Cambria Math" w:hAnsi="Cambria Math"/>
                            <w:i/>
                            <w:color w:val="000000" w:themeColor="text1"/>
                            <w:sz w:val="20"/>
                            <w:szCs w:val="20"/>
                            <w:shd w:val="clear" w:color="auto" w:fill="FFFFFF"/>
                          </w:rPr>
                        </m:ctrlPr>
                      </m:e>
                      <m:sub>
                        <m:r>
                          <m:rPr>
                            <m:sty m:val="p"/>
                          </m:rPr>
                          <w:rPr>
                            <w:rFonts w:ascii="Cambria Math" w:hAnsi="Cambria Math"/>
                            <w:color w:val="000000" w:themeColor="text1"/>
                            <w:sz w:val="20"/>
                            <w:szCs w:val="20"/>
                            <w:shd w:val="clear" w:color="auto" w:fill="FFFFFF"/>
                          </w:rPr>
                          <m:t>O2</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p</m:t>
                            </m:r>
                            <m:ctrlPr>
                              <w:rPr>
                                <w:rFonts w:ascii="Cambria Math" w:hAnsi="Cambria Math"/>
                                <w:i/>
                                <w:color w:val="000000" w:themeColor="text1"/>
                                <w:sz w:val="20"/>
                                <w:szCs w:val="20"/>
                                <w:shd w:val="clear" w:color="auto" w:fill="FFFFFF"/>
                              </w:rPr>
                            </m:ctrlPr>
                          </m:e>
                          <m:sub>
                            <m:r>
                              <m:rPr>
                                <m:sty m:val="p"/>
                              </m:rPr>
                              <w:rPr>
                                <w:rFonts w:ascii="Cambria Math" w:hAnsi="Cambria Math"/>
                                <w:color w:val="000000" w:themeColor="text1"/>
                                <w:sz w:val="20"/>
                                <w:szCs w:val="20"/>
                                <w:shd w:val="clear" w:color="auto" w:fill="FFFFFF"/>
                              </w:rPr>
                              <m:t>O2</m:t>
                            </m:r>
                          </m:sub>
                        </m:sSub>
                      </m:e>
                    </m:d>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ctrlPr>
                          <w:rPr>
                            <w:rFonts w:ascii="Cambria Math" w:hAnsi="Cambria Math"/>
                            <w:i/>
                            <w:color w:val="000000" w:themeColor="text1"/>
                            <w:sz w:val="20"/>
                            <w:szCs w:val="20"/>
                            <w:shd w:val="clear" w:color="auto" w:fill="FFFFFF"/>
                          </w:rPr>
                        </m:ctrlPr>
                      </m:e>
                      <m:sub>
                        <m:r>
                          <m:rPr>
                            <m:sty m:val="p"/>
                          </m:rPr>
                          <w:rPr>
                            <w:rFonts w:ascii="Cambria Math" w:hAnsi="Cambria Math"/>
                            <w:color w:val="000000" w:themeColor="text1"/>
                            <w:sz w:val="20"/>
                            <w:szCs w:val="20"/>
                            <w:shd w:val="clear" w:color="auto" w:fill="FFFFFF"/>
                          </w:rPr>
                          <m:t>CO</m:t>
                        </m:r>
                      </m:sub>
                    </m:sSub>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ctrlPr>
                          <w:rPr>
                            <w:rFonts w:ascii="Cambria Math" w:hAnsi="Cambria Math"/>
                            <w:i/>
                            <w:color w:val="000000" w:themeColor="text1"/>
                            <w:sz w:val="20"/>
                            <w:szCs w:val="20"/>
                            <w:shd w:val="clear" w:color="auto" w:fill="FFFFFF"/>
                          </w:rPr>
                        </m:ctrlPr>
                      </m:e>
                      <m:sub>
                        <m:r>
                          <m:rPr>
                            <m:sty m:val="p"/>
                          </m:rPr>
                          <w:rPr>
                            <w:rFonts w:ascii="Cambria Math" w:hAnsi="Cambria Math"/>
                            <w:color w:val="000000" w:themeColor="text1"/>
                            <w:sz w:val="20"/>
                            <w:szCs w:val="20"/>
                            <w:shd w:val="clear" w:color="auto" w:fill="FFFFFF"/>
                          </w:rPr>
                          <m:t>CO</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p</m:t>
                            </m:r>
                            <m:ctrlPr>
                              <w:rPr>
                                <w:rFonts w:ascii="Cambria Math" w:hAnsi="Cambria Math"/>
                                <w:i/>
                                <w:color w:val="000000" w:themeColor="text1"/>
                                <w:sz w:val="20"/>
                                <w:szCs w:val="20"/>
                                <w:shd w:val="clear" w:color="auto" w:fill="FFFFFF"/>
                              </w:rPr>
                            </m:ctrlPr>
                          </m:e>
                          <m:sub>
                            <m:r>
                              <m:rPr>
                                <m:sty m:val="p"/>
                              </m:rPr>
                              <w:rPr>
                                <w:rFonts w:ascii="Cambria Math" w:hAnsi="Cambria Math"/>
                                <w:color w:val="000000" w:themeColor="text1"/>
                                <w:sz w:val="20"/>
                                <w:szCs w:val="20"/>
                                <w:shd w:val="clear" w:color="auto" w:fill="FFFFFF"/>
                              </w:rPr>
                              <m:t>CO</m:t>
                            </m:r>
                          </m:sub>
                        </m:sSub>
                      </m:e>
                    </m:d>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ctrlPr>
                          <w:rPr>
                            <w:rFonts w:ascii="Cambria Math" w:hAnsi="Cambria Math"/>
                            <w:i/>
                            <w:color w:val="000000" w:themeColor="text1"/>
                            <w:sz w:val="20"/>
                            <w:szCs w:val="20"/>
                            <w:shd w:val="clear" w:color="auto" w:fill="FFFFFF"/>
                          </w:rPr>
                        </m:ctrlPr>
                      </m:e>
                      <m:sub>
                        <m:r>
                          <m:rPr>
                            <m:sty m:val="p"/>
                          </m:rPr>
                          <w:rPr>
                            <w:rFonts w:ascii="Cambria Math" w:hAnsi="Cambria Math"/>
                            <w:color w:val="000000" w:themeColor="text1"/>
                            <w:sz w:val="20"/>
                            <w:szCs w:val="20"/>
                            <w:shd w:val="clear" w:color="auto" w:fill="FFFFFF"/>
                          </w:rPr>
                          <m:t>Ru</m:t>
                        </m:r>
                      </m:sub>
                    </m:sSub>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E</m:t>
                        </m:r>
                        <m:ctrlPr>
                          <w:rPr>
                            <w:rFonts w:ascii="Cambria Math" w:hAnsi="Cambria Math"/>
                            <w:i/>
                            <w:color w:val="000000" w:themeColor="text1"/>
                            <w:sz w:val="20"/>
                            <w:szCs w:val="20"/>
                            <w:shd w:val="clear" w:color="auto" w:fill="FFFFFF"/>
                          </w:rPr>
                        </m:ctrlPr>
                      </m:e>
                      <m:sub>
                        <m:r>
                          <m:rPr>
                            <m:sty m:val="p"/>
                          </m:rPr>
                          <w:rPr>
                            <w:rFonts w:ascii="Cambria Math" w:hAnsi="Cambria Math"/>
                            <w:color w:val="000000" w:themeColor="text1"/>
                            <w:sz w:val="20"/>
                            <w:szCs w:val="20"/>
                            <w:shd w:val="clear" w:color="auto" w:fill="FFFFFF"/>
                          </w:rPr>
                          <m:t>Ru,bulk</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V</m:t>
                        </m:r>
                      </m:e>
                    </m:d>
                    <m:r>
                      <m:rPr>
                        <m:sty m:val="p"/>
                      </m:rPr>
                      <w:rPr>
                        <w:rFonts w:ascii="Cambria Math" w:hAnsi="Cambria Math"/>
                        <w:color w:val="000000" w:themeColor="text1"/>
                        <w:sz w:val="20"/>
                        <w:szCs w:val="20"/>
                        <w:shd w:val="clear" w:color="auto" w:fill="FFFFFF"/>
                      </w:rPr>
                      <m:t xml:space="preserve">+ </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E</m:t>
                        </m:r>
                        <m:ctrlPr>
                          <w:rPr>
                            <w:rFonts w:ascii="Cambria Math" w:hAnsi="Cambria Math"/>
                            <w:color w:val="000000" w:themeColor="text1"/>
                            <w:sz w:val="20"/>
                            <w:szCs w:val="20"/>
                            <w:shd w:val="clear" w:color="auto" w:fill="FFFFFF"/>
                          </w:rPr>
                        </m:ctrlPr>
                      </m:e>
                      <m:sub>
                        <m:r>
                          <m:rPr>
                            <m:sty m:val="p"/>
                          </m:rPr>
                          <w:rPr>
                            <w:rFonts w:ascii="Cambria Math" w:hAnsi="Cambria Math"/>
                            <w:color w:val="000000" w:themeColor="text1"/>
                            <w:sz w:val="20"/>
                            <w:szCs w:val="20"/>
                            <w:shd w:val="clear" w:color="auto" w:fill="FFFFFF"/>
                          </w:rPr>
                          <m:t>vib</m:t>
                        </m:r>
                      </m:sub>
                    </m:sSub>
                    <m:d>
                      <m:dPr>
                        <m:ctrlPr>
                          <w:rPr>
                            <w:rFonts w:ascii="Cambria Math" w:hAnsi="Cambria Math"/>
                            <w:color w:val="000000" w:themeColor="text1"/>
                            <w:sz w:val="20"/>
                            <w:szCs w:val="20"/>
                            <w:shd w:val="clear" w:color="auto" w:fill="FFFFFF"/>
                          </w:rPr>
                        </m:ctrlPr>
                      </m:dPr>
                      <m:e>
                        <m:r>
                          <w:rPr>
                            <w:rFonts w:ascii="Cambria Math" w:hAnsi="Cambria Math"/>
                            <w:color w:val="000000" w:themeColor="text1"/>
                            <w:sz w:val="20"/>
                            <w:szCs w:val="20"/>
                            <w:shd w:val="clear" w:color="auto" w:fill="FFFFFF"/>
                          </w:rPr>
                          <m:t>T</m:t>
                        </m:r>
                        <m:r>
                          <m:rPr>
                            <m:sty m:val="p"/>
                          </m:rPr>
                          <w:rPr>
                            <w:rFonts w:ascii="Cambria Math" w:hAnsi="Cambria Math"/>
                            <w:color w:val="000000" w:themeColor="text1"/>
                            <w:sz w:val="20"/>
                            <w:szCs w:val="20"/>
                            <w:shd w:val="clear" w:color="auto" w:fill="FFFFFF"/>
                          </w:rPr>
                          <m:t xml:space="preserve">, </m:t>
                        </m:r>
                        <m:r>
                          <w:rPr>
                            <w:rFonts w:ascii="Cambria Math" w:hAnsi="Cambria Math"/>
                            <w:color w:val="000000" w:themeColor="text1"/>
                            <w:sz w:val="20"/>
                            <w:szCs w:val="20"/>
                            <w:shd w:val="clear" w:color="auto" w:fill="FFFFFF"/>
                          </w:rPr>
                          <m:t xml:space="preserve">V, </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ctrlPr>
                              <w:rPr>
                                <w:rFonts w:ascii="Cambria Math" w:hAnsi="Cambria Math"/>
                                <w:i/>
                                <w:color w:val="000000" w:themeColor="text1"/>
                                <w:sz w:val="20"/>
                                <w:szCs w:val="20"/>
                                <w:shd w:val="clear" w:color="auto" w:fill="FFFFFF"/>
                              </w:rPr>
                            </m:ctrlPr>
                          </m:e>
                          <m:sub>
                            <m:r>
                              <m:rPr>
                                <m:sty m:val="p"/>
                              </m:rPr>
                              <w:rPr>
                                <w:rFonts w:ascii="Cambria Math" w:hAnsi="Cambria Math"/>
                                <w:color w:val="000000" w:themeColor="text1"/>
                                <w:sz w:val="20"/>
                                <w:szCs w:val="20"/>
                                <w:shd w:val="clear" w:color="auto" w:fill="FFFFFF"/>
                              </w:rPr>
                              <m:t>Ru</m:t>
                            </m:r>
                          </m:sub>
                        </m:sSub>
                        <m:r>
                          <w:rPr>
                            <w:rFonts w:ascii="Cambria Math" w:hAnsi="Cambria Math"/>
                            <w:color w:val="000000" w:themeColor="text1"/>
                            <w:sz w:val="20"/>
                            <w:szCs w:val="20"/>
                            <w:shd w:val="clear" w:color="auto" w:fill="FFFFFF"/>
                          </w:rPr>
                          <m:t xml:space="preserve">, </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ctrlPr>
                              <w:rPr>
                                <w:rFonts w:ascii="Cambria Math" w:hAnsi="Cambria Math"/>
                                <w:i/>
                                <w:color w:val="000000" w:themeColor="text1"/>
                                <w:sz w:val="20"/>
                                <w:szCs w:val="20"/>
                                <w:shd w:val="clear" w:color="auto" w:fill="FFFFFF"/>
                              </w:rPr>
                            </m:ctrlPr>
                          </m:e>
                          <m:sub>
                            <m:r>
                              <m:rPr>
                                <m:sty m:val="p"/>
                              </m:rPr>
                              <w:rPr>
                                <w:rFonts w:ascii="Cambria Math" w:hAnsi="Cambria Math"/>
                                <w:color w:val="000000" w:themeColor="text1"/>
                                <w:sz w:val="20"/>
                                <w:szCs w:val="20"/>
                                <w:shd w:val="clear" w:color="auto" w:fill="FFFFFF"/>
                              </w:rPr>
                              <m:t>O</m:t>
                            </m:r>
                          </m:sub>
                        </m:sSub>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ctrlPr>
                              <w:rPr>
                                <w:rFonts w:ascii="Cambria Math" w:hAnsi="Cambria Math"/>
                                <w:i/>
                                <w:color w:val="000000" w:themeColor="text1"/>
                                <w:sz w:val="20"/>
                                <w:szCs w:val="20"/>
                                <w:shd w:val="clear" w:color="auto" w:fill="FFFFFF"/>
                              </w:rPr>
                            </m:ctrlPr>
                          </m:e>
                          <m:sub>
                            <m:r>
                              <m:rPr>
                                <m:sty m:val="p"/>
                              </m:rPr>
                              <w:rPr>
                                <w:rFonts w:ascii="Cambria Math" w:hAnsi="Cambria Math"/>
                                <w:color w:val="000000" w:themeColor="text1"/>
                                <w:sz w:val="20"/>
                                <w:szCs w:val="20"/>
                                <w:shd w:val="clear" w:color="auto" w:fill="FFFFFF"/>
                              </w:rPr>
                              <m:t>CO</m:t>
                            </m:r>
                          </m:sub>
                        </m:sSub>
                      </m:e>
                    </m:d>
                    <m:r>
                      <m:rPr>
                        <m:sty m:val="p"/>
                      </m:rPr>
                      <w:rPr>
                        <w:rFonts w:ascii="Cambria Math" w:hAnsi="Cambria Math"/>
                        <w:color w:val="000000" w:themeColor="text1"/>
                        <w:sz w:val="20"/>
                        <w:szCs w:val="20"/>
                        <w:shd w:val="clear" w:color="auto" w:fill="FFFFFF"/>
                      </w:rPr>
                      <m:t>–</m:t>
                    </m:r>
                    <m:r>
                      <w:rPr>
                        <w:rFonts w:ascii="Cambria Math" w:hAnsi="Cambria Math"/>
                        <w:color w:val="000000" w:themeColor="text1"/>
                        <w:sz w:val="20"/>
                        <w:szCs w:val="20"/>
                        <w:shd w:val="clear" w:color="auto" w:fill="FFFFFF"/>
                      </w:rPr>
                      <m:t xml:space="preserve"> 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S</m:t>
                        </m:r>
                        <m:ctrlPr>
                          <w:rPr>
                            <w:rFonts w:ascii="Cambria Math" w:hAnsi="Cambria Math"/>
                            <w:i/>
                            <w:color w:val="000000" w:themeColor="text1"/>
                            <w:sz w:val="20"/>
                            <w:szCs w:val="20"/>
                            <w:shd w:val="clear" w:color="auto" w:fill="FFFFFF"/>
                          </w:rPr>
                        </m:ctrlPr>
                      </m:e>
                      <m:sub>
                        <m:r>
                          <m:rPr>
                            <m:sty m:val="p"/>
                          </m:rPr>
                          <w:rPr>
                            <w:rFonts w:ascii="Cambria Math" w:hAnsi="Cambria Math"/>
                            <w:color w:val="000000" w:themeColor="text1"/>
                            <w:sz w:val="20"/>
                            <w:szCs w:val="20"/>
                            <w:shd w:val="clear" w:color="auto" w:fill="FFFFFF"/>
                          </w:rPr>
                          <m:t>vib</m:t>
                        </m:r>
                      </m:sub>
                    </m:sSub>
                    <m:d>
                      <m:dPr>
                        <m:ctrlPr>
                          <w:rPr>
                            <w:rFonts w:ascii="Cambria Math" w:hAnsi="Cambria Math"/>
                            <w:color w:val="000000" w:themeColor="text1"/>
                            <w:sz w:val="20"/>
                            <w:szCs w:val="20"/>
                            <w:shd w:val="clear" w:color="auto" w:fill="FFFFFF"/>
                          </w:rPr>
                        </m:ctrlPr>
                      </m:dPr>
                      <m:e>
                        <m:r>
                          <w:rPr>
                            <w:rFonts w:ascii="Cambria Math" w:hAnsi="Cambria Math"/>
                            <w:color w:val="000000" w:themeColor="text1"/>
                            <w:sz w:val="20"/>
                            <w:szCs w:val="20"/>
                            <w:shd w:val="clear" w:color="auto" w:fill="FFFFFF"/>
                          </w:rPr>
                          <m:t>T</m:t>
                        </m:r>
                        <m:r>
                          <m:rPr>
                            <m:sty m:val="p"/>
                          </m:rPr>
                          <w:rPr>
                            <w:rFonts w:ascii="Cambria Math" w:hAnsi="Cambria Math"/>
                            <w:color w:val="000000" w:themeColor="text1"/>
                            <w:sz w:val="20"/>
                            <w:szCs w:val="20"/>
                            <w:shd w:val="clear" w:color="auto" w:fill="FFFFFF"/>
                          </w:rPr>
                          <m:t>,</m:t>
                        </m:r>
                        <m:r>
                          <w:rPr>
                            <w:rFonts w:ascii="Cambria Math" w:hAnsi="Cambria Math"/>
                            <w:color w:val="000000" w:themeColor="text1"/>
                            <w:sz w:val="20"/>
                            <w:szCs w:val="20"/>
                            <w:shd w:val="clear" w:color="auto" w:fill="FFFFFF"/>
                          </w:rPr>
                          <m:t xml:space="preserve">V, </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ctrlPr>
                              <w:rPr>
                                <w:rFonts w:ascii="Cambria Math" w:hAnsi="Cambria Math"/>
                                <w:i/>
                                <w:color w:val="000000" w:themeColor="text1"/>
                                <w:sz w:val="20"/>
                                <w:szCs w:val="20"/>
                                <w:shd w:val="clear" w:color="auto" w:fill="FFFFFF"/>
                              </w:rPr>
                            </m:ctrlPr>
                          </m:e>
                          <m:sub>
                            <m:r>
                              <m:rPr>
                                <m:sty m:val="p"/>
                              </m:rPr>
                              <w:rPr>
                                <w:rFonts w:ascii="Cambria Math" w:hAnsi="Cambria Math"/>
                                <w:color w:val="000000" w:themeColor="text1"/>
                                <w:sz w:val="20"/>
                                <w:szCs w:val="20"/>
                                <w:shd w:val="clear" w:color="auto" w:fill="FFFFFF"/>
                              </w:rPr>
                              <m:t>Ru</m:t>
                            </m:r>
                          </m:sub>
                        </m:sSub>
                        <m:r>
                          <w:rPr>
                            <w:rFonts w:ascii="Cambria Math" w:hAnsi="Cambria Math"/>
                            <w:color w:val="000000" w:themeColor="text1"/>
                            <w:sz w:val="20"/>
                            <w:szCs w:val="20"/>
                            <w:shd w:val="clear" w:color="auto" w:fill="FFFFFF"/>
                          </w:rPr>
                          <m:t xml:space="preserve">, </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ctrlPr>
                              <w:rPr>
                                <w:rFonts w:ascii="Cambria Math" w:hAnsi="Cambria Math"/>
                                <w:i/>
                                <w:color w:val="000000" w:themeColor="text1"/>
                                <w:sz w:val="20"/>
                                <w:szCs w:val="20"/>
                                <w:shd w:val="clear" w:color="auto" w:fill="FFFFFF"/>
                              </w:rPr>
                            </m:ctrlPr>
                          </m:e>
                          <m:sub>
                            <m:r>
                              <m:rPr>
                                <m:sty m:val="p"/>
                              </m:rPr>
                              <w:rPr>
                                <w:rFonts w:ascii="Cambria Math" w:hAnsi="Cambria Math"/>
                                <w:color w:val="000000" w:themeColor="text1"/>
                                <w:sz w:val="20"/>
                                <w:szCs w:val="20"/>
                                <w:shd w:val="clear" w:color="auto" w:fill="FFFFFF"/>
                              </w:rPr>
                              <m:t>O</m:t>
                            </m:r>
                          </m:sub>
                        </m:sSub>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ctrlPr>
                              <w:rPr>
                                <w:rFonts w:ascii="Cambria Math" w:hAnsi="Cambria Math"/>
                                <w:i/>
                                <w:color w:val="000000" w:themeColor="text1"/>
                                <w:sz w:val="20"/>
                                <w:szCs w:val="20"/>
                                <w:shd w:val="clear" w:color="auto" w:fill="FFFFFF"/>
                              </w:rPr>
                            </m:ctrlPr>
                          </m:e>
                          <m:sub>
                            <m:r>
                              <m:rPr>
                                <m:sty m:val="p"/>
                              </m:rPr>
                              <w:rPr>
                                <w:rFonts w:ascii="Cambria Math" w:hAnsi="Cambria Math"/>
                                <w:color w:val="000000" w:themeColor="text1"/>
                                <w:sz w:val="20"/>
                                <w:szCs w:val="20"/>
                                <w:shd w:val="clear" w:color="auto" w:fill="FFFFFF"/>
                              </w:rPr>
                              <m:t>CO</m:t>
                            </m:r>
                          </m:sub>
                        </m:sSub>
                      </m:e>
                    </m:d>
                  </m:e>
                </m:d>
              </m:oMath>
            </m:oMathPara>
          </w:p>
        </w:tc>
        <w:tc>
          <w:tcPr>
            <w:tcW w:w="1134" w:type="dxa"/>
            <w:tcMar>
              <w:left w:w="28" w:type="dxa"/>
              <w:right w:w="28" w:type="dxa"/>
            </w:tcMar>
            <w:vAlign w:val="center"/>
          </w:tcPr>
          <w:p w14:paraId="249D3DC9" w14:textId="36B09030" w:rsidR="00156586" w:rsidRPr="00DE0988" w:rsidRDefault="00156586" w:rsidP="00E45E28">
            <w:pPr>
              <w:keepNext/>
              <w:jc w:val="right"/>
              <w:rPr>
                <w:bCs/>
                <w:sz w:val="20"/>
                <w:szCs w:val="20"/>
              </w:rPr>
            </w:pPr>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536CF0">
              <w:rPr>
                <w:noProof/>
                <w:sz w:val="20"/>
                <w:szCs w:val="20"/>
              </w:rPr>
              <w:t>28</w:t>
            </w:r>
            <w:r w:rsidRPr="00DE0988">
              <w:rPr>
                <w:sz w:val="20"/>
                <w:szCs w:val="20"/>
              </w:rPr>
              <w:fldChar w:fldCharType="end"/>
            </w:r>
          </w:p>
        </w:tc>
      </w:tr>
    </w:tbl>
    <w:p w14:paraId="0633804D" w14:textId="77777777" w:rsidR="00594FAE" w:rsidRPr="00EC6E98" w:rsidRDefault="00594FAE" w:rsidP="00594FAE">
      <w:pPr>
        <w:rPr>
          <w:iCs/>
          <w:color w:val="000000" w:themeColor="text1"/>
          <w:szCs w:val="22"/>
          <w:shd w:val="clear" w:color="auto" w:fill="FFFFFF"/>
        </w:rPr>
      </w:pPr>
      <w:r w:rsidRPr="00EC6E98">
        <w:rPr>
          <w:iCs/>
          <w:color w:val="000000" w:themeColor="text1"/>
          <w:szCs w:val="22"/>
          <w:shd w:val="clear" w:color="auto" w:fill="FFFFFF"/>
        </w:rPr>
        <w:t>where the CO chemical potential is given by:</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2240E6" w:rsidRPr="002240E6" w14:paraId="561B0290" w14:textId="77777777" w:rsidTr="00DE0988">
        <w:tc>
          <w:tcPr>
            <w:tcW w:w="7938" w:type="dxa"/>
            <w:tcMar>
              <w:left w:w="28" w:type="dxa"/>
              <w:right w:w="28" w:type="dxa"/>
            </w:tcMar>
            <w:vAlign w:val="center"/>
          </w:tcPr>
          <w:p w14:paraId="74E3B388" w14:textId="37CAD35C" w:rsidR="002240E6" w:rsidRPr="002240E6" w:rsidRDefault="00000000" w:rsidP="00E45E28">
            <w:pPr>
              <w:spacing w:before="60" w:after="60"/>
              <w:rPr>
                <w:bCs/>
                <w:sz w:val="20"/>
                <w:szCs w:val="20"/>
              </w:rPr>
            </w:pPr>
            <m:oMathPara>
              <m:oMath>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CO</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T,p</m:t>
                    </m:r>
                  </m:e>
                </m:d>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E</m:t>
                    </m:r>
                  </m:e>
                  <m:sub>
                    <m:r>
                      <m:rPr>
                        <m:sty m:val="p"/>
                      </m:rPr>
                      <w:rPr>
                        <w:rFonts w:ascii="Cambria Math" w:hAnsi="Cambria Math"/>
                        <w:color w:val="000000" w:themeColor="text1"/>
                        <w:sz w:val="20"/>
                        <w:szCs w:val="20"/>
                        <w:shd w:val="clear" w:color="auto" w:fill="FFFFFF"/>
                      </w:rPr>
                      <m:t>CO</m:t>
                    </m:r>
                  </m:sub>
                </m:sSub>
                <m:r>
                  <w:rPr>
                    <w:rFonts w:ascii="Cambria Math" w:hAnsi="Cambria Math"/>
                    <w:color w:val="000000" w:themeColor="text1"/>
                    <w:sz w:val="20"/>
                    <w:szCs w:val="20"/>
                    <w:shd w:val="clear" w:color="auto" w:fill="FFFFFF"/>
                  </w:rPr>
                  <m:t>+</m:t>
                </m:r>
                <m:d>
                  <m:dPr>
                    <m:begChr m:val="["/>
                    <m:endChr m:val="]"/>
                    <m:ctrlPr>
                      <w:rPr>
                        <w:rFonts w:ascii="Cambria Math" w:eastAsiaTheme="minorHAnsi" w:hAnsi="Cambria Math"/>
                        <w:i/>
                        <w:iCs/>
                        <w:color w:val="000000" w:themeColor="text1"/>
                        <w:sz w:val="20"/>
                        <w:szCs w:val="20"/>
                        <w:shd w:val="clear" w:color="auto" w:fill="FFFFFF"/>
                      </w:rPr>
                    </m:ctrlPr>
                  </m:dPr>
                  <m:e>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H</m:t>
                        </m:r>
                      </m:e>
                      <m:sub>
                        <m:r>
                          <m:rPr>
                            <m:sty m:val="p"/>
                          </m:rPr>
                          <w:rPr>
                            <w:rFonts w:ascii="Cambria Math" w:hAnsi="Cambria Math"/>
                            <w:color w:val="000000" w:themeColor="text1"/>
                            <w:sz w:val="20"/>
                            <w:szCs w:val="20"/>
                            <w:shd w:val="clear" w:color="auto" w:fill="FFFFFF"/>
                          </w:rPr>
                          <m:t>CO</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T,</m:t>
                        </m:r>
                        <m:sSup>
                          <m:sSupPr>
                            <m:ctrlPr>
                              <w:rPr>
                                <w:rFonts w:ascii="Cambria Math" w:eastAsiaTheme="minorHAnsi" w:hAnsi="Cambria Math"/>
                                <w:i/>
                                <w:iCs/>
                                <w:color w:val="000000" w:themeColor="text1"/>
                                <w:sz w:val="20"/>
                                <w:szCs w:val="20"/>
                                <w:shd w:val="clear" w:color="auto" w:fill="FFFFFF"/>
                              </w:rPr>
                            </m:ctrlPr>
                          </m:sSupPr>
                          <m:e>
                            <m:r>
                              <w:rPr>
                                <w:rFonts w:ascii="Cambria Math" w:hAnsi="Cambria Math"/>
                                <w:color w:val="000000" w:themeColor="text1"/>
                                <w:sz w:val="20"/>
                                <w:szCs w:val="20"/>
                                <w:shd w:val="clear" w:color="auto" w:fill="FFFFFF"/>
                              </w:rPr>
                              <m:t>p</m:t>
                            </m:r>
                          </m:e>
                          <m:sup>
                            <m:r>
                              <w:rPr>
                                <w:rFonts w:ascii="Cambria Math" w:hAnsi="Cambria Math"/>
                                <w:color w:val="000000" w:themeColor="text1"/>
                                <w:sz w:val="20"/>
                                <w:szCs w:val="20"/>
                                <w:shd w:val="clear" w:color="auto" w:fill="FFFFFF"/>
                              </w:rPr>
                              <m:t>0</m:t>
                            </m:r>
                          </m:sup>
                        </m:sSup>
                      </m:e>
                    </m:d>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H</m:t>
                        </m:r>
                      </m:e>
                      <m:sub>
                        <m:r>
                          <m:rPr>
                            <m:sty m:val="p"/>
                          </m:rPr>
                          <w:rPr>
                            <w:rFonts w:ascii="Cambria Math" w:hAnsi="Cambria Math"/>
                            <w:color w:val="000000" w:themeColor="text1"/>
                            <w:sz w:val="20"/>
                            <w:szCs w:val="20"/>
                            <w:shd w:val="clear" w:color="auto" w:fill="FFFFFF"/>
                          </w:rPr>
                          <m:t>CO</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0,</m:t>
                        </m:r>
                        <m:sSup>
                          <m:sSupPr>
                            <m:ctrlPr>
                              <w:rPr>
                                <w:rFonts w:ascii="Cambria Math" w:eastAsiaTheme="minorHAnsi" w:hAnsi="Cambria Math"/>
                                <w:i/>
                                <w:iCs/>
                                <w:color w:val="000000" w:themeColor="text1"/>
                                <w:sz w:val="20"/>
                                <w:szCs w:val="20"/>
                                <w:shd w:val="clear" w:color="auto" w:fill="FFFFFF"/>
                              </w:rPr>
                            </m:ctrlPr>
                          </m:sSupPr>
                          <m:e>
                            <m:r>
                              <w:rPr>
                                <w:rFonts w:ascii="Cambria Math" w:hAnsi="Cambria Math"/>
                                <w:color w:val="000000" w:themeColor="text1"/>
                                <w:sz w:val="20"/>
                                <w:szCs w:val="20"/>
                                <w:shd w:val="clear" w:color="auto" w:fill="FFFFFF"/>
                              </w:rPr>
                              <m:t>p</m:t>
                            </m:r>
                          </m:e>
                          <m:sup>
                            <m:r>
                              <w:rPr>
                                <w:rFonts w:ascii="Cambria Math" w:hAnsi="Cambria Math"/>
                                <w:color w:val="000000" w:themeColor="text1"/>
                                <w:sz w:val="20"/>
                                <w:szCs w:val="20"/>
                                <w:shd w:val="clear" w:color="auto" w:fill="FFFFFF"/>
                              </w:rPr>
                              <m:t>0</m:t>
                            </m:r>
                          </m:sup>
                        </m:sSup>
                      </m:e>
                    </m:d>
                  </m:e>
                </m:d>
                <m:r>
                  <w:rPr>
                    <w:rFonts w:ascii="Cambria Math" w:hAnsi="Cambria Math"/>
                    <w:color w:val="000000" w:themeColor="text1"/>
                    <w:sz w:val="20"/>
                    <w:szCs w:val="20"/>
                    <w:shd w:val="clear" w:color="auto" w:fill="FFFFFF"/>
                  </w:rPr>
                  <m:t>-T</m:t>
                </m:r>
                <m:d>
                  <m:dPr>
                    <m:begChr m:val="["/>
                    <m:endChr m:val="]"/>
                    <m:ctrlPr>
                      <w:rPr>
                        <w:rFonts w:ascii="Cambria Math" w:eastAsiaTheme="minorHAnsi" w:hAnsi="Cambria Math"/>
                        <w:i/>
                        <w:iCs/>
                        <w:color w:val="000000" w:themeColor="text1"/>
                        <w:sz w:val="20"/>
                        <w:szCs w:val="20"/>
                        <w:shd w:val="clear" w:color="auto" w:fill="FFFFFF"/>
                      </w:rPr>
                    </m:ctrlPr>
                  </m:dPr>
                  <m:e>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S</m:t>
                        </m:r>
                      </m:e>
                      <m:sub>
                        <m:r>
                          <m:rPr>
                            <m:sty m:val="p"/>
                          </m:rPr>
                          <w:rPr>
                            <w:rFonts w:ascii="Cambria Math" w:hAnsi="Cambria Math"/>
                            <w:color w:val="000000" w:themeColor="text1"/>
                            <w:sz w:val="20"/>
                            <w:szCs w:val="20"/>
                            <w:shd w:val="clear" w:color="auto" w:fill="FFFFFF"/>
                          </w:rPr>
                          <m:t>CO</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T,</m:t>
                        </m:r>
                        <m:sSup>
                          <m:sSupPr>
                            <m:ctrlPr>
                              <w:rPr>
                                <w:rFonts w:ascii="Cambria Math" w:eastAsiaTheme="minorHAnsi" w:hAnsi="Cambria Math"/>
                                <w:i/>
                                <w:iCs/>
                                <w:color w:val="000000" w:themeColor="text1"/>
                                <w:sz w:val="20"/>
                                <w:szCs w:val="20"/>
                                <w:shd w:val="clear" w:color="auto" w:fill="FFFFFF"/>
                              </w:rPr>
                            </m:ctrlPr>
                          </m:sSupPr>
                          <m:e>
                            <m:r>
                              <w:rPr>
                                <w:rFonts w:ascii="Cambria Math" w:hAnsi="Cambria Math"/>
                                <w:color w:val="000000" w:themeColor="text1"/>
                                <w:sz w:val="20"/>
                                <w:szCs w:val="20"/>
                                <w:shd w:val="clear" w:color="auto" w:fill="FFFFFF"/>
                              </w:rPr>
                              <m:t>p</m:t>
                            </m:r>
                          </m:e>
                          <m:sup>
                            <m:r>
                              <w:rPr>
                                <w:rFonts w:ascii="Cambria Math" w:hAnsi="Cambria Math"/>
                                <w:color w:val="000000" w:themeColor="text1"/>
                                <w:sz w:val="20"/>
                                <w:szCs w:val="20"/>
                                <w:shd w:val="clear" w:color="auto" w:fill="FFFFFF"/>
                              </w:rPr>
                              <m:t>0</m:t>
                            </m:r>
                          </m:sup>
                        </m:sSup>
                      </m:e>
                    </m:d>
                  </m:e>
                </m:d>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k</m:t>
                    </m:r>
                  </m:e>
                  <m:sub>
                    <m:r>
                      <w:rPr>
                        <w:rFonts w:ascii="Cambria Math" w:hAnsi="Cambria Math"/>
                        <w:color w:val="000000" w:themeColor="text1"/>
                        <w:sz w:val="20"/>
                        <w:szCs w:val="20"/>
                        <w:shd w:val="clear" w:color="auto" w:fill="FFFFFF"/>
                      </w:rPr>
                      <m:t>B</m:t>
                    </m:r>
                  </m:sub>
                </m:sSub>
                <m:r>
                  <w:rPr>
                    <w:rFonts w:ascii="Cambria Math" w:hAnsi="Cambria Math"/>
                    <w:color w:val="000000" w:themeColor="text1"/>
                    <w:sz w:val="20"/>
                    <w:szCs w:val="20"/>
                    <w:shd w:val="clear" w:color="auto" w:fill="FFFFFF"/>
                  </w:rPr>
                  <m:t xml:space="preserve">T </m:t>
                </m:r>
                <m:r>
                  <m:rPr>
                    <m:sty m:val="p"/>
                  </m:rPr>
                  <w:rPr>
                    <w:rFonts w:ascii="Cambria Math" w:hAnsi="Cambria Math"/>
                    <w:color w:val="000000" w:themeColor="text1"/>
                    <w:sz w:val="20"/>
                    <w:szCs w:val="20"/>
                    <w:shd w:val="clear" w:color="auto" w:fill="FFFFFF"/>
                  </w:rPr>
                  <m:t>ln</m:t>
                </m:r>
                <m:d>
                  <m:dPr>
                    <m:ctrlPr>
                      <w:rPr>
                        <w:rFonts w:ascii="Cambria Math" w:eastAsiaTheme="minorHAnsi" w:hAnsi="Cambria Math"/>
                        <w:color w:val="000000" w:themeColor="text1"/>
                        <w:sz w:val="20"/>
                        <w:szCs w:val="20"/>
                        <w:shd w:val="clear" w:color="auto" w:fill="FFFFFF"/>
                      </w:rPr>
                    </m:ctrlPr>
                  </m:dPr>
                  <m:e>
                    <m:r>
                      <w:rPr>
                        <w:rFonts w:ascii="Cambria Math" w:hAnsi="Cambria Math"/>
                        <w:color w:val="000000" w:themeColor="text1"/>
                        <w:sz w:val="20"/>
                        <w:szCs w:val="20"/>
                        <w:shd w:val="clear" w:color="auto" w:fill="FFFFFF"/>
                      </w:rPr>
                      <m:t>p/</m:t>
                    </m:r>
                    <m:sSup>
                      <m:sSupPr>
                        <m:ctrlPr>
                          <w:rPr>
                            <w:rFonts w:ascii="Cambria Math" w:eastAsiaTheme="minorHAnsi" w:hAnsi="Cambria Math"/>
                            <w:i/>
                            <w:iCs/>
                            <w:color w:val="000000" w:themeColor="text1"/>
                            <w:sz w:val="20"/>
                            <w:szCs w:val="20"/>
                            <w:shd w:val="clear" w:color="auto" w:fill="FFFFFF"/>
                          </w:rPr>
                        </m:ctrlPr>
                      </m:sSupPr>
                      <m:e>
                        <m:r>
                          <w:rPr>
                            <w:rFonts w:ascii="Cambria Math" w:hAnsi="Cambria Math"/>
                            <w:color w:val="000000" w:themeColor="text1"/>
                            <w:sz w:val="20"/>
                            <w:szCs w:val="20"/>
                            <w:shd w:val="clear" w:color="auto" w:fill="FFFFFF"/>
                          </w:rPr>
                          <m:t>p</m:t>
                        </m:r>
                      </m:e>
                      <m:sup>
                        <m:r>
                          <w:rPr>
                            <w:rFonts w:ascii="Cambria Math" w:hAnsi="Cambria Math"/>
                            <w:color w:val="000000" w:themeColor="text1"/>
                            <w:sz w:val="20"/>
                            <w:szCs w:val="20"/>
                            <w:shd w:val="clear" w:color="auto" w:fill="FFFFFF"/>
                          </w:rPr>
                          <m:t>0</m:t>
                        </m:r>
                      </m:sup>
                    </m:sSup>
                  </m:e>
                </m:d>
              </m:oMath>
            </m:oMathPara>
          </w:p>
        </w:tc>
        <w:tc>
          <w:tcPr>
            <w:tcW w:w="1134" w:type="dxa"/>
            <w:tcMar>
              <w:left w:w="28" w:type="dxa"/>
              <w:right w:w="28" w:type="dxa"/>
            </w:tcMar>
            <w:vAlign w:val="center"/>
          </w:tcPr>
          <w:p w14:paraId="5E6B514E" w14:textId="7796D5EB" w:rsidR="002240E6" w:rsidRPr="002240E6" w:rsidRDefault="002240E6" w:rsidP="00E45E28">
            <w:pPr>
              <w:keepNext/>
              <w:jc w:val="right"/>
              <w:rPr>
                <w:bCs/>
                <w:sz w:val="20"/>
                <w:szCs w:val="20"/>
              </w:rPr>
            </w:pPr>
            <w:r w:rsidRPr="002240E6">
              <w:rPr>
                <w:sz w:val="20"/>
                <w:szCs w:val="20"/>
              </w:rPr>
              <w:t xml:space="preserve">Equation </w:t>
            </w:r>
            <w:r w:rsidRPr="002240E6">
              <w:rPr>
                <w:sz w:val="20"/>
                <w:szCs w:val="20"/>
              </w:rPr>
              <w:fldChar w:fldCharType="begin"/>
            </w:r>
            <w:r w:rsidRPr="002240E6">
              <w:rPr>
                <w:sz w:val="20"/>
                <w:szCs w:val="20"/>
              </w:rPr>
              <w:instrText xml:space="preserve"> SEQ Equation \* ARABIC </w:instrText>
            </w:r>
            <w:r w:rsidRPr="002240E6">
              <w:rPr>
                <w:sz w:val="20"/>
                <w:szCs w:val="20"/>
              </w:rPr>
              <w:fldChar w:fldCharType="separate"/>
            </w:r>
            <w:r w:rsidR="00536CF0">
              <w:rPr>
                <w:noProof/>
                <w:sz w:val="20"/>
                <w:szCs w:val="20"/>
              </w:rPr>
              <w:t>29</w:t>
            </w:r>
            <w:r w:rsidRPr="002240E6">
              <w:rPr>
                <w:sz w:val="20"/>
                <w:szCs w:val="20"/>
              </w:rPr>
              <w:fldChar w:fldCharType="end"/>
            </w:r>
          </w:p>
        </w:tc>
      </w:tr>
    </w:tbl>
    <w:p w14:paraId="6DB8AEB2" w14:textId="53F01693" w:rsidR="00594FAE" w:rsidRPr="00EC6E98" w:rsidRDefault="00594FAE" w:rsidP="00594FAE">
      <w:pPr>
        <w:rPr>
          <w:color w:val="000000" w:themeColor="text1"/>
          <w:szCs w:val="22"/>
          <w:shd w:val="clear" w:color="auto" w:fill="FFFFFF"/>
        </w:rPr>
      </w:pPr>
      <w:r w:rsidRPr="00EC6E98">
        <w:rPr>
          <w:color w:val="000000" w:themeColor="text1"/>
          <w:szCs w:val="22"/>
          <w:shd w:val="clear" w:color="auto" w:fill="FFFFFF"/>
        </w:rPr>
        <w:lastRenderedPageBreak/>
        <w:t xml:space="preserve">Once the surface free energies are known the stable and metastable phases can be identified. In Ref. </w:t>
      </w:r>
      <w:r>
        <w:rPr>
          <w:color w:val="000000" w:themeColor="text1"/>
          <w:szCs w:val="22"/>
          <w:shd w:val="clear" w:color="auto" w:fill="FFFFFF"/>
        </w:rPr>
        <w:fldChar w:fldCharType="begin"/>
      </w:r>
      <w:r w:rsidR="00FC5BEB">
        <w:rPr>
          <w:color w:val="000000" w:themeColor="text1"/>
          <w:szCs w:val="22"/>
          <w:shd w:val="clear" w:color="auto" w:fill="FFFFFF"/>
        </w:rPr>
        <w:instrText xml:space="preserve"> ADDIN EN.CITE &lt;EndNote&gt;&lt;Cite&gt;&lt;Author&gt;Reuter&lt;/Author&gt;&lt;Year&gt;2003&lt;/Year&gt;&lt;RecNum&gt;116&lt;/RecNum&gt;&lt;DisplayText&gt;&lt;style face="superscript"&gt;118&lt;/style&gt;&lt;/DisplayText&gt;&lt;record&gt;&lt;rec-number&gt;116&lt;/rec-number&gt;&lt;foreign-keys&gt;&lt;key app="EN" db-id="2xex0erf4eexr4e2dpbxpdd829xttesxxxdr" timestamp="1715075296"&gt;116&lt;/key&gt;&lt;/foreign-keys&gt;&lt;ref-type name="Journal Article"&gt;17&lt;/ref-type&gt;&lt;contributors&gt;&lt;authors&gt;&lt;author&gt;Reuter, Karsten&lt;/author&gt;&lt;author&gt;Scheffler, Matthias&lt;/author&gt;&lt;/authors&gt;&lt;/contributors&gt;&lt;titles&gt;&lt;title&gt;First-Principles Atomistic Thermodynamics for Oxidation Catalysis: Surface Phase Diagrams and Catalytically Interesting Regions&lt;/title&gt;&lt;secondary-title&gt;Physical Review Letters&lt;/secondary-title&gt;&lt;/titles&gt;&lt;periodical&gt;&lt;full-title&gt;Physical Review Letters&lt;/full-title&gt;&lt;abbr-1&gt;Phys. Rev. Lett.&lt;/abbr-1&gt;&lt;abbr-2&gt;Phys Rev Lett&lt;/abbr-2&gt;&lt;/periodical&gt;&lt;pages&gt;046103&lt;/pages&gt;&lt;volume&gt;90&lt;/volume&gt;&lt;number&gt;4&lt;/number&gt;&lt;dates&gt;&lt;year&gt;2003&lt;/year&gt;&lt;pub-dates&gt;&lt;date&gt;01/30/&lt;/date&gt;&lt;/pub-dates&gt;&lt;/dates&gt;&lt;publisher&gt;American Physical Society&lt;/publisher&gt;&lt;urls&gt;&lt;related-urls&gt;&lt;url&gt;https://link.aps.org/doi/10.1103/PhysRevLett.90.046103&lt;/url&gt;&lt;/related-urls&gt;&lt;/urls&gt;&lt;electronic-resource-num&gt;10.1103/PhysRevLett.90.046103&lt;/electronic-resource-num&gt;&lt;/record&gt;&lt;/Cite&gt;&lt;/EndNote&gt;</w:instrText>
      </w:r>
      <w:r>
        <w:rPr>
          <w:color w:val="000000" w:themeColor="text1"/>
          <w:szCs w:val="22"/>
          <w:shd w:val="clear" w:color="auto" w:fill="FFFFFF"/>
        </w:rPr>
        <w:fldChar w:fldCharType="separate"/>
      </w:r>
      <w:r w:rsidR="00FC5BEB" w:rsidRPr="00FC5BEB">
        <w:rPr>
          <w:noProof/>
          <w:color w:val="000000" w:themeColor="text1"/>
          <w:szCs w:val="22"/>
          <w:shd w:val="clear" w:color="auto" w:fill="FFFFFF"/>
          <w:vertAlign w:val="superscript"/>
        </w:rPr>
        <w:t>118</w:t>
      </w:r>
      <w:r>
        <w:rPr>
          <w:color w:val="000000" w:themeColor="text1"/>
          <w:szCs w:val="22"/>
          <w:shd w:val="clear" w:color="auto" w:fill="FFFFFF"/>
        </w:rPr>
        <w:fldChar w:fldCharType="end"/>
      </w:r>
      <w:r w:rsidRPr="00EC6E98">
        <w:rPr>
          <w:color w:val="000000" w:themeColor="text1"/>
          <w:szCs w:val="22"/>
          <w:shd w:val="clear" w:color="auto" w:fill="FFFFFF"/>
        </w:rPr>
        <w:t xml:space="preserve"> oxygen and carbon monoxide adsorption on the bridge and CUS sites of RuO</w:t>
      </w:r>
      <w:r w:rsidRPr="00EC6E98">
        <w:rPr>
          <w:color w:val="000000" w:themeColor="text1"/>
          <w:szCs w:val="22"/>
          <w:shd w:val="clear" w:color="auto" w:fill="FFFFFF"/>
          <w:vertAlign w:val="subscript"/>
        </w:rPr>
        <w:t>2</w:t>
      </w:r>
      <w:r w:rsidRPr="00EC6E98">
        <w:rPr>
          <w:color w:val="000000" w:themeColor="text1"/>
          <w:szCs w:val="22"/>
          <w:shd w:val="clear" w:color="auto" w:fill="FFFFFF"/>
        </w:rPr>
        <w:t xml:space="preserve">(110) were examined under the assumption that the vibrational contributions to the free energies of the solid phases can be ignored. The resulting surface phase diagram is shown in </w:t>
      </w:r>
      <w:r w:rsidR="00DB17F2">
        <w:rPr>
          <w:color w:val="000000" w:themeColor="text1"/>
          <w:szCs w:val="22"/>
          <w:shd w:val="clear" w:color="auto" w:fill="FFFFFF"/>
        </w:rPr>
        <w:fldChar w:fldCharType="begin"/>
      </w:r>
      <w:r w:rsidR="00DB17F2">
        <w:rPr>
          <w:color w:val="000000" w:themeColor="text1"/>
          <w:szCs w:val="22"/>
          <w:shd w:val="clear" w:color="auto" w:fill="FFFFFF"/>
        </w:rPr>
        <w:instrText xml:space="preserve"> REF _Ref159509667 \h </w:instrText>
      </w:r>
      <w:r w:rsidR="00DB17F2">
        <w:rPr>
          <w:color w:val="000000" w:themeColor="text1"/>
          <w:szCs w:val="22"/>
          <w:shd w:val="clear" w:color="auto" w:fill="FFFFFF"/>
        </w:rPr>
      </w:r>
      <w:r w:rsidR="00DB17F2">
        <w:rPr>
          <w:color w:val="000000" w:themeColor="text1"/>
          <w:szCs w:val="22"/>
          <w:shd w:val="clear" w:color="auto" w:fill="FFFFFF"/>
        </w:rPr>
        <w:fldChar w:fldCharType="separate"/>
      </w:r>
      <w:r w:rsidR="00536CF0" w:rsidRPr="00DB17F2">
        <w:rPr>
          <w:b/>
          <w:bCs/>
        </w:rPr>
        <w:t xml:space="preserve">Figure </w:t>
      </w:r>
      <w:r w:rsidR="00536CF0">
        <w:rPr>
          <w:b/>
          <w:bCs/>
          <w:noProof/>
        </w:rPr>
        <w:t>10</w:t>
      </w:r>
      <w:r w:rsidR="00DB17F2">
        <w:rPr>
          <w:color w:val="000000" w:themeColor="text1"/>
          <w:szCs w:val="22"/>
          <w:shd w:val="clear" w:color="auto" w:fill="FFFFFF"/>
        </w:rPr>
        <w:fldChar w:fldCharType="end"/>
      </w:r>
      <w:r w:rsidRPr="00EC6E98">
        <w:rPr>
          <w:color w:val="000000" w:themeColor="text1"/>
          <w:szCs w:val="22"/>
          <w:shd w:val="clear" w:color="auto" w:fill="FFFFFF"/>
        </w:rPr>
        <w:t>.</w:t>
      </w:r>
    </w:p>
    <w:p w14:paraId="6112D275" w14:textId="77777777" w:rsidR="00594FAE" w:rsidRPr="00EC6E98" w:rsidRDefault="00594FAE" w:rsidP="00594FAE">
      <w:pPr>
        <w:ind w:firstLine="720"/>
        <w:jc w:val="center"/>
        <w:rPr>
          <w:iCs/>
          <w:color w:val="000000" w:themeColor="text1"/>
          <w:szCs w:val="22"/>
          <w:shd w:val="clear" w:color="auto" w:fill="FFFFFF"/>
        </w:rPr>
      </w:pPr>
      <w:r w:rsidRPr="00EC6E98">
        <w:rPr>
          <w:color w:val="000000" w:themeColor="text1"/>
          <w:szCs w:val="22"/>
        </w:rPr>
        <w:fldChar w:fldCharType="begin"/>
      </w:r>
      <w:r w:rsidRPr="00EC6E98">
        <w:rPr>
          <w:color w:val="000000" w:themeColor="text1"/>
          <w:szCs w:val="22"/>
        </w:rPr>
        <w:instrText xml:space="preserve"> INCLUDEPICTURE "/Users/trjones/Library/Group Containers/UBF8T346G9.ms/WebArchiveCopyPasteTempFiles/com.microsoft.Word/medium" \* MERGEFORMATINET </w:instrText>
      </w:r>
      <w:r w:rsidRPr="00EC6E98">
        <w:rPr>
          <w:color w:val="000000" w:themeColor="text1"/>
          <w:szCs w:val="22"/>
        </w:rPr>
        <w:fldChar w:fldCharType="separate"/>
      </w:r>
      <w:r w:rsidRPr="00EC6E98">
        <w:rPr>
          <w:noProof/>
          <w:color w:val="000000" w:themeColor="text1"/>
          <w:szCs w:val="22"/>
        </w:rPr>
        <w:drawing>
          <wp:inline distT="0" distB="0" distL="0" distR="0" wp14:anchorId="6EF283DB" wp14:editId="6152D81F">
            <wp:extent cx="3251995" cy="3353098"/>
            <wp:effectExtent l="0" t="0" r="0" b="0"/>
            <wp:docPr id="709715559" name="Picture 3" descr="Fig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g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289475" cy="3391743"/>
                    </a:xfrm>
                    <a:prstGeom prst="rect">
                      <a:avLst/>
                    </a:prstGeom>
                    <a:noFill/>
                    <a:ln>
                      <a:noFill/>
                    </a:ln>
                  </pic:spPr>
                </pic:pic>
              </a:graphicData>
            </a:graphic>
          </wp:inline>
        </w:drawing>
      </w:r>
      <w:r w:rsidRPr="00EC6E98">
        <w:rPr>
          <w:color w:val="000000" w:themeColor="text1"/>
          <w:szCs w:val="22"/>
        </w:rPr>
        <w:fldChar w:fldCharType="end"/>
      </w:r>
    </w:p>
    <w:p w14:paraId="303EB07A" w14:textId="77777777" w:rsidR="00DE52A4" w:rsidRPr="00DE52A4" w:rsidRDefault="00DB17F2" w:rsidP="00DE52A4">
      <w:pPr>
        <w:pStyle w:val="Caption"/>
        <w:rPr>
          <w:szCs w:val="20"/>
          <w:shd w:val="clear" w:color="auto" w:fill="FFFFFF"/>
          <w:lang w:val="en-US"/>
        </w:rPr>
      </w:pPr>
      <w:bookmarkStart w:id="64" w:name="_Ref159509667"/>
      <w:r w:rsidRPr="00DB17F2">
        <w:rPr>
          <w:b/>
          <w:bCs w:val="0"/>
          <w:sz w:val="22"/>
        </w:rPr>
        <w:t xml:space="preserve">Figure </w:t>
      </w:r>
      <w:r w:rsidRPr="00DB17F2">
        <w:rPr>
          <w:b/>
          <w:bCs w:val="0"/>
          <w:sz w:val="22"/>
        </w:rPr>
        <w:fldChar w:fldCharType="begin"/>
      </w:r>
      <w:r w:rsidRPr="00DB17F2">
        <w:rPr>
          <w:b/>
          <w:bCs w:val="0"/>
          <w:sz w:val="22"/>
        </w:rPr>
        <w:instrText xml:space="preserve"> SEQ Figure \* ARABIC </w:instrText>
      </w:r>
      <w:r w:rsidRPr="00DB17F2">
        <w:rPr>
          <w:b/>
          <w:bCs w:val="0"/>
          <w:sz w:val="22"/>
        </w:rPr>
        <w:fldChar w:fldCharType="separate"/>
      </w:r>
      <w:r w:rsidR="00536CF0">
        <w:rPr>
          <w:b/>
          <w:bCs w:val="0"/>
          <w:noProof/>
          <w:sz w:val="22"/>
        </w:rPr>
        <w:t>10</w:t>
      </w:r>
      <w:r w:rsidRPr="00DB17F2">
        <w:rPr>
          <w:b/>
          <w:bCs w:val="0"/>
          <w:sz w:val="22"/>
        </w:rPr>
        <w:fldChar w:fldCharType="end"/>
      </w:r>
      <w:bookmarkEnd w:id="64"/>
      <w:r w:rsidR="00594FAE" w:rsidRPr="006E7C22">
        <w:rPr>
          <w:b/>
          <w:szCs w:val="20"/>
          <w:shd w:val="clear" w:color="auto" w:fill="FFFFFF"/>
        </w:rPr>
        <w:t xml:space="preserve"> </w:t>
      </w:r>
      <w:r w:rsidR="00594FAE" w:rsidRPr="006E7C22">
        <w:rPr>
          <w:szCs w:val="20"/>
        </w:rPr>
        <w:t>Surface phase diagram for the (110) surface of rutile-type RuO</w:t>
      </w:r>
      <w:r w:rsidR="00594FAE" w:rsidRPr="006E7C22">
        <w:rPr>
          <w:szCs w:val="20"/>
          <w:vertAlign w:val="subscript"/>
        </w:rPr>
        <w:t>2</w:t>
      </w:r>
      <w:r w:rsidR="00594FAE" w:rsidRPr="006E7C22">
        <w:rPr>
          <w:szCs w:val="20"/>
        </w:rPr>
        <w:t xml:space="preserve"> in a reactive atmosphere composed of </w:t>
      </w:r>
      <w:proofErr w:type="spellStart"/>
      <w:r w:rsidR="00594FAE" w:rsidRPr="006E7C22">
        <w:rPr>
          <w:szCs w:val="20"/>
        </w:rPr>
        <w:t>CO</w:t>
      </w:r>
      <w:r w:rsidR="00594FAE" w:rsidRPr="006E7C22">
        <w:rPr>
          <w:szCs w:val="20"/>
          <w:vertAlign w:val="subscript"/>
        </w:rPr>
        <w:t>gas</w:t>
      </w:r>
      <w:proofErr w:type="spellEnd"/>
      <w:r w:rsidR="00594FAE" w:rsidRPr="006E7C22">
        <w:rPr>
          <w:szCs w:val="20"/>
        </w:rPr>
        <w:t xml:space="preserve"> and O</w:t>
      </w:r>
      <w:proofErr w:type="gramStart"/>
      <w:r w:rsidR="00594FAE" w:rsidRPr="006E7C22">
        <w:rPr>
          <w:szCs w:val="20"/>
          <w:vertAlign w:val="subscript"/>
        </w:rPr>
        <w:t>2</w:t>
      </w:r>
      <w:r w:rsidR="00594FAE" w:rsidRPr="006E7C22">
        <w:rPr>
          <w:szCs w:val="20"/>
        </w:rPr>
        <w:t>,</w:t>
      </w:r>
      <w:r w:rsidR="00594FAE" w:rsidRPr="006E7C22">
        <w:rPr>
          <w:szCs w:val="20"/>
          <w:vertAlign w:val="subscript"/>
        </w:rPr>
        <w:t>gas</w:t>
      </w:r>
      <w:proofErr w:type="gramEnd"/>
      <w:r w:rsidR="00594FAE" w:rsidRPr="006E7C22">
        <w:rPr>
          <w:szCs w:val="20"/>
        </w:rPr>
        <w:t xml:space="preserve"> computed under constrained equilibrium conditions. Under constrained equilibrium </w:t>
      </w:r>
      <w:proofErr w:type="spellStart"/>
      <w:r w:rsidR="00594FAE" w:rsidRPr="006E7C22">
        <w:rPr>
          <w:szCs w:val="20"/>
        </w:rPr>
        <w:t>CO</w:t>
      </w:r>
      <w:r w:rsidR="00594FAE" w:rsidRPr="006E7C22">
        <w:rPr>
          <w:szCs w:val="20"/>
          <w:vertAlign w:val="subscript"/>
        </w:rPr>
        <w:t>gas</w:t>
      </w:r>
      <w:proofErr w:type="spellEnd"/>
      <w:r w:rsidR="00594FAE" w:rsidRPr="006E7C22">
        <w:rPr>
          <w:szCs w:val="20"/>
        </w:rPr>
        <w:t xml:space="preserve"> and O</w:t>
      </w:r>
      <w:proofErr w:type="gramStart"/>
      <w:r w:rsidR="00594FAE" w:rsidRPr="006E7C22">
        <w:rPr>
          <w:szCs w:val="20"/>
          <w:vertAlign w:val="subscript"/>
        </w:rPr>
        <w:t>2</w:t>
      </w:r>
      <w:r w:rsidR="00594FAE" w:rsidRPr="006E7C22">
        <w:rPr>
          <w:szCs w:val="20"/>
        </w:rPr>
        <w:t>,</w:t>
      </w:r>
      <w:r w:rsidR="00594FAE" w:rsidRPr="006E7C22">
        <w:rPr>
          <w:szCs w:val="20"/>
          <w:vertAlign w:val="subscript"/>
        </w:rPr>
        <w:t>gas</w:t>
      </w:r>
      <w:proofErr w:type="gramEnd"/>
      <w:r w:rsidR="00594FAE" w:rsidRPr="006E7C22">
        <w:rPr>
          <w:szCs w:val="20"/>
        </w:rPr>
        <w:t xml:space="preserve"> are assumed to only react to form CO</w:t>
      </w:r>
      <w:r w:rsidR="00594FAE" w:rsidRPr="006E7C22">
        <w:rPr>
          <w:szCs w:val="20"/>
          <w:vertAlign w:val="subscript"/>
        </w:rPr>
        <w:t>2</w:t>
      </w:r>
      <w:r w:rsidR="00594FAE" w:rsidRPr="006E7C22">
        <w:rPr>
          <w:szCs w:val="20"/>
        </w:rPr>
        <w:t xml:space="preserve"> on the surface, and the formation of adsorbed CO</w:t>
      </w:r>
      <w:r w:rsidR="00594FAE" w:rsidRPr="006E7C22">
        <w:rPr>
          <w:szCs w:val="20"/>
          <w:vertAlign w:val="subscript"/>
        </w:rPr>
        <w:t>2</w:t>
      </w:r>
      <w:r w:rsidR="00594FAE" w:rsidRPr="006E7C22">
        <w:rPr>
          <w:szCs w:val="20"/>
        </w:rPr>
        <w:t xml:space="preserve"> is assumed to be much slower than any adsorption/desorption reaction. Near the phase boundaries, white hatches, the assumption of slow CO</w:t>
      </w:r>
      <w:r w:rsidR="00594FAE" w:rsidRPr="006E7C22">
        <w:rPr>
          <w:szCs w:val="20"/>
          <w:vertAlign w:val="subscript"/>
        </w:rPr>
        <w:t>2</w:t>
      </w:r>
      <w:r w:rsidR="00594FAE" w:rsidRPr="006E7C22">
        <w:rPr>
          <w:szCs w:val="20"/>
        </w:rPr>
        <w:t xml:space="preserve"> formation on the surface breaks down and the thermodynamic approach is not expected to be predictive. Figure </w:t>
      </w:r>
      <w:r w:rsidR="00576F8E">
        <w:rPr>
          <w:szCs w:val="20"/>
        </w:rPr>
        <w:t>r</w:t>
      </w:r>
      <w:r w:rsidR="000757AA" w:rsidRPr="006E7C22">
        <w:rPr>
          <w:szCs w:val="20"/>
        </w:rPr>
        <w:t>eproduced with permission from Ref.</w:t>
      </w:r>
      <w:r w:rsidR="00594FAE" w:rsidRPr="006E7C22">
        <w:rPr>
          <w:szCs w:val="20"/>
        </w:rPr>
        <w:t xml:space="preserve"> </w:t>
      </w:r>
      <w:r w:rsidR="00594FAE" w:rsidRPr="006E7C22">
        <w:rPr>
          <w:szCs w:val="20"/>
          <w:shd w:val="clear" w:color="auto" w:fill="FFFFFF"/>
        </w:rPr>
        <w:fldChar w:fldCharType="begin"/>
      </w:r>
      <w:r w:rsidR="00FC5BEB">
        <w:rPr>
          <w:szCs w:val="20"/>
          <w:shd w:val="clear" w:color="auto" w:fill="FFFFFF"/>
        </w:rPr>
        <w:instrText xml:space="preserve"> ADDIN EN.CITE &lt;EndNote&gt;&lt;Cite&gt;&lt;Author&gt;Reuter&lt;/Author&gt;&lt;Year&gt;2003&lt;/Year&gt;&lt;RecNum&gt;116&lt;/RecNum&gt;&lt;DisplayText&gt;&lt;style face="superscript"&gt;118&lt;/style&gt;&lt;/DisplayText&gt;&lt;record&gt;&lt;rec-number&gt;116&lt;/rec-number&gt;&lt;foreign-keys&gt;&lt;key app="EN" db-id="2xex0erf4eexr4e2dpbxpdd829xttesxxxdr" timestamp="1715075296"&gt;116&lt;/key&gt;&lt;/foreign-keys&gt;&lt;ref-type name="Journal Article"&gt;17&lt;/ref-type&gt;&lt;contributors&gt;&lt;authors&gt;&lt;author&gt;Reuter, Karsten&lt;/author&gt;&lt;author&gt;Scheffler, Matthias&lt;/author&gt;&lt;/authors&gt;&lt;/contributors&gt;&lt;titles&gt;&lt;title&gt;First-Principles Atomistic Thermodynamics for Oxidation Catalysis: Surface Phase Diagrams and Catalytically Interesting Regions&lt;/title&gt;&lt;secondary-title&gt;Physical Review Letters&lt;/secondary-title&gt;&lt;/titles&gt;&lt;periodical&gt;&lt;full-title&gt;Physical Review Letters&lt;/full-title&gt;&lt;abbr-1&gt;Phys. Rev. Lett.&lt;/abbr-1&gt;&lt;abbr-2&gt;Phys Rev Lett&lt;/abbr-2&gt;&lt;/periodical&gt;&lt;pages&gt;046103&lt;/pages&gt;&lt;volume&gt;90&lt;/volume&gt;&lt;number&gt;4&lt;/number&gt;&lt;dates&gt;&lt;year&gt;2003&lt;/year&gt;&lt;pub-dates&gt;&lt;date&gt;01/30/&lt;/date&gt;&lt;/pub-dates&gt;&lt;/dates&gt;&lt;publisher&gt;American Physical Society&lt;/publisher&gt;&lt;urls&gt;&lt;related-urls&gt;&lt;url&gt;https://link.aps.org/doi/10.1103/PhysRevLett.90.046103&lt;/url&gt;&lt;/related-urls&gt;&lt;/urls&gt;&lt;electronic-resource-num&gt;10.1103/PhysRevLett.90.046103&lt;/electronic-resource-num&gt;&lt;/record&gt;&lt;/Cite&gt;&lt;/EndNote&gt;</w:instrText>
      </w:r>
      <w:r w:rsidR="00594FAE" w:rsidRPr="006E7C22">
        <w:rPr>
          <w:szCs w:val="20"/>
          <w:shd w:val="clear" w:color="auto" w:fill="FFFFFF"/>
        </w:rPr>
        <w:fldChar w:fldCharType="separate"/>
      </w:r>
      <w:r w:rsidR="00FC5BEB" w:rsidRPr="00FC5BEB">
        <w:rPr>
          <w:noProof/>
          <w:szCs w:val="20"/>
          <w:shd w:val="clear" w:color="auto" w:fill="FFFFFF"/>
          <w:vertAlign w:val="superscript"/>
        </w:rPr>
        <w:t>118</w:t>
      </w:r>
      <w:r w:rsidR="00594FAE" w:rsidRPr="006E7C22">
        <w:rPr>
          <w:szCs w:val="20"/>
          <w:shd w:val="clear" w:color="auto" w:fill="FFFFFF"/>
        </w:rPr>
        <w:fldChar w:fldCharType="end"/>
      </w:r>
      <w:r w:rsidR="00594FAE" w:rsidRPr="006E7C22">
        <w:rPr>
          <w:szCs w:val="20"/>
          <w:shd w:val="clear" w:color="auto" w:fill="FFFFFF"/>
        </w:rPr>
        <w:t>.</w:t>
      </w:r>
      <w:r w:rsidR="00DE52A4">
        <w:rPr>
          <w:szCs w:val="20"/>
          <w:shd w:val="clear" w:color="auto" w:fill="FFFFFF"/>
        </w:rPr>
        <w:t xml:space="preserve"> </w:t>
      </w:r>
      <w:r w:rsidR="00DE52A4" w:rsidRPr="00DE52A4">
        <w:rPr>
          <w:szCs w:val="20"/>
          <w:shd w:val="clear" w:color="auto" w:fill="FFFFFF"/>
          <w:lang w:val="en-US"/>
        </w:rPr>
        <w:t>Copyright 2003 American Physical Society.</w:t>
      </w:r>
    </w:p>
    <w:p w14:paraId="2A20ACA5" w14:textId="70050259" w:rsidR="00594FAE" w:rsidRPr="00EC6E98" w:rsidRDefault="00594FAE" w:rsidP="00DB17F2">
      <w:pPr>
        <w:pStyle w:val="Caption"/>
        <w:rPr>
          <w:sz w:val="22"/>
          <w:shd w:val="clear" w:color="auto" w:fill="FFFFFF"/>
        </w:rPr>
      </w:pPr>
    </w:p>
    <w:p w14:paraId="0F7A7D89" w14:textId="77777777" w:rsidR="00594FAE" w:rsidRPr="00EC6E98" w:rsidRDefault="00594FAE" w:rsidP="00594FAE">
      <w:pPr>
        <w:rPr>
          <w:color w:val="000000" w:themeColor="text1"/>
          <w:szCs w:val="22"/>
          <w:shd w:val="clear" w:color="auto" w:fill="FFFFFF"/>
        </w:rPr>
      </w:pPr>
    </w:p>
    <w:p w14:paraId="692E9A21" w14:textId="54703FF2" w:rsidR="00594FAE" w:rsidRPr="00EC6E98" w:rsidRDefault="00594FAE" w:rsidP="00594FAE">
      <w:pPr>
        <w:rPr>
          <w:color w:val="000000" w:themeColor="text1"/>
          <w:szCs w:val="22"/>
          <w:shd w:val="clear" w:color="auto" w:fill="FFFFFF"/>
        </w:rPr>
      </w:pPr>
      <w:r w:rsidRPr="00EC6E98">
        <w:rPr>
          <w:color w:val="000000" w:themeColor="text1"/>
          <w:szCs w:val="22"/>
          <w:shd w:val="clear" w:color="auto" w:fill="FFFFFF"/>
        </w:rPr>
        <w:tab/>
        <w:t xml:space="preserve">The phase diagram in </w:t>
      </w:r>
      <w:r w:rsidR="00DB17F2">
        <w:rPr>
          <w:color w:val="000000" w:themeColor="text1"/>
          <w:szCs w:val="22"/>
          <w:shd w:val="clear" w:color="auto" w:fill="FFFFFF"/>
        </w:rPr>
        <w:fldChar w:fldCharType="begin"/>
      </w:r>
      <w:r w:rsidR="00DB17F2">
        <w:rPr>
          <w:color w:val="000000" w:themeColor="text1"/>
          <w:szCs w:val="22"/>
          <w:shd w:val="clear" w:color="auto" w:fill="FFFFFF"/>
        </w:rPr>
        <w:instrText xml:space="preserve"> REF _Ref159509667 \h </w:instrText>
      </w:r>
      <w:r w:rsidR="00DB17F2">
        <w:rPr>
          <w:color w:val="000000" w:themeColor="text1"/>
          <w:szCs w:val="22"/>
          <w:shd w:val="clear" w:color="auto" w:fill="FFFFFF"/>
        </w:rPr>
      </w:r>
      <w:r w:rsidR="00DB17F2">
        <w:rPr>
          <w:color w:val="000000" w:themeColor="text1"/>
          <w:szCs w:val="22"/>
          <w:shd w:val="clear" w:color="auto" w:fill="FFFFFF"/>
        </w:rPr>
        <w:fldChar w:fldCharType="separate"/>
      </w:r>
      <w:r w:rsidR="00536CF0" w:rsidRPr="00DB17F2">
        <w:rPr>
          <w:b/>
          <w:bCs/>
        </w:rPr>
        <w:t xml:space="preserve">Figure </w:t>
      </w:r>
      <w:r w:rsidR="00536CF0">
        <w:rPr>
          <w:b/>
          <w:bCs/>
          <w:noProof/>
        </w:rPr>
        <w:t>10</w:t>
      </w:r>
      <w:r w:rsidR="00DB17F2">
        <w:rPr>
          <w:color w:val="000000" w:themeColor="text1"/>
          <w:szCs w:val="22"/>
          <w:shd w:val="clear" w:color="auto" w:fill="FFFFFF"/>
        </w:rPr>
        <w:fldChar w:fldCharType="end"/>
      </w:r>
      <w:r w:rsidR="00DB17F2">
        <w:rPr>
          <w:color w:val="000000" w:themeColor="text1"/>
          <w:szCs w:val="22"/>
          <w:shd w:val="clear" w:color="auto" w:fill="FFFFFF"/>
        </w:rPr>
        <w:t xml:space="preserve"> </w:t>
      </w:r>
      <w:r w:rsidRPr="00EC6E98">
        <w:rPr>
          <w:color w:val="000000" w:themeColor="text1"/>
          <w:szCs w:val="22"/>
          <w:shd w:val="clear" w:color="auto" w:fill="FFFFFF"/>
        </w:rPr>
        <w:t>shows that at low CO pressure the surface phases are predicted to be those seen in dry O</w:t>
      </w:r>
      <w:r w:rsidRPr="00EC6E98">
        <w:rPr>
          <w:color w:val="000000" w:themeColor="text1"/>
          <w:szCs w:val="22"/>
          <w:shd w:val="clear" w:color="auto" w:fill="FFFFFF"/>
          <w:vertAlign w:val="subscript"/>
        </w:rPr>
        <w:t>2</w:t>
      </w:r>
      <w:r w:rsidRPr="00EC6E98">
        <w:rPr>
          <w:color w:val="000000" w:themeColor="text1"/>
          <w:szCs w:val="22"/>
          <w:shd w:val="clear" w:color="auto" w:fill="FFFFFF"/>
        </w:rPr>
        <w:t>, which is not unexpected. Similarly, at high CO pressure and low O</w:t>
      </w:r>
      <w:r w:rsidRPr="00EC6E98">
        <w:rPr>
          <w:color w:val="000000" w:themeColor="text1"/>
          <w:szCs w:val="22"/>
          <w:shd w:val="clear" w:color="auto" w:fill="FFFFFF"/>
          <w:vertAlign w:val="subscript"/>
        </w:rPr>
        <w:t>2</w:t>
      </w:r>
      <w:r w:rsidRPr="00EC6E98">
        <w:rPr>
          <w:color w:val="000000" w:themeColor="text1"/>
          <w:szCs w:val="22"/>
          <w:shd w:val="clear" w:color="auto" w:fill="FFFFFF"/>
        </w:rPr>
        <w:t xml:space="preserve"> pressure the surface is predicted to </w:t>
      </w:r>
      <w:r w:rsidR="00E627B7">
        <w:rPr>
          <w:color w:val="000000" w:themeColor="text1"/>
          <w:szCs w:val="22"/>
          <w:shd w:val="clear" w:color="auto" w:fill="FFFFFF"/>
        </w:rPr>
        <w:t xml:space="preserve">be </w:t>
      </w:r>
      <w:r w:rsidRPr="00EC6E98">
        <w:rPr>
          <w:color w:val="000000" w:themeColor="text1"/>
          <w:szCs w:val="22"/>
          <w:shd w:val="clear" w:color="auto" w:fill="FFFFFF"/>
        </w:rPr>
        <w:t xml:space="preserve">covered in adsorbed CO. Perhaps more significantly is </w:t>
      </w:r>
      <w:r w:rsidR="00E627B7">
        <w:rPr>
          <w:color w:val="000000" w:themeColor="text1"/>
          <w:szCs w:val="22"/>
          <w:shd w:val="clear" w:color="auto" w:fill="FFFFFF"/>
        </w:rPr>
        <w:t>the</w:t>
      </w:r>
      <w:r w:rsidR="00E627B7" w:rsidRPr="00EC6E98">
        <w:rPr>
          <w:color w:val="000000" w:themeColor="text1"/>
          <w:szCs w:val="22"/>
          <w:shd w:val="clear" w:color="auto" w:fill="FFFFFF"/>
        </w:rPr>
        <w:t xml:space="preserve"> </w:t>
      </w:r>
      <w:r w:rsidRPr="00EC6E98">
        <w:rPr>
          <w:color w:val="000000" w:themeColor="text1"/>
          <w:szCs w:val="22"/>
          <w:shd w:val="clear" w:color="auto" w:fill="FFFFFF"/>
        </w:rPr>
        <w:t>observation that, when the CO and O</w:t>
      </w:r>
      <w:r w:rsidRPr="00EC6E98">
        <w:rPr>
          <w:color w:val="000000" w:themeColor="text1"/>
          <w:szCs w:val="22"/>
          <w:shd w:val="clear" w:color="auto" w:fill="FFFFFF"/>
          <w:vertAlign w:val="subscript"/>
        </w:rPr>
        <w:t>2</w:t>
      </w:r>
      <w:r w:rsidRPr="00EC6E98">
        <w:rPr>
          <w:color w:val="000000" w:themeColor="text1"/>
          <w:szCs w:val="22"/>
          <w:shd w:val="clear" w:color="auto" w:fill="FFFFFF"/>
        </w:rPr>
        <w:t xml:space="preserve"> chemical potentials are similar a mixed phase is predicted where CO populates CUS sites and O populates bridge sites. In Ref. </w:t>
      </w:r>
      <w:r>
        <w:rPr>
          <w:color w:val="000000" w:themeColor="text1"/>
          <w:szCs w:val="22"/>
          <w:shd w:val="clear" w:color="auto" w:fill="FFFFFF"/>
        </w:rPr>
        <w:fldChar w:fldCharType="begin"/>
      </w:r>
      <w:r w:rsidR="00FC5BEB">
        <w:rPr>
          <w:color w:val="000000" w:themeColor="text1"/>
          <w:szCs w:val="22"/>
          <w:shd w:val="clear" w:color="auto" w:fill="FFFFFF"/>
        </w:rPr>
        <w:instrText xml:space="preserve"> ADDIN EN.CITE &lt;EndNote&gt;&lt;Cite&gt;&lt;Author&gt;Reuter&lt;/Author&gt;&lt;Year&gt;2003&lt;/Year&gt;&lt;RecNum&gt;116&lt;/RecNum&gt;&lt;DisplayText&gt;&lt;style face="superscript"&gt;118&lt;/style&gt;&lt;/DisplayText&gt;&lt;record&gt;&lt;rec-number&gt;116&lt;/rec-number&gt;&lt;foreign-keys&gt;&lt;key app="EN" db-id="2xex0erf4eexr4e2dpbxpdd829xttesxxxdr" timestamp="1715075296"&gt;116&lt;/key&gt;&lt;/foreign-keys&gt;&lt;ref-type name="Journal Article"&gt;17&lt;/ref-type&gt;&lt;contributors&gt;&lt;authors&gt;&lt;author&gt;Reuter, Karsten&lt;/author&gt;&lt;author&gt;Scheffler, Matthias&lt;/author&gt;&lt;/authors&gt;&lt;/contributors&gt;&lt;titles&gt;&lt;title&gt;First-Principles Atomistic Thermodynamics for Oxidation Catalysis: Surface Phase Diagrams and Catalytically Interesting Regions&lt;/title&gt;&lt;secondary-title&gt;Physical Review Letters&lt;/secondary-title&gt;&lt;/titles&gt;&lt;periodical&gt;&lt;full-title&gt;Physical Review Letters&lt;/full-title&gt;&lt;abbr-1&gt;Phys. Rev. Lett.&lt;/abbr-1&gt;&lt;abbr-2&gt;Phys Rev Lett&lt;/abbr-2&gt;&lt;/periodical&gt;&lt;pages&gt;046103&lt;/pages&gt;&lt;volume&gt;90&lt;/volume&gt;&lt;number&gt;4&lt;/number&gt;&lt;dates&gt;&lt;year&gt;2003&lt;/year&gt;&lt;pub-dates&gt;&lt;date&gt;01/30/&lt;/date&gt;&lt;/pub-dates&gt;&lt;/dates&gt;&lt;publisher&gt;American Physical Society&lt;/publisher&gt;&lt;urls&gt;&lt;related-urls&gt;&lt;url&gt;https://link.aps.org/doi/10.1103/PhysRevLett.90.046103&lt;/url&gt;&lt;/related-urls&gt;&lt;/urls&gt;&lt;electronic-resource-num&gt;10.1103/PhysRevLett.90.046103&lt;/electronic-resource-num&gt;&lt;/record&gt;&lt;/Cite&gt;&lt;/EndNote&gt;</w:instrText>
      </w:r>
      <w:r>
        <w:rPr>
          <w:color w:val="000000" w:themeColor="text1"/>
          <w:szCs w:val="22"/>
          <w:shd w:val="clear" w:color="auto" w:fill="FFFFFF"/>
        </w:rPr>
        <w:fldChar w:fldCharType="separate"/>
      </w:r>
      <w:r w:rsidR="00FC5BEB" w:rsidRPr="00FC5BEB">
        <w:rPr>
          <w:noProof/>
          <w:color w:val="000000" w:themeColor="text1"/>
          <w:szCs w:val="22"/>
          <w:shd w:val="clear" w:color="auto" w:fill="FFFFFF"/>
          <w:vertAlign w:val="superscript"/>
        </w:rPr>
        <w:t>118</w:t>
      </w:r>
      <w:r>
        <w:rPr>
          <w:color w:val="000000" w:themeColor="text1"/>
          <w:szCs w:val="22"/>
          <w:shd w:val="clear" w:color="auto" w:fill="FFFFFF"/>
        </w:rPr>
        <w:fldChar w:fldCharType="end"/>
      </w:r>
      <w:r w:rsidRPr="00EC6E98">
        <w:rPr>
          <w:color w:val="000000" w:themeColor="text1"/>
          <w:szCs w:val="22"/>
          <w:shd w:val="clear" w:color="auto" w:fill="FFFFFF"/>
        </w:rPr>
        <w:t xml:space="preserve"> the authors argue this wide mixed phase region is catalytically interesting since both reactants are present on the surface and can therefor</w:t>
      </w:r>
      <w:r>
        <w:rPr>
          <w:color w:val="000000" w:themeColor="text1"/>
          <w:szCs w:val="22"/>
          <w:shd w:val="clear" w:color="auto" w:fill="FFFFFF"/>
        </w:rPr>
        <w:t>e</w:t>
      </w:r>
      <w:r w:rsidRPr="00EC6E98">
        <w:rPr>
          <w:color w:val="000000" w:themeColor="text1"/>
          <w:szCs w:val="22"/>
          <w:shd w:val="clear" w:color="auto" w:fill="FFFFFF"/>
        </w:rPr>
        <w:t xml:space="preserve"> react through a Langmuir–Hinshelwood mechanism. However, one must keep in mind this phase diagram was created under the assumption of constrained equilibrium wherein: </w:t>
      </w:r>
      <w:proofErr w:type="spellStart"/>
      <w:r w:rsidRPr="00EC6E98">
        <w:rPr>
          <w:color w:val="000000" w:themeColor="text1"/>
          <w:szCs w:val="22"/>
          <w:shd w:val="clear" w:color="auto" w:fill="FFFFFF"/>
        </w:rPr>
        <w:t>i</w:t>
      </w:r>
      <w:proofErr w:type="spellEnd"/>
      <w:r w:rsidRPr="00EC6E98">
        <w:rPr>
          <w:color w:val="000000" w:themeColor="text1"/>
          <w:szCs w:val="22"/>
          <w:shd w:val="clear" w:color="auto" w:fill="FFFFFF"/>
        </w:rPr>
        <w:t>) CO</w:t>
      </w:r>
      <w:r w:rsidRPr="00EC6E98">
        <w:rPr>
          <w:color w:val="000000" w:themeColor="text1"/>
          <w:szCs w:val="22"/>
          <w:shd w:val="clear" w:color="auto" w:fill="FFFFFF"/>
          <w:vertAlign w:val="subscript"/>
        </w:rPr>
        <w:t>2</w:t>
      </w:r>
      <w:r w:rsidRPr="00EC6E98">
        <w:rPr>
          <w:color w:val="000000" w:themeColor="text1"/>
          <w:szCs w:val="22"/>
          <w:shd w:val="clear" w:color="auto" w:fill="FFFFFF"/>
        </w:rPr>
        <w:t xml:space="preserve"> cannot be formed in the gas-phase and ii) CO</w:t>
      </w:r>
      <w:r w:rsidRPr="00EC6E98">
        <w:rPr>
          <w:color w:val="000000" w:themeColor="text1"/>
          <w:szCs w:val="22"/>
          <w:shd w:val="clear" w:color="auto" w:fill="FFFFFF"/>
          <w:vertAlign w:val="subscript"/>
        </w:rPr>
        <w:t>2</w:t>
      </w:r>
      <w:r w:rsidRPr="00EC6E98">
        <w:rPr>
          <w:color w:val="000000" w:themeColor="text1"/>
          <w:szCs w:val="22"/>
          <w:shd w:val="clear" w:color="auto" w:fill="FFFFFF"/>
        </w:rPr>
        <w:t xml:space="preserve"> formation on the surface is slower than the adsorption/desorption of any species. The second of these assumptions begins to break</w:t>
      </w:r>
      <w:r w:rsidR="003B25E3">
        <w:rPr>
          <w:color w:val="000000" w:themeColor="text1"/>
          <w:szCs w:val="22"/>
          <w:shd w:val="clear" w:color="auto" w:fill="FFFFFF"/>
        </w:rPr>
        <w:t xml:space="preserve"> </w:t>
      </w:r>
      <w:r w:rsidRPr="00EC6E98">
        <w:rPr>
          <w:color w:val="000000" w:themeColor="text1"/>
          <w:szCs w:val="22"/>
          <w:shd w:val="clear" w:color="auto" w:fill="FFFFFF"/>
        </w:rPr>
        <w:t xml:space="preserve">down near the phase boundaries that are shaded white in </w:t>
      </w:r>
      <w:r w:rsidR="00DB17F2">
        <w:rPr>
          <w:color w:val="000000" w:themeColor="text1"/>
          <w:szCs w:val="22"/>
          <w:shd w:val="clear" w:color="auto" w:fill="FFFFFF"/>
        </w:rPr>
        <w:fldChar w:fldCharType="begin"/>
      </w:r>
      <w:r w:rsidR="00DB17F2">
        <w:rPr>
          <w:color w:val="000000" w:themeColor="text1"/>
          <w:szCs w:val="22"/>
          <w:shd w:val="clear" w:color="auto" w:fill="FFFFFF"/>
        </w:rPr>
        <w:instrText xml:space="preserve"> REF _Ref159509667 \h </w:instrText>
      </w:r>
      <w:r w:rsidR="00DB17F2">
        <w:rPr>
          <w:color w:val="000000" w:themeColor="text1"/>
          <w:szCs w:val="22"/>
          <w:shd w:val="clear" w:color="auto" w:fill="FFFFFF"/>
        </w:rPr>
      </w:r>
      <w:r w:rsidR="00DB17F2">
        <w:rPr>
          <w:color w:val="000000" w:themeColor="text1"/>
          <w:szCs w:val="22"/>
          <w:shd w:val="clear" w:color="auto" w:fill="FFFFFF"/>
        </w:rPr>
        <w:fldChar w:fldCharType="separate"/>
      </w:r>
      <w:r w:rsidR="00536CF0" w:rsidRPr="00DB17F2">
        <w:rPr>
          <w:b/>
          <w:bCs/>
        </w:rPr>
        <w:t xml:space="preserve">Figure </w:t>
      </w:r>
      <w:r w:rsidR="00536CF0">
        <w:rPr>
          <w:b/>
          <w:bCs/>
          <w:noProof/>
        </w:rPr>
        <w:t>10</w:t>
      </w:r>
      <w:r w:rsidR="00DB17F2">
        <w:rPr>
          <w:color w:val="000000" w:themeColor="text1"/>
          <w:szCs w:val="22"/>
          <w:shd w:val="clear" w:color="auto" w:fill="FFFFFF"/>
        </w:rPr>
        <w:fldChar w:fldCharType="end"/>
      </w:r>
      <w:r w:rsidRPr="00EC6E98">
        <w:rPr>
          <w:color w:val="000000" w:themeColor="text1"/>
          <w:szCs w:val="22"/>
          <w:shd w:val="clear" w:color="auto" w:fill="FFFFFF"/>
        </w:rPr>
        <w:t>, and kinetic effects lead to significant deviations from the predictions</w:t>
      </w:r>
      <w:r>
        <w:rPr>
          <w:color w:val="000000" w:themeColor="text1"/>
          <w:szCs w:val="22"/>
          <w:shd w:val="clear" w:color="auto" w:fill="FFFFFF"/>
        </w:rPr>
        <w:fldChar w:fldCharType="begin"/>
      </w:r>
      <w:r w:rsidR="00FC5BEB">
        <w:rPr>
          <w:color w:val="000000" w:themeColor="text1"/>
          <w:szCs w:val="22"/>
          <w:shd w:val="clear" w:color="auto" w:fill="FFFFFF"/>
        </w:rPr>
        <w:instrText xml:space="preserve"> ADDIN EN.CITE &lt;EndNote&gt;&lt;Cite&gt;&lt;Author&gt;Reuter&lt;/Author&gt;&lt;Year&gt;2005&lt;/Year&gt;&lt;RecNum&gt;106&lt;/RecNum&gt;&lt;DisplayText&gt;&lt;style face="superscript"&gt;108&lt;/style&gt;&lt;/DisplayText&gt;&lt;record&gt;&lt;rec-number&gt;106&lt;/rec-number&gt;&lt;foreign-keys&gt;&lt;key app="EN" db-id="2xex0erf4eexr4e2dpbxpdd829xttesxxxdr" timestamp="1715075296"&gt;106&lt;/key&gt;&lt;/foreign-keys&gt;&lt;ref-type name="Book Section"&gt;5&lt;/ref-type&gt;&lt;contributors&gt;&lt;authors&gt;&lt;author&gt;Reuter, Karsten&lt;/author&gt;&lt;author&gt;Stampf, Catherine&lt;/author&gt;&lt;author&gt;Scheffler, Matthias&lt;/author&gt;&lt;/authors&gt;&lt;secondary-authors&gt;&lt;author&gt;Yip, Sidney&lt;/author&gt;&lt;/secondary-authors&gt;&lt;/contributors&gt;&lt;titles&gt;&lt;title&gt;AB Initio Atomistic Thermodynamics and Statistical Mechanics of Surface Properties and Functions&lt;/title&gt;&lt;secondary-title&gt;Handbook of Materials Modeling: Methods&lt;/secondary-title&gt;&lt;/titles&gt;&lt;pages&gt;149-194&lt;/pages&gt;&lt;dates&gt;&lt;year&gt;2005&lt;/year&gt;&lt;pub-dates&gt;&lt;date&gt;2005//&lt;/date&gt;&lt;/pub-dates&gt;&lt;/dates&gt;&lt;pub-location&gt;Dordrecht&lt;/pub-location&gt;&lt;publisher&gt;Springer Netherlands&lt;/publisher&gt;&lt;isbn&gt;978-1-4020-3286-8&lt;/isbn&gt;&lt;urls&gt;&lt;related-urls&gt;&lt;url&gt;https://doi.org/10.1007/978-1-4020-3286-8_10&lt;/url&gt;&lt;/related-urls&gt;&lt;/urls&gt;&lt;electronic-resource-num&gt;10.1007/978-1-4020-3286-8_10&lt;/electronic-resource-num&gt;&lt;/record&gt;&lt;/Cite&gt;&lt;/EndNote&gt;</w:instrText>
      </w:r>
      <w:r>
        <w:rPr>
          <w:color w:val="000000" w:themeColor="text1"/>
          <w:szCs w:val="22"/>
          <w:shd w:val="clear" w:color="auto" w:fill="FFFFFF"/>
        </w:rPr>
        <w:fldChar w:fldCharType="separate"/>
      </w:r>
      <w:r w:rsidR="00FC5BEB" w:rsidRPr="00FC5BEB">
        <w:rPr>
          <w:noProof/>
          <w:color w:val="000000" w:themeColor="text1"/>
          <w:szCs w:val="22"/>
          <w:shd w:val="clear" w:color="auto" w:fill="FFFFFF"/>
          <w:vertAlign w:val="superscript"/>
        </w:rPr>
        <w:t>108</w:t>
      </w:r>
      <w:r>
        <w:rPr>
          <w:color w:val="000000" w:themeColor="text1"/>
          <w:szCs w:val="22"/>
          <w:shd w:val="clear" w:color="auto" w:fill="FFFFFF"/>
        </w:rPr>
        <w:fldChar w:fldCharType="end"/>
      </w:r>
      <w:r w:rsidRPr="00EC6E98">
        <w:rPr>
          <w:color w:val="000000" w:themeColor="text1"/>
          <w:szCs w:val="22"/>
          <w:shd w:val="clear" w:color="auto" w:fill="FFFFFF"/>
        </w:rPr>
        <w:t>. The thermodynamic approach can then, at best, be used to identify these kinetically interesting regions of a phase diagram. We will see</w:t>
      </w:r>
      <w:r w:rsidR="00E627B7">
        <w:rPr>
          <w:color w:val="000000" w:themeColor="text1"/>
          <w:szCs w:val="22"/>
          <w:shd w:val="clear" w:color="auto" w:fill="FFFFFF"/>
        </w:rPr>
        <w:t xml:space="preserve"> that</w:t>
      </w:r>
      <w:r w:rsidRPr="00EC6E98">
        <w:rPr>
          <w:color w:val="000000" w:themeColor="text1"/>
          <w:szCs w:val="22"/>
          <w:shd w:val="clear" w:color="auto" w:fill="FFFFFF"/>
        </w:rPr>
        <w:t xml:space="preserve"> the assumptions of constrained equilibrium are critical when studying the OER with an </w:t>
      </w:r>
      <w:r w:rsidRPr="00EC6E98">
        <w:rPr>
          <w:i/>
          <w:iCs/>
          <w:color w:val="000000" w:themeColor="text1"/>
          <w:szCs w:val="22"/>
          <w:shd w:val="clear" w:color="auto" w:fill="FFFFFF"/>
        </w:rPr>
        <w:t xml:space="preserve">ab initio </w:t>
      </w:r>
      <w:r w:rsidRPr="00EC6E98">
        <w:rPr>
          <w:color w:val="000000" w:themeColor="text1"/>
          <w:szCs w:val="22"/>
          <w:shd w:val="clear" w:color="auto" w:fill="FFFFFF"/>
        </w:rPr>
        <w:t>atomistic thermodynamic approach.</w:t>
      </w:r>
    </w:p>
    <w:p w14:paraId="3BDBC805" w14:textId="77777777" w:rsidR="00594FAE" w:rsidRPr="00EC6E98" w:rsidRDefault="00594FAE" w:rsidP="00594FAE">
      <w:pPr>
        <w:rPr>
          <w:color w:val="000000" w:themeColor="text1"/>
          <w:szCs w:val="22"/>
          <w:shd w:val="clear" w:color="auto" w:fill="FFFFFF"/>
        </w:rPr>
      </w:pPr>
    </w:p>
    <w:p w14:paraId="6B165D74" w14:textId="17F9E50B" w:rsidR="00594FAE" w:rsidRPr="00B47883" w:rsidRDefault="00594FAE" w:rsidP="00594FAE">
      <w:pPr>
        <w:rPr>
          <w:color w:val="000000" w:themeColor="text1"/>
          <w:szCs w:val="22"/>
        </w:rPr>
      </w:pPr>
      <w:r w:rsidRPr="00EC6E98">
        <w:rPr>
          <w:color w:val="000000" w:themeColor="text1"/>
          <w:szCs w:val="22"/>
        </w:rPr>
        <w:tab/>
        <w:t xml:space="preserve">From the preceding examples and discussions, it can be seen that </w:t>
      </w:r>
      <w:r w:rsidRPr="00EC6E98">
        <w:rPr>
          <w:i/>
          <w:iCs/>
          <w:color w:val="000000" w:themeColor="text1"/>
          <w:szCs w:val="22"/>
        </w:rPr>
        <w:t>ab initio</w:t>
      </w:r>
      <w:r w:rsidRPr="00EC6E98">
        <w:rPr>
          <w:color w:val="000000" w:themeColor="text1"/>
          <w:szCs w:val="22"/>
        </w:rPr>
        <w:t xml:space="preserve"> atomistic thermodynamics is a powerful and flexible computational tool. We saw the accuracy of the method can be systematically improved by including additional contributions to the free energy, e.g. vibrational free energy</w:t>
      </w:r>
      <w:r>
        <w:rPr>
          <w:color w:val="000000" w:themeColor="text1"/>
          <w:szCs w:val="22"/>
        </w:rPr>
        <w:fldChar w:fldCharType="begin"/>
      </w:r>
      <w:r w:rsidR="00FC5BEB">
        <w:rPr>
          <w:color w:val="000000" w:themeColor="text1"/>
          <w:szCs w:val="22"/>
        </w:rPr>
        <w:instrText xml:space="preserve"> ADDIN EN.CITE &lt;EndNote&gt;&lt;Cite&gt;&lt;Author&gt;Reuter&lt;/Author&gt;&lt;Year&gt;2005&lt;/Year&gt;&lt;RecNum&gt;106&lt;/RecNum&gt;&lt;DisplayText&gt;&lt;style face="superscript"&gt;108&lt;/style&gt;&lt;/DisplayText&gt;&lt;record&gt;&lt;rec-number&gt;106&lt;/rec-number&gt;&lt;foreign-keys&gt;&lt;key app="EN" db-id="2xex0erf4eexr4e2dpbxpdd829xttesxxxdr" timestamp="1715075296"&gt;106&lt;/key&gt;&lt;/foreign-keys&gt;&lt;ref-type name="Book Section"&gt;5&lt;/ref-type&gt;&lt;contributors&gt;&lt;authors&gt;&lt;author&gt;Reuter, Karsten&lt;/author&gt;&lt;author&gt;Stampf, Catherine&lt;/author&gt;&lt;author&gt;Scheffler, Matthias&lt;/author&gt;&lt;/authors&gt;&lt;secondary-authors&gt;&lt;author&gt;Yip, Sidney&lt;/author&gt;&lt;/secondary-authors&gt;&lt;/contributors&gt;&lt;titles&gt;&lt;title&gt;AB Initio Atomistic Thermodynamics and Statistical Mechanics of Surface Properties and Functions&lt;/title&gt;&lt;secondary-title&gt;Handbook of Materials Modeling: Methods&lt;/secondary-title&gt;&lt;/titles&gt;&lt;pages&gt;149-194&lt;/pages&gt;&lt;dates&gt;&lt;year&gt;2005&lt;/year&gt;&lt;pub-dates&gt;&lt;date&gt;2005//&lt;/date&gt;&lt;/pub-dates&gt;&lt;/dates&gt;&lt;pub-location&gt;Dordrecht&lt;/pub-location&gt;&lt;publisher&gt;Springer Netherlands&lt;/publisher&gt;&lt;isbn&gt;978-1-4020-3286-8&lt;/isbn&gt;&lt;urls&gt;&lt;related-urls&gt;&lt;url&gt;https://doi.org/10.1007/978-1-4020-3286-8_10&lt;/url&gt;&lt;/related-urls&gt;&lt;/urls&gt;&lt;electronic-resource-num&gt;10.1007/978-1-4020-3286-8_10&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108</w:t>
      </w:r>
      <w:r>
        <w:rPr>
          <w:color w:val="000000" w:themeColor="text1"/>
          <w:szCs w:val="22"/>
        </w:rPr>
        <w:fldChar w:fldCharType="end"/>
      </w:r>
      <w:r w:rsidRPr="00EC6E98">
        <w:rPr>
          <w:color w:val="000000" w:themeColor="text1"/>
          <w:szCs w:val="22"/>
        </w:rPr>
        <w:t xml:space="preserve">, which makes </w:t>
      </w:r>
      <w:r w:rsidRPr="00EC6E98">
        <w:rPr>
          <w:i/>
          <w:iCs/>
          <w:color w:val="000000" w:themeColor="text1"/>
          <w:szCs w:val="22"/>
        </w:rPr>
        <w:t>ab initio</w:t>
      </w:r>
      <w:r w:rsidRPr="00EC6E98">
        <w:rPr>
          <w:color w:val="000000" w:themeColor="text1"/>
          <w:szCs w:val="22"/>
        </w:rPr>
        <w:t xml:space="preserve"> atomistic thermodynamics particularly attractive for electrochemical applications where various levels of model complexity can be envisioned and explored. We also saw how careful use of constrained equilibrium conditions can be used to garner </w:t>
      </w:r>
      <w:r w:rsidRPr="00EC6E98">
        <w:rPr>
          <w:color w:val="000000" w:themeColor="text1"/>
          <w:szCs w:val="22"/>
        </w:rPr>
        <w:lastRenderedPageBreak/>
        <w:t xml:space="preserve">some insight into reactive chemistry by pushing </w:t>
      </w:r>
      <w:r w:rsidRPr="00EC6E98">
        <w:rPr>
          <w:i/>
          <w:iCs/>
          <w:color w:val="000000" w:themeColor="text1"/>
          <w:szCs w:val="22"/>
        </w:rPr>
        <w:t>ab initio</w:t>
      </w:r>
      <w:r w:rsidRPr="00EC6E98">
        <w:rPr>
          <w:color w:val="000000" w:themeColor="text1"/>
          <w:szCs w:val="22"/>
        </w:rPr>
        <w:t xml:space="preserve"> atomistic thermodynamics from a true thermodynamic model to a useful though</w:t>
      </w:r>
      <w:r>
        <w:rPr>
          <w:color w:val="000000" w:themeColor="text1"/>
          <w:szCs w:val="22"/>
        </w:rPr>
        <w:t>t</w:t>
      </w:r>
      <w:r w:rsidRPr="00EC6E98">
        <w:rPr>
          <w:color w:val="000000" w:themeColor="text1"/>
          <w:szCs w:val="22"/>
        </w:rPr>
        <w:t xml:space="preserve"> experiment to gain insight into the structure of a catalyst surface under reactive conditions where complete thermodynamic cannot be attained. We now turn to the development of </w:t>
      </w:r>
      <w:r w:rsidRPr="00EC6E98">
        <w:rPr>
          <w:i/>
          <w:iCs/>
          <w:color w:val="000000" w:themeColor="text1"/>
          <w:szCs w:val="22"/>
        </w:rPr>
        <w:t>ab initio</w:t>
      </w:r>
      <w:r w:rsidRPr="00EC6E98">
        <w:rPr>
          <w:color w:val="000000" w:themeColor="text1"/>
          <w:szCs w:val="22"/>
        </w:rPr>
        <w:t xml:space="preserve"> atomistic thermodynamics for electrochemistry, the computational hydrogen electrode.</w:t>
      </w:r>
    </w:p>
    <w:p w14:paraId="540C2C64" w14:textId="6DC61F65" w:rsidR="00594FAE" w:rsidRPr="00EC6E98" w:rsidRDefault="00594FAE" w:rsidP="00BC7855">
      <w:pPr>
        <w:pStyle w:val="Heading2"/>
      </w:pPr>
      <w:bookmarkStart w:id="65" w:name="_Toc166441734"/>
      <w:r w:rsidRPr="00EC6E98">
        <w:t>Development of the computational hydrogen electrode</w:t>
      </w:r>
      <w:bookmarkEnd w:id="65"/>
    </w:p>
    <w:p w14:paraId="720FDEE7" w14:textId="77777777" w:rsidR="00594FAE" w:rsidRPr="00EC6E98" w:rsidRDefault="00594FAE" w:rsidP="00594FAE">
      <w:pPr>
        <w:rPr>
          <w:iCs/>
          <w:color w:val="000000" w:themeColor="text1"/>
          <w:szCs w:val="22"/>
          <w:shd w:val="clear" w:color="auto" w:fill="FFFFFF"/>
        </w:rPr>
      </w:pPr>
    </w:p>
    <w:p w14:paraId="65E7374E" w14:textId="6FF43A7B" w:rsidR="00594FAE" w:rsidRPr="00EC6E98" w:rsidRDefault="00594FAE" w:rsidP="00594FAE">
      <w:pPr>
        <w:ind w:firstLine="720"/>
        <w:rPr>
          <w:color w:val="000000" w:themeColor="text1"/>
          <w:szCs w:val="22"/>
        </w:rPr>
      </w:pPr>
      <w:r w:rsidRPr="00EC6E98">
        <w:rPr>
          <w:iCs/>
          <w:color w:val="000000" w:themeColor="text1"/>
          <w:szCs w:val="22"/>
          <w:shd w:val="clear" w:color="auto" w:fill="FFFFFF"/>
        </w:rPr>
        <w:t xml:space="preserve">The CHE builds on traditional gas-phase </w:t>
      </w:r>
      <w:r w:rsidRPr="00EC6E98">
        <w:rPr>
          <w:i/>
          <w:iCs/>
          <w:color w:val="000000" w:themeColor="text1"/>
          <w:szCs w:val="22"/>
        </w:rPr>
        <w:t xml:space="preserve">ab initio </w:t>
      </w:r>
      <w:r w:rsidRPr="00EC6E98">
        <w:rPr>
          <w:color w:val="000000" w:themeColor="text1"/>
          <w:szCs w:val="22"/>
        </w:rPr>
        <w:t>atomistic thermodynamics by linking DFT total energies to an experimental electrode scale. This was first done to study the ORR on platinum electrodes in Ref.</w:t>
      </w:r>
      <w:r>
        <w:rPr>
          <w:color w:val="000000" w:themeColor="text1"/>
          <w:szCs w:val="22"/>
        </w:rPr>
        <w:t xml:space="preserve"> </w:t>
      </w:r>
      <w:r>
        <w:rPr>
          <w:color w:val="000000" w:themeColor="text1"/>
          <w:szCs w:val="22"/>
        </w:rPr>
        <w:fldChar w:fldCharType="begin"/>
      </w:r>
      <w:r w:rsidR="009F6662">
        <w:rPr>
          <w:color w:val="000000" w:themeColor="text1"/>
          <w:szCs w:val="22"/>
        </w:rPr>
        <w:instrText xml:space="preserve"> ADDIN EN.CITE &lt;EndNote&gt;&lt;Cite&gt;&lt;Author&gt;Nørskov&lt;/Author&gt;&lt;Year&gt;2004&lt;/Year&gt;&lt;RecNum&gt;59&lt;/RecNum&gt;&lt;DisplayText&gt;&lt;style face="superscript"&gt;59&lt;/style&gt;&lt;/DisplayText&gt;&lt;record&gt;&lt;rec-number&gt;59&lt;/rec-number&gt;&lt;foreign-keys&gt;&lt;key app="EN" db-id="2xex0erf4eexr4e2dpbxpdd829xttesxxxdr" timestamp="1715075296"&gt;59&lt;/key&gt;&lt;/foreign-keys&gt;&lt;ref-type name="Journal Article"&gt;17&lt;/ref-type&gt;&lt;contributors&gt;&lt;authors&gt;&lt;author&gt;Nørskov, J. K.&lt;/author&gt;&lt;author&gt;Rossmeisl, J.&lt;/author&gt;&lt;author&gt;Logadottir, A.&lt;/author&gt;&lt;author&gt;Lindqvist, L.&lt;/author&gt;&lt;author&gt;Kitchin, J. R.&lt;/author&gt;&lt;author&gt;Bligaard, T.&lt;/author&gt;&lt;author&gt;Jónsson, H.&lt;/author&gt;&lt;/authors&gt;&lt;/contributors&gt;&lt;titles&gt;&lt;title&gt;Origin of the Overpotential for Oxygen Reduction at a Fuel-Cell Cathode&lt;/title&gt;&lt;secondary-title&gt;Journal of Physical Chemistry B&lt;/secondary-title&gt;&lt;/titles&gt;&lt;periodical&gt;&lt;full-title&gt;Journal of Physical Chemistry B&lt;/full-title&gt;&lt;abbr-1&gt;J. Phys. Chem. B&lt;/abbr-1&gt;&lt;abbr-2&gt;J Phys Chem B&lt;/abbr-2&gt;&lt;/periodical&gt;&lt;pages&gt;17886-17892&lt;/pages&gt;&lt;volume&gt;108&lt;/volume&gt;&lt;number&gt;46&lt;/number&gt;&lt;dates&gt;&lt;year&gt;2004&lt;/year&gt;&lt;pub-dates&gt;&lt;date&gt;2004/11/01&lt;/date&gt;&lt;/pub-dates&gt;&lt;/dates&gt;&lt;publisher&gt;American Chemical Society&lt;/publisher&gt;&lt;isbn&gt;1520-6106&lt;/isbn&gt;&lt;urls&gt;&lt;related-urls&gt;&lt;url&gt;https://doi.org/10.1021/jp047349j&lt;/url&gt;&lt;/related-urls&gt;&lt;/urls&gt;&lt;electronic-resource-num&gt;10.1021/jp047349j&lt;/electronic-resource-num&gt;&lt;/record&gt;&lt;/Cite&gt;&lt;/EndNote&gt;</w:instrText>
      </w:r>
      <w:r>
        <w:rPr>
          <w:color w:val="000000" w:themeColor="text1"/>
          <w:szCs w:val="22"/>
        </w:rPr>
        <w:fldChar w:fldCharType="separate"/>
      </w:r>
      <w:r w:rsidR="009F6662" w:rsidRPr="009F6662">
        <w:rPr>
          <w:noProof/>
          <w:color w:val="000000" w:themeColor="text1"/>
          <w:szCs w:val="22"/>
          <w:vertAlign w:val="superscript"/>
        </w:rPr>
        <w:t>59</w:t>
      </w:r>
      <w:r>
        <w:rPr>
          <w:color w:val="000000" w:themeColor="text1"/>
          <w:szCs w:val="22"/>
        </w:rPr>
        <w:fldChar w:fldCharType="end"/>
      </w:r>
      <w:r w:rsidRPr="00EC6E98">
        <w:rPr>
          <w:color w:val="000000" w:themeColor="text1"/>
          <w:szCs w:val="22"/>
        </w:rPr>
        <w:t>. The key development in the CHE model was the recognition that DFT total energies can be used to define an electrode potential through the 2H</w:t>
      </w:r>
      <w:r w:rsidRPr="00EC6E98">
        <w:rPr>
          <w:color w:val="000000" w:themeColor="text1"/>
          <w:szCs w:val="22"/>
          <w:vertAlign w:val="superscript"/>
        </w:rPr>
        <w:t>+</w:t>
      </w:r>
      <w:r w:rsidRPr="00EC6E98">
        <w:rPr>
          <w:color w:val="000000" w:themeColor="text1"/>
          <w:szCs w:val="22"/>
        </w:rPr>
        <w:t>/H</w:t>
      </w:r>
      <w:r w:rsidRPr="00EC6E98">
        <w:rPr>
          <w:color w:val="000000" w:themeColor="text1"/>
          <w:szCs w:val="22"/>
          <w:vertAlign w:val="subscript"/>
        </w:rPr>
        <w:t>2</w:t>
      </w:r>
      <w:r w:rsidRPr="00EC6E98">
        <w:rPr>
          <w:color w:val="000000" w:themeColor="text1"/>
          <w:szCs w:val="22"/>
        </w:rPr>
        <w:t xml:space="preserve"> redox couple:</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2240E6" w:rsidRPr="002240E6" w14:paraId="7E9DBF7B" w14:textId="77777777" w:rsidTr="00DE0988">
        <w:tc>
          <w:tcPr>
            <w:tcW w:w="7938" w:type="dxa"/>
            <w:tcMar>
              <w:left w:w="28" w:type="dxa"/>
              <w:right w:w="28" w:type="dxa"/>
            </w:tcMar>
            <w:vAlign w:val="center"/>
          </w:tcPr>
          <w:p w14:paraId="23B519BE" w14:textId="3369AB9C" w:rsidR="002240E6" w:rsidRPr="002240E6" w:rsidRDefault="00000000" w:rsidP="00E45E28">
            <w:pPr>
              <w:spacing w:before="60" w:after="60"/>
              <w:rPr>
                <w:bCs/>
                <w:sz w:val="20"/>
                <w:szCs w:val="20"/>
              </w:rPr>
            </w:pPr>
            <m:oMathPara>
              <m:oMath>
                <m:sSub>
                  <m:sSubPr>
                    <m:ctrlPr>
                      <w:rPr>
                        <w:rFonts w:ascii="Cambria Math" w:eastAsiaTheme="minorHAnsi" w:hAnsi="Cambria Math"/>
                        <w:iCs/>
                        <w:color w:val="000000" w:themeColor="text1"/>
                        <w:sz w:val="20"/>
                        <w:szCs w:val="20"/>
                        <w:shd w:val="clear" w:color="auto" w:fill="FFFFFF"/>
                      </w:rPr>
                    </m:ctrlPr>
                  </m:sSubPr>
                  <m:e>
                    <m:f>
                      <m:fPr>
                        <m:ctrlPr>
                          <w:rPr>
                            <w:rFonts w:ascii="Cambria Math" w:eastAsiaTheme="minorHAnsi" w:hAnsi="Cambria Math"/>
                            <w:iCs/>
                            <w:color w:val="000000" w:themeColor="text1"/>
                            <w:sz w:val="20"/>
                            <w:szCs w:val="20"/>
                            <w:shd w:val="clear" w:color="auto" w:fill="FFFFFF"/>
                          </w:rPr>
                        </m:ctrlPr>
                      </m:fPr>
                      <m:num>
                        <m:r>
                          <w:rPr>
                            <w:rFonts w:ascii="Cambria Math" w:hAnsi="Cambria Math"/>
                            <w:color w:val="000000" w:themeColor="text1"/>
                            <w:sz w:val="20"/>
                            <w:szCs w:val="20"/>
                            <w:shd w:val="clear" w:color="auto" w:fill="FFFFFF"/>
                          </w:rPr>
                          <m:t>1</m:t>
                        </m:r>
                      </m:num>
                      <m:den>
                        <m:r>
                          <w:rPr>
                            <w:rFonts w:ascii="Cambria Math" w:hAnsi="Cambria Math"/>
                            <w:color w:val="000000" w:themeColor="text1"/>
                            <w:sz w:val="20"/>
                            <w:szCs w:val="20"/>
                            <w:shd w:val="clear" w:color="auto" w:fill="FFFFFF"/>
                          </w:rPr>
                          <m:t>2</m:t>
                        </m:r>
                      </m:den>
                    </m:f>
                    <m:r>
                      <m:rPr>
                        <m:sty m:val="p"/>
                      </m:rPr>
                      <w:rPr>
                        <w:rFonts w:ascii="Cambria Math" w:hAnsi="Cambria Math"/>
                        <w:color w:val="000000" w:themeColor="text1"/>
                        <w:sz w:val="20"/>
                        <w:szCs w:val="20"/>
                        <w:shd w:val="clear" w:color="auto" w:fill="FFFFFF"/>
                      </w:rPr>
                      <m:t>H</m:t>
                    </m:r>
                  </m:e>
                  <m:sub>
                    <m:r>
                      <m:rPr>
                        <m:sty m:val="p"/>
                      </m:rPr>
                      <w:rPr>
                        <w:rFonts w:ascii="Cambria Math" w:hAnsi="Cambria Math"/>
                        <w:color w:val="000000" w:themeColor="text1"/>
                        <w:sz w:val="20"/>
                        <w:szCs w:val="20"/>
                        <w:shd w:val="clear" w:color="auto" w:fill="FFFFFF"/>
                      </w:rPr>
                      <m:t>2,gas</m:t>
                    </m:r>
                  </m:sub>
                </m:sSub>
                <m:r>
                  <w:rPr>
                    <w:rFonts w:ascii="Cambria Math" w:hAnsi="Cambria Math"/>
                    <w:color w:val="000000" w:themeColor="text1"/>
                    <w:sz w:val="20"/>
                    <w:szCs w:val="20"/>
                    <w:shd w:val="clear" w:color="auto" w:fill="FFFFFF"/>
                  </w:rPr>
                  <m:t>⇌</m:t>
                </m:r>
                <m:sSub>
                  <m:sSubPr>
                    <m:ctrlPr>
                      <w:rPr>
                        <w:rFonts w:ascii="Cambria Math" w:eastAsiaTheme="minorHAnsi" w:hAnsi="Cambria Math"/>
                        <w:color w:val="000000" w:themeColor="text1"/>
                        <w:sz w:val="20"/>
                        <w:szCs w:val="20"/>
                        <w:shd w:val="clear" w:color="auto" w:fill="FFFFFF"/>
                      </w:rPr>
                    </m:ctrlPr>
                  </m:sSubPr>
                  <m:e>
                    <m:sSup>
                      <m:sSupPr>
                        <m:ctrlPr>
                          <w:rPr>
                            <w:rFonts w:ascii="Cambria Math" w:eastAsiaTheme="minorHAnsi" w:hAnsi="Cambria Math"/>
                            <w:color w:val="000000" w:themeColor="text1"/>
                            <w:sz w:val="20"/>
                            <w:szCs w:val="20"/>
                            <w:shd w:val="clear" w:color="auto" w:fill="FFFFFF"/>
                          </w:rPr>
                        </m:ctrlPr>
                      </m:sSupPr>
                      <m:e>
                        <m:r>
                          <m:rPr>
                            <m:sty m:val="p"/>
                          </m:rPr>
                          <w:rPr>
                            <w:rFonts w:ascii="Cambria Math" w:hAnsi="Cambria Math"/>
                            <w:color w:val="000000" w:themeColor="text1"/>
                            <w:sz w:val="20"/>
                            <w:szCs w:val="20"/>
                            <w:shd w:val="clear" w:color="auto" w:fill="FFFFFF"/>
                          </w:rPr>
                          <m:t>H</m:t>
                        </m:r>
                      </m:e>
                      <m:sup>
                        <m:r>
                          <m:rPr>
                            <m:sty m:val="p"/>
                          </m:rPr>
                          <w:rPr>
                            <w:rFonts w:ascii="Cambria Math" w:hAnsi="Cambria Math"/>
                            <w:color w:val="000000" w:themeColor="text1"/>
                            <w:sz w:val="20"/>
                            <w:szCs w:val="20"/>
                            <w:shd w:val="clear" w:color="auto" w:fill="FFFFFF"/>
                          </w:rPr>
                          <m:t>+</m:t>
                        </m:r>
                      </m:sup>
                    </m:sSup>
                  </m:e>
                  <m:sub>
                    <m:r>
                      <w:rPr>
                        <w:rFonts w:ascii="Cambria Math" w:hAnsi="Cambria Math"/>
                        <w:color w:val="000000" w:themeColor="text1"/>
                        <w:sz w:val="20"/>
                        <w:szCs w:val="20"/>
                        <w:shd w:val="clear" w:color="auto" w:fill="FFFFFF"/>
                      </w:rPr>
                      <m:t>aq</m:t>
                    </m:r>
                  </m:sub>
                </m:sSub>
                <m:r>
                  <w:rPr>
                    <w:rFonts w:ascii="Cambria Math" w:hAnsi="Cambria Math"/>
                    <w:color w:val="000000" w:themeColor="text1"/>
                    <w:sz w:val="20"/>
                    <w:szCs w:val="20"/>
                    <w:shd w:val="clear" w:color="auto" w:fill="FFFFFF"/>
                  </w:rPr>
                  <m:t>+</m:t>
                </m:r>
                <m:sSup>
                  <m:sSupPr>
                    <m:ctrlPr>
                      <w:rPr>
                        <w:rFonts w:ascii="Cambria Math" w:eastAsiaTheme="minorHAnsi" w:hAnsi="Cambria Math"/>
                        <w:i/>
                        <w:iCs/>
                        <w:color w:val="000000" w:themeColor="text1"/>
                        <w:sz w:val="20"/>
                        <w:szCs w:val="20"/>
                        <w:shd w:val="clear" w:color="auto" w:fill="FFFFFF"/>
                      </w:rPr>
                    </m:ctrlPr>
                  </m:sSupPr>
                  <m:e>
                    <m:r>
                      <w:rPr>
                        <w:rFonts w:ascii="Cambria Math" w:hAnsi="Cambria Math"/>
                        <w:color w:val="000000" w:themeColor="text1"/>
                        <w:sz w:val="20"/>
                        <w:szCs w:val="20"/>
                        <w:shd w:val="clear" w:color="auto" w:fill="FFFFFF"/>
                      </w:rPr>
                      <m:t>e</m:t>
                    </m:r>
                  </m:e>
                  <m:sup>
                    <m:r>
                      <w:rPr>
                        <w:rFonts w:ascii="Cambria Math" w:hAnsi="Cambria Math"/>
                        <w:color w:val="000000" w:themeColor="text1"/>
                        <w:sz w:val="20"/>
                        <w:szCs w:val="20"/>
                        <w:shd w:val="clear" w:color="auto" w:fill="FFFFFF"/>
                      </w:rPr>
                      <m:t>-</m:t>
                    </m:r>
                  </m:sup>
                </m:sSup>
              </m:oMath>
            </m:oMathPara>
          </w:p>
        </w:tc>
        <w:tc>
          <w:tcPr>
            <w:tcW w:w="1134" w:type="dxa"/>
            <w:tcMar>
              <w:left w:w="28" w:type="dxa"/>
              <w:right w:w="28" w:type="dxa"/>
            </w:tcMar>
            <w:vAlign w:val="center"/>
          </w:tcPr>
          <w:p w14:paraId="75A9653D" w14:textId="04F81D5D" w:rsidR="002240E6" w:rsidRPr="002240E6" w:rsidRDefault="002240E6" w:rsidP="00E45E28">
            <w:pPr>
              <w:keepNext/>
              <w:jc w:val="right"/>
              <w:rPr>
                <w:bCs/>
                <w:sz w:val="20"/>
                <w:szCs w:val="20"/>
              </w:rPr>
            </w:pPr>
            <w:r w:rsidRPr="002240E6">
              <w:rPr>
                <w:sz w:val="20"/>
                <w:szCs w:val="20"/>
              </w:rPr>
              <w:t xml:space="preserve">Equation </w:t>
            </w:r>
            <w:r w:rsidRPr="002240E6">
              <w:rPr>
                <w:sz w:val="20"/>
                <w:szCs w:val="20"/>
              </w:rPr>
              <w:fldChar w:fldCharType="begin"/>
            </w:r>
            <w:r w:rsidRPr="002240E6">
              <w:rPr>
                <w:sz w:val="20"/>
                <w:szCs w:val="20"/>
              </w:rPr>
              <w:instrText xml:space="preserve"> SEQ Equation \* ARABIC </w:instrText>
            </w:r>
            <w:r w:rsidRPr="002240E6">
              <w:rPr>
                <w:sz w:val="20"/>
                <w:szCs w:val="20"/>
              </w:rPr>
              <w:fldChar w:fldCharType="separate"/>
            </w:r>
            <w:r w:rsidR="00536CF0">
              <w:rPr>
                <w:noProof/>
                <w:sz w:val="20"/>
                <w:szCs w:val="20"/>
              </w:rPr>
              <w:t>30</w:t>
            </w:r>
            <w:r w:rsidRPr="002240E6">
              <w:rPr>
                <w:sz w:val="20"/>
                <w:szCs w:val="20"/>
              </w:rPr>
              <w:fldChar w:fldCharType="end"/>
            </w:r>
          </w:p>
        </w:tc>
      </w:tr>
    </w:tbl>
    <w:p w14:paraId="6C7B88E8" w14:textId="77777777" w:rsidR="00594FAE" w:rsidRPr="00EC6E98" w:rsidRDefault="00594FAE" w:rsidP="00594FAE">
      <w:pPr>
        <w:rPr>
          <w:iCs/>
          <w:color w:val="000000" w:themeColor="text1"/>
          <w:szCs w:val="22"/>
          <w:shd w:val="clear" w:color="auto" w:fill="FFFFFF"/>
        </w:rPr>
      </w:pPr>
      <w:r w:rsidRPr="00EC6E98">
        <w:rPr>
          <w:iCs/>
          <w:color w:val="000000" w:themeColor="text1"/>
          <w:szCs w:val="22"/>
          <w:shd w:val="clear" w:color="auto" w:fill="FFFFFF"/>
        </w:rPr>
        <w:t>Since this reaction is equilibrated at zero pH and zero potential (</w:t>
      </w:r>
      <w:r w:rsidRPr="00EC6E98">
        <w:rPr>
          <w:i/>
          <w:color w:val="000000" w:themeColor="text1"/>
          <w:szCs w:val="22"/>
          <w:shd w:val="clear" w:color="auto" w:fill="FFFFFF"/>
        </w:rPr>
        <w:t>U</w:t>
      </w:r>
      <w:r w:rsidRPr="00EC6E98">
        <w:rPr>
          <w:iCs/>
          <w:color w:val="000000" w:themeColor="text1"/>
          <w:szCs w:val="22"/>
          <w:shd w:val="clear" w:color="auto" w:fill="FFFFFF"/>
        </w:rPr>
        <w:t>)</w:t>
      </w:r>
      <w:r w:rsidRPr="00EC6E98">
        <w:rPr>
          <w:i/>
          <w:color w:val="000000" w:themeColor="text1"/>
          <w:szCs w:val="22"/>
          <w:shd w:val="clear" w:color="auto" w:fill="FFFFFF"/>
        </w:rPr>
        <w:t xml:space="preserve"> </w:t>
      </w:r>
      <w:r w:rsidRPr="00EC6E98">
        <w:rPr>
          <w:iCs/>
          <w:color w:val="000000" w:themeColor="text1"/>
          <w:szCs w:val="22"/>
          <w:shd w:val="clear" w:color="auto" w:fill="FFFFFF"/>
        </w:rPr>
        <w:t xml:space="preserve">on the standard hydrogen electrode (SHE) scale, the energy of the proton/electron pair at pH=0 and </w:t>
      </w:r>
      <w:r w:rsidRPr="00EC6E98">
        <w:rPr>
          <w:i/>
          <w:color w:val="000000" w:themeColor="text1"/>
          <w:szCs w:val="22"/>
          <w:shd w:val="clear" w:color="auto" w:fill="FFFFFF"/>
        </w:rPr>
        <w:t>U</w:t>
      </w:r>
      <w:r w:rsidRPr="00EC6E98">
        <w:rPr>
          <w:iCs/>
          <w:color w:val="000000" w:themeColor="text1"/>
          <w:szCs w:val="22"/>
          <w:shd w:val="clear" w:color="auto" w:fill="FFFFFF"/>
        </w:rPr>
        <w:t>=0</w:t>
      </w:r>
      <w:r w:rsidRPr="00EC6E98">
        <w:rPr>
          <w:i/>
          <w:color w:val="000000" w:themeColor="text1"/>
          <w:szCs w:val="22"/>
          <w:shd w:val="clear" w:color="auto" w:fill="FFFFFF"/>
        </w:rPr>
        <w:t xml:space="preserve"> </w:t>
      </w:r>
      <w:r w:rsidRPr="00EC6E98">
        <w:rPr>
          <w:iCs/>
          <w:color w:val="000000" w:themeColor="text1"/>
          <w:szCs w:val="22"/>
          <w:shd w:val="clear" w:color="auto" w:fill="FFFFFF"/>
        </w:rPr>
        <w:t>can be defined as: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7655"/>
        <w:gridCol w:w="1417"/>
      </w:tblGrid>
      <w:tr w:rsidR="002240E6" w:rsidRPr="00DB17F2" w14:paraId="3EDAFE44" w14:textId="77777777" w:rsidTr="008333D5">
        <w:tc>
          <w:tcPr>
            <w:tcW w:w="7655" w:type="dxa"/>
            <w:vAlign w:val="center"/>
          </w:tcPr>
          <w:p w14:paraId="512C9C0F" w14:textId="4F88882B" w:rsidR="002240E6" w:rsidRPr="00DB17F2" w:rsidRDefault="00000000" w:rsidP="003B25E3">
            <w:pPr>
              <w:rPr>
                <w:bCs/>
                <w:sz w:val="20"/>
                <w:szCs w:val="20"/>
              </w:rPr>
            </w:pPr>
            <m:oMathPara>
              <m:oMath>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H+</m:t>
                    </m:r>
                  </m:sub>
                </m:sSub>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e</m:t>
                    </m:r>
                    <m:r>
                      <w:rPr>
                        <w:rFonts w:ascii="Cambria Math" w:hAnsi="Cambria Math"/>
                        <w:color w:val="000000" w:themeColor="text1"/>
                        <w:sz w:val="20"/>
                        <w:szCs w:val="20"/>
                        <w:shd w:val="clear" w:color="auto" w:fill="FFFFFF"/>
                      </w:rPr>
                      <m:t>-</m:t>
                    </m:r>
                  </m:sub>
                </m:sSub>
                <m:r>
                  <w:rPr>
                    <w:rFonts w:ascii="Cambria Math" w:hAnsi="Cambria Math"/>
                    <w:color w:val="000000" w:themeColor="text1"/>
                    <w:sz w:val="20"/>
                    <w:szCs w:val="20"/>
                    <w:shd w:val="clear" w:color="auto" w:fill="FFFFFF"/>
                  </w:rPr>
                  <m:t>=</m:t>
                </m:r>
                <m:f>
                  <m:fPr>
                    <m:ctrlPr>
                      <w:rPr>
                        <w:rFonts w:ascii="Cambria Math" w:hAnsi="Cambria Math"/>
                        <w:i/>
                        <w:iCs/>
                        <w:color w:val="000000" w:themeColor="text1"/>
                        <w:sz w:val="20"/>
                        <w:szCs w:val="20"/>
                        <w:shd w:val="clear" w:color="auto" w:fill="FFFFFF"/>
                      </w:rPr>
                    </m:ctrlPr>
                  </m:fPr>
                  <m:num>
                    <m:r>
                      <w:rPr>
                        <w:rFonts w:ascii="Cambria Math" w:hAnsi="Cambria Math"/>
                        <w:color w:val="000000" w:themeColor="text1"/>
                        <w:sz w:val="20"/>
                        <w:szCs w:val="20"/>
                        <w:shd w:val="clear" w:color="auto" w:fill="FFFFFF"/>
                      </w:rPr>
                      <m:t>1</m:t>
                    </m:r>
                  </m:num>
                  <m:den>
                    <m:r>
                      <w:rPr>
                        <w:rFonts w:ascii="Cambria Math" w:hAnsi="Cambria Math"/>
                        <w:color w:val="000000" w:themeColor="text1"/>
                        <w:sz w:val="20"/>
                        <w:szCs w:val="20"/>
                        <w:shd w:val="clear" w:color="auto" w:fill="FFFFFF"/>
                      </w:rPr>
                      <m:t>2</m:t>
                    </m:r>
                  </m:den>
                </m:f>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H2,gas</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 xml:space="preserve">298.15 K, 1 </m:t>
                    </m:r>
                    <m:r>
                      <m:rPr>
                        <m:sty m:val="p"/>
                      </m:rPr>
                      <w:rPr>
                        <w:rFonts w:ascii="Cambria Math" w:hAnsi="Cambria Math"/>
                        <w:color w:val="000000" w:themeColor="text1"/>
                        <w:sz w:val="20"/>
                        <w:szCs w:val="20"/>
                        <w:shd w:val="clear" w:color="auto" w:fill="FFFFFF"/>
                      </w:rPr>
                      <m:t>atm.</m:t>
                    </m:r>
                  </m:e>
                </m:d>
              </m:oMath>
            </m:oMathPara>
          </w:p>
        </w:tc>
        <w:tc>
          <w:tcPr>
            <w:tcW w:w="1417" w:type="dxa"/>
            <w:vAlign w:val="center"/>
          </w:tcPr>
          <w:p w14:paraId="376BD519" w14:textId="0522922F" w:rsidR="002240E6" w:rsidRPr="00DB17F2" w:rsidRDefault="002240E6" w:rsidP="00E45E28">
            <w:pPr>
              <w:keepNext/>
              <w:jc w:val="right"/>
              <w:rPr>
                <w:bCs/>
                <w:sz w:val="20"/>
                <w:szCs w:val="20"/>
              </w:rPr>
            </w:pPr>
            <w:bookmarkStart w:id="66" w:name="_Ref159508647"/>
            <w:r w:rsidRPr="00DB17F2">
              <w:rPr>
                <w:sz w:val="20"/>
                <w:szCs w:val="20"/>
              </w:rPr>
              <w:t xml:space="preserve">Equation </w:t>
            </w:r>
            <w:r w:rsidRPr="00DB17F2">
              <w:rPr>
                <w:sz w:val="20"/>
                <w:szCs w:val="20"/>
              </w:rPr>
              <w:fldChar w:fldCharType="begin"/>
            </w:r>
            <w:r w:rsidRPr="00DB17F2">
              <w:rPr>
                <w:sz w:val="20"/>
                <w:szCs w:val="20"/>
              </w:rPr>
              <w:instrText xml:space="preserve"> SEQ Equation \* ARABIC </w:instrText>
            </w:r>
            <w:r w:rsidRPr="00DB17F2">
              <w:rPr>
                <w:sz w:val="20"/>
                <w:szCs w:val="20"/>
              </w:rPr>
              <w:fldChar w:fldCharType="separate"/>
            </w:r>
            <w:r w:rsidR="00536CF0">
              <w:rPr>
                <w:noProof/>
                <w:sz w:val="20"/>
                <w:szCs w:val="20"/>
              </w:rPr>
              <w:t>31</w:t>
            </w:r>
            <w:r w:rsidRPr="00DB17F2">
              <w:rPr>
                <w:sz w:val="20"/>
                <w:szCs w:val="20"/>
              </w:rPr>
              <w:fldChar w:fldCharType="end"/>
            </w:r>
            <w:bookmarkEnd w:id="66"/>
          </w:p>
        </w:tc>
      </w:tr>
    </w:tbl>
    <w:p w14:paraId="3DF6AE62" w14:textId="43A357CF" w:rsidR="00594FAE" w:rsidRPr="00EC6E98" w:rsidRDefault="00594FAE" w:rsidP="00594FAE">
      <w:pPr>
        <w:rPr>
          <w:iCs/>
          <w:color w:val="000000" w:themeColor="text1"/>
          <w:szCs w:val="22"/>
          <w:shd w:val="clear" w:color="auto" w:fill="FFFFFF"/>
        </w:rPr>
      </w:pPr>
      <w:r w:rsidRPr="00EC6E98">
        <w:rPr>
          <w:iCs/>
          <w:color w:val="000000" w:themeColor="text1"/>
          <w:szCs w:val="22"/>
          <w:shd w:val="clear" w:color="auto" w:fill="FFFFFF"/>
        </w:rPr>
        <w:t>Note</w:t>
      </w:r>
      <w:r>
        <w:rPr>
          <w:iCs/>
          <w:color w:val="000000" w:themeColor="text1"/>
          <w:szCs w:val="22"/>
          <w:shd w:val="clear" w:color="auto" w:fill="FFFFFF"/>
        </w:rPr>
        <w:t xml:space="preserve"> </w:t>
      </w:r>
      <w:r w:rsidRPr="00EC6E98">
        <w:rPr>
          <w:iCs/>
          <w:color w:val="000000" w:themeColor="text1"/>
          <w:szCs w:val="22"/>
          <w:shd w:val="clear" w:color="auto" w:fill="FFFFFF"/>
        </w:rPr>
        <w:t xml:space="preserve">that the chemical potential of the electron </w:t>
      </w:r>
      <w:r w:rsidRPr="00576F8E">
        <w:rPr>
          <w:iCs/>
          <w:color w:val="000000" w:themeColor="text1"/>
          <w:szCs w:val="22"/>
          <w:shd w:val="clear" w:color="auto" w:fill="FFFFFF"/>
        </w:rPr>
        <w:t xml:space="preserve">in </w:t>
      </w:r>
      <w:r w:rsidR="002240E6" w:rsidRPr="00576F8E">
        <w:rPr>
          <w:iCs/>
          <w:color w:val="000000" w:themeColor="text1"/>
          <w:szCs w:val="22"/>
          <w:shd w:val="clear" w:color="auto" w:fill="FFFFFF"/>
        </w:rPr>
        <w:fldChar w:fldCharType="begin"/>
      </w:r>
      <w:r w:rsidR="002240E6" w:rsidRPr="00576F8E">
        <w:rPr>
          <w:iCs/>
          <w:color w:val="000000" w:themeColor="text1"/>
          <w:szCs w:val="22"/>
          <w:shd w:val="clear" w:color="auto" w:fill="FFFFFF"/>
        </w:rPr>
        <w:instrText xml:space="preserve"> REF _Ref159508647 \h </w:instrText>
      </w:r>
      <w:r w:rsidR="00576F8E">
        <w:rPr>
          <w:iCs/>
          <w:color w:val="000000" w:themeColor="text1"/>
          <w:szCs w:val="22"/>
          <w:shd w:val="clear" w:color="auto" w:fill="FFFFFF"/>
        </w:rPr>
        <w:instrText xml:space="preserve"> \* MERGEFORMAT </w:instrText>
      </w:r>
      <w:r w:rsidR="002240E6" w:rsidRPr="00576F8E">
        <w:rPr>
          <w:iCs/>
          <w:color w:val="000000" w:themeColor="text1"/>
          <w:szCs w:val="22"/>
          <w:shd w:val="clear" w:color="auto" w:fill="FFFFFF"/>
        </w:rPr>
      </w:r>
      <w:r w:rsidR="002240E6" w:rsidRPr="00576F8E">
        <w:rPr>
          <w:iCs/>
          <w:color w:val="000000" w:themeColor="text1"/>
          <w:szCs w:val="22"/>
          <w:shd w:val="clear" w:color="auto" w:fill="FFFFFF"/>
        </w:rPr>
        <w:fldChar w:fldCharType="separate"/>
      </w:r>
      <w:r w:rsidR="00536CF0" w:rsidRPr="00245F0C">
        <w:rPr>
          <w:szCs w:val="22"/>
        </w:rPr>
        <w:t xml:space="preserve">Equation </w:t>
      </w:r>
      <w:r w:rsidR="00536CF0" w:rsidRPr="00245F0C">
        <w:rPr>
          <w:noProof/>
          <w:szCs w:val="22"/>
        </w:rPr>
        <w:t>31</w:t>
      </w:r>
      <w:r w:rsidR="002240E6" w:rsidRPr="00576F8E">
        <w:rPr>
          <w:iCs/>
          <w:color w:val="000000" w:themeColor="text1"/>
          <w:szCs w:val="22"/>
          <w:shd w:val="clear" w:color="auto" w:fill="FFFFFF"/>
        </w:rPr>
        <w:fldChar w:fldCharType="end"/>
      </w:r>
      <w:r w:rsidRPr="00576F8E">
        <w:rPr>
          <w:iCs/>
          <w:color w:val="000000" w:themeColor="text1"/>
          <w:szCs w:val="22"/>
          <w:shd w:val="clear" w:color="auto" w:fill="FFFFFF"/>
        </w:rPr>
        <w:t xml:space="preserve"> is</w:t>
      </w:r>
      <w:r w:rsidRPr="00EC6E98">
        <w:rPr>
          <w:iCs/>
          <w:color w:val="000000" w:themeColor="text1"/>
          <w:szCs w:val="22"/>
          <w:shd w:val="clear" w:color="auto" w:fill="FFFFFF"/>
        </w:rPr>
        <w:t xml:space="preserve"> controlled by the electrode potential; thus, the influence of electrode potential can be captured by including a -</w:t>
      </w:r>
      <w:proofErr w:type="spellStart"/>
      <w:r w:rsidRPr="00EC6E98">
        <w:rPr>
          <w:i/>
          <w:color w:val="000000" w:themeColor="text1"/>
          <w:szCs w:val="22"/>
          <w:shd w:val="clear" w:color="auto" w:fill="FFFFFF"/>
        </w:rPr>
        <w:t>eU</w:t>
      </w:r>
      <w:proofErr w:type="spellEnd"/>
      <w:r w:rsidRPr="00EC6E98">
        <w:rPr>
          <w:iCs/>
          <w:color w:val="000000" w:themeColor="text1"/>
          <w:szCs w:val="22"/>
          <w:shd w:val="clear" w:color="auto" w:fill="FFFFFF"/>
        </w:rPr>
        <w:t xml:space="preserve"> term in the free energy expression. Similarly, Nernstian changes in pH can be captured through the inclusion of a </w:t>
      </w:r>
      <w:proofErr w:type="spellStart"/>
      <w:r w:rsidRPr="00EC6E98">
        <w:rPr>
          <w:i/>
          <w:color w:val="000000" w:themeColor="text1"/>
          <w:szCs w:val="22"/>
          <w:shd w:val="clear" w:color="auto" w:fill="FFFFFF"/>
        </w:rPr>
        <w:t>k</w:t>
      </w:r>
      <w:r w:rsidRPr="00EC6E98">
        <w:rPr>
          <w:iCs/>
          <w:color w:val="000000" w:themeColor="text1"/>
          <w:szCs w:val="22"/>
          <w:shd w:val="clear" w:color="auto" w:fill="FFFFFF"/>
          <w:vertAlign w:val="subscript"/>
        </w:rPr>
        <w:t>B</w:t>
      </w:r>
      <w:r w:rsidRPr="00EC6E98">
        <w:rPr>
          <w:i/>
          <w:color w:val="000000" w:themeColor="text1"/>
          <w:szCs w:val="22"/>
          <w:shd w:val="clear" w:color="auto" w:fill="FFFFFF"/>
        </w:rPr>
        <w:t>T</w:t>
      </w:r>
      <w:proofErr w:type="spellEnd"/>
      <w:r w:rsidRPr="00EC6E98">
        <w:rPr>
          <w:i/>
          <w:color w:val="000000" w:themeColor="text1"/>
          <w:szCs w:val="22"/>
          <w:shd w:val="clear" w:color="auto" w:fill="FFFFFF"/>
        </w:rPr>
        <w:t xml:space="preserve"> </w:t>
      </w:r>
      <w:r w:rsidRPr="00EC6E98">
        <w:rPr>
          <w:iCs/>
          <w:color w:val="000000" w:themeColor="text1"/>
          <w:szCs w:val="22"/>
          <w:shd w:val="clear" w:color="auto" w:fill="FFFFFF"/>
        </w:rPr>
        <w:t>ln (10) pH term to give:</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2240E6" w:rsidRPr="002240E6" w14:paraId="7A41B694" w14:textId="77777777" w:rsidTr="00DE0988">
        <w:tc>
          <w:tcPr>
            <w:tcW w:w="7938" w:type="dxa"/>
            <w:tcMar>
              <w:left w:w="28" w:type="dxa"/>
              <w:right w:w="28" w:type="dxa"/>
            </w:tcMar>
            <w:vAlign w:val="center"/>
          </w:tcPr>
          <w:p w14:paraId="54F6FB93" w14:textId="05C93CF0" w:rsidR="002240E6" w:rsidRPr="002240E6" w:rsidRDefault="00000000" w:rsidP="003B25E3">
            <w:pPr>
              <w:rPr>
                <w:bCs/>
                <w:sz w:val="20"/>
                <w:szCs w:val="20"/>
              </w:rPr>
            </w:pPr>
            <m:oMathPara>
              <m:oMath>
                <m:d>
                  <m:dPr>
                    <m:ctrlPr>
                      <w:rPr>
                        <w:rFonts w:ascii="Cambria Math" w:eastAsiaTheme="minorHAnsi" w:hAnsi="Cambria Math"/>
                        <w:i/>
                        <w:iCs/>
                        <w:color w:val="000000" w:themeColor="text1"/>
                        <w:sz w:val="20"/>
                        <w:szCs w:val="20"/>
                        <w:shd w:val="clear" w:color="auto" w:fill="FFFFFF"/>
                      </w:rPr>
                    </m:ctrlPr>
                  </m:dPr>
                  <m:e>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H+</m:t>
                        </m:r>
                      </m:sub>
                    </m:sSub>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e</m:t>
                        </m:r>
                        <m:r>
                          <w:rPr>
                            <w:rFonts w:ascii="Cambria Math" w:hAnsi="Cambria Math"/>
                            <w:color w:val="000000" w:themeColor="text1"/>
                            <w:sz w:val="20"/>
                            <w:szCs w:val="20"/>
                            <w:shd w:val="clear" w:color="auto" w:fill="FFFFFF"/>
                          </w:rPr>
                          <m:t>-</m:t>
                        </m:r>
                      </m:sub>
                    </m:sSub>
                  </m:e>
                </m:d>
                <m:r>
                  <w:rPr>
                    <w:rFonts w:ascii="Cambria Math" w:hAnsi="Cambria Math"/>
                    <w:color w:val="000000" w:themeColor="text1"/>
                    <w:sz w:val="20"/>
                    <w:szCs w:val="20"/>
                    <w:shd w:val="clear" w:color="auto" w:fill="FFFFFF"/>
                  </w:rPr>
                  <m:t>=</m:t>
                </m:r>
                <m:sSub>
                  <m:sSubPr>
                    <m:ctrlPr>
                      <w:rPr>
                        <w:rFonts w:ascii="Cambria Math" w:hAnsi="Cambria Math"/>
                        <w:i/>
                        <w:color w:val="000000" w:themeColor="text1"/>
                        <w:sz w:val="20"/>
                        <w:szCs w:val="20"/>
                        <w:shd w:val="clear" w:color="auto" w:fill="FFFFFF"/>
                      </w:rPr>
                    </m:ctrlPr>
                  </m:sSubPr>
                  <m:e>
                    <m:f>
                      <m:fPr>
                        <m:ctrlPr>
                          <w:rPr>
                            <w:rFonts w:ascii="Cambria Math" w:eastAsiaTheme="minorHAnsi" w:hAnsi="Cambria Math"/>
                            <w:i/>
                            <w:iCs/>
                            <w:color w:val="000000" w:themeColor="text1"/>
                            <w:sz w:val="20"/>
                            <w:szCs w:val="20"/>
                            <w:shd w:val="clear" w:color="auto" w:fill="FFFFFF"/>
                          </w:rPr>
                        </m:ctrlPr>
                      </m:fPr>
                      <m:num>
                        <m:r>
                          <w:rPr>
                            <w:rFonts w:ascii="Cambria Math" w:hAnsi="Cambria Math"/>
                            <w:color w:val="000000" w:themeColor="text1"/>
                            <w:sz w:val="20"/>
                            <w:szCs w:val="20"/>
                            <w:shd w:val="clear" w:color="auto" w:fill="FFFFFF"/>
                          </w:rPr>
                          <m:t>1</m:t>
                        </m:r>
                      </m:num>
                      <m:den>
                        <m:r>
                          <w:rPr>
                            <w:rFonts w:ascii="Cambria Math" w:hAnsi="Cambria Math"/>
                            <w:color w:val="000000" w:themeColor="text1"/>
                            <w:sz w:val="20"/>
                            <w:szCs w:val="20"/>
                            <w:shd w:val="clear" w:color="auto" w:fill="FFFFFF"/>
                          </w:rPr>
                          <m:t>2</m:t>
                        </m:r>
                      </m:den>
                    </m:f>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H2</m:t>
                        </m:r>
                      </m:sub>
                    </m:sSub>
                    <m:r>
                      <w:rPr>
                        <w:rFonts w:ascii="Cambria Math" w:eastAsiaTheme="minorHAnsi" w:hAnsi="Cambria Math"/>
                        <w:color w:val="000000" w:themeColor="text1"/>
                        <w:sz w:val="20"/>
                        <w:szCs w:val="20"/>
                        <w:shd w:val="clear" w:color="auto" w:fill="FFFFFF"/>
                      </w:rPr>
                      <m:t>-</m:t>
                    </m:r>
                    <m:r>
                      <w:rPr>
                        <w:rFonts w:ascii="Cambria Math" w:hAnsi="Cambria Math"/>
                        <w:color w:val="000000" w:themeColor="text1"/>
                        <w:sz w:val="20"/>
                        <w:szCs w:val="20"/>
                        <w:shd w:val="clear" w:color="auto" w:fill="FFFFFF"/>
                      </w:rPr>
                      <m:t>k</m:t>
                    </m:r>
                  </m:e>
                  <m:sub>
                    <m:r>
                      <w:rPr>
                        <w:rFonts w:ascii="Cambria Math" w:hAnsi="Cambria Math"/>
                        <w:color w:val="000000" w:themeColor="text1"/>
                        <w:sz w:val="20"/>
                        <w:szCs w:val="20"/>
                        <w:shd w:val="clear" w:color="auto" w:fill="FFFFFF"/>
                      </w:rPr>
                      <m:t>B</m:t>
                    </m:r>
                  </m:sub>
                </m:sSub>
                <m:r>
                  <w:rPr>
                    <w:rFonts w:ascii="Cambria Math" w:hAnsi="Cambria Math"/>
                    <w:color w:val="000000" w:themeColor="text1"/>
                    <w:sz w:val="20"/>
                    <w:szCs w:val="20"/>
                    <w:shd w:val="clear" w:color="auto" w:fill="FFFFFF"/>
                  </w:rPr>
                  <m:t xml:space="preserve">T </m:t>
                </m:r>
                <m:r>
                  <m:rPr>
                    <m:sty m:val="p"/>
                  </m:rPr>
                  <w:rPr>
                    <w:rFonts w:ascii="Cambria Math" w:hAnsi="Cambria Math"/>
                    <w:color w:val="000000" w:themeColor="text1"/>
                    <w:sz w:val="20"/>
                    <w:szCs w:val="20"/>
                    <w:shd w:val="clear" w:color="auto" w:fill="FFFFFF"/>
                  </w:rPr>
                  <m:t xml:space="preserve">ln (10) pH </m:t>
                </m:r>
                <m:r>
                  <w:rPr>
                    <w:rFonts w:ascii="Cambria Math" w:hAnsi="Cambria Math"/>
                    <w:color w:val="000000" w:themeColor="text1"/>
                    <w:sz w:val="20"/>
                    <w:szCs w:val="20"/>
                    <w:shd w:val="clear" w:color="auto" w:fill="FFFFFF"/>
                  </w:rPr>
                  <m:t>-eU</m:t>
                </m:r>
              </m:oMath>
            </m:oMathPara>
          </w:p>
        </w:tc>
        <w:tc>
          <w:tcPr>
            <w:tcW w:w="1134" w:type="dxa"/>
            <w:tcMar>
              <w:left w:w="28" w:type="dxa"/>
              <w:right w:w="28" w:type="dxa"/>
            </w:tcMar>
            <w:vAlign w:val="center"/>
          </w:tcPr>
          <w:p w14:paraId="221E2A19" w14:textId="2D278F68" w:rsidR="002240E6" w:rsidRPr="002240E6" w:rsidRDefault="002240E6" w:rsidP="00E45E28">
            <w:pPr>
              <w:keepNext/>
              <w:jc w:val="right"/>
              <w:rPr>
                <w:bCs/>
                <w:sz w:val="20"/>
                <w:szCs w:val="20"/>
              </w:rPr>
            </w:pPr>
            <w:bookmarkStart w:id="67" w:name="_Ref159508699"/>
            <w:r w:rsidRPr="002240E6">
              <w:rPr>
                <w:sz w:val="20"/>
                <w:szCs w:val="20"/>
              </w:rPr>
              <w:t xml:space="preserve">Equation </w:t>
            </w:r>
            <w:r w:rsidRPr="002240E6">
              <w:rPr>
                <w:sz w:val="20"/>
                <w:szCs w:val="20"/>
              </w:rPr>
              <w:fldChar w:fldCharType="begin"/>
            </w:r>
            <w:r w:rsidRPr="002240E6">
              <w:rPr>
                <w:sz w:val="20"/>
                <w:szCs w:val="20"/>
              </w:rPr>
              <w:instrText xml:space="preserve"> SEQ Equation \* ARABIC </w:instrText>
            </w:r>
            <w:r w:rsidRPr="002240E6">
              <w:rPr>
                <w:sz w:val="20"/>
                <w:szCs w:val="20"/>
              </w:rPr>
              <w:fldChar w:fldCharType="separate"/>
            </w:r>
            <w:r w:rsidR="00536CF0">
              <w:rPr>
                <w:noProof/>
                <w:sz w:val="20"/>
                <w:szCs w:val="20"/>
              </w:rPr>
              <w:t>32</w:t>
            </w:r>
            <w:r w:rsidRPr="002240E6">
              <w:rPr>
                <w:sz w:val="20"/>
                <w:szCs w:val="20"/>
              </w:rPr>
              <w:fldChar w:fldCharType="end"/>
            </w:r>
            <w:bookmarkEnd w:id="67"/>
          </w:p>
        </w:tc>
      </w:tr>
    </w:tbl>
    <w:p w14:paraId="3F24D43C" w14:textId="18ECA78D" w:rsidR="00594FAE" w:rsidRPr="00EC6E98" w:rsidRDefault="00594FAE" w:rsidP="00594FAE">
      <w:pPr>
        <w:rPr>
          <w:color w:val="000000" w:themeColor="text1"/>
          <w:szCs w:val="22"/>
        </w:rPr>
      </w:pPr>
      <w:r w:rsidRPr="00EC6E98">
        <w:rPr>
          <w:color w:val="000000" w:themeColor="text1"/>
          <w:szCs w:val="22"/>
        </w:rPr>
        <w:t>where the proton and electron chemical potential are placed in brackets to emphasize that they are coupled as a proton coupled electron transfer (PCET)</w:t>
      </w:r>
      <w:r>
        <w:rPr>
          <w:color w:val="000000" w:themeColor="text1"/>
          <w:szCs w:val="22"/>
        </w:rPr>
        <w:t>. Note that PCET is a well-developed area of chemistry that is beyond the scope of what we can cover here, thus we turn the interested reader to excellent reviews in Refs.</w:t>
      </w:r>
      <w:r>
        <w:rPr>
          <w:color w:val="000000" w:themeColor="text1"/>
          <w:szCs w:val="22"/>
        </w:rPr>
        <w:fldChar w:fldCharType="begin"/>
      </w:r>
      <w:r w:rsidR="00FC5BEB">
        <w:rPr>
          <w:color w:val="000000" w:themeColor="text1"/>
          <w:szCs w:val="22"/>
        </w:rPr>
        <w:instrText xml:space="preserve"> ADDIN EN.CITE &lt;EndNote&gt;&lt;Cite&gt;&lt;Author&gt;Huynh&lt;/Author&gt;&lt;Year&gt;2007&lt;/Year&gt;&lt;RecNum&gt;117&lt;/RecNum&gt;&lt;DisplayText&gt;&lt;style face="superscript"&gt;119&lt;/style&gt;&lt;/DisplayText&gt;&lt;record&gt;&lt;rec-number&gt;117&lt;/rec-number&gt;&lt;foreign-keys&gt;&lt;key app="EN" db-id="2xex0erf4eexr4e2dpbxpdd829xttesxxxdr" timestamp="1715075296"&gt;117&lt;/key&gt;&lt;/foreign-keys&gt;&lt;ref-type name="Journal Article"&gt;17&lt;/ref-type&gt;&lt;contributors&gt;&lt;authors&gt;&lt;author&gt;Huynh, My Hang V.&lt;/author&gt;&lt;author&gt;Meyer, Thomas J.&lt;/author&gt;&lt;/authors&gt;&lt;/contributors&gt;&lt;titles&gt;&lt;title&gt;Proton-Coupled Electron Transfer&lt;/title&gt;&lt;secondary-title&gt;Chemical Reviews&lt;/secondary-title&gt;&lt;/titles&gt;&lt;periodical&gt;&lt;full-title&gt;Chemical Reviews&lt;/full-title&gt;&lt;abbr-1&gt;Chem. Rev.&lt;/abbr-1&gt;&lt;abbr-2&gt;Chem Rev&lt;/abbr-2&gt;&lt;/periodical&gt;&lt;pages&gt;5004-5064&lt;/pages&gt;&lt;volume&gt;107&lt;/volume&gt;&lt;number&gt;11&lt;/number&gt;&lt;dates&gt;&lt;year&gt;2007&lt;/year&gt;&lt;pub-dates&gt;&lt;date&gt;2007/11/01&lt;/date&gt;&lt;/pub-dates&gt;&lt;/dates&gt;&lt;publisher&gt;American Chemical Society&lt;/publisher&gt;&lt;isbn&gt;0009-2665&lt;/isbn&gt;&lt;urls&gt;&lt;related-urls&gt;&lt;url&gt;https://doi.org/10.1021/cr0500030&lt;/url&gt;&lt;/related-urls&gt;&lt;/urls&gt;&lt;electronic-resource-num&gt;10.1021/cr0500030&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119</w:t>
      </w:r>
      <w:r>
        <w:rPr>
          <w:color w:val="000000" w:themeColor="text1"/>
          <w:szCs w:val="22"/>
        </w:rPr>
        <w:fldChar w:fldCharType="end"/>
      </w:r>
      <w:r>
        <w:rPr>
          <w:color w:val="000000" w:themeColor="text1"/>
          <w:szCs w:val="22"/>
        </w:rPr>
        <w:t xml:space="preserve"> </w:t>
      </w:r>
      <w:r>
        <w:rPr>
          <w:color w:val="000000" w:themeColor="text1"/>
          <w:szCs w:val="22"/>
        </w:rPr>
        <w:fldChar w:fldCharType="begin">
          <w:fldData xml:space="preserve">PEVuZE5vdGU+PENpdGU+PEF1dGhvcj5XYXJidXJ0b248L0F1dGhvcj48WWVhcj4yMDIyPC9ZZWFy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=
</w:fldData>
        </w:fldChar>
      </w:r>
      <w:r w:rsidR="00FC5BEB">
        <w:rPr>
          <w:color w:val="000000" w:themeColor="text1"/>
          <w:szCs w:val="22"/>
        </w:rPr>
        <w:instrText xml:space="preserve"> ADDIN EN.CITE </w:instrText>
      </w:r>
      <w:r w:rsidR="00FC5BEB">
        <w:rPr>
          <w:color w:val="000000" w:themeColor="text1"/>
          <w:szCs w:val="22"/>
        </w:rPr>
        <w:fldChar w:fldCharType="begin">
          <w:fldData xml:space="preserve">PEVuZE5vdGU+PENpdGU+PEF1dGhvcj5XYXJidXJ0b248L0F1dGhvcj48WWVhcj4yMDIyPC9ZZWFy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=
</w:fldData>
        </w:fldChar>
      </w:r>
      <w:r w:rsidR="00FC5BEB">
        <w:rPr>
          <w:color w:val="000000" w:themeColor="text1"/>
          <w:szCs w:val="22"/>
        </w:rPr>
        <w:instrText xml:space="preserve"> ADDIN EN.CITE.DATA </w:instrText>
      </w:r>
      <w:r w:rsidR="00FC5BEB">
        <w:rPr>
          <w:color w:val="000000" w:themeColor="text1"/>
          <w:szCs w:val="22"/>
        </w:rPr>
      </w:r>
      <w:r w:rsidR="00FC5BEB">
        <w:rPr>
          <w:color w:val="000000" w:themeColor="text1"/>
          <w:szCs w:val="22"/>
        </w:rPr>
        <w:fldChar w:fldCharType="end"/>
      </w:r>
      <w:r>
        <w:rPr>
          <w:color w:val="000000" w:themeColor="text1"/>
          <w:szCs w:val="22"/>
        </w:rPr>
      </w:r>
      <w:r>
        <w:rPr>
          <w:color w:val="000000" w:themeColor="text1"/>
          <w:szCs w:val="22"/>
        </w:rPr>
        <w:fldChar w:fldCharType="separate"/>
      </w:r>
      <w:r w:rsidR="00FC5BEB" w:rsidRPr="00FC5BEB">
        <w:rPr>
          <w:noProof/>
          <w:color w:val="000000" w:themeColor="text1"/>
          <w:szCs w:val="22"/>
          <w:vertAlign w:val="superscript"/>
        </w:rPr>
        <w:t>120, 121</w:t>
      </w:r>
      <w:r>
        <w:rPr>
          <w:color w:val="000000" w:themeColor="text1"/>
          <w:szCs w:val="22"/>
        </w:rPr>
        <w:fldChar w:fldCharType="end"/>
      </w:r>
      <w:r w:rsidRPr="00EC6E98">
        <w:rPr>
          <w:color w:val="000000" w:themeColor="text1"/>
          <w:szCs w:val="22"/>
        </w:rPr>
        <w:t xml:space="preserve">. </w:t>
      </w:r>
      <w:r w:rsidR="002240E6" w:rsidRPr="004B35B6">
        <w:rPr>
          <w:color w:val="000000" w:themeColor="text1"/>
          <w:szCs w:val="22"/>
        </w:rPr>
        <w:fldChar w:fldCharType="begin"/>
      </w:r>
      <w:r w:rsidR="002240E6" w:rsidRPr="004B35B6">
        <w:rPr>
          <w:color w:val="000000" w:themeColor="text1"/>
          <w:szCs w:val="22"/>
        </w:rPr>
        <w:instrText xml:space="preserve"> REF _Ref159508699 \h </w:instrText>
      </w:r>
      <w:r w:rsidR="004B35B6">
        <w:rPr>
          <w:color w:val="000000" w:themeColor="text1"/>
          <w:szCs w:val="22"/>
        </w:rPr>
        <w:instrText xml:space="preserve"> \* MERGEFORMAT </w:instrText>
      </w:r>
      <w:r w:rsidR="002240E6" w:rsidRPr="004B35B6">
        <w:rPr>
          <w:color w:val="000000" w:themeColor="text1"/>
          <w:szCs w:val="22"/>
        </w:rPr>
      </w:r>
      <w:r w:rsidR="002240E6" w:rsidRPr="004B35B6">
        <w:rPr>
          <w:color w:val="000000" w:themeColor="text1"/>
          <w:szCs w:val="22"/>
        </w:rPr>
        <w:fldChar w:fldCharType="separate"/>
      </w:r>
      <w:r w:rsidR="00536CF0" w:rsidRPr="00245F0C">
        <w:rPr>
          <w:szCs w:val="22"/>
        </w:rPr>
        <w:t xml:space="preserve">Equation </w:t>
      </w:r>
      <w:r w:rsidR="00536CF0" w:rsidRPr="00245F0C">
        <w:rPr>
          <w:noProof/>
          <w:szCs w:val="22"/>
        </w:rPr>
        <w:t>32</w:t>
      </w:r>
      <w:r w:rsidR="002240E6" w:rsidRPr="004B35B6">
        <w:rPr>
          <w:color w:val="000000" w:themeColor="text1"/>
          <w:szCs w:val="22"/>
        </w:rPr>
        <w:fldChar w:fldCharType="end"/>
      </w:r>
      <w:r w:rsidR="002240E6">
        <w:rPr>
          <w:color w:val="000000" w:themeColor="text1"/>
          <w:szCs w:val="22"/>
        </w:rPr>
        <w:t xml:space="preserve"> </w:t>
      </w:r>
      <w:r w:rsidRPr="00EC6E98">
        <w:rPr>
          <w:color w:val="000000" w:themeColor="text1"/>
          <w:szCs w:val="22"/>
        </w:rPr>
        <w:t>can then be used to compute the electrochemical contribution to a general PCET reaction; though it should be noted that more complex pH relationships are expected</w:t>
      </w:r>
      <w:r>
        <w:rPr>
          <w:color w:val="000000" w:themeColor="text1"/>
          <w:szCs w:val="22"/>
        </w:rPr>
        <w:t xml:space="preserve"> </w:t>
      </w:r>
      <w:r>
        <w:rPr>
          <w:color w:val="000000" w:themeColor="text1"/>
          <w:szCs w:val="22"/>
        </w:rPr>
        <w:fldChar w:fldCharType="begin">
          <w:fldData xml:space="preserve">PEVuZE5vdGU+PENpdGU+PEF1dGhvcj5Lb3BlcjwvQXV0aG9yPjxZZWFyPjIwMTM8L1llYXI+PFJl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</w:fldData>
        </w:fldChar>
      </w:r>
      <w:r w:rsidR="00FC5BEB">
        <w:rPr>
          <w:color w:val="000000" w:themeColor="text1"/>
          <w:szCs w:val="22"/>
        </w:rPr>
        <w:instrText xml:space="preserve"> ADDIN EN.CITE </w:instrText>
      </w:r>
      <w:r w:rsidR="00FC5BEB">
        <w:rPr>
          <w:color w:val="000000" w:themeColor="text1"/>
          <w:szCs w:val="22"/>
        </w:rPr>
        <w:fldChar w:fldCharType="begin">
          <w:fldData xml:space="preserve">PEVuZE5vdGU+PENpdGU+PEF1dGhvcj5Lb3BlcjwvQXV0aG9yPjxZZWFyPjIwMTM8L1llYXI+PFJl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</w:fldData>
        </w:fldChar>
      </w:r>
      <w:r w:rsidR="00FC5BEB">
        <w:rPr>
          <w:color w:val="000000" w:themeColor="text1"/>
          <w:szCs w:val="22"/>
        </w:rPr>
        <w:instrText xml:space="preserve"> ADDIN EN.CITE.DATA </w:instrText>
      </w:r>
      <w:r w:rsidR="00FC5BEB">
        <w:rPr>
          <w:color w:val="000000" w:themeColor="text1"/>
          <w:szCs w:val="22"/>
        </w:rPr>
      </w:r>
      <w:r w:rsidR="00FC5BEB">
        <w:rPr>
          <w:color w:val="000000" w:themeColor="text1"/>
          <w:szCs w:val="22"/>
        </w:rPr>
        <w:fldChar w:fldCharType="end"/>
      </w:r>
      <w:r>
        <w:rPr>
          <w:color w:val="000000" w:themeColor="text1"/>
          <w:szCs w:val="22"/>
        </w:rPr>
      </w:r>
      <w:r>
        <w:rPr>
          <w:color w:val="000000" w:themeColor="text1"/>
          <w:szCs w:val="22"/>
        </w:rPr>
        <w:fldChar w:fldCharType="separate"/>
      </w:r>
      <w:r w:rsidR="00FC5BEB" w:rsidRPr="00FC5BEB">
        <w:rPr>
          <w:noProof/>
          <w:color w:val="000000" w:themeColor="text1"/>
          <w:szCs w:val="22"/>
          <w:vertAlign w:val="superscript"/>
        </w:rPr>
        <w:t>122-124</w:t>
      </w:r>
      <w:r>
        <w:rPr>
          <w:color w:val="000000" w:themeColor="text1"/>
          <w:szCs w:val="22"/>
        </w:rPr>
        <w:fldChar w:fldCharType="end"/>
      </w:r>
      <w:r w:rsidR="006147EE" w:rsidRPr="006147EE">
        <w:rPr>
          <w:vertAlign w:val="superscript"/>
        </w:rPr>
        <w:t>,</w:t>
      </w:r>
      <w:r>
        <w:rPr>
          <w:color w:val="000000" w:themeColor="text1"/>
          <w:szCs w:val="22"/>
        </w:rPr>
        <w:fldChar w:fldCharType="begin">
          <w:fldData xml:space="preserve">PEVuZE5vdGU+PENpdGU+PEF1dGhvcj5Hcm/DnzwvQXV0aG9yPjxZZWFyPjIwMjI8L1llYXI+PFJl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</w:fldData>
        </w:fldChar>
      </w:r>
      <w:r w:rsidR="00FC5BEB">
        <w:rPr>
          <w:color w:val="000000" w:themeColor="text1"/>
          <w:szCs w:val="22"/>
        </w:rPr>
        <w:instrText xml:space="preserve"> ADDIN EN.CITE </w:instrText>
      </w:r>
      <w:r w:rsidR="00FC5BEB">
        <w:rPr>
          <w:color w:val="000000" w:themeColor="text1"/>
          <w:szCs w:val="22"/>
        </w:rPr>
        <w:fldChar w:fldCharType="begin">
          <w:fldData xml:space="preserve">PEVuZE5vdGU+PENpdGU+PEF1dGhvcj5Hcm/DnzwvQXV0aG9yPjxZZWFyPjIwMjI8L1llYXI+PFJl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</w:fldData>
        </w:fldChar>
      </w:r>
      <w:r w:rsidR="00FC5BEB">
        <w:rPr>
          <w:color w:val="000000" w:themeColor="text1"/>
          <w:szCs w:val="22"/>
        </w:rPr>
        <w:instrText xml:space="preserve"> ADDIN EN.CITE.DATA </w:instrText>
      </w:r>
      <w:r w:rsidR="00FC5BEB">
        <w:rPr>
          <w:color w:val="000000" w:themeColor="text1"/>
          <w:szCs w:val="22"/>
        </w:rPr>
      </w:r>
      <w:r w:rsidR="00FC5BEB">
        <w:rPr>
          <w:color w:val="000000" w:themeColor="text1"/>
          <w:szCs w:val="22"/>
        </w:rPr>
        <w:fldChar w:fldCharType="end"/>
      </w:r>
      <w:r>
        <w:rPr>
          <w:color w:val="000000" w:themeColor="text1"/>
          <w:szCs w:val="22"/>
        </w:rPr>
      </w:r>
      <w:r>
        <w:rPr>
          <w:color w:val="000000" w:themeColor="text1"/>
          <w:szCs w:val="22"/>
        </w:rPr>
        <w:fldChar w:fldCharType="separate"/>
      </w:r>
      <w:r w:rsidR="00FC5BEB" w:rsidRPr="00FC5BEB">
        <w:rPr>
          <w:noProof/>
          <w:color w:val="000000" w:themeColor="text1"/>
          <w:szCs w:val="22"/>
          <w:vertAlign w:val="superscript"/>
        </w:rPr>
        <w:t>125, 126</w:t>
      </w:r>
      <w:r>
        <w:rPr>
          <w:color w:val="000000" w:themeColor="text1"/>
          <w:szCs w:val="22"/>
        </w:rPr>
        <w:fldChar w:fldCharType="end"/>
      </w:r>
      <w:r>
        <w:rPr>
          <w:color w:val="000000" w:themeColor="text1"/>
          <w:szCs w:val="22"/>
        </w:rPr>
        <w:t xml:space="preserve">. </w:t>
      </w:r>
      <w:r w:rsidRPr="00EC6E98">
        <w:rPr>
          <w:color w:val="000000" w:themeColor="text1"/>
          <w:szCs w:val="22"/>
        </w:rPr>
        <w:t xml:space="preserve">When </w:t>
      </w:r>
      <w:r w:rsidR="002240E6" w:rsidRPr="004B35B6">
        <w:rPr>
          <w:color w:val="000000" w:themeColor="text1"/>
          <w:szCs w:val="22"/>
        </w:rPr>
        <w:fldChar w:fldCharType="begin"/>
      </w:r>
      <w:r w:rsidR="002240E6" w:rsidRPr="004B35B6">
        <w:rPr>
          <w:color w:val="000000" w:themeColor="text1"/>
          <w:szCs w:val="22"/>
        </w:rPr>
        <w:instrText xml:space="preserve"> REF _Ref159508699 \h </w:instrText>
      </w:r>
      <w:r w:rsidR="004B35B6">
        <w:rPr>
          <w:color w:val="000000" w:themeColor="text1"/>
          <w:szCs w:val="22"/>
        </w:rPr>
        <w:instrText xml:space="preserve"> \* MERGEFORMAT </w:instrText>
      </w:r>
      <w:r w:rsidR="002240E6" w:rsidRPr="004B35B6">
        <w:rPr>
          <w:color w:val="000000" w:themeColor="text1"/>
          <w:szCs w:val="22"/>
        </w:rPr>
      </w:r>
      <w:r w:rsidR="002240E6" w:rsidRPr="004B35B6">
        <w:rPr>
          <w:color w:val="000000" w:themeColor="text1"/>
          <w:szCs w:val="22"/>
        </w:rPr>
        <w:fldChar w:fldCharType="separate"/>
      </w:r>
      <w:r w:rsidR="00536CF0" w:rsidRPr="00245F0C">
        <w:rPr>
          <w:szCs w:val="22"/>
        </w:rPr>
        <w:t xml:space="preserve">Equation </w:t>
      </w:r>
      <w:r w:rsidR="00536CF0" w:rsidRPr="00245F0C">
        <w:rPr>
          <w:noProof/>
          <w:szCs w:val="22"/>
        </w:rPr>
        <w:t>32</w:t>
      </w:r>
      <w:r w:rsidR="002240E6" w:rsidRPr="004B35B6">
        <w:rPr>
          <w:color w:val="000000" w:themeColor="text1"/>
          <w:szCs w:val="22"/>
        </w:rPr>
        <w:fldChar w:fldCharType="end"/>
      </w:r>
      <w:r w:rsidR="002240E6">
        <w:rPr>
          <w:color w:val="000000" w:themeColor="text1"/>
          <w:szCs w:val="22"/>
        </w:rPr>
        <w:t xml:space="preserve"> </w:t>
      </w:r>
      <w:r w:rsidRPr="00EC6E98">
        <w:rPr>
          <w:color w:val="000000" w:themeColor="text1"/>
          <w:szCs w:val="22"/>
        </w:rPr>
        <w:t xml:space="preserve">is used together with DFT computed total energies, the free energy of electrochemical PCET reactions can be computed and placed on the SHE </w:t>
      </w:r>
      <w:proofErr w:type="gramStart"/>
      <w:r w:rsidRPr="00EC6E98">
        <w:rPr>
          <w:color w:val="000000" w:themeColor="text1"/>
          <w:szCs w:val="22"/>
        </w:rPr>
        <w:t>scale</w:t>
      </w:r>
      <w:proofErr w:type="gramEnd"/>
      <w:r w:rsidRPr="00EC6E98">
        <w:rPr>
          <w:color w:val="000000" w:themeColor="text1"/>
          <w:szCs w:val="22"/>
        </w:rPr>
        <w:t xml:space="preserve"> within an </w:t>
      </w:r>
      <w:r w:rsidRPr="00EC6E98">
        <w:rPr>
          <w:i/>
          <w:iCs/>
          <w:color w:val="000000" w:themeColor="text1"/>
          <w:szCs w:val="22"/>
        </w:rPr>
        <w:t xml:space="preserve">ab initio </w:t>
      </w:r>
      <w:r w:rsidRPr="00EC6E98">
        <w:rPr>
          <w:color w:val="000000" w:themeColor="text1"/>
          <w:szCs w:val="22"/>
        </w:rPr>
        <w:t>atomistic thermodynamic model. For instance, the Gibbs free energy of reaction for the removal of a proton and electron from a surface can be written:</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2240E6" w:rsidRPr="002240E6" w14:paraId="1DE6C553" w14:textId="77777777" w:rsidTr="00DE0988">
        <w:tc>
          <w:tcPr>
            <w:tcW w:w="7938" w:type="dxa"/>
            <w:tcMar>
              <w:left w:w="28" w:type="dxa"/>
              <w:right w:w="28" w:type="dxa"/>
            </w:tcMar>
            <w:vAlign w:val="center"/>
          </w:tcPr>
          <w:p w14:paraId="227F23FF" w14:textId="3DCEA221" w:rsidR="002240E6" w:rsidRPr="002240E6" w:rsidRDefault="002240E6" w:rsidP="00E45E28">
            <w:pPr>
              <w:spacing w:before="60" w:after="60"/>
              <w:rPr>
                <w:bCs/>
                <w:sz w:val="20"/>
                <w:szCs w:val="20"/>
              </w:rPr>
            </w:pPr>
            <m:oMathPara>
              <m:oMath>
                <m:r>
                  <w:rPr>
                    <w:rFonts w:ascii="Cambria Math" w:hAnsi="Cambria Math"/>
                    <w:color w:val="000000" w:themeColor="text1"/>
                    <w:sz w:val="20"/>
                    <w:szCs w:val="20"/>
                    <w:shd w:val="clear" w:color="auto" w:fill="FFFFFF"/>
                  </w:rPr>
                  <m:t>∆G</m:t>
                </m:r>
                <m:d>
                  <m:dPr>
                    <m:ctrlPr>
                      <w:rPr>
                        <w:rFonts w:ascii="Cambria Math"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 xml:space="preserve">U, </m:t>
                    </m:r>
                    <m:r>
                      <m:rPr>
                        <m:sty m:val="p"/>
                      </m:rPr>
                      <w:rPr>
                        <w:rFonts w:ascii="Cambria Math" w:hAnsi="Cambria Math"/>
                        <w:color w:val="000000" w:themeColor="text1"/>
                        <w:sz w:val="20"/>
                        <w:szCs w:val="20"/>
                        <w:shd w:val="clear" w:color="auto" w:fill="FFFFFF"/>
                      </w:rPr>
                      <m:t>pH</m:t>
                    </m:r>
                  </m:e>
                </m:d>
                <m:r>
                  <w:rPr>
                    <w:rFonts w:ascii="Cambria Math" w:hAnsi="Cambria Math"/>
                    <w:color w:val="000000" w:themeColor="text1"/>
                    <w:sz w:val="20"/>
                    <w:szCs w:val="20"/>
                    <w:shd w:val="clear" w:color="auto" w:fill="FFFFFF"/>
                  </w:rPr>
                  <m:t>=∆G=</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E</m:t>
                    </m:r>
                  </m:e>
                  <m:sub>
                    <m:r>
                      <m:rPr>
                        <m:sty m:val="p"/>
                      </m:rPr>
                      <w:rPr>
                        <w:rFonts w:ascii="Cambria Math" w:hAnsi="Cambria Math"/>
                        <w:color w:val="000000" w:themeColor="text1"/>
                        <w:sz w:val="20"/>
                        <w:szCs w:val="20"/>
                        <w:shd w:val="clear" w:color="auto" w:fill="FFFFFF"/>
                      </w:rPr>
                      <m:t>surface</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 xml:space="preserve">V, </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e>
                      <m:sub>
                        <m:r>
                          <w:rPr>
                            <w:rFonts w:ascii="Cambria Math" w:hAnsi="Cambria Math"/>
                            <w:color w:val="000000" w:themeColor="text1"/>
                            <w:sz w:val="20"/>
                            <w:szCs w:val="20"/>
                            <w:shd w:val="clear" w:color="auto" w:fill="FFFFFF"/>
                          </w:rPr>
                          <m:t>H-1</m:t>
                        </m:r>
                      </m:sub>
                    </m:sSub>
                  </m:e>
                </m:d>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E</m:t>
                    </m:r>
                  </m:e>
                  <m:sub>
                    <m:r>
                      <m:rPr>
                        <m:sty m:val="p"/>
                      </m:rPr>
                      <w:rPr>
                        <w:rFonts w:ascii="Cambria Math" w:hAnsi="Cambria Math"/>
                        <w:color w:val="000000" w:themeColor="text1"/>
                        <w:sz w:val="20"/>
                        <w:szCs w:val="20"/>
                        <w:shd w:val="clear" w:color="auto" w:fill="FFFFFF"/>
                      </w:rPr>
                      <m:t>surface</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 xml:space="preserve">V, </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N</m:t>
                        </m:r>
                      </m:e>
                      <m:sub>
                        <m:r>
                          <w:rPr>
                            <w:rFonts w:ascii="Cambria Math" w:hAnsi="Cambria Math"/>
                            <w:color w:val="000000" w:themeColor="text1"/>
                            <w:sz w:val="20"/>
                            <w:szCs w:val="20"/>
                            <w:shd w:val="clear" w:color="auto" w:fill="FFFFFF"/>
                          </w:rPr>
                          <m:t>H</m:t>
                        </m:r>
                      </m:sub>
                    </m:sSub>
                  </m:e>
                </m:d>
                <m:r>
                  <w:rPr>
                    <w:rFonts w:ascii="Cambria Math" w:hAnsi="Cambria Math"/>
                    <w:color w:val="000000" w:themeColor="text1"/>
                    <w:sz w:val="20"/>
                    <w:szCs w:val="20"/>
                    <w:shd w:val="clear" w:color="auto" w:fill="FFFFFF"/>
                  </w:rPr>
                  <m:t>+</m:t>
                </m:r>
                <m:d>
                  <m:dPr>
                    <m:begChr m:val="["/>
                    <m:endChr m:val="]"/>
                    <m:ctrlPr>
                      <w:rPr>
                        <w:rFonts w:ascii="Cambria Math" w:hAnsi="Cambria Math"/>
                        <w:i/>
                        <w:color w:val="000000" w:themeColor="text1"/>
                        <w:sz w:val="20"/>
                        <w:szCs w:val="20"/>
                        <w:shd w:val="clear" w:color="auto" w:fill="FFFFFF"/>
                      </w:rPr>
                    </m:ctrlPr>
                  </m:dPr>
                  <m:e>
                    <m:sSub>
                      <m:sSubPr>
                        <m:ctrlPr>
                          <w:rPr>
                            <w:rFonts w:ascii="Cambria Math" w:hAnsi="Cambria Math"/>
                            <w:i/>
                            <w:color w:val="000000" w:themeColor="text1"/>
                            <w:sz w:val="20"/>
                            <w:szCs w:val="20"/>
                            <w:shd w:val="clear" w:color="auto" w:fill="FFFFFF"/>
                          </w:rPr>
                        </m:ctrlPr>
                      </m:sSubPr>
                      <m:e>
                        <m:f>
                          <m:fPr>
                            <m:ctrlPr>
                              <w:rPr>
                                <w:rFonts w:ascii="Cambria Math" w:eastAsiaTheme="minorHAnsi" w:hAnsi="Cambria Math"/>
                                <w:i/>
                                <w:iCs/>
                                <w:color w:val="000000" w:themeColor="text1"/>
                                <w:sz w:val="20"/>
                                <w:szCs w:val="20"/>
                                <w:shd w:val="clear" w:color="auto" w:fill="FFFFFF"/>
                              </w:rPr>
                            </m:ctrlPr>
                          </m:fPr>
                          <m:num>
                            <m:r>
                              <w:rPr>
                                <w:rFonts w:ascii="Cambria Math" w:hAnsi="Cambria Math"/>
                                <w:color w:val="000000" w:themeColor="text1"/>
                                <w:sz w:val="20"/>
                                <w:szCs w:val="20"/>
                                <w:shd w:val="clear" w:color="auto" w:fill="FFFFFF"/>
                              </w:rPr>
                              <m:t>1</m:t>
                            </m:r>
                          </m:num>
                          <m:den>
                            <m:r>
                              <w:rPr>
                                <w:rFonts w:ascii="Cambria Math" w:hAnsi="Cambria Math"/>
                                <w:color w:val="000000" w:themeColor="text1"/>
                                <w:sz w:val="20"/>
                                <w:szCs w:val="20"/>
                                <w:shd w:val="clear" w:color="auto" w:fill="FFFFFF"/>
                              </w:rPr>
                              <m:t>2</m:t>
                            </m:r>
                          </m:den>
                        </m:f>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H2</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298.15 K,1 atm</m:t>
                            </m:r>
                          </m:e>
                        </m:d>
                        <m:r>
                          <w:rPr>
                            <w:rFonts w:ascii="Cambria Math" w:hAnsi="Cambria Math"/>
                            <w:color w:val="000000" w:themeColor="text1"/>
                            <w:sz w:val="20"/>
                            <w:szCs w:val="20"/>
                            <w:shd w:val="clear" w:color="auto" w:fill="FFFFFF"/>
                          </w:rPr>
                          <m:t>-k</m:t>
                        </m:r>
                      </m:e>
                      <m:sub>
                        <m:r>
                          <w:rPr>
                            <w:rFonts w:ascii="Cambria Math" w:hAnsi="Cambria Math"/>
                            <w:color w:val="000000" w:themeColor="text1"/>
                            <w:sz w:val="20"/>
                            <w:szCs w:val="20"/>
                            <w:shd w:val="clear" w:color="auto" w:fill="FFFFFF"/>
                          </w:rPr>
                          <m:t>B</m:t>
                        </m:r>
                      </m:sub>
                    </m:sSub>
                    <m:r>
                      <w:rPr>
                        <w:rFonts w:ascii="Cambria Math" w:hAnsi="Cambria Math"/>
                        <w:color w:val="000000" w:themeColor="text1"/>
                        <w:sz w:val="20"/>
                        <w:szCs w:val="20"/>
                        <w:shd w:val="clear" w:color="auto" w:fill="FFFFFF"/>
                      </w:rPr>
                      <m:t xml:space="preserve">T </m:t>
                    </m:r>
                    <m:r>
                      <m:rPr>
                        <m:sty m:val="p"/>
                      </m:rPr>
                      <w:rPr>
                        <w:rFonts w:ascii="Cambria Math" w:hAnsi="Cambria Math"/>
                        <w:color w:val="000000" w:themeColor="text1"/>
                        <w:sz w:val="20"/>
                        <w:szCs w:val="20"/>
                        <w:shd w:val="clear" w:color="auto" w:fill="FFFFFF"/>
                      </w:rPr>
                      <m:t xml:space="preserve">ln (10) pH </m:t>
                    </m:r>
                    <m:r>
                      <w:rPr>
                        <w:rFonts w:ascii="Cambria Math" w:hAnsi="Cambria Math"/>
                        <w:color w:val="000000" w:themeColor="text1"/>
                        <w:sz w:val="20"/>
                        <w:szCs w:val="20"/>
                        <w:shd w:val="clear" w:color="auto" w:fill="FFFFFF"/>
                      </w:rPr>
                      <m:t>-eU</m:t>
                    </m:r>
                  </m:e>
                </m:d>
              </m:oMath>
            </m:oMathPara>
          </w:p>
        </w:tc>
        <w:tc>
          <w:tcPr>
            <w:tcW w:w="1134" w:type="dxa"/>
            <w:tcMar>
              <w:left w:w="28" w:type="dxa"/>
              <w:right w:w="28" w:type="dxa"/>
            </w:tcMar>
            <w:vAlign w:val="center"/>
          </w:tcPr>
          <w:p w14:paraId="0294B4BF" w14:textId="6BD7399E" w:rsidR="002240E6" w:rsidRPr="002240E6" w:rsidRDefault="002240E6" w:rsidP="00E45E28">
            <w:pPr>
              <w:keepNext/>
              <w:jc w:val="right"/>
              <w:rPr>
                <w:bCs/>
                <w:sz w:val="20"/>
                <w:szCs w:val="20"/>
              </w:rPr>
            </w:pPr>
            <w:bookmarkStart w:id="68" w:name="_Ref159509215"/>
            <w:r w:rsidRPr="002240E6">
              <w:rPr>
                <w:sz w:val="20"/>
                <w:szCs w:val="20"/>
              </w:rPr>
              <w:t xml:space="preserve">Equation </w:t>
            </w:r>
            <w:r w:rsidRPr="002240E6">
              <w:rPr>
                <w:sz w:val="20"/>
                <w:szCs w:val="20"/>
              </w:rPr>
              <w:fldChar w:fldCharType="begin"/>
            </w:r>
            <w:r w:rsidRPr="002240E6">
              <w:rPr>
                <w:sz w:val="20"/>
                <w:szCs w:val="20"/>
              </w:rPr>
              <w:instrText xml:space="preserve"> SEQ Equation \* ARABIC </w:instrText>
            </w:r>
            <w:r w:rsidRPr="002240E6">
              <w:rPr>
                <w:sz w:val="20"/>
                <w:szCs w:val="20"/>
              </w:rPr>
              <w:fldChar w:fldCharType="separate"/>
            </w:r>
            <w:r w:rsidR="00536CF0">
              <w:rPr>
                <w:noProof/>
                <w:sz w:val="20"/>
                <w:szCs w:val="20"/>
              </w:rPr>
              <w:t>33</w:t>
            </w:r>
            <w:r w:rsidRPr="002240E6">
              <w:rPr>
                <w:sz w:val="20"/>
                <w:szCs w:val="20"/>
              </w:rPr>
              <w:fldChar w:fldCharType="end"/>
            </w:r>
            <w:bookmarkEnd w:id="68"/>
          </w:p>
        </w:tc>
      </w:tr>
    </w:tbl>
    <w:p w14:paraId="4F43F672" w14:textId="13D5A16B" w:rsidR="00594FAE" w:rsidRDefault="002240E6" w:rsidP="00594FAE">
      <w:pPr>
        <w:rPr>
          <w:color w:val="000000" w:themeColor="text1"/>
          <w:szCs w:val="22"/>
          <w:shd w:val="clear" w:color="auto" w:fill="FFFFFF"/>
        </w:rPr>
      </w:pPr>
      <w:proofErr w:type="gramStart"/>
      <w:r>
        <w:rPr>
          <w:color w:val="000000" w:themeColor="text1"/>
          <w:szCs w:val="22"/>
          <w:shd w:val="clear" w:color="auto" w:fill="FFFFFF"/>
        </w:rPr>
        <w:t>w</w:t>
      </w:r>
      <w:r w:rsidR="00594FAE" w:rsidRPr="00EC6E98">
        <w:rPr>
          <w:color w:val="000000" w:themeColor="text1"/>
          <w:szCs w:val="22"/>
          <w:shd w:val="clear" w:color="auto" w:fill="FFFFFF"/>
        </w:rPr>
        <w:t>here</w:t>
      </w:r>
      <w:proofErr w:type="gramEnd"/>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2240E6" w:rsidRPr="002240E6" w14:paraId="01721FF1" w14:textId="77777777" w:rsidTr="00DE0988">
        <w:tc>
          <w:tcPr>
            <w:tcW w:w="7938" w:type="dxa"/>
            <w:tcMar>
              <w:left w:w="28" w:type="dxa"/>
              <w:right w:w="28" w:type="dxa"/>
            </w:tcMar>
            <w:vAlign w:val="center"/>
          </w:tcPr>
          <w:p w14:paraId="059E53F3" w14:textId="78794D1F" w:rsidR="002240E6" w:rsidRPr="002240E6" w:rsidRDefault="00000000" w:rsidP="00E45E28">
            <w:pPr>
              <w:spacing w:before="60" w:after="60"/>
              <w:rPr>
                <w:bCs/>
                <w:sz w:val="20"/>
                <w:szCs w:val="20"/>
              </w:rPr>
            </w:pPr>
            <m:oMathPara>
              <m:oMath>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H2</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 xml:space="preserve">298.15 </m:t>
                    </m:r>
                    <m:r>
                      <m:rPr>
                        <m:sty m:val="p"/>
                      </m:rPr>
                      <w:rPr>
                        <w:rFonts w:ascii="Cambria Math" w:hAnsi="Cambria Math"/>
                        <w:color w:val="000000" w:themeColor="text1"/>
                        <w:sz w:val="20"/>
                        <w:szCs w:val="20"/>
                        <w:shd w:val="clear" w:color="auto" w:fill="FFFFFF"/>
                      </w:rPr>
                      <m:t>K</m:t>
                    </m:r>
                    <m:r>
                      <w:rPr>
                        <w:rFonts w:ascii="Cambria Math" w:hAnsi="Cambria Math"/>
                        <w:color w:val="000000" w:themeColor="text1"/>
                        <w:sz w:val="20"/>
                        <w:szCs w:val="20"/>
                        <w:shd w:val="clear" w:color="auto" w:fill="FFFFFF"/>
                      </w:rPr>
                      <m:t xml:space="preserve">,1 </m:t>
                    </m:r>
                    <m:r>
                      <m:rPr>
                        <m:sty m:val="p"/>
                      </m:rPr>
                      <w:rPr>
                        <w:rFonts w:ascii="Cambria Math" w:hAnsi="Cambria Math"/>
                        <w:color w:val="000000" w:themeColor="text1"/>
                        <w:sz w:val="20"/>
                        <w:szCs w:val="20"/>
                        <w:shd w:val="clear" w:color="auto" w:fill="FFFFFF"/>
                      </w:rPr>
                      <m:t>atm</m:t>
                    </m:r>
                  </m:e>
                </m:d>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E</m:t>
                    </m:r>
                  </m:e>
                  <m:sub>
                    <m:r>
                      <m:rPr>
                        <m:sty m:val="p"/>
                      </m:rPr>
                      <w:rPr>
                        <w:rFonts w:ascii="Cambria Math" w:hAnsi="Cambria Math"/>
                        <w:color w:val="000000" w:themeColor="text1"/>
                        <w:sz w:val="20"/>
                        <w:szCs w:val="20"/>
                        <w:shd w:val="clear" w:color="auto" w:fill="FFFFFF"/>
                      </w:rPr>
                      <m:t>H2</m:t>
                    </m:r>
                  </m:sub>
                </m:sSub>
                <m:r>
                  <w:rPr>
                    <w:rFonts w:ascii="Cambria Math" w:hAnsi="Cambria Math"/>
                    <w:color w:val="000000" w:themeColor="text1"/>
                    <w:sz w:val="20"/>
                    <w:szCs w:val="20"/>
                    <w:shd w:val="clear" w:color="auto" w:fill="FFFFFF"/>
                  </w:rPr>
                  <m:t>-298.15</m:t>
                </m:r>
                <m:d>
                  <m:dPr>
                    <m:begChr m:val="["/>
                    <m:endChr m:val="]"/>
                    <m:ctrlPr>
                      <w:rPr>
                        <w:rFonts w:ascii="Cambria Math" w:eastAsiaTheme="minorHAnsi" w:hAnsi="Cambria Math"/>
                        <w:i/>
                        <w:iCs/>
                        <w:color w:val="000000" w:themeColor="text1"/>
                        <w:sz w:val="20"/>
                        <w:szCs w:val="20"/>
                        <w:shd w:val="clear" w:color="auto" w:fill="FFFFFF"/>
                      </w:rPr>
                    </m:ctrlPr>
                  </m:dPr>
                  <m:e>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S</m:t>
                        </m:r>
                      </m:e>
                      <m:sub>
                        <m:r>
                          <m:rPr>
                            <m:sty m:val="p"/>
                          </m:rPr>
                          <w:rPr>
                            <w:rFonts w:ascii="Cambria Math" w:hAnsi="Cambria Math"/>
                            <w:color w:val="000000" w:themeColor="text1"/>
                            <w:sz w:val="20"/>
                            <w:szCs w:val="20"/>
                            <w:shd w:val="clear" w:color="auto" w:fill="FFFFFF"/>
                          </w:rPr>
                          <m:t>H2</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298.15 K,1 atm</m:t>
                        </m:r>
                      </m:e>
                    </m:d>
                  </m:e>
                </m:d>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E</m:t>
                    </m:r>
                  </m:e>
                  <m:sub>
                    <m:r>
                      <w:rPr>
                        <w:rFonts w:ascii="Cambria Math" w:hAnsi="Cambria Math"/>
                        <w:color w:val="000000" w:themeColor="text1"/>
                        <w:sz w:val="20"/>
                        <w:szCs w:val="20"/>
                        <w:shd w:val="clear" w:color="auto" w:fill="FFFFFF"/>
                      </w:rPr>
                      <m:t>ZPT,H2</m:t>
                    </m:r>
                  </m:sub>
                </m:sSub>
              </m:oMath>
            </m:oMathPara>
          </w:p>
        </w:tc>
        <w:tc>
          <w:tcPr>
            <w:tcW w:w="1134" w:type="dxa"/>
            <w:tcMar>
              <w:left w:w="28" w:type="dxa"/>
              <w:right w:w="28" w:type="dxa"/>
            </w:tcMar>
            <w:vAlign w:val="center"/>
          </w:tcPr>
          <w:p w14:paraId="26074F18" w14:textId="12AC3ADA" w:rsidR="002240E6" w:rsidRPr="002240E6" w:rsidRDefault="002240E6" w:rsidP="00E45E28">
            <w:pPr>
              <w:keepNext/>
              <w:jc w:val="right"/>
              <w:rPr>
                <w:bCs/>
                <w:sz w:val="20"/>
                <w:szCs w:val="20"/>
              </w:rPr>
            </w:pPr>
            <w:bookmarkStart w:id="69" w:name="_Ref159508840"/>
            <w:r w:rsidRPr="002240E6">
              <w:rPr>
                <w:sz w:val="20"/>
                <w:szCs w:val="20"/>
              </w:rPr>
              <w:t xml:space="preserve">Equation </w:t>
            </w:r>
            <w:r w:rsidRPr="002240E6">
              <w:rPr>
                <w:sz w:val="20"/>
                <w:szCs w:val="20"/>
              </w:rPr>
              <w:fldChar w:fldCharType="begin"/>
            </w:r>
            <w:r w:rsidRPr="002240E6">
              <w:rPr>
                <w:sz w:val="20"/>
                <w:szCs w:val="20"/>
              </w:rPr>
              <w:instrText xml:space="preserve"> SEQ Equation \* ARABIC </w:instrText>
            </w:r>
            <w:r w:rsidRPr="002240E6">
              <w:rPr>
                <w:sz w:val="20"/>
                <w:szCs w:val="20"/>
              </w:rPr>
              <w:fldChar w:fldCharType="separate"/>
            </w:r>
            <w:r w:rsidR="00536CF0">
              <w:rPr>
                <w:noProof/>
                <w:sz w:val="20"/>
                <w:szCs w:val="20"/>
              </w:rPr>
              <w:t>34</w:t>
            </w:r>
            <w:r w:rsidRPr="002240E6">
              <w:rPr>
                <w:sz w:val="20"/>
                <w:szCs w:val="20"/>
              </w:rPr>
              <w:fldChar w:fldCharType="end"/>
            </w:r>
            <w:bookmarkEnd w:id="69"/>
          </w:p>
        </w:tc>
      </w:tr>
    </w:tbl>
    <w:p w14:paraId="58DEC62A" w14:textId="5CF02566" w:rsidR="00594FAE" w:rsidRPr="00EC6E98" w:rsidRDefault="00594FAE" w:rsidP="00594FAE">
      <w:pPr>
        <w:rPr>
          <w:iCs/>
          <w:color w:val="000000" w:themeColor="text1"/>
          <w:szCs w:val="22"/>
          <w:shd w:val="clear" w:color="auto" w:fill="FFFFFF"/>
        </w:rPr>
      </w:pPr>
      <w:r w:rsidRPr="00EC6E98">
        <w:rPr>
          <w:iCs/>
          <w:color w:val="000000" w:themeColor="text1"/>
          <w:szCs w:val="22"/>
          <w:shd w:val="clear" w:color="auto" w:fill="FFFFFF"/>
        </w:rPr>
        <w:t xml:space="preserve">In </w:t>
      </w:r>
      <w:r w:rsidR="002240E6" w:rsidRPr="004B35B6">
        <w:rPr>
          <w:iCs/>
          <w:color w:val="000000" w:themeColor="text1"/>
          <w:szCs w:val="22"/>
          <w:shd w:val="clear" w:color="auto" w:fill="FFFFFF"/>
        </w:rPr>
        <w:fldChar w:fldCharType="begin"/>
      </w:r>
      <w:r w:rsidR="002240E6" w:rsidRPr="004B35B6">
        <w:rPr>
          <w:iCs/>
          <w:color w:val="000000" w:themeColor="text1"/>
          <w:szCs w:val="22"/>
          <w:shd w:val="clear" w:color="auto" w:fill="FFFFFF"/>
        </w:rPr>
        <w:instrText xml:space="preserve"> REF _Ref159508840 \h </w:instrText>
      </w:r>
      <w:r w:rsidR="004B35B6">
        <w:rPr>
          <w:iCs/>
          <w:color w:val="000000" w:themeColor="text1"/>
          <w:szCs w:val="22"/>
          <w:shd w:val="clear" w:color="auto" w:fill="FFFFFF"/>
        </w:rPr>
        <w:instrText xml:space="preserve"> \* MERGEFORMAT </w:instrText>
      </w:r>
      <w:r w:rsidR="002240E6" w:rsidRPr="004B35B6">
        <w:rPr>
          <w:iCs/>
          <w:color w:val="000000" w:themeColor="text1"/>
          <w:szCs w:val="22"/>
          <w:shd w:val="clear" w:color="auto" w:fill="FFFFFF"/>
        </w:rPr>
      </w:r>
      <w:r w:rsidR="002240E6" w:rsidRPr="004B35B6">
        <w:rPr>
          <w:iCs/>
          <w:color w:val="000000" w:themeColor="text1"/>
          <w:szCs w:val="22"/>
          <w:shd w:val="clear" w:color="auto" w:fill="FFFFFF"/>
        </w:rPr>
        <w:fldChar w:fldCharType="separate"/>
      </w:r>
      <w:r w:rsidR="00536CF0" w:rsidRPr="00245F0C">
        <w:rPr>
          <w:szCs w:val="22"/>
        </w:rPr>
        <w:t xml:space="preserve">Equation </w:t>
      </w:r>
      <w:r w:rsidR="00536CF0" w:rsidRPr="00245F0C">
        <w:rPr>
          <w:noProof/>
          <w:szCs w:val="22"/>
        </w:rPr>
        <w:t>34</w:t>
      </w:r>
      <w:r w:rsidR="002240E6" w:rsidRPr="004B35B6">
        <w:rPr>
          <w:iCs/>
          <w:color w:val="000000" w:themeColor="text1"/>
          <w:szCs w:val="22"/>
          <w:shd w:val="clear" w:color="auto" w:fill="FFFFFF"/>
        </w:rPr>
        <w:fldChar w:fldCharType="end"/>
      </w:r>
      <w:r w:rsidRPr="00EC6E98">
        <w:rPr>
          <w:iCs/>
          <w:color w:val="000000" w:themeColor="text1"/>
          <w:szCs w:val="22"/>
          <w:shd w:val="clear" w:color="auto" w:fill="FFFFFF"/>
        </w:rPr>
        <w:t xml:space="preserve">, </w:t>
      </w:r>
      <m:oMath>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E</m:t>
            </m:r>
          </m:e>
          <m:sub>
            <m:r>
              <m:rPr>
                <m:sty m:val="p"/>
              </m:rPr>
              <w:rPr>
                <w:rFonts w:ascii="Cambria Math" w:hAnsi="Cambria Math"/>
                <w:color w:val="000000" w:themeColor="text1"/>
                <w:szCs w:val="22"/>
                <w:shd w:val="clear" w:color="auto" w:fill="FFFFFF"/>
              </w:rPr>
              <m:t>H2</m:t>
            </m:r>
          </m:sub>
        </m:sSub>
      </m:oMath>
      <w:r w:rsidRPr="00EC6E98">
        <w:rPr>
          <w:iCs/>
          <w:color w:val="000000" w:themeColor="text1"/>
          <w:szCs w:val="22"/>
          <w:shd w:val="clear" w:color="auto" w:fill="FFFFFF"/>
        </w:rPr>
        <w:t>is the DFT total energy of H</w:t>
      </w:r>
      <w:r w:rsidRPr="00EC6E98">
        <w:rPr>
          <w:iCs/>
          <w:color w:val="000000" w:themeColor="text1"/>
          <w:szCs w:val="22"/>
          <w:shd w:val="clear" w:color="auto" w:fill="FFFFFF"/>
          <w:vertAlign w:val="subscript"/>
        </w:rPr>
        <w:t>2gas</w:t>
      </w:r>
      <w:r w:rsidRPr="00EC6E98">
        <w:rPr>
          <w:iCs/>
          <w:color w:val="000000" w:themeColor="text1"/>
          <w:szCs w:val="22"/>
          <w:shd w:val="clear" w:color="auto" w:fill="FFFFFF"/>
        </w:rPr>
        <w:t xml:space="preserve">, </w:t>
      </w:r>
      <m:oMath>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S</m:t>
            </m:r>
          </m:e>
          <m:sub>
            <m:r>
              <m:rPr>
                <m:sty m:val="p"/>
              </m:rPr>
              <w:rPr>
                <w:rFonts w:ascii="Cambria Math" w:hAnsi="Cambria Math"/>
                <w:color w:val="000000" w:themeColor="text1"/>
                <w:szCs w:val="22"/>
                <w:shd w:val="clear" w:color="auto" w:fill="FFFFFF"/>
              </w:rPr>
              <m:t>H2</m:t>
            </m:r>
          </m:sub>
        </m:sSub>
        <m:d>
          <m:dPr>
            <m:ctrlPr>
              <w:rPr>
                <w:rFonts w:ascii="Cambria Math" w:eastAsiaTheme="minorHAnsi" w:hAnsi="Cambria Math"/>
                <w:i/>
                <w:iCs/>
                <w:color w:val="000000" w:themeColor="text1"/>
                <w:szCs w:val="22"/>
                <w:shd w:val="clear" w:color="auto" w:fill="FFFFFF"/>
              </w:rPr>
            </m:ctrlPr>
          </m:dPr>
          <m:e>
            <m:r>
              <w:rPr>
                <w:rFonts w:ascii="Cambria Math" w:hAnsi="Cambria Math"/>
                <w:color w:val="000000" w:themeColor="text1"/>
                <w:szCs w:val="22"/>
                <w:shd w:val="clear" w:color="auto" w:fill="FFFFFF"/>
              </w:rPr>
              <m:t>298.15 K,1 atm</m:t>
            </m:r>
          </m:e>
        </m:d>
      </m:oMath>
      <w:r w:rsidRPr="00EC6E98">
        <w:rPr>
          <w:iCs/>
          <w:color w:val="000000" w:themeColor="text1"/>
          <w:szCs w:val="22"/>
          <w:shd w:val="clear" w:color="auto" w:fill="FFFFFF"/>
        </w:rPr>
        <w:t xml:space="preserve"> is the (tabulated) entropy of H</w:t>
      </w:r>
      <w:r w:rsidRPr="00EC6E98">
        <w:rPr>
          <w:iCs/>
          <w:color w:val="000000" w:themeColor="text1"/>
          <w:szCs w:val="22"/>
          <w:shd w:val="clear" w:color="auto" w:fill="FFFFFF"/>
          <w:vertAlign w:val="subscript"/>
        </w:rPr>
        <w:t>2gas</w:t>
      </w:r>
      <w:r w:rsidRPr="00EC6E98">
        <w:rPr>
          <w:iCs/>
          <w:color w:val="000000" w:themeColor="text1"/>
          <w:szCs w:val="22"/>
          <w:shd w:val="clear" w:color="auto" w:fill="FFFFFF"/>
        </w:rPr>
        <w:t xml:space="preserve"> at standard conditions, and </w:t>
      </w:r>
      <m:oMath>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E</m:t>
            </m:r>
          </m:e>
          <m:sub>
            <m:r>
              <w:rPr>
                <w:rFonts w:ascii="Cambria Math" w:hAnsi="Cambria Math"/>
                <w:color w:val="000000" w:themeColor="text1"/>
                <w:szCs w:val="22"/>
                <w:shd w:val="clear" w:color="auto" w:fill="FFFFFF"/>
              </w:rPr>
              <m:t>ZPT,H2</m:t>
            </m:r>
          </m:sub>
        </m:sSub>
      </m:oMath>
      <w:r w:rsidRPr="00EC6E98">
        <w:rPr>
          <w:iCs/>
          <w:color w:val="000000" w:themeColor="text1"/>
          <w:szCs w:val="22"/>
          <w:shd w:val="clear" w:color="auto" w:fill="FFFFFF"/>
        </w:rPr>
        <w:t xml:space="preserve"> is the zero-point energy of H</w:t>
      </w:r>
      <w:r w:rsidRPr="00EC6E98">
        <w:rPr>
          <w:iCs/>
          <w:color w:val="000000" w:themeColor="text1"/>
          <w:szCs w:val="22"/>
          <w:shd w:val="clear" w:color="auto" w:fill="FFFFFF"/>
          <w:vertAlign w:val="subscript"/>
        </w:rPr>
        <w:t>2,gas</w:t>
      </w:r>
      <w:r w:rsidRPr="00EC6E98">
        <w:rPr>
          <w:iCs/>
          <w:color w:val="000000" w:themeColor="text1"/>
          <w:szCs w:val="22"/>
          <w:shd w:val="clear" w:color="auto" w:fill="FFFFFF"/>
        </w:rPr>
        <w:t>. This term is needed because H-H and O-H bonds have high energy vibrational modes, meaning vibrational free energy contributions cannot be ignored</w:t>
      </w:r>
      <w:r>
        <w:rPr>
          <w:iCs/>
          <w:color w:val="000000" w:themeColor="text1"/>
          <w:szCs w:val="22"/>
          <w:shd w:val="clear" w:color="auto" w:fill="FFFFFF"/>
        </w:rPr>
        <w:fldChar w:fldCharType="begin"/>
      </w:r>
      <w:r w:rsidR="00FC5BEB">
        <w:rPr>
          <w:iCs/>
          <w:color w:val="000000" w:themeColor="text1"/>
          <w:szCs w:val="22"/>
          <w:shd w:val="clear" w:color="auto" w:fill="FFFFFF"/>
        </w:rPr>
        <w:instrText xml:space="preserve"> ADDIN EN.CITE &lt;EndNote&gt;&lt;Cite&gt;&lt;Author&gt;Sun&lt;/Author&gt;&lt;Year&gt;2003&lt;/Year&gt;&lt;RecNum&gt;114&lt;/RecNum&gt;&lt;DisplayText&gt;&lt;style face="superscript"&gt;116&lt;/style&gt;&lt;/DisplayText&gt;&lt;record&gt;&lt;rec-number&gt;114&lt;/rec-number&gt;&lt;foreign-keys&gt;&lt;key app="EN" db-id="2xex0erf4eexr4e2dpbxpdd829xttesxxxdr" timestamp="1715075296"&gt;114&lt;/key&gt;&lt;/foreign-keys&gt;&lt;ref-type name="Journal Article"&gt;17&lt;/ref-type&gt;&lt;contributors&gt;&lt;authors&gt;&lt;author&gt;Sun, Qiang&lt;/author&gt;&lt;author&gt;Reuter, Karsten&lt;/author&gt;&lt;author&gt;Scheffler, Matthias&lt;/author&gt;&lt;/authors&gt;&lt;/contributors&gt;&lt;titles&gt;&lt;title&gt;Effect of a humid environment on the surface structure of RuO2(110)&lt;/title&gt;&lt;secondary-title&gt;Physical Review B&lt;/secondary-title&gt;&lt;/titles&gt;&lt;periodical&gt;&lt;full-title&gt;Physical Review B&lt;/full-title&gt;&lt;abbr-1&gt;Phys. Rev. B&lt;/abbr-1&gt;&lt;abbr-2&gt;Phys Rev B&lt;/abbr-2&gt;&lt;/periodical&gt;&lt;pages&gt;205424&lt;/pages&gt;&lt;volume&gt;67&lt;/volume&gt;&lt;number&gt;20&lt;/number&gt;&lt;dates&gt;&lt;year&gt;2003&lt;/year&gt;&lt;pub-dates&gt;&lt;date&gt;05/30/&lt;/date&gt;&lt;/pub-dates&gt;&lt;/dates&gt;&lt;publisher&gt;American Physical Society&lt;/publisher&gt;&lt;urls&gt;&lt;related-urls&gt;&lt;url&gt;https://link.aps.org/doi/10.1103/PhysRevB.67.205424&lt;/url&gt;&lt;/related-urls&gt;&lt;/urls&gt;&lt;electronic-resource-num&gt;10.1103/PhysRevB.67.205424&lt;/electronic-resource-num&gt;&lt;/record&gt;&lt;/Cite&gt;&lt;/EndNote&gt;</w:instrText>
      </w:r>
      <w:r>
        <w:rPr>
          <w:iCs/>
          <w:color w:val="000000" w:themeColor="text1"/>
          <w:szCs w:val="22"/>
          <w:shd w:val="clear" w:color="auto" w:fill="FFFFFF"/>
        </w:rPr>
        <w:fldChar w:fldCharType="separate"/>
      </w:r>
      <w:r w:rsidR="00FC5BEB" w:rsidRPr="00FC5BEB">
        <w:rPr>
          <w:iCs/>
          <w:noProof/>
          <w:color w:val="000000" w:themeColor="text1"/>
          <w:szCs w:val="22"/>
          <w:shd w:val="clear" w:color="auto" w:fill="FFFFFF"/>
          <w:vertAlign w:val="superscript"/>
        </w:rPr>
        <w:t>116</w:t>
      </w:r>
      <w:r>
        <w:rPr>
          <w:iCs/>
          <w:color w:val="000000" w:themeColor="text1"/>
          <w:szCs w:val="22"/>
          <w:shd w:val="clear" w:color="auto" w:fill="FFFFFF"/>
        </w:rPr>
        <w:fldChar w:fldCharType="end"/>
      </w:r>
      <w:r w:rsidRPr="00EC6E98">
        <w:rPr>
          <w:iCs/>
          <w:color w:val="000000" w:themeColor="text1"/>
          <w:szCs w:val="22"/>
          <w:shd w:val="clear" w:color="auto" w:fill="FFFFFF"/>
        </w:rPr>
        <w:t xml:space="preserve">. Note that </w:t>
      </w:r>
      <w:r w:rsidR="002240E6" w:rsidRPr="004B35B6">
        <w:rPr>
          <w:iCs/>
          <w:color w:val="000000" w:themeColor="text1"/>
          <w:szCs w:val="22"/>
          <w:shd w:val="clear" w:color="auto" w:fill="FFFFFF"/>
        </w:rPr>
        <w:fldChar w:fldCharType="begin"/>
      </w:r>
      <w:r w:rsidR="002240E6" w:rsidRPr="004B35B6">
        <w:rPr>
          <w:iCs/>
          <w:color w:val="000000" w:themeColor="text1"/>
          <w:szCs w:val="22"/>
          <w:shd w:val="clear" w:color="auto" w:fill="FFFFFF"/>
        </w:rPr>
        <w:instrText xml:space="preserve"> REF _Ref159508840 \h </w:instrText>
      </w:r>
      <w:r w:rsidR="004B35B6">
        <w:rPr>
          <w:iCs/>
          <w:color w:val="000000" w:themeColor="text1"/>
          <w:szCs w:val="22"/>
          <w:shd w:val="clear" w:color="auto" w:fill="FFFFFF"/>
        </w:rPr>
        <w:instrText xml:space="preserve"> \* MERGEFORMAT </w:instrText>
      </w:r>
      <w:r w:rsidR="002240E6" w:rsidRPr="004B35B6">
        <w:rPr>
          <w:iCs/>
          <w:color w:val="000000" w:themeColor="text1"/>
          <w:szCs w:val="22"/>
          <w:shd w:val="clear" w:color="auto" w:fill="FFFFFF"/>
        </w:rPr>
      </w:r>
      <w:r w:rsidR="002240E6" w:rsidRPr="004B35B6">
        <w:rPr>
          <w:iCs/>
          <w:color w:val="000000" w:themeColor="text1"/>
          <w:szCs w:val="22"/>
          <w:shd w:val="clear" w:color="auto" w:fill="FFFFFF"/>
        </w:rPr>
        <w:fldChar w:fldCharType="separate"/>
      </w:r>
      <w:r w:rsidR="00536CF0" w:rsidRPr="00245F0C">
        <w:rPr>
          <w:szCs w:val="22"/>
        </w:rPr>
        <w:t xml:space="preserve">Equation </w:t>
      </w:r>
      <w:r w:rsidR="00536CF0" w:rsidRPr="00245F0C">
        <w:rPr>
          <w:noProof/>
          <w:szCs w:val="22"/>
        </w:rPr>
        <w:t>34</w:t>
      </w:r>
      <w:r w:rsidR="002240E6" w:rsidRPr="004B35B6">
        <w:rPr>
          <w:iCs/>
          <w:color w:val="000000" w:themeColor="text1"/>
          <w:szCs w:val="22"/>
          <w:shd w:val="clear" w:color="auto" w:fill="FFFFFF"/>
        </w:rPr>
        <w:fldChar w:fldCharType="end"/>
      </w:r>
      <w:r w:rsidRPr="00EC6E98">
        <w:rPr>
          <w:iCs/>
          <w:color w:val="000000" w:themeColor="text1"/>
          <w:szCs w:val="22"/>
          <w:shd w:val="clear" w:color="auto" w:fill="FFFFFF"/>
        </w:rPr>
        <w:t xml:space="preserve">, developed in </w:t>
      </w:r>
      <w:r w:rsidRPr="00EC6E98">
        <w:rPr>
          <w:color w:val="000000" w:themeColor="text1"/>
          <w:szCs w:val="22"/>
        </w:rPr>
        <w:t xml:space="preserve">Ref. </w:t>
      </w:r>
      <w:r>
        <w:rPr>
          <w:color w:val="000000" w:themeColor="text1"/>
          <w:szCs w:val="22"/>
        </w:rPr>
        <w:fldChar w:fldCharType="begin"/>
      </w:r>
      <w:r w:rsidR="009F6662">
        <w:rPr>
          <w:color w:val="000000" w:themeColor="text1"/>
          <w:szCs w:val="22"/>
        </w:rPr>
        <w:instrText xml:space="preserve"> ADDIN EN.CITE &lt;EndNote&gt;&lt;Cite&gt;&lt;Author&gt;Nørskov&lt;/Author&gt;&lt;Year&gt;2004&lt;/Year&gt;&lt;RecNum&gt;59&lt;/RecNum&gt;&lt;DisplayText&gt;&lt;style face="superscript"&gt;59&lt;/style&gt;&lt;/DisplayText&gt;&lt;record&gt;&lt;rec-number&gt;59&lt;/rec-number&gt;&lt;foreign-keys&gt;&lt;key app="EN" db-id="2xex0erf4eexr4e2dpbxpdd829xttesxxxdr" timestamp="1715075296"&gt;59&lt;/key&gt;&lt;/foreign-keys&gt;&lt;ref-type name="Journal Article"&gt;17&lt;/ref-type&gt;&lt;contributors&gt;&lt;authors&gt;&lt;author&gt;Nørskov, J. K.&lt;/author&gt;&lt;author&gt;Rossmeisl, J.&lt;/author&gt;&lt;author&gt;Logadottir, A.&lt;/author&gt;&lt;author&gt;Lindqvist, L.&lt;/author&gt;&lt;author&gt;Kitchin, J. R.&lt;/author&gt;&lt;author&gt;Bligaard, T.&lt;/author&gt;&lt;author&gt;Jónsson, H.&lt;/author&gt;&lt;/authors&gt;&lt;/contributors&gt;&lt;titles&gt;&lt;title&gt;Origin of the Overpotential for Oxygen Reduction at a Fuel-Cell Cathode&lt;/title&gt;&lt;secondary-title&gt;Journal of Physical Chemistry B&lt;/secondary-title&gt;&lt;/titles&gt;&lt;periodical&gt;&lt;full-title&gt;Journal of Physical Chemistry B&lt;/full-title&gt;&lt;abbr-1&gt;J. Phys. Chem. B&lt;/abbr-1&gt;&lt;abbr-2&gt;J Phys Chem B&lt;/abbr-2&gt;&lt;/periodical&gt;&lt;pages&gt;17886-17892&lt;/pages&gt;&lt;volume&gt;108&lt;/volume&gt;&lt;number&gt;46&lt;/number&gt;&lt;dates&gt;&lt;year&gt;2004&lt;/year&gt;&lt;pub-dates&gt;&lt;date&gt;2004/11/01&lt;/date&gt;&lt;/pub-dates&gt;&lt;/dates&gt;&lt;publisher&gt;American Chemical Society&lt;/publisher&gt;&lt;isbn&gt;1520-6106&lt;/isbn&gt;&lt;urls&gt;&lt;related-urls&gt;&lt;url&gt;https://doi.org/10.1021/jp047349j&lt;/url&gt;&lt;/related-urls&gt;&lt;/urls&gt;&lt;electronic-resource-num&gt;10.1021/jp047349j&lt;/electronic-resource-num&gt;&lt;/record&gt;&lt;/Cite&gt;&lt;/EndNote&gt;</w:instrText>
      </w:r>
      <w:r>
        <w:rPr>
          <w:color w:val="000000" w:themeColor="text1"/>
          <w:szCs w:val="22"/>
        </w:rPr>
        <w:fldChar w:fldCharType="separate"/>
      </w:r>
      <w:r w:rsidR="009F6662" w:rsidRPr="009F6662">
        <w:rPr>
          <w:noProof/>
          <w:color w:val="000000" w:themeColor="text1"/>
          <w:szCs w:val="22"/>
          <w:vertAlign w:val="superscript"/>
        </w:rPr>
        <w:t>59</w:t>
      </w:r>
      <w:r>
        <w:rPr>
          <w:color w:val="000000" w:themeColor="text1"/>
          <w:szCs w:val="22"/>
        </w:rPr>
        <w:fldChar w:fldCharType="end"/>
      </w:r>
      <w:r w:rsidRPr="00EC6E98">
        <w:rPr>
          <w:color w:val="000000" w:themeColor="text1"/>
          <w:szCs w:val="22"/>
        </w:rPr>
        <w:t xml:space="preserve">, ignores the enthalpic contribution to </w:t>
      </w:r>
      <m:oMath>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μ</m:t>
            </m:r>
          </m:e>
          <m:sub>
            <m:r>
              <m:rPr>
                <m:sty m:val="p"/>
              </m:rPr>
              <w:rPr>
                <w:rFonts w:ascii="Cambria Math" w:hAnsi="Cambria Math"/>
                <w:color w:val="000000" w:themeColor="text1"/>
                <w:szCs w:val="22"/>
                <w:shd w:val="clear" w:color="auto" w:fill="FFFFFF"/>
              </w:rPr>
              <m:t>H2</m:t>
            </m:r>
          </m:sub>
        </m:sSub>
      </m:oMath>
      <w:r w:rsidRPr="00EC6E98">
        <w:rPr>
          <w:iCs/>
          <w:color w:val="000000" w:themeColor="text1"/>
          <w:szCs w:val="22"/>
          <w:shd w:val="clear" w:color="auto" w:fill="FFFFFF"/>
        </w:rPr>
        <w:t xml:space="preserve"> previously included to correct the 0 K DFT total energy to a non-zero temperature chemical potential. Including such a contribution would yield:</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2240E6" w:rsidRPr="002240E6" w14:paraId="15C790D2" w14:textId="77777777" w:rsidTr="00912480">
        <w:tc>
          <w:tcPr>
            <w:tcW w:w="7938" w:type="dxa"/>
            <w:tcMar>
              <w:left w:w="28" w:type="dxa"/>
              <w:right w:w="28" w:type="dxa"/>
            </w:tcMar>
            <w:vAlign w:val="center"/>
          </w:tcPr>
          <w:p w14:paraId="69148BEE" w14:textId="3BCB0D50" w:rsidR="002240E6" w:rsidRPr="002240E6" w:rsidRDefault="00000000" w:rsidP="00912480">
            <w:pPr>
              <w:spacing w:before="60" w:after="60"/>
              <w:jc w:val="center"/>
              <w:rPr>
                <w:bCs/>
                <w:sz w:val="20"/>
                <w:szCs w:val="20"/>
              </w:rPr>
            </w:pPr>
            <m:oMathPara>
              <m:oMath>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H2</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 xml:space="preserve">298.15 </m:t>
                    </m:r>
                    <m:r>
                      <m:rPr>
                        <m:sty m:val="p"/>
                      </m:rPr>
                      <w:rPr>
                        <w:rFonts w:ascii="Cambria Math" w:hAnsi="Cambria Math"/>
                        <w:color w:val="000000" w:themeColor="text1"/>
                        <w:sz w:val="20"/>
                        <w:szCs w:val="20"/>
                        <w:shd w:val="clear" w:color="auto" w:fill="FFFFFF"/>
                      </w:rPr>
                      <m:t>K</m:t>
                    </m:r>
                    <m:r>
                      <w:rPr>
                        <w:rFonts w:ascii="Cambria Math" w:hAnsi="Cambria Math"/>
                        <w:color w:val="000000" w:themeColor="text1"/>
                        <w:sz w:val="20"/>
                        <w:szCs w:val="20"/>
                        <w:shd w:val="clear" w:color="auto" w:fill="FFFFFF"/>
                      </w:rPr>
                      <m:t xml:space="preserve">,1 </m:t>
                    </m:r>
                    <m:r>
                      <m:rPr>
                        <m:sty m:val="p"/>
                      </m:rPr>
                      <w:rPr>
                        <w:rFonts w:ascii="Cambria Math" w:hAnsi="Cambria Math"/>
                        <w:color w:val="000000" w:themeColor="text1"/>
                        <w:sz w:val="20"/>
                        <w:szCs w:val="20"/>
                        <w:shd w:val="clear" w:color="auto" w:fill="FFFFFF"/>
                      </w:rPr>
                      <m:t>atm</m:t>
                    </m:r>
                  </m:e>
                </m:d>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E</m:t>
                    </m:r>
                  </m:e>
                  <m:sub>
                    <m:r>
                      <m:rPr>
                        <m:sty m:val="p"/>
                      </m:rPr>
                      <w:rPr>
                        <w:rFonts w:ascii="Cambria Math" w:hAnsi="Cambria Math"/>
                        <w:color w:val="000000" w:themeColor="text1"/>
                        <w:sz w:val="20"/>
                        <w:szCs w:val="20"/>
                        <w:shd w:val="clear" w:color="auto" w:fill="FFFFFF"/>
                      </w:rPr>
                      <m:t>H2</m:t>
                    </m:r>
                  </m:sub>
                </m:sSub>
                <m:r>
                  <w:rPr>
                    <w:rFonts w:ascii="Cambria Math" w:hAnsi="Cambria Math"/>
                    <w:color w:val="000000" w:themeColor="text1"/>
                    <w:sz w:val="20"/>
                    <w:szCs w:val="20"/>
                    <w:shd w:val="clear" w:color="auto" w:fill="FFFFFF"/>
                  </w:rPr>
                  <m:t>+</m:t>
                </m:r>
                <m:d>
                  <m:dPr>
                    <m:begChr m:val="["/>
                    <m:endChr m:val="]"/>
                    <m:ctrlPr>
                      <w:rPr>
                        <w:rFonts w:ascii="Cambria Math" w:eastAsiaTheme="minorHAnsi" w:hAnsi="Cambria Math"/>
                        <w:i/>
                        <w:iCs/>
                        <w:color w:val="000000" w:themeColor="text1"/>
                        <w:sz w:val="20"/>
                        <w:szCs w:val="20"/>
                        <w:shd w:val="clear" w:color="auto" w:fill="FFFFFF"/>
                      </w:rPr>
                    </m:ctrlPr>
                  </m:dPr>
                  <m:e>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H</m:t>
                        </m:r>
                      </m:e>
                      <m:sub>
                        <m:r>
                          <m:rPr>
                            <m:sty m:val="p"/>
                          </m:rPr>
                          <w:rPr>
                            <w:rFonts w:ascii="Cambria Math" w:hAnsi="Cambria Math"/>
                            <w:color w:val="000000" w:themeColor="text1"/>
                            <w:sz w:val="20"/>
                            <w:szCs w:val="20"/>
                            <w:shd w:val="clear" w:color="auto" w:fill="FFFFFF"/>
                          </w:rPr>
                          <m:t>H2</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T,</m:t>
                        </m:r>
                        <m:sSup>
                          <m:sSupPr>
                            <m:ctrlPr>
                              <w:rPr>
                                <w:rFonts w:ascii="Cambria Math" w:eastAsiaTheme="minorHAnsi" w:hAnsi="Cambria Math"/>
                                <w:i/>
                                <w:iCs/>
                                <w:color w:val="000000" w:themeColor="text1"/>
                                <w:sz w:val="20"/>
                                <w:szCs w:val="20"/>
                                <w:shd w:val="clear" w:color="auto" w:fill="FFFFFF"/>
                              </w:rPr>
                            </m:ctrlPr>
                          </m:sSupPr>
                          <m:e>
                            <m:r>
                              <w:rPr>
                                <w:rFonts w:ascii="Cambria Math" w:hAnsi="Cambria Math"/>
                                <w:color w:val="000000" w:themeColor="text1"/>
                                <w:sz w:val="20"/>
                                <w:szCs w:val="20"/>
                                <w:shd w:val="clear" w:color="auto" w:fill="FFFFFF"/>
                              </w:rPr>
                              <m:t>p</m:t>
                            </m:r>
                          </m:e>
                          <m:sup>
                            <m:r>
                              <w:rPr>
                                <w:rFonts w:ascii="Cambria Math" w:hAnsi="Cambria Math"/>
                                <w:color w:val="000000" w:themeColor="text1"/>
                                <w:sz w:val="20"/>
                                <w:szCs w:val="20"/>
                                <w:shd w:val="clear" w:color="auto" w:fill="FFFFFF"/>
                              </w:rPr>
                              <m:t>0</m:t>
                            </m:r>
                          </m:sup>
                        </m:sSup>
                      </m:e>
                    </m:d>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H</m:t>
                        </m:r>
                      </m:e>
                      <m:sub>
                        <m:r>
                          <m:rPr>
                            <m:sty m:val="p"/>
                          </m:rPr>
                          <w:rPr>
                            <w:rFonts w:ascii="Cambria Math" w:hAnsi="Cambria Math"/>
                            <w:color w:val="000000" w:themeColor="text1"/>
                            <w:sz w:val="20"/>
                            <w:szCs w:val="20"/>
                            <w:shd w:val="clear" w:color="auto" w:fill="FFFFFF"/>
                          </w:rPr>
                          <m:t>H2</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0,</m:t>
                        </m:r>
                        <m:sSup>
                          <m:sSupPr>
                            <m:ctrlPr>
                              <w:rPr>
                                <w:rFonts w:ascii="Cambria Math" w:eastAsiaTheme="minorHAnsi" w:hAnsi="Cambria Math"/>
                                <w:i/>
                                <w:iCs/>
                                <w:color w:val="000000" w:themeColor="text1"/>
                                <w:sz w:val="20"/>
                                <w:szCs w:val="20"/>
                                <w:shd w:val="clear" w:color="auto" w:fill="FFFFFF"/>
                              </w:rPr>
                            </m:ctrlPr>
                          </m:sSupPr>
                          <m:e>
                            <m:r>
                              <w:rPr>
                                <w:rFonts w:ascii="Cambria Math" w:hAnsi="Cambria Math"/>
                                <w:color w:val="000000" w:themeColor="text1"/>
                                <w:sz w:val="20"/>
                                <w:szCs w:val="20"/>
                                <w:shd w:val="clear" w:color="auto" w:fill="FFFFFF"/>
                              </w:rPr>
                              <m:t>p</m:t>
                            </m:r>
                          </m:e>
                          <m:sup>
                            <m:r>
                              <w:rPr>
                                <w:rFonts w:ascii="Cambria Math" w:hAnsi="Cambria Math"/>
                                <w:color w:val="000000" w:themeColor="text1"/>
                                <w:sz w:val="20"/>
                                <w:szCs w:val="20"/>
                                <w:shd w:val="clear" w:color="auto" w:fill="FFFFFF"/>
                              </w:rPr>
                              <m:t>0</m:t>
                            </m:r>
                          </m:sup>
                        </m:sSup>
                      </m:e>
                    </m:d>
                  </m:e>
                </m:d>
                <m:r>
                  <w:rPr>
                    <w:rFonts w:ascii="Cambria Math" w:hAnsi="Cambria Math"/>
                    <w:color w:val="000000" w:themeColor="text1"/>
                    <w:sz w:val="20"/>
                    <w:szCs w:val="20"/>
                    <w:shd w:val="clear" w:color="auto" w:fill="FFFFFF"/>
                  </w:rPr>
                  <m:t>-298.15</m:t>
                </m:r>
                <m:d>
                  <m:dPr>
                    <m:begChr m:val="["/>
                    <m:endChr m:val="]"/>
                    <m:ctrlPr>
                      <w:rPr>
                        <w:rFonts w:ascii="Cambria Math" w:eastAsiaTheme="minorHAnsi" w:hAnsi="Cambria Math"/>
                        <w:i/>
                        <w:iCs/>
                        <w:color w:val="000000" w:themeColor="text1"/>
                        <w:sz w:val="20"/>
                        <w:szCs w:val="20"/>
                        <w:shd w:val="clear" w:color="auto" w:fill="FFFFFF"/>
                      </w:rPr>
                    </m:ctrlPr>
                  </m:dPr>
                  <m:e>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S</m:t>
                        </m:r>
                      </m:e>
                      <m:sub>
                        <m:r>
                          <m:rPr>
                            <m:sty m:val="p"/>
                          </m:rPr>
                          <w:rPr>
                            <w:rFonts w:ascii="Cambria Math" w:hAnsi="Cambria Math"/>
                            <w:color w:val="000000" w:themeColor="text1"/>
                            <w:sz w:val="20"/>
                            <w:szCs w:val="20"/>
                            <w:shd w:val="clear" w:color="auto" w:fill="FFFFFF"/>
                          </w:rPr>
                          <m:t>H2</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 xml:space="preserve">298.15 </m:t>
                        </m:r>
                        <m:r>
                          <m:rPr>
                            <m:sty m:val="p"/>
                          </m:rPr>
                          <w:rPr>
                            <w:rFonts w:ascii="Cambria Math" w:hAnsi="Cambria Math"/>
                            <w:color w:val="000000" w:themeColor="text1"/>
                            <w:sz w:val="20"/>
                            <w:szCs w:val="20"/>
                            <w:shd w:val="clear" w:color="auto" w:fill="FFFFFF"/>
                          </w:rPr>
                          <m:t>K</m:t>
                        </m:r>
                        <m:r>
                          <w:rPr>
                            <w:rFonts w:ascii="Cambria Math" w:hAnsi="Cambria Math"/>
                            <w:color w:val="000000" w:themeColor="text1"/>
                            <w:sz w:val="20"/>
                            <w:szCs w:val="20"/>
                            <w:shd w:val="clear" w:color="auto" w:fill="FFFFFF"/>
                          </w:rPr>
                          <m:t xml:space="preserve">,1 </m:t>
                        </m:r>
                        <m:r>
                          <m:rPr>
                            <m:sty m:val="p"/>
                          </m:rPr>
                          <w:rPr>
                            <w:rFonts w:ascii="Cambria Math" w:hAnsi="Cambria Math"/>
                            <w:color w:val="000000" w:themeColor="text1"/>
                            <w:sz w:val="20"/>
                            <w:szCs w:val="20"/>
                            <w:shd w:val="clear" w:color="auto" w:fill="FFFFFF"/>
                          </w:rPr>
                          <m:t>atm</m:t>
                        </m:r>
                      </m:e>
                    </m:d>
                  </m:e>
                </m:d>
                <m:r>
                  <w:rPr>
                    <w:rFonts w:ascii="Cambria Math" w:hAnsi="Cambria Math"/>
                    <w:color w:val="000000" w:themeColor="text1"/>
                    <w:sz w:val="20"/>
                    <w:szCs w:val="20"/>
                    <w:shd w:val="clear" w:color="auto" w:fill="FFFFFF"/>
                  </w:rPr>
                  <m:t xml:space="preserve"> +</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E</m:t>
                    </m:r>
                  </m:e>
                  <m:sub>
                    <m:r>
                      <w:rPr>
                        <w:rFonts w:ascii="Cambria Math" w:hAnsi="Cambria Math"/>
                        <w:color w:val="000000" w:themeColor="text1"/>
                        <w:sz w:val="20"/>
                        <w:szCs w:val="20"/>
                        <w:shd w:val="clear" w:color="auto" w:fill="FFFFFF"/>
                      </w:rPr>
                      <m:t>ZPT,H2</m:t>
                    </m:r>
                  </m:sub>
                </m:sSub>
              </m:oMath>
            </m:oMathPara>
          </w:p>
        </w:tc>
        <w:tc>
          <w:tcPr>
            <w:tcW w:w="1134" w:type="dxa"/>
            <w:tcMar>
              <w:left w:w="28" w:type="dxa"/>
              <w:right w:w="28" w:type="dxa"/>
            </w:tcMar>
            <w:vAlign w:val="center"/>
          </w:tcPr>
          <w:p w14:paraId="54492970" w14:textId="182DF196" w:rsidR="002240E6" w:rsidRPr="002240E6" w:rsidRDefault="002240E6" w:rsidP="00912480">
            <w:pPr>
              <w:keepNext/>
              <w:jc w:val="center"/>
              <w:rPr>
                <w:bCs/>
                <w:sz w:val="20"/>
                <w:szCs w:val="20"/>
              </w:rPr>
            </w:pPr>
            <w:bookmarkStart w:id="70" w:name="_Ref159509088"/>
            <w:r w:rsidRPr="002240E6">
              <w:rPr>
                <w:sz w:val="20"/>
                <w:szCs w:val="20"/>
              </w:rPr>
              <w:t xml:space="preserve">Equation </w:t>
            </w:r>
            <w:r w:rsidRPr="002240E6">
              <w:rPr>
                <w:sz w:val="20"/>
                <w:szCs w:val="20"/>
              </w:rPr>
              <w:fldChar w:fldCharType="begin"/>
            </w:r>
            <w:r w:rsidRPr="002240E6">
              <w:rPr>
                <w:sz w:val="20"/>
                <w:szCs w:val="20"/>
              </w:rPr>
              <w:instrText xml:space="preserve"> SEQ Equation \* ARABIC </w:instrText>
            </w:r>
            <w:r w:rsidRPr="002240E6">
              <w:rPr>
                <w:sz w:val="20"/>
                <w:szCs w:val="20"/>
              </w:rPr>
              <w:fldChar w:fldCharType="separate"/>
            </w:r>
            <w:r w:rsidR="00536CF0">
              <w:rPr>
                <w:noProof/>
                <w:sz w:val="20"/>
                <w:szCs w:val="20"/>
              </w:rPr>
              <w:t>35</w:t>
            </w:r>
            <w:r w:rsidRPr="002240E6">
              <w:rPr>
                <w:sz w:val="20"/>
                <w:szCs w:val="20"/>
              </w:rPr>
              <w:fldChar w:fldCharType="end"/>
            </w:r>
            <w:bookmarkEnd w:id="70"/>
          </w:p>
        </w:tc>
      </w:tr>
    </w:tbl>
    <w:p w14:paraId="19638C6B" w14:textId="0C19ED4F" w:rsidR="00594FAE" w:rsidRPr="00EC6E98" w:rsidRDefault="00594FAE" w:rsidP="00594FAE">
      <w:pPr>
        <w:rPr>
          <w:iCs/>
          <w:color w:val="000000" w:themeColor="text1"/>
          <w:szCs w:val="22"/>
          <w:shd w:val="clear" w:color="auto" w:fill="FFFFFF"/>
        </w:rPr>
      </w:pPr>
      <w:r w:rsidRPr="00EC6E98">
        <w:rPr>
          <w:iCs/>
          <w:color w:val="000000" w:themeColor="text1"/>
          <w:szCs w:val="22"/>
          <w:shd w:val="clear" w:color="auto" w:fill="FFFFFF"/>
        </w:rPr>
        <w:t xml:space="preserve">where </w:t>
      </w:r>
      <m:oMath>
        <m:d>
          <m:dPr>
            <m:begChr m:val="["/>
            <m:endChr m:val="]"/>
            <m:ctrlPr>
              <w:rPr>
                <w:rFonts w:ascii="Cambria Math" w:eastAsiaTheme="minorHAnsi" w:hAnsi="Cambria Math"/>
                <w:i/>
                <w:iCs/>
                <w:color w:val="000000" w:themeColor="text1"/>
                <w:szCs w:val="22"/>
                <w:shd w:val="clear" w:color="auto" w:fill="FFFFFF"/>
              </w:rPr>
            </m:ctrlPr>
          </m:dPr>
          <m:e>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H</m:t>
                </m:r>
              </m:e>
              <m:sub>
                <m:r>
                  <m:rPr>
                    <m:sty m:val="p"/>
                  </m:rPr>
                  <w:rPr>
                    <w:rFonts w:ascii="Cambria Math" w:hAnsi="Cambria Math"/>
                    <w:color w:val="000000" w:themeColor="text1"/>
                    <w:szCs w:val="22"/>
                    <w:shd w:val="clear" w:color="auto" w:fill="FFFFFF"/>
                  </w:rPr>
                  <m:t>H2</m:t>
                </m:r>
              </m:sub>
            </m:sSub>
            <m:d>
              <m:dPr>
                <m:ctrlPr>
                  <w:rPr>
                    <w:rFonts w:ascii="Cambria Math" w:eastAsiaTheme="minorHAnsi" w:hAnsi="Cambria Math"/>
                    <w:i/>
                    <w:iCs/>
                    <w:color w:val="000000" w:themeColor="text1"/>
                    <w:szCs w:val="22"/>
                    <w:shd w:val="clear" w:color="auto" w:fill="FFFFFF"/>
                  </w:rPr>
                </m:ctrlPr>
              </m:dPr>
              <m:e>
                <m:r>
                  <w:rPr>
                    <w:rFonts w:ascii="Cambria Math" w:hAnsi="Cambria Math"/>
                    <w:color w:val="000000" w:themeColor="text1"/>
                    <w:szCs w:val="22"/>
                    <w:shd w:val="clear" w:color="auto" w:fill="FFFFFF"/>
                  </w:rPr>
                  <m:t>T,</m:t>
                </m:r>
                <m:sSup>
                  <m:sSupPr>
                    <m:ctrlPr>
                      <w:rPr>
                        <w:rFonts w:ascii="Cambria Math" w:eastAsiaTheme="minorHAnsi" w:hAnsi="Cambria Math"/>
                        <w:i/>
                        <w:iCs/>
                        <w:color w:val="000000" w:themeColor="text1"/>
                        <w:szCs w:val="22"/>
                        <w:shd w:val="clear" w:color="auto" w:fill="FFFFFF"/>
                      </w:rPr>
                    </m:ctrlPr>
                  </m:sSupPr>
                  <m:e>
                    <m:r>
                      <w:rPr>
                        <w:rFonts w:ascii="Cambria Math" w:hAnsi="Cambria Math"/>
                        <w:color w:val="000000" w:themeColor="text1"/>
                        <w:szCs w:val="22"/>
                        <w:shd w:val="clear" w:color="auto" w:fill="FFFFFF"/>
                      </w:rPr>
                      <m:t>p</m:t>
                    </m:r>
                  </m:e>
                  <m:sup>
                    <m:r>
                      <w:rPr>
                        <w:rFonts w:ascii="Cambria Math" w:hAnsi="Cambria Math"/>
                        <w:color w:val="000000" w:themeColor="text1"/>
                        <w:szCs w:val="22"/>
                        <w:shd w:val="clear" w:color="auto" w:fill="FFFFFF"/>
                      </w:rPr>
                      <m:t>0</m:t>
                    </m:r>
                  </m:sup>
                </m:sSup>
              </m:e>
            </m:d>
            <m:r>
              <w:rPr>
                <w:rFonts w:ascii="Cambria Math" w:hAnsi="Cambria Math"/>
                <w:color w:val="000000" w:themeColor="text1"/>
                <w:szCs w:val="22"/>
                <w:shd w:val="clear" w:color="auto" w:fill="FFFFFF"/>
              </w:rPr>
              <m:t>-</m:t>
            </m:r>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H</m:t>
                </m:r>
              </m:e>
              <m:sub>
                <m:r>
                  <m:rPr>
                    <m:sty m:val="p"/>
                  </m:rPr>
                  <w:rPr>
                    <w:rFonts w:ascii="Cambria Math" w:hAnsi="Cambria Math"/>
                    <w:color w:val="000000" w:themeColor="text1"/>
                    <w:szCs w:val="22"/>
                    <w:shd w:val="clear" w:color="auto" w:fill="FFFFFF"/>
                  </w:rPr>
                  <m:t>H2</m:t>
                </m:r>
              </m:sub>
            </m:sSub>
            <m:d>
              <m:dPr>
                <m:ctrlPr>
                  <w:rPr>
                    <w:rFonts w:ascii="Cambria Math" w:eastAsiaTheme="minorHAnsi" w:hAnsi="Cambria Math"/>
                    <w:i/>
                    <w:iCs/>
                    <w:color w:val="000000" w:themeColor="text1"/>
                    <w:szCs w:val="22"/>
                    <w:shd w:val="clear" w:color="auto" w:fill="FFFFFF"/>
                  </w:rPr>
                </m:ctrlPr>
              </m:dPr>
              <m:e>
                <m:r>
                  <w:rPr>
                    <w:rFonts w:ascii="Cambria Math" w:hAnsi="Cambria Math"/>
                    <w:color w:val="000000" w:themeColor="text1"/>
                    <w:szCs w:val="22"/>
                    <w:shd w:val="clear" w:color="auto" w:fill="FFFFFF"/>
                  </w:rPr>
                  <m:t>0,</m:t>
                </m:r>
                <m:sSup>
                  <m:sSupPr>
                    <m:ctrlPr>
                      <w:rPr>
                        <w:rFonts w:ascii="Cambria Math" w:eastAsiaTheme="minorHAnsi" w:hAnsi="Cambria Math"/>
                        <w:i/>
                        <w:iCs/>
                        <w:color w:val="000000" w:themeColor="text1"/>
                        <w:szCs w:val="22"/>
                        <w:shd w:val="clear" w:color="auto" w:fill="FFFFFF"/>
                      </w:rPr>
                    </m:ctrlPr>
                  </m:sSupPr>
                  <m:e>
                    <m:r>
                      <w:rPr>
                        <w:rFonts w:ascii="Cambria Math" w:hAnsi="Cambria Math"/>
                        <w:color w:val="000000" w:themeColor="text1"/>
                        <w:szCs w:val="22"/>
                        <w:shd w:val="clear" w:color="auto" w:fill="FFFFFF"/>
                      </w:rPr>
                      <m:t>p</m:t>
                    </m:r>
                  </m:e>
                  <m:sup>
                    <m:r>
                      <w:rPr>
                        <w:rFonts w:ascii="Cambria Math" w:hAnsi="Cambria Math"/>
                        <w:color w:val="000000" w:themeColor="text1"/>
                        <w:szCs w:val="22"/>
                        <w:shd w:val="clear" w:color="auto" w:fill="FFFFFF"/>
                      </w:rPr>
                      <m:t>0</m:t>
                    </m:r>
                  </m:sup>
                </m:sSup>
              </m:e>
            </m:d>
          </m:e>
        </m:d>
        <m:r>
          <w:rPr>
            <w:rFonts w:ascii="Cambria Math" w:hAnsi="Cambria Math"/>
            <w:color w:val="000000" w:themeColor="text1"/>
            <w:szCs w:val="22"/>
            <w:shd w:val="clear" w:color="auto" w:fill="FFFFFF"/>
          </w:rPr>
          <m:t xml:space="preserve">≈87 </m:t>
        </m:r>
        <m:r>
          <m:rPr>
            <m:sty m:val="p"/>
          </m:rPr>
          <w:rPr>
            <w:rFonts w:ascii="Cambria Math" w:hAnsi="Cambria Math"/>
            <w:color w:val="000000" w:themeColor="text1"/>
            <w:szCs w:val="22"/>
            <w:shd w:val="clear" w:color="auto" w:fill="FFFFFF"/>
          </w:rPr>
          <m:t>meV</m:t>
        </m:r>
      </m:oMath>
      <w:r w:rsidRPr="00EC6E98">
        <w:rPr>
          <w:color w:val="000000" w:themeColor="text1"/>
          <w:szCs w:val="22"/>
          <w:shd w:val="clear" w:color="auto" w:fill="FFFFFF"/>
        </w:rPr>
        <w:t xml:space="preserve">. That is, </w:t>
      </w:r>
      <w:r w:rsidRPr="00EC6E98">
        <w:rPr>
          <w:iCs/>
          <w:color w:val="000000" w:themeColor="text1"/>
          <w:szCs w:val="22"/>
          <w:shd w:val="clear" w:color="auto" w:fill="FFFFFF"/>
        </w:rPr>
        <w:t xml:space="preserve">ignoring the enthalpic contribution to </w:t>
      </w:r>
      <m:oMath>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μ</m:t>
            </m:r>
          </m:e>
          <m:sub>
            <m:r>
              <m:rPr>
                <m:sty m:val="p"/>
              </m:rPr>
              <w:rPr>
                <w:rFonts w:ascii="Cambria Math" w:hAnsi="Cambria Math"/>
                <w:color w:val="000000" w:themeColor="text1"/>
                <w:szCs w:val="22"/>
                <w:shd w:val="clear" w:color="auto" w:fill="FFFFFF"/>
              </w:rPr>
              <m:t>H2</m:t>
            </m:r>
          </m:sub>
        </m:sSub>
      </m:oMath>
      <w:r w:rsidRPr="00EC6E98">
        <w:rPr>
          <w:iCs/>
          <w:color w:val="000000" w:themeColor="text1"/>
          <w:szCs w:val="22"/>
          <w:shd w:val="clear" w:color="auto" w:fill="FFFFFF"/>
        </w:rPr>
        <w:t xml:space="preserve"> results in a nearly 90 meV difference in energy compared to including these contributions. Currently authors vary on their use of </w:t>
      </w:r>
      <w:r w:rsidR="002240E6" w:rsidRPr="004B35B6">
        <w:rPr>
          <w:iCs/>
          <w:color w:val="000000" w:themeColor="text1"/>
          <w:szCs w:val="22"/>
          <w:shd w:val="clear" w:color="auto" w:fill="FFFFFF"/>
        </w:rPr>
        <w:fldChar w:fldCharType="begin"/>
      </w:r>
      <w:r w:rsidR="002240E6" w:rsidRPr="004B35B6">
        <w:rPr>
          <w:iCs/>
          <w:color w:val="000000" w:themeColor="text1"/>
          <w:szCs w:val="22"/>
          <w:shd w:val="clear" w:color="auto" w:fill="FFFFFF"/>
        </w:rPr>
        <w:instrText xml:space="preserve"> REF _Ref159508840 \h </w:instrText>
      </w:r>
      <w:r w:rsidR="004B35B6">
        <w:rPr>
          <w:iCs/>
          <w:color w:val="000000" w:themeColor="text1"/>
          <w:szCs w:val="22"/>
          <w:shd w:val="clear" w:color="auto" w:fill="FFFFFF"/>
        </w:rPr>
        <w:instrText xml:space="preserve"> \* MERGEFORMAT </w:instrText>
      </w:r>
      <w:r w:rsidR="002240E6" w:rsidRPr="004B35B6">
        <w:rPr>
          <w:iCs/>
          <w:color w:val="000000" w:themeColor="text1"/>
          <w:szCs w:val="22"/>
          <w:shd w:val="clear" w:color="auto" w:fill="FFFFFF"/>
        </w:rPr>
      </w:r>
      <w:r w:rsidR="002240E6" w:rsidRPr="004B35B6">
        <w:rPr>
          <w:iCs/>
          <w:color w:val="000000" w:themeColor="text1"/>
          <w:szCs w:val="22"/>
          <w:shd w:val="clear" w:color="auto" w:fill="FFFFFF"/>
        </w:rPr>
        <w:fldChar w:fldCharType="separate"/>
      </w:r>
      <w:r w:rsidR="00536CF0" w:rsidRPr="00245F0C">
        <w:rPr>
          <w:szCs w:val="22"/>
        </w:rPr>
        <w:t xml:space="preserve">Equation </w:t>
      </w:r>
      <w:r w:rsidR="00536CF0" w:rsidRPr="00245F0C">
        <w:rPr>
          <w:noProof/>
          <w:szCs w:val="22"/>
        </w:rPr>
        <w:t>34</w:t>
      </w:r>
      <w:r w:rsidR="002240E6" w:rsidRPr="004B35B6">
        <w:rPr>
          <w:iCs/>
          <w:color w:val="000000" w:themeColor="text1"/>
          <w:szCs w:val="22"/>
          <w:shd w:val="clear" w:color="auto" w:fill="FFFFFF"/>
        </w:rPr>
        <w:fldChar w:fldCharType="end"/>
      </w:r>
      <w:r>
        <w:rPr>
          <w:color w:val="000000" w:themeColor="text1"/>
          <w:szCs w:val="22"/>
        </w:rPr>
        <w:fldChar w:fldCharType="begin">
          <w:fldData xml:space="preserve">PEVuZE5vdGU+PENpdGU+PEF1dGhvcj5Ow7hyc2tvdjwvQXV0aG9yPjxZZWFyPjIwMDQ8L1llYXI+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</w:fldData>
        </w:fldChar>
      </w:r>
      <w:r w:rsidR="00FC5BEB">
        <w:rPr>
          <w:color w:val="000000" w:themeColor="text1"/>
          <w:szCs w:val="22"/>
        </w:rPr>
        <w:instrText xml:space="preserve"> ADDIN EN.CITE </w:instrText>
      </w:r>
      <w:r w:rsidR="00FC5BEB">
        <w:rPr>
          <w:color w:val="000000" w:themeColor="text1"/>
          <w:szCs w:val="22"/>
        </w:rPr>
        <w:fldChar w:fldCharType="begin">
          <w:fldData xml:space="preserve">PEVuZE5vdGU+PENpdGU+PEF1dGhvcj5Ow7hyc2tvdjwvQXV0aG9yPjxZZWFyPjIwMDQ8L1llYXI+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</w:fldData>
        </w:fldChar>
      </w:r>
      <w:r w:rsidR="00FC5BEB">
        <w:rPr>
          <w:color w:val="000000" w:themeColor="text1"/>
          <w:szCs w:val="22"/>
        </w:rPr>
        <w:instrText xml:space="preserve"> ADDIN EN.CITE.DATA </w:instrText>
      </w:r>
      <w:r w:rsidR="00FC5BEB">
        <w:rPr>
          <w:color w:val="000000" w:themeColor="text1"/>
          <w:szCs w:val="22"/>
        </w:rPr>
      </w:r>
      <w:r w:rsidR="00FC5BEB">
        <w:rPr>
          <w:color w:val="000000" w:themeColor="text1"/>
          <w:szCs w:val="22"/>
        </w:rPr>
        <w:fldChar w:fldCharType="end"/>
      </w:r>
      <w:r>
        <w:rPr>
          <w:color w:val="000000" w:themeColor="text1"/>
          <w:szCs w:val="22"/>
        </w:rPr>
      </w:r>
      <w:r>
        <w:rPr>
          <w:color w:val="000000" w:themeColor="text1"/>
          <w:szCs w:val="22"/>
        </w:rPr>
        <w:fldChar w:fldCharType="separate"/>
      </w:r>
      <w:r w:rsidR="00FC5BEB" w:rsidRPr="00FC5BEB">
        <w:rPr>
          <w:noProof/>
          <w:color w:val="000000" w:themeColor="text1"/>
          <w:szCs w:val="22"/>
          <w:vertAlign w:val="superscript"/>
        </w:rPr>
        <w:t>59, 87, 88</w:t>
      </w:r>
      <w:r>
        <w:rPr>
          <w:color w:val="000000" w:themeColor="text1"/>
          <w:szCs w:val="22"/>
        </w:rPr>
        <w:fldChar w:fldCharType="end"/>
      </w:r>
      <w:r>
        <w:rPr>
          <w:color w:val="000000" w:themeColor="text1"/>
          <w:szCs w:val="22"/>
        </w:rPr>
        <w:t xml:space="preserve"> </w:t>
      </w:r>
      <w:r w:rsidRPr="00EC6E98">
        <w:rPr>
          <w:iCs/>
          <w:color w:val="000000" w:themeColor="text1"/>
          <w:szCs w:val="22"/>
          <w:shd w:val="clear" w:color="auto" w:fill="FFFFFF"/>
        </w:rPr>
        <w:t xml:space="preserve">or </w:t>
      </w:r>
      <w:r w:rsidR="00912480" w:rsidRPr="004B35B6">
        <w:rPr>
          <w:iCs/>
          <w:color w:val="000000" w:themeColor="text1"/>
          <w:szCs w:val="22"/>
          <w:shd w:val="clear" w:color="auto" w:fill="FFFFFF"/>
        </w:rPr>
        <w:fldChar w:fldCharType="begin"/>
      </w:r>
      <w:r w:rsidR="00912480" w:rsidRPr="004B35B6">
        <w:rPr>
          <w:iCs/>
          <w:color w:val="000000" w:themeColor="text1"/>
          <w:szCs w:val="22"/>
          <w:shd w:val="clear" w:color="auto" w:fill="FFFFFF"/>
        </w:rPr>
        <w:instrText xml:space="preserve"> REF _Ref159509088 \h </w:instrText>
      </w:r>
      <w:r w:rsidR="004B35B6">
        <w:rPr>
          <w:iCs/>
          <w:color w:val="000000" w:themeColor="text1"/>
          <w:szCs w:val="22"/>
          <w:shd w:val="clear" w:color="auto" w:fill="FFFFFF"/>
        </w:rPr>
        <w:instrText xml:space="preserve"> \* MERGEFORMAT </w:instrText>
      </w:r>
      <w:r w:rsidR="00912480" w:rsidRPr="004B35B6">
        <w:rPr>
          <w:iCs/>
          <w:color w:val="000000" w:themeColor="text1"/>
          <w:szCs w:val="22"/>
          <w:shd w:val="clear" w:color="auto" w:fill="FFFFFF"/>
        </w:rPr>
      </w:r>
      <w:r w:rsidR="00912480" w:rsidRPr="004B35B6">
        <w:rPr>
          <w:iCs/>
          <w:color w:val="000000" w:themeColor="text1"/>
          <w:szCs w:val="22"/>
          <w:shd w:val="clear" w:color="auto" w:fill="FFFFFF"/>
        </w:rPr>
        <w:fldChar w:fldCharType="separate"/>
      </w:r>
      <w:r w:rsidR="00536CF0" w:rsidRPr="00245F0C">
        <w:rPr>
          <w:szCs w:val="22"/>
        </w:rPr>
        <w:t xml:space="preserve">Equation </w:t>
      </w:r>
      <w:r w:rsidR="00536CF0" w:rsidRPr="00245F0C">
        <w:rPr>
          <w:noProof/>
          <w:szCs w:val="22"/>
        </w:rPr>
        <w:t>35</w:t>
      </w:r>
      <w:r w:rsidR="00912480" w:rsidRPr="004B35B6">
        <w:rPr>
          <w:iCs/>
          <w:color w:val="000000" w:themeColor="text1"/>
          <w:szCs w:val="22"/>
          <w:shd w:val="clear" w:color="auto" w:fill="FFFFFF"/>
        </w:rPr>
        <w:fldChar w:fldCharType="end"/>
      </w:r>
      <w:r>
        <w:rPr>
          <w:iCs/>
          <w:color w:val="000000" w:themeColor="text1"/>
          <w:szCs w:val="22"/>
          <w:shd w:val="clear" w:color="auto" w:fill="FFFFFF"/>
        </w:rPr>
        <w:fldChar w:fldCharType="begin"/>
      </w:r>
      <w:r w:rsidR="00FC5BEB">
        <w:rPr>
          <w:iCs/>
          <w:color w:val="000000" w:themeColor="text1"/>
          <w:szCs w:val="22"/>
          <w:shd w:val="clear" w:color="auto" w:fill="FFFFFF"/>
        </w:rPr>
        <w:instrText xml:space="preserve"> ADDIN EN.CITE &lt;EndNote&gt;&lt;Cite&gt;&lt;Author&gt;Peterson&lt;/Author&gt;&lt;Year&gt;2010&lt;/Year&gt;&lt;RecNum&gt;100&lt;/RecNum&gt;&lt;DisplayText&gt;&lt;style face="superscript"&gt;102&lt;/style&gt;&lt;/DisplayText&gt;&lt;record&gt;&lt;rec-number&gt;100&lt;/rec-number&gt;&lt;foreign-keys&gt;&lt;key app="EN" db-id="2xex0erf4eexr4e2dpbxpdd829xttesxxxdr" timestamp="1715075296"&gt;100&lt;/key&gt;&lt;/foreign-keys&gt;&lt;ref-type name="Journal Article"&gt;17&lt;/ref-type&gt;&lt;contributors&gt;&lt;authors&gt;&lt;author&gt;Peterson, Andrew A.&lt;/author&gt;&lt;author&gt;Abild-Pedersen, Frank&lt;/author&gt;&lt;author&gt;Studt, Felix&lt;/author&gt;&lt;author&gt;Rossmeisl, Jan&lt;/author&gt;&lt;author&gt;Nørskov, Jens K.&lt;/author&gt;&lt;/authors&gt;&lt;/contributors&gt;&lt;titles&gt;&lt;title&gt;How copper catalyzes the electroreduction of carbon dioxide into hydrocarbon fuels&lt;/title&gt;&lt;secondary-title&gt;Energy Environ. Sci.&lt;/secondary-title&gt;&lt;/titles&gt;&lt;periodical&gt;&lt;full-title&gt;Energy Environ. Sci.&lt;/full-title&gt;&lt;/periodical&gt;&lt;pages&gt;1311-1315&lt;/pages&gt;&lt;volume&gt;3&lt;/volume&gt;&lt;number&gt;9&lt;/number&gt;&lt;dates&gt;&lt;year&gt;2010&lt;/year&gt;&lt;/dates&gt;&lt;publisher&gt;The Royal Society of Chemistry&lt;/publisher&gt;&lt;isbn&gt;1754-5692&lt;/isbn&gt;&lt;work-type&gt;10.1039/C0EE00071J&lt;/work-type&gt;&lt;urls&gt;&lt;related-urls&gt;&lt;url&gt;http://dx.doi.org/10.1039/C0EE00071J&lt;/url&gt;&lt;/related-urls&gt;&lt;/urls&gt;&lt;electronic-resource-num&gt;10.1039/C0EE00071J&lt;/electronic-resource-num&gt;&lt;/record&gt;&lt;/Cite&gt;&lt;/EndNote&gt;</w:instrText>
      </w:r>
      <w:r>
        <w:rPr>
          <w:iCs/>
          <w:color w:val="000000" w:themeColor="text1"/>
          <w:szCs w:val="22"/>
          <w:shd w:val="clear" w:color="auto" w:fill="FFFFFF"/>
        </w:rPr>
        <w:fldChar w:fldCharType="separate"/>
      </w:r>
      <w:r w:rsidR="00FC5BEB" w:rsidRPr="00FC5BEB">
        <w:rPr>
          <w:iCs/>
          <w:noProof/>
          <w:color w:val="000000" w:themeColor="text1"/>
          <w:szCs w:val="22"/>
          <w:shd w:val="clear" w:color="auto" w:fill="FFFFFF"/>
          <w:vertAlign w:val="superscript"/>
        </w:rPr>
        <w:t>102</w:t>
      </w:r>
      <w:r>
        <w:rPr>
          <w:iCs/>
          <w:color w:val="000000" w:themeColor="text1"/>
          <w:szCs w:val="22"/>
          <w:shd w:val="clear" w:color="auto" w:fill="FFFFFF"/>
        </w:rPr>
        <w:fldChar w:fldCharType="end"/>
      </w:r>
      <w:r w:rsidRPr="00EC6E98">
        <w:rPr>
          <w:iCs/>
          <w:color w:val="000000" w:themeColor="text1"/>
          <w:szCs w:val="22"/>
          <w:shd w:val="clear" w:color="auto" w:fill="FFFFFF"/>
        </w:rPr>
        <w:t xml:space="preserve"> and readers must carefully check which approximation was made when comparing results between different groups and reports.</w:t>
      </w:r>
    </w:p>
    <w:p w14:paraId="1B0EA816" w14:textId="77777777" w:rsidR="00594FAE" w:rsidRPr="00EC6E98" w:rsidRDefault="00594FAE" w:rsidP="00594FAE">
      <w:pPr>
        <w:rPr>
          <w:color w:val="000000" w:themeColor="text1"/>
          <w:szCs w:val="22"/>
        </w:rPr>
      </w:pPr>
    </w:p>
    <w:p w14:paraId="1C5304D9" w14:textId="7317F1DD" w:rsidR="00594FAE" w:rsidRPr="00EC6E98" w:rsidRDefault="00594FAE" w:rsidP="00594FAE">
      <w:pPr>
        <w:ind w:firstLine="720"/>
        <w:rPr>
          <w:color w:val="000000" w:themeColor="text1"/>
          <w:szCs w:val="22"/>
        </w:rPr>
      </w:pPr>
      <w:r w:rsidRPr="00EC6E98">
        <w:rPr>
          <w:color w:val="000000" w:themeColor="text1"/>
          <w:szCs w:val="22"/>
        </w:rPr>
        <w:lastRenderedPageBreak/>
        <w:t>Similarly, the oxygen chemical potential can be defined using water as the thermodynamic reservoir, which the authors of Ref</w:t>
      </w:r>
      <w:r>
        <w:rPr>
          <w:color w:val="000000" w:themeColor="text1"/>
          <w:szCs w:val="22"/>
        </w:rPr>
        <w:t xml:space="preserve">. </w:t>
      </w:r>
      <w:r>
        <w:rPr>
          <w:color w:val="000000" w:themeColor="text1"/>
          <w:szCs w:val="22"/>
        </w:rPr>
        <w:fldChar w:fldCharType="begin"/>
      </w:r>
      <w:r w:rsidR="009F6662">
        <w:rPr>
          <w:color w:val="000000" w:themeColor="text1"/>
          <w:szCs w:val="22"/>
        </w:rPr>
        <w:instrText xml:space="preserve"> ADDIN EN.CITE &lt;EndNote&gt;&lt;Cite&gt;&lt;Author&gt;Nørskov&lt;/Author&gt;&lt;Year&gt;2004&lt;/Year&gt;&lt;RecNum&gt;59&lt;/RecNum&gt;&lt;DisplayText&gt;&lt;style face="superscript"&gt;59&lt;/style&gt;&lt;/DisplayText&gt;&lt;record&gt;&lt;rec-number&gt;59&lt;/rec-number&gt;&lt;foreign-keys&gt;&lt;key app="EN" db-id="2xex0erf4eexr4e2dpbxpdd829xttesxxxdr" timestamp="1715075296"&gt;59&lt;/key&gt;&lt;/foreign-keys&gt;&lt;ref-type name="Journal Article"&gt;17&lt;/ref-type&gt;&lt;contributors&gt;&lt;authors&gt;&lt;author&gt;Nørskov, J. K.&lt;/author&gt;&lt;author&gt;Rossmeisl, J.&lt;/author&gt;&lt;author&gt;Logadottir, A.&lt;/author&gt;&lt;author&gt;Lindqvist, L.&lt;/author&gt;&lt;author&gt;Kitchin, J. R.&lt;/author&gt;&lt;author&gt;Bligaard, T.&lt;/author&gt;&lt;author&gt;Jónsson, H.&lt;/author&gt;&lt;/authors&gt;&lt;/contributors&gt;&lt;titles&gt;&lt;title&gt;Origin of the Overpotential for Oxygen Reduction at a Fuel-Cell Cathode&lt;/title&gt;&lt;secondary-title&gt;Journal of Physical Chemistry B&lt;/secondary-title&gt;&lt;/titles&gt;&lt;periodical&gt;&lt;full-title&gt;Journal of Physical Chemistry B&lt;/full-title&gt;&lt;abbr-1&gt;J. Phys. Chem. B&lt;/abbr-1&gt;&lt;abbr-2&gt;J Phys Chem B&lt;/abbr-2&gt;&lt;/periodical&gt;&lt;pages&gt;17886-17892&lt;/pages&gt;&lt;volume&gt;108&lt;/volume&gt;&lt;number&gt;46&lt;/number&gt;&lt;dates&gt;&lt;year&gt;2004&lt;/year&gt;&lt;pub-dates&gt;&lt;date&gt;2004/11/01&lt;/date&gt;&lt;/pub-dates&gt;&lt;/dates&gt;&lt;publisher&gt;American Chemical Society&lt;/publisher&gt;&lt;isbn&gt;1520-6106&lt;/isbn&gt;&lt;urls&gt;&lt;related-urls&gt;&lt;url&gt;https://doi.org/10.1021/jp047349j&lt;/url&gt;&lt;/related-urls&gt;&lt;/urls&gt;&lt;electronic-resource-num&gt;10.1021/jp047349j&lt;/electronic-resource-num&gt;&lt;/record&gt;&lt;/Cite&gt;&lt;/EndNote&gt;</w:instrText>
      </w:r>
      <w:r>
        <w:rPr>
          <w:color w:val="000000" w:themeColor="text1"/>
          <w:szCs w:val="22"/>
        </w:rPr>
        <w:fldChar w:fldCharType="separate"/>
      </w:r>
      <w:r w:rsidR="009F6662" w:rsidRPr="009F6662">
        <w:rPr>
          <w:noProof/>
          <w:color w:val="000000" w:themeColor="text1"/>
          <w:szCs w:val="22"/>
          <w:vertAlign w:val="superscript"/>
        </w:rPr>
        <w:t>59</w:t>
      </w:r>
      <w:r>
        <w:rPr>
          <w:color w:val="000000" w:themeColor="text1"/>
          <w:szCs w:val="22"/>
        </w:rPr>
        <w:fldChar w:fldCharType="end"/>
      </w:r>
      <w:r w:rsidRPr="00EC6E98">
        <w:rPr>
          <w:color w:val="000000" w:themeColor="text1"/>
          <w:szCs w:val="22"/>
        </w:rPr>
        <w:t xml:space="preserve"> noted can be written as: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912480" w:rsidRPr="00912480" w14:paraId="0770960F" w14:textId="77777777" w:rsidTr="00DE0988">
        <w:tc>
          <w:tcPr>
            <w:tcW w:w="7938" w:type="dxa"/>
            <w:tcMar>
              <w:left w:w="28" w:type="dxa"/>
              <w:right w:w="28" w:type="dxa"/>
            </w:tcMar>
            <w:vAlign w:val="center"/>
          </w:tcPr>
          <w:p w14:paraId="3A1B28A4" w14:textId="7C87BDCB" w:rsidR="00912480" w:rsidRPr="00912480" w:rsidRDefault="00000000" w:rsidP="00E45E28">
            <w:pPr>
              <w:spacing w:before="60" w:after="60"/>
              <w:rPr>
                <w:bCs/>
                <w:sz w:val="20"/>
                <w:szCs w:val="20"/>
              </w:rPr>
            </w:pPr>
            <m:oMathPara>
              <m:oMath>
                <m:sSub>
                  <m:sSubPr>
                    <m:ctrlPr>
                      <w:rPr>
                        <w:rFonts w:ascii="Cambria Math" w:eastAsiaTheme="minorHAnsi" w:hAnsi="Cambria Math"/>
                        <w:i/>
                        <w:iCs/>
                        <w:color w:val="000000" w:themeColor="text1"/>
                        <w:sz w:val="20"/>
                        <w:szCs w:val="20"/>
                        <w:shd w:val="clear" w:color="auto" w:fill="FFFFFF"/>
                      </w:rPr>
                    </m:ctrlPr>
                  </m:sSubPr>
                  <m:e>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O</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 xml:space="preserve">298.15 </m:t>
                        </m:r>
                        <m:r>
                          <m:rPr>
                            <m:sty m:val="p"/>
                          </m:rPr>
                          <w:rPr>
                            <w:rFonts w:ascii="Cambria Math" w:hAnsi="Cambria Math"/>
                            <w:color w:val="000000" w:themeColor="text1"/>
                            <w:sz w:val="20"/>
                            <w:szCs w:val="20"/>
                            <w:shd w:val="clear" w:color="auto" w:fill="FFFFFF"/>
                          </w:rPr>
                          <m:t>K</m:t>
                        </m:r>
                      </m:e>
                    </m:d>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H2O,gas</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 xml:space="preserve">298.15 </m:t>
                    </m:r>
                    <m:r>
                      <m:rPr>
                        <m:sty m:val="p"/>
                      </m:rPr>
                      <w:rPr>
                        <w:rFonts w:ascii="Cambria Math" w:hAnsi="Cambria Math"/>
                        <w:color w:val="000000" w:themeColor="text1"/>
                        <w:sz w:val="20"/>
                        <w:szCs w:val="20"/>
                        <w:shd w:val="clear" w:color="auto" w:fill="FFFFFF"/>
                      </w:rPr>
                      <m:t>K</m:t>
                    </m:r>
                    <m:r>
                      <w:rPr>
                        <w:rFonts w:ascii="Cambria Math" w:hAnsi="Cambria Math"/>
                        <w:color w:val="000000" w:themeColor="text1"/>
                        <w:sz w:val="20"/>
                        <w:szCs w:val="20"/>
                        <w:shd w:val="clear" w:color="auto" w:fill="FFFFFF"/>
                      </w:rPr>
                      <m:t xml:space="preserve">,0.035 </m:t>
                    </m:r>
                    <m:r>
                      <m:rPr>
                        <m:sty m:val="p"/>
                      </m:rPr>
                      <w:rPr>
                        <w:rFonts w:ascii="Cambria Math" w:hAnsi="Cambria Math"/>
                        <w:color w:val="000000" w:themeColor="text1"/>
                        <w:sz w:val="20"/>
                        <w:szCs w:val="20"/>
                        <w:shd w:val="clear" w:color="auto" w:fill="FFFFFF"/>
                      </w:rPr>
                      <m:t>atm</m:t>
                    </m:r>
                  </m:e>
                </m:d>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H2</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 xml:space="preserve">298.15 </m:t>
                    </m:r>
                    <m:r>
                      <m:rPr>
                        <m:sty m:val="p"/>
                      </m:rPr>
                      <w:rPr>
                        <w:rFonts w:ascii="Cambria Math" w:hAnsi="Cambria Math"/>
                        <w:color w:val="000000" w:themeColor="text1"/>
                        <w:sz w:val="20"/>
                        <w:szCs w:val="20"/>
                        <w:shd w:val="clear" w:color="auto" w:fill="FFFFFF"/>
                      </w:rPr>
                      <m:t>K</m:t>
                    </m:r>
                    <m:r>
                      <w:rPr>
                        <w:rFonts w:ascii="Cambria Math" w:hAnsi="Cambria Math"/>
                        <w:color w:val="000000" w:themeColor="text1"/>
                        <w:sz w:val="20"/>
                        <w:szCs w:val="20"/>
                        <w:shd w:val="clear" w:color="auto" w:fill="FFFFFF"/>
                      </w:rPr>
                      <m:t xml:space="preserve">,1 </m:t>
                    </m:r>
                    <m:r>
                      <m:rPr>
                        <m:sty m:val="p"/>
                      </m:rPr>
                      <w:rPr>
                        <w:rFonts w:ascii="Cambria Math" w:hAnsi="Cambria Math"/>
                        <w:color w:val="000000" w:themeColor="text1"/>
                        <w:sz w:val="20"/>
                        <w:szCs w:val="20"/>
                        <w:shd w:val="clear" w:color="auto" w:fill="FFFFFF"/>
                      </w:rPr>
                      <m:t>atm</m:t>
                    </m:r>
                  </m:e>
                </m:d>
              </m:oMath>
            </m:oMathPara>
          </w:p>
        </w:tc>
        <w:tc>
          <w:tcPr>
            <w:tcW w:w="1134" w:type="dxa"/>
            <w:tcMar>
              <w:left w:w="28" w:type="dxa"/>
              <w:right w:w="28" w:type="dxa"/>
            </w:tcMar>
            <w:vAlign w:val="center"/>
          </w:tcPr>
          <w:p w14:paraId="3EF2E60F" w14:textId="19DBF44A" w:rsidR="00912480" w:rsidRPr="00912480" w:rsidRDefault="00912480" w:rsidP="00E45E28">
            <w:pPr>
              <w:keepNext/>
              <w:jc w:val="right"/>
              <w:rPr>
                <w:bCs/>
                <w:sz w:val="20"/>
                <w:szCs w:val="20"/>
              </w:rPr>
            </w:pPr>
            <w:bookmarkStart w:id="71" w:name="_Ref159509190"/>
            <w:r w:rsidRPr="00912480">
              <w:rPr>
                <w:sz w:val="20"/>
                <w:szCs w:val="20"/>
              </w:rPr>
              <w:t xml:space="preserve">Equation </w:t>
            </w:r>
            <w:r w:rsidRPr="00912480">
              <w:rPr>
                <w:sz w:val="20"/>
                <w:szCs w:val="20"/>
              </w:rPr>
              <w:fldChar w:fldCharType="begin"/>
            </w:r>
            <w:r w:rsidRPr="00912480">
              <w:rPr>
                <w:sz w:val="20"/>
                <w:szCs w:val="20"/>
              </w:rPr>
              <w:instrText xml:space="preserve"> SEQ Equation \* ARABIC </w:instrText>
            </w:r>
            <w:r w:rsidRPr="00912480">
              <w:rPr>
                <w:sz w:val="20"/>
                <w:szCs w:val="20"/>
              </w:rPr>
              <w:fldChar w:fldCharType="separate"/>
            </w:r>
            <w:r w:rsidR="00536CF0">
              <w:rPr>
                <w:noProof/>
                <w:sz w:val="20"/>
                <w:szCs w:val="20"/>
              </w:rPr>
              <w:t>36</w:t>
            </w:r>
            <w:r w:rsidRPr="00912480">
              <w:rPr>
                <w:sz w:val="20"/>
                <w:szCs w:val="20"/>
              </w:rPr>
              <w:fldChar w:fldCharType="end"/>
            </w:r>
            <w:bookmarkEnd w:id="71"/>
          </w:p>
        </w:tc>
      </w:tr>
    </w:tbl>
    <w:p w14:paraId="2B213DC1" w14:textId="57E024F1" w:rsidR="00594FAE" w:rsidRPr="00EC6E98" w:rsidRDefault="00594FAE" w:rsidP="00594FAE">
      <w:pPr>
        <w:rPr>
          <w:iCs/>
          <w:color w:val="000000" w:themeColor="text1"/>
          <w:szCs w:val="22"/>
          <w:shd w:val="clear" w:color="auto" w:fill="FFFFFF"/>
        </w:rPr>
      </w:pPr>
      <w:r w:rsidRPr="00EC6E98">
        <w:rPr>
          <w:color w:val="000000" w:themeColor="text1"/>
          <w:szCs w:val="22"/>
        </w:rPr>
        <w:t xml:space="preserve">where </w:t>
      </w:r>
      <m:oMath>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μ</m:t>
            </m:r>
          </m:e>
          <m:sub>
            <m:r>
              <m:rPr>
                <m:sty m:val="p"/>
              </m:rPr>
              <w:rPr>
                <w:rFonts w:ascii="Cambria Math" w:hAnsi="Cambria Math"/>
                <w:color w:val="000000" w:themeColor="text1"/>
                <w:szCs w:val="22"/>
                <w:shd w:val="clear" w:color="auto" w:fill="FFFFFF"/>
              </w:rPr>
              <m:t>H2O,gas</m:t>
            </m:r>
          </m:sub>
        </m:sSub>
      </m:oMath>
      <w:r w:rsidRPr="00EC6E98">
        <w:rPr>
          <w:iCs/>
          <w:color w:val="000000" w:themeColor="text1"/>
          <w:szCs w:val="22"/>
          <w:shd w:val="clear" w:color="auto" w:fill="FFFFFF"/>
        </w:rPr>
        <w:t xml:space="preserve"> at 0.035 atm pressure can be used in place of </w:t>
      </w:r>
      <m:oMath>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μ</m:t>
            </m:r>
          </m:e>
          <m:sub>
            <m:r>
              <m:rPr>
                <m:sty m:val="p"/>
              </m:rPr>
              <w:rPr>
                <w:rFonts w:ascii="Cambria Math" w:hAnsi="Cambria Math"/>
                <w:color w:val="000000" w:themeColor="text1"/>
                <w:szCs w:val="22"/>
                <w:shd w:val="clear" w:color="auto" w:fill="FFFFFF"/>
              </w:rPr>
              <m:t>H2O,liq,</m:t>
            </m:r>
          </m:sub>
        </m:sSub>
      </m:oMath>
      <w:r w:rsidRPr="00EC6E98">
        <w:rPr>
          <w:iCs/>
          <w:color w:val="000000" w:themeColor="text1"/>
          <w:szCs w:val="22"/>
          <w:shd w:val="clear" w:color="auto" w:fill="FFFFFF"/>
        </w:rPr>
        <w:t xml:space="preserve"> since 0.035 atm is the equilibrium pressure of the gas phase at room temperature. As with </w:t>
      </w:r>
      <m:oMath>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μ</m:t>
            </m:r>
          </m:e>
          <m:sub>
            <m:r>
              <m:rPr>
                <m:sty m:val="p"/>
              </m:rPr>
              <w:rPr>
                <w:rFonts w:ascii="Cambria Math" w:hAnsi="Cambria Math"/>
                <w:color w:val="000000" w:themeColor="text1"/>
                <w:szCs w:val="22"/>
                <w:shd w:val="clear" w:color="auto" w:fill="FFFFFF"/>
              </w:rPr>
              <m:t>H2</m:t>
            </m:r>
          </m:sub>
        </m:sSub>
      </m:oMath>
      <w:r w:rsidRPr="00EC6E98">
        <w:rPr>
          <w:iCs/>
          <w:color w:val="000000" w:themeColor="text1"/>
          <w:szCs w:val="22"/>
          <w:shd w:val="clear" w:color="auto" w:fill="FFFFFF"/>
        </w:rPr>
        <w:t>, there is variation on whether an enthalpic correction is included for the chemical potential of oxygen. Furthermore, other authors</w:t>
      </w:r>
      <w:r>
        <w:rPr>
          <w:iCs/>
          <w:color w:val="000000" w:themeColor="text1"/>
          <w:szCs w:val="22"/>
          <w:shd w:val="clear" w:color="auto" w:fill="FFFFFF"/>
        </w:rPr>
        <w:fldChar w:fldCharType="begin"/>
      </w:r>
      <w:r w:rsidR="00FC5BEB">
        <w:rPr>
          <w:iCs/>
          <w:color w:val="000000" w:themeColor="text1"/>
          <w:szCs w:val="22"/>
          <w:shd w:val="clear" w:color="auto" w:fill="FFFFFF"/>
        </w:rPr>
        <w:instrText xml:space="preserve"> ADDIN EN.CITE &lt;EndNote&gt;&lt;Cite&gt;&lt;Author&gt;Opalka&lt;/Author&gt;&lt;Year&gt;2019&lt;/Year&gt;&lt;RecNum&gt;125&lt;/RecNum&gt;&lt;DisplayText&gt;&lt;style face="superscript"&gt;127&lt;/style&gt;&lt;/DisplayText&gt;&lt;record&gt;&lt;rec-number&gt;125&lt;/rec-number&gt;&lt;foreign-keys&gt;&lt;key app="EN" db-id="2xex0erf4eexr4e2dpbxpdd829xttesxxxdr" timestamp="1715075296"&gt;125&lt;/key&gt;&lt;/foreign-keys&gt;&lt;ref-type name="Journal Article"&gt;17&lt;/ref-type&gt;&lt;contributors&gt;&lt;authors&gt;&lt;author&gt;Opalka, Daniel&lt;/author&gt;&lt;author&gt;Scheurer, Christoph&lt;/author&gt;&lt;author&gt;Reuter, Karsten&lt;/author&gt;&lt;/authors&gt;&lt;/contributors&gt;&lt;titles&gt;&lt;title&gt;Ab Initio Thermodynamics Insight into the Structural Evolution of Working IrO2 Catalysts in Proton-Exchange Membrane Electrolyzers&lt;/title&gt;&lt;secondary-title&gt;ACS Catal.&lt;/secondary-title&gt;&lt;/titles&gt;&lt;periodical&gt;&lt;full-title&gt;ACS Catal.&lt;/full-title&gt;&lt;/periodical&gt;&lt;pages&gt;4944-4950&lt;/pages&gt;&lt;volume&gt;9&lt;/volume&gt;&lt;number&gt;6&lt;/number&gt;&lt;dates&gt;&lt;year&gt;2019&lt;/year&gt;&lt;pub-dates&gt;&lt;date&gt;2019/06/07&lt;/date&gt;&lt;/pub-dates&gt;&lt;/dates&gt;&lt;publisher&gt;American Chemical Society&lt;/publisher&gt;&lt;urls&gt;&lt;related-urls&gt;&lt;url&gt;https://doi.org/10.1021/acscatal.9b00796&lt;/url&gt;&lt;/related-urls&gt;&lt;/urls&gt;&lt;electronic-resource-num&gt;10.1021/acscatal.9b00796&lt;/electronic-resource-num&gt;&lt;/record&gt;&lt;/Cite&gt;&lt;/EndNote&gt;</w:instrText>
      </w:r>
      <w:r>
        <w:rPr>
          <w:iCs/>
          <w:color w:val="000000" w:themeColor="text1"/>
          <w:szCs w:val="22"/>
          <w:shd w:val="clear" w:color="auto" w:fill="FFFFFF"/>
        </w:rPr>
        <w:fldChar w:fldCharType="separate"/>
      </w:r>
      <w:r w:rsidR="00FC5BEB" w:rsidRPr="00FC5BEB">
        <w:rPr>
          <w:iCs/>
          <w:noProof/>
          <w:color w:val="000000" w:themeColor="text1"/>
          <w:szCs w:val="22"/>
          <w:shd w:val="clear" w:color="auto" w:fill="FFFFFF"/>
          <w:vertAlign w:val="superscript"/>
        </w:rPr>
        <w:t>127</w:t>
      </w:r>
      <w:r>
        <w:rPr>
          <w:iCs/>
          <w:color w:val="000000" w:themeColor="text1"/>
          <w:szCs w:val="22"/>
          <w:shd w:val="clear" w:color="auto" w:fill="FFFFFF"/>
        </w:rPr>
        <w:fldChar w:fldCharType="end"/>
      </w:r>
      <w:r w:rsidRPr="00EC6E98">
        <w:rPr>
          <w:iCs/>
          <w:color w:val="000000" w:themeColor="text1"/>
          <w:szCs w:val="22"/>
          <w:shd w:val="clear" w:color="auto" w:fill="FFFFFF"/>
        </w:rPr>
        <w:t xml:space="preserve"> have chosen to define:</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912480" w:rsidRPr="00912480" w14:paraId="1B654816" w14:textId="77777777" w:rsidTr="00DE0988">
        <w:tc>
          <w:tcPr>
            <w:tcW w:w="7938" w:type="dxa"/>
            <w:tcMar>
              <w:left w:w="28" w:type="dxa"/>
              <w:right w:w="28" w:type="dxa"/>
            </w:tcMar>
            <w:vAlign w:val="center"/>
          </w:tcPr>
          <w:p w14:paraId="17DEE3B8" w14:textId="0E81E273" w:rsidR="00912480" w:rsidRPr="00912480" w:rsidRDefault="00000000" w:rsidP="00E45E28">
            <w:pPr>
              <w:spacing w:before="60" w:after="60"/>
              <w:rPr>
                <w:bCs/>
                <w:sz w:val="20"/>
                <w:szCs w:val="20"/>
              </w:rPr>
            </w:pPr>
            <m:oMathPara>
              <m:oMath>
                <m:sSub>
                  <m:sSubPr>
                    <m:ctrlPr>
                      <w:rPr>
                        <w:rFonts w:ascii="Cambria Math" w:eastAsiaTheme="minorHAnsi" w:hAnsi="Cambria Math"/>
                        <w:i/>
                        <w:iCs/>
                        <w:color w:val="000000" w:themeColor="text1"/>
                        <w:sz w:val="20"/>
                        <w:szCs w:val="20"/>
                        <w:shd w:val="clear" w:color="auto" w:fill="FFFFFF"/>
                      </w:rPr>
                    </m:ctrlPr>
                  </m:sSubPr>
                  <m:e>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O</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 xml:space="preserve">298.15 </m:t>
                        </m:r>
                        <m:r>
                          <m:rPr>
                            <m:sty m:val="p"/>
                          </m:rPr>
                          <w:rPr>
                            <w:rFonts w:ascii="Cambria Math" w:hAnsi="Cambria Math"/>
                            <w:color w:val="000000" w:themeColor="text1"/>
                            <w:sz w:val="20"/>
                            <w:szCs w:val="20"/>
                            <w:shd w:val="clear" w:color="auto" w:fill="FFFFFF"/>
                          </w:rPr>
                          <m:t>K</m:t>
                        </m:r>
                      </m:e>
                    </m:d>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H2O,gas</m:t>
                    </m:r>
                  </m:sub>
                </m:sSub>
                <m:d>
                  <m:dPr>
                    <m:ctrlPr>
                      <w:rPr>
                        <w:rFonts w:ascii="Cambria Math" w:eastAsiaTheme="minorHAnsi" w:hAnsi="Cambria Math"/>
                        <w:i/>
                        <w:iCs/>
                        <w:color w:val="000000" w:themeColor="text1"/>
                        <w:sz w:val="20"/>
                        <w:szCs w:val="20"/>
                        <w:shd w:val="clear" w:color="auto" w:fill="FFFFFF"/>
                      </w:rPr>
                    </m:ctrlPr>
                  </m:dPr>
                  <m:e>
                    <m:r>
                      <w:rPr>
                        <w:rFonts w:ascii="Cambria Math" w:hAnsi="Cambria Math"/>
                        <w:color w:val="000000" w:themeColor="text1"/>
                        <w:sz w:val="20"/>
                        <w:szCs w:val="20"/>
                        <w:shd w:val="clear" w:color="auto" w:fill="FFFFFF"/>
                      </w:rPr>
                      <m:t xml:space="preserve">298.15 </m:t>
                    </m:r>
                    <m:r>
                      <m:rPr>
                        <m:sty m:val="p"/>
                      </m:rPr>
                      <w:rPr>
                        <w:rFonts w:ascii="Cambria Math" w:hAnsi="Cambria Math"/>
                        <w:color w:val="000000" w:themeColor="text1"/>
                        <w:sz w:val="20"/>
                        <w:szCs w:val="20"/>
                        <w:shd w:val="clear" w:color="auto" w:fill="FFFFFF"/>
                      </w:rPr>
                      <m:t>K</m:t>
                    </m:r>
                    <m:r>
                      <w:rPr>
                        <w:rFonts w:ascii="Cambria Math" w:hAnsi="Cambria Math"/>
                        <w:color w:val="000000" w:themeColor="text1"/>
                        <w:sz w:val="20"/>
                        <w:szCs w:val="20"/>
                        <w:shd w:val="clear" w:color="auto" w:fill="FFFFFF"/>
                      </w:rPr>
                      <m:t xml:space="preserve">,1 </m:t>
                    </m:r>
                    <m:r>
                      <m:rPr>
                        <m:sty m:val="p"/>
                      </m:rPr>
                      <w:rPr>
                        <w:rFonts w:ascii="Cambria Math" w:hAnsi="Cambria Math"/>
                        <w:color w:val="000000" w:themeColor="text1"/>
                        <w:sz w:val="20"/>
                        <w:szCs w:val="20"/>
                        <w:shd w:val="clear" w:color="auto" w:fill="FFFFFF"/>
                      </w:rPr>
                      <m:t>atm</m:t>
                    </m:r>
                  </m:e>
                </m:d>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∆G</m:t>
                    </m:r>
                  </m:e>
                  <m:sub>
                    <m:r>
                      <w:rPr>
                        <w:rFonts w:ascii="Cambria Math" w:hAnsi="Cambria Math"/>
                        <w:color w:val="000000" w:themeColor="text1"/>
                        <w:sz w:val="20"/>
                        <w:szCs w:val="20"/>
                        <w:shd w:val="clear" w:color="auto" w:fill="FFFFFF"/>
                      </w:rPr>
                      <m:t>liq-gas</m:t>
                    </m:r>
                  </m:sub>
                </m:sSub>
              </m:oMath>
            </m:oMathPara>
          </w:p>
        </w:tc>
        <w:tc>
          <w:tcPr>
            <w:tcW w:w="1134" w:type="dxa"/>
            <w:tcMar>
              <w:left w:w="28" w:type="dxa"/>
              <w:right w:w="28" w:type="dxa"/>
            </w:tcMar>
            <w:vAlign w:val="center"/>
          </w:tcPr>
          <w:p w14:paraId="5CD2BB38" w14:textId="0F5FF432" w:rsidR="00912480" w:rsidRPr="00912480" w:rsidRDefault="00912480" w:rsidP="00E45E28">
            <w:pPr>
              <w:keepNext/>
              <w:jc w:val="right"/>
              <w:rPr>
                <w:bCs/>
                <w:sz w:val="20"/>
                <w:szCs w:val="20"/>
              </w:rPr>
            </w:pPr>
            <w:bookmarkStart w:id="72" w:name="_Ref159509200"/>
            <w:r w:rsidRPr="00912480">
              <w:rPr>
                <w:sz w:val="20"/>
                <w:szCs w:val="20"/>
              </w:rPr>
              <w:t xml:space="preserve">Equation </w:t>
            </w:r>
            <w:r w:rsidRPr="00912480">
              <w:rPr>
                <w:sz w:val="20"/>
                <w:szCs w:val="20"/>
              </w:rPr>
              <w:fldChar w:fldCharType="begin"/>
            </w:r>
            <w:r w:rsidRPr="00912480">
              <w:rPr>
                <w:sz w:val="20"/>
                <w:szCs w:val="20"/>
              </w:rPr>
              <w:instrText xml:space="preserve"> SEQ Equation \* ARABIC </w:instrText>
            </w:r>
            <w:r w:rsidRPr="00912480">
              <w:rPr>
                <w:sz w:val="20"/>
                <w:szCs w:val="20"/>
              </w:rPr>
              <w:fldChar w:fldCharType="separate"/>
            </w:r>
            <w:r w:rsidR="003255C0">
              <w:rPr>
                <w:noProof/>
                <w:sz w:val="20"/>
                <w:szCs w:val="20"/>
              </w:rPr>
              <w:t>37</w:t>
            </w:r>
            <w:r w:rsidRPr="00912480">
              <w:rPr>
                <w:sz w:val="20"/>
                <w:szCs w:val="20"/>
              </w:rPr>
              <w:fldChar w:fldCharType="end"/>
            </w:r>
            <w:bookmarkEnd w:id="72"/>
          </w:p>
        </w:tc>
      </w:tr>
    </w:tbl>
    <w:p w14:paraId="18944BF9" w14:textId="3102E43F" w:rsidR="00594FAE" w:rsidRPr="00EC6E98" w:rsidRDefault="00594FAE" w:rsidP="00594FAE">
      <w:pPr>
        <w:rPr>
          <w:iCs/>
          <w:color w:val="000000" w:themeColor="text1"/>
          <w:szCs w:val="22"/>
          <w:shd w:val="clear" w:color="auto" w:fill="FFFFFF"/>
        </w:rPr>
      </w:pPr>
      <w:r w:rsidRPr="00EC6E98">
        <w:rPr>
          <w:iCs/>
          <w:color w:val="000000" w:themeColor="text1"/>
          <w:szCs w:val="22"/>
          <w:shd w:val="clear" w:color="auto" w:fill="FFFFFF"/>
        </w:rPr>
        <w:t xml:space="preserve">where </w:t>
      </w:r>
      <m:oMath>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∆G</m:t>
            </m:r>
          </m:e>
          <m:sub>
            <m:r>
              <w:rPr>
                <w:rFonts w:ascii="Cambria Math" w:hAnsi="Cambria Math"/>
                <w:color w:val="000000" w:themeColor="text1"/>
                <w:szCs w:val="22"/>
                <w:shd w:val="clear" w:color="auto" w:fill="FFFFFF"/>
              </w:rPr>
              <m:t>liq-gas</m:t>
            </m:r>
          </m:sub>
        </m:sSub>
      </m:oMath>
      <w:r w:rsidRPr="00EC6E98">
        <w:rPr>
          <w:iCs/>
          <w:color w:val="000000" w:themeColor="text1"/>
          <w:szCs w:val="22"/>
          <w:shd w:val="clear" w:color="auto" w:fill="FFFFFF"/>
        </w:rPr>
        <w:t xml:space="preserve"> is the difference in free energy of water in the liquid phase and gas phase at standard conditions. Unlike the inclusion of enthalpic contributions, the choice of </w:t>
      </w:r>
      <w:r w:rsidR="00912480" w:rsidRPr="004B35B6">
        <w:rPr>
          <w:iCs/>
          <w:color w:val="000000" w:themeColor="text1"/>
          <w:szCs w:val="22"/>
          <w:shd w:val="clear" w:color="auto" w:fill="FFFFFF"/>
        </w:rPr>
        <w:fldChar w:fldCharType="begin"/>
      </w:r>
      <w:r w:rsidR="00912480" w:rsidRPr="004B35B6">
        <w:rPr>
          <w:iCs/>
          <w:color w:val="000000" w:themeColor="text1"/>
          <w:szCs w:val="22"/>
          <w:shd w:val="clear" w:color="auto" w:fill="FFFFFF"/>
        </w:rPr>
        <w:instrText xml:space="preserve"> REF _Ref159509190 \h </w:instrText>
      </w:r>
      <w:r w:rsidR="004B35B6">
        <w:rPr>
          <w:iCs/>
          <w:color w:val="000000" w:themeColor="text1"/>
          <w:szCs w:val="22"/>
          <w:shd w:val="clear" w:color="auto" w:fill="FFFFFF"/>
        </w:rPr>
        <w:instrText xml:space="preserve"> \* MERGEFORMAT </w:instrText>
      </w:r>
      <w:r w:rsidR="00912480" w:rsidRPr="004B35B6">
        <w:rPr>
          <w:iCs/>
          <w:color w:val="000000" w:themeColor="text1"/>
          <w:szCs w:val="22"/>
          <w:shd w:val="clear" w:color="auto" w:fill="FFFFFF"/>
        </w:rPr>
      </w:r>
      <w:r w:rsidR="00912480" w:rsidRPr="004B35B6">
        <w:rPr>
          <w:iCs/>
          <w:color w:val="000000" w:themeColor="text1"/>
          <w:szCs w:val="22"/>
          <w:shd w:val="clear" w:color="auto" w:fill="FFFFFF"/>
        </w:rPr>
        <w:fldChar w:fldCharType="separate"/>
      </w:r>
      <w:r w:rsidR="003255C0" w:rsidRPr="00245F0C">
        <w:rPr>
          <w:szCs w:val="22"/>
        </w:rPr>
        <w:t xml:space="preserve">Equation </w:t>
      </w:r>
      <w:r w:rsidR="003255C0" w:rsidRPr="00245F0C">
        <w:rPr>
          <w:noProof/>
          <w:szCs w:val="22"/>
        </w:rPr>
        <w:t>36</w:t>
      </w:r>
      <w:r w:rsidR="00912480" w:rsidRPr="004B35B6">
        <w:rPr>
          <w:iCs/>
          <w:color w:val="000000" w:themeColor="text1"/>
          <w:szCs w:val="22"/>
          <w:shd w:val="clear" w:color="auto" w:fill="FFFFFF"/>
        </w:rPr>
        <w:fldChar w:fldCharType="end"/>
      </w:r>
      <w:r w:rsidRPr="004B35B6">
        <w:rPr>
          <w:iCs/>
          <w:color w:val="000000" w:themeColor="text1"/>
          <w:szCs w:val="22"/>
          <w:shd w:val="clear" w:color="auto" w:fill="FFFFFF"/>
        </w:rPr>
        <w:t xml:space="preserve"> or </w:t>
      </w:r>
      <w:r w:rsidR="00912480" w:rsidRPr="004B35B6">
        <w:rPr>
          <w:iCs/>
          <w:color w:val="000000" w:themeColor="text1"/>
          <w:szCs w:val="22"/>
          <w:shd w:val="clear" w:color="auto" w:fill="FFFFFF"/>
        </w:rPr>
        <w:fldChar w:fldCharType="begin"/>
      </w:r>
      <w:r w:rsidR="00912480" w:rsidRPr="004B35B6">
        <w:rPr>
          <w:iCs/>
          <w:color w:val="000000" w:themeColor="text1"/>
          <w:szCs w:val="22"/>
          <w:shd w:val="clear" w:color="auto" w:fill="FFFFFF"/>
        </w:rPr>
        <w:instrText xml:space="preserve"> REF _Ref159509200 \h </w:instrText>
      </w:r>
      <w:r w:rsidR="004B35B6">
        <w:rPr>
          <w:iCs/>
          <w:color w:val="000000" w:themeColor="text1"/>
          <w:szCs w:val="22"/>
          <w:shd w:val="clear" w:color="auto" w:fill="FFFFFF"/>
        </w:rPr>
        <w:instrText xml:space="preserve"> \* MERGEFORMAT </w:instrText>
      </w:r>
      <w:r w:rsidR="00912480" w:rsidRPr="004B35B6">
        <w:rPr>
          <w:iCs/>
          <w:color w:val="000000" w:themeColor="text1"/>
          <w:szCs w:val="22"/>
          <w:shd w:val="clear" w:color="auto" w:fill="FFFFFF"/>
        </w:rPr>
      </w:r>
      <w:r w:rsidR="00912480" w:rsidRPr="004B35B6">
        <w:rPr>
          <w:iCs/>
          <w:color w:val="000000" w:themeColor="text1"/>
          <w:szCs w:val="22"/>
          <w:shd w:val="clear" w:color="auto" w:fill="FFFFFF"/>
        </w:rPr>
        <w:fldChar w:fldCharType="separate"/>
      </w:r>
      <w:r w:rsidR="003255C0" w:rsidRPr="00245F0C">
        <w:rPr>
          <w:szCs w:val="22"/>
        </w:rPr>
        <w:t xml:space="preserve">Equation </w:t>
      </w:r>
      <w:r w:rsidR="003255C0" w:rsidRPr="00245F0C">
        <w:rPr>
          <w:noProof/>
          <w:szCs w:val="22"/>
        </w:rPr>
        <w:t>37</w:t>
      </w:r>
      <w:r w:rsidR="00912480" w:rsidRPr="004B35B6">
        <w:rPr>
          <w:iCs/>
          <w:color w:val="000000" w:themeColor="text1"/>
          <w:szCs w:val="22"/>
          <w:shd w:val="clear" w:color="auto" w:fill="FFFFFF"/>
        </w:rPr>
        <w:fldChar w:fldCharType="end"/>
      </w:r>
      <w:r w:rsidRPr="004B35B6">
        <w:rPr>
          <w:iCs/>
          <w:color w:val="000000" w:themeColor="text1"/>
          <w:szCs w:val="22"/>
          <w:shd w:val="clear" w:color="auto" w:fill="FFFFFF"/>
        </w:rPr>
        <w:t xml:space="preserve"> </w:t>
      </w:r>
      <w:r w:rsidRPr="00EC6E98">
        <w:rPr>
          <w:iCs/>
          <w:color w:val="000000" w:themeColor="text1"/>
          <w:szCs w:val="22"/>
          <w:shd w:val="clear" w:color="auto" w:fill="FFFFFF"/>
        </w:rPr>
        <w:t>will lead to equivalent results.</w:t>
      </w:r>
    </w:p>
    <w:p w14:paraId="0C3345A2" w14:textId="77777777" w:rsidR="00594FAE" w:rsidRPr="00EC6E98" w:rsidRDefault="00594FAE" w:rsidP="00594FAE">
      <w:pPr>
        <w:rPr>
          <w:iCs/>
          <w:color w:val="000000" w:themeColor="text1"/>
          <w:szCs w:val="22"/>
          <w:shd w:val="clear" w:color="auto" w:fill="FFFFFF"/>
        </w:rPr>
      </w:pPr>
    </w:p>
    <w:p w14:paraId="260317D8" w14:textId="77777777" w:rsidR="00594FAE" w:rsidRPr="00EC6E98" w:rsidRDefault="00594FAE" w:rsidP="00594FAE">
      <w:pPr>
        <w:ind w:firstLine="720"/>
        <w:rPr>
          <w:iCs/>
          <w:color w:val="000000" w:themeColor="text1"/>
          <w:szCs w:val="22"/>
          <w:shd w:val="clear" w:color="auto" w:fill="FFFFFF"/>
        </w:rPr>
      </w:pPr>
      <w:r w:rsidRPr="00EC6E98">
        <w:rPr>
          <w:iCs/>
          <w:color w:val="000000" w:themeColor="text1"/>
          <w:szCs w:val="22"/>
          <w:shd w:val="clear" w:color="auto" w:fill="FFFFFF"/>
        </w:rPr>
        <w:t xml:space="preserve">A major advantage of defining all entropic, and if used enthalpic, contributions to the chemical potentials of the thermodynamic reservoirs using gas-phase species is that it allows the thermodynamic reservoirs to be written in terms of gas-phase total energies form DFT and tabulated thermochemical data. Unlike liquids, it is straightforward to compute total energies of gas-phase molecules using DFT. </w:t>
      </w:r>
    </w:p>
    <w:p w14:paraId="5FB67197" w14:textId="77777777" w:rsidR="00594FAE" w:rsidRPr="00EC6E98" w:rsidRDefault="00594FAE" w:rsidP="00594FAE">
      <w:pPr>
        <w:ind w:firstLine="720"/>
        <w:rPr>
          <w:iCs/>
          <w:color w:val="000000" w:themeColor="text1"/>
          <w:szCs w:val="22"/>
          <w:shd w:val="clear" w:color="auto" w:fill="FFFFFF"/>
        </w:rPr>
      </w:pPr>
    </w:p>
    <w:p w14:paraId="75308991" w14:textId="58CA2C25" w:rsidR="00594FAE" w:rsidRPr="00EC6E98" w:rsidRDefault="00594FAE" w:rsidP="00594FAE">
      <w:pPr>
        <w:ind w:firstLine="720"/>
        <w:rPr>
          <w:color w:val="000000" w:themeColor="text1"/>
          <w:szCs w:val="22"/>
        </w:rPr>
      </w:pPr>
      <w:r w:rsidRPr="002408E7">
        <w:rPr>
          <w:iCs/>
          <w:color w:val="000000" w:themeColor="text1"/>
          <w:szCs w:val="22"/>
          <w:shd w:val="clear" w:color="auto" w:fill="FFFFFF"/>
        </w:rPr>
        <w:t xml:space="preserve">At this point, all that is left to determine free energies of electrochemical reactions is determining sufficiently accurate means of computing the </w:t>
      </w:r>
      <m:oMath>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E</m:t>
            </m:r>
          </m:e>
          <m:sub>
            <m:r>
              <m:rPr>
                <m:sty m:val="p"/>
              </m:rPr>
              <w:rPr>
                <w:rFonts w:ascii="Cambria Math" w:hAnsi="Cambria Math"/>
                <w:color w:val="000000" w:themeColor="text1"/>
                <w:szCs w:val="22"/>
                <w:shd w:val="clear" w:color="auto" w:fill="FFFFFF"/>
              </w:rPr>
              <m:t>surface</m:t>
            </m:r>
          </m:sub>
        </m:sSub>
      </m:oMath>
      <w:r w:rsidRPr="002408E7">
        <w:rPr>
          <w:iCs/>
          <w:color w:val="000000" w:themeColor="text1"/>
          <w:szCs w:val="22"/>
          <w:shd w:val="clear" w:color="auto" w:fill="FFFFFF"/>
        </w:rPr>
        <w:t xml:space="preserve"> terms in </w:t>
      </w:r>
      <w:r w:rsidR="00912480" w:rsidRPr="004B35B6">
        <w:rPr>
          <w:iCs/>
          <w:color w:val="000000" w:themeColor="text1"/>
          <w:szCs w:val="22"/>
          <w:shd w:val="clear" w:color="auto" w:fill="FFFFFF"/>
        </w:rPr>
        <w:fldChar w:fldCharType="begin"/>
      </w:r>
      <w:r w:rsidR="00912480" w:rsidRPr="004B35B6">
        <w:rPr>
          <w:iCs/>
          <w:color w:val="000000" w:themeColor="text1"/>
          <w:szCs w:val="22"/>
          <w:shd w:val="clear" w:color="auto" w:fill="FFFFFF"/>
        </w:rPr>
        <w:instrText xml:space="preserve"> REF _Ref159509215 \h </w:instrText>
      </w:r>
      <w:r w:rsidR="004B35B6">
        <w:rPr>
          <w:iCs/>
          <w:color w:val="000000" w:themeColor="text1"/>
          <w:szCs w:val="22"/>
          <w:shd w:val="clear" w:color="auto" w:fill="FFFFFF"/>
        </w:rPr>
        <w:instrText xml:space="preserve"> \* MERGEFORMAT </w:instrText>
      </w:r>
      <w:r w:rsidR="00912480" w:rsidRPr="004B35B6">
        <w:rPr>
          <w:iCs/>
          <w:color w:val="000000" w:themeColor="text1"/>
          <w:szCs w:val="22"/>
          <w:shd w:val="clear" w:color="auto" w:fill="FFFFFF"/>
        </w:rPr>
      </w:r>
      <w:r w:rsidR="00912480" w:rsidRPr="004B35B6">
        <w:rPr>
          <w:iCs/>
          <w:color w:val="000000" w:themeColor="text1"/>
          <w:szCs w:val="22"/>
          <w:shd w:val="clear" w:color="auto" w:fill="FFFFFF"/>
        </w:rPr>
        <w:fldChar w:fldCharType="separate"/>
      </w:r>
      <w:r w:rsidR="003255C0" w:rsidRPr="00245F0C">
        <w:rPr>
          <w:szCs w:val="22"/>
        </w:rPr>
        <w:t xml:space="preserve">Equation </w:t>
      </w:r>
      <w:r w:rsidR="003255C0" w:rsidRPr="00245F0C">
        <w:rPr>
          <w:noProof/>
          <w:szCs w:val="22"/>
        </w:rPr>
        <w:t>33</w:t>
      </w:r>
      <w:r w:rsidR="00912480" w:rsidRPr="004B35B6">
        <w:rPr>
          <w:iCs/>
          <w:color w:val="000000" w:themeColor="text1"/>
          <w:szCs w:val="22"/>
          <w:shd w:val="clear" w:color="auto" w:fill="FFFFFF"/>
        </w:rPr>
        <w:fldChar w:fldCharType="end"/>
      </w:r>
      <w:r w:rsidRPr="002408E7">
        <w:rPr>
          <w:iCs/>
          <w:color w:val="000000" w:themeColor="text1"/>
          <w:szCs w:val="22"/>
          <w:shd w:val="clear" w:color="auto" w:fill="FFFFFF"/>
        </w:rPr>
        <w:t>.</w:t>
      </w:r>
      <w:r w:rsidRPr="00EC6E98">
        <w:rPr>
          <w:iCs/>
          <w:color w:val="000000" w:themeColor="text1"/>
          <w:szCs w:val="22"/>
          <w:shd w:val="clear" w:color="auto" w:fill="FFFFFF"/>
        </w:rPr>
        <w:t xml:space="preserve"> Here, a major obstacle for </w:t>
      </w:r>
      <w:r w:rsidRPr="00EC6E98">
        <w:rPr>
          <w:i/>
          <w:color w:val="000000" w:themeColor="text1"/>
          <w:szCs w:val="22"/>
          <w:shd w:val="clear" w:color="auto" w:fill="FFFFFF"/>
        </w:rPr>
        <w:t xml:space="preserve">ab initio </w:t>
      </w:r>
      <w:r w:rsidRPr="00EC6E98">
        <w:rPr>
          <w:iCs/>
          <w:color w:val="000000" w:themeColor="text1"/>
          <w:szCs w:val="22"/>
          <w:shd w:val="clear" w:color="auto" w:fill="FFFFFF"/>
        </w:rPr>
        <w:t xml:space="preserve">simulation is the effect of the field on the electrode surface that is set up by the electrochemical double layer. </w:t>
      </w:r>
      <w:r w:rsidRPr="00EC6E98">
        <w:rPr>
          <w:color w:val="000000" w:themeColor="text1"/>
          <w:szCs w:val="22"/>
        </w:rPr>
        <w:t xml:space="preserve">In Ref. </w:t>
      </w:r>
      <w:r>
        <w:rPr>
          <w:color w:val="000000" w:themeColor="text1"/>
          <w:szCs w:val="22"/>
        </w:rPr>
        <w:fldChar w:fldCharType="begin"/>
      </w:r>
      <w:r w:rsidR="009F6662">
        <w:rPr>
          <w:color w:val="000000" w:themeColor="text1"/>
          <w:szCs w:val="22"/>
        </w:rPr>
        <w:instrText xml:space="preserve"> ADDIN EN.CITE &lt;EndNote&gt;&lt;Cite&gt;&lt;Author&gt;Nørskov&lt;/Author&gt;&lt;Year&gt;2004&lt;/Year&gt;&lt;RecNum&gt;59&lt;/RecNum&gt;&lt;DisplayText&gt;&lt;style face="superscript"&gt;59&lt;/style&gt;&lt;/DisplayText&gt;&lt;record&gt;&lt;rec-number&gt;59&lt;/rec-number&gt;&lt;foreign-keys&gt;&lt;key app="EN" db-id="2xex0erf4eexr4e2dpbxpdd829xttesxxxdr" timestamp="1715075296"&gt;59&lt;/key&gt;&lt;/foreign-keys&gt;&lt;ref-type name="Journal Article"&gt;17&lt;/ref-type&gt;&lt;contributors&gt;&lt;authors&gt;&lt;author&gt;Nørskov, J. K.&lt;/author&gt;&lt;author&gt;Rossmeisl, J.&lt;/author&gt;&lt;author&gt;Logadottir, A.&lt;/author&gt;&lt;author&gt;Lindqvist, L.&lt;/author&gt;&lt;author&gt;Kitchin, J. R.&lt;/author&gt;&lt;author&gt;Bligaard, T.&lt;/author&gt;&lt;author&gt;Jónsson, H.&lt;/author&gt;&lt;/authors&gt;&lt;/contributors&gt;&lt;titles&gt;&lt;title&gt;Origin of the Overpotential for Oxygen Reduction at a Fuel-Cell Cathode&lt;/title&gt;&lt;secondary-title&gt;Journal of Physical Chemistry B&lt;/secondary-title&gt;&lt;/titles&gt;&lt;periodical&gt;&lt;full-title&gt;Journal of Physical Chemistry B&lt;/full-title&gt;&lt;abbr-1&gt;J. Phys. Chem. B&lt;/abbr-1&gt;&lt;abbr-2&gt;J Phys Chem B&lt;/abbr-2&gt;&lt;/periodical&gt;&lt;pages&gt;17886-17892&lt;/pages&gt;&lt;volume&gt;108&lt;/volume&gt;&lt;number&gt;46&lt;/number&gt;&lt;dates&gt;&lt;year&gt;2004&lt;/year&gt;&lt;pub-dates&gt;&lt;date&gt;2004/11/01&lt;/date&gt;&lt;/pub-dates&gt;&lt;/dates&gt;&lt;publisher&gt;American Chemical Society&lt;/publisher&gt;&lt;isbn&gt;1520-6106&lt;/isbn&gt;&lt;urls&gt;&lt;related-urls&gt;&lt;url&gt;https://doi.org/10.1021/jp047349j&lt;/url&gt;&lt;/related-urls&gt;&lt;/urls&gt;&lt;electronic-resource-num&gt;10.1021/jp047349j&lt;/electronic-resource-num&gt;&lt;/record&gt;&lt;/Cite&gt;&lt;/EndNote&gt;</w:instrText>
      </w:r>
      <w:r>
        <w:rPr>
          <w:color w:val="000000" w:themeColor="text1"/>
          <w:szCs w:val="22"/>
        </w:rPr>
        <w:fldChar w:fldCharType="separate"/>
      </w:r>
      <w:r w:rsidR="009F6662" w:rsidRPr="009F6662">
        <w:rPr>
          <w:noProof/>
          <w:color w:val="000000" w:themeColor="text1"/>
          <w:szCs w:val="22"/>
          <w:vertAlign w:val="superscript"/>
        </w:rPr>
        <w:t>59</w:t>
      </w:r>
      <w:r>
        <w:rPr>
          <w:color w:val="000000" w:themeColor="text1"/>
          <w:szCs w:val="22"/>
        </w:rPr>
        <w:fldChar w:fldCharType="end"/>
      </w:r>
      <w:r>
        <w:rPr>
          <w:color w:val="000000" w:themeColor="text1"/>
          <w:szCs w:val="22"/>
        </w:rPr>
        <w:t xml:space="preserve">, </w:t>
      </w:r>
      <w:r w:rsidRPr="00EC6E98">
        <w:rPr>
          <w:color w:val="000000" w:themeColor="text1"/>
          <w:szCs w:val="22"/>
        </w:rPr>
        <w:t xml:space="preserve">the authors estimated such effects by considering the coupling between the dipole moment of adsorbed species and an applied field. They argued that a typical electrochemical double layer thickness is ~3 Å. Thus, at 1 V relative to the potential of zero charge, the average field is ~0.3 V/Å. Using dipole moments of 0.035 and 0.05 </w:t>
      </w:r>
      <w:proofErr w:type="spellStart"/>
      <w:r w:rsidRPr="00EC6E98">
        <w:rPr>
          <w:color w:val="000000" w:themeColor="text1"/>
          <w:szCs w:val="22"/>
        </w:rPr>
        <w:t>eÅ</w:t>
      </w:r>
      <w:proofErr w:type="spellEnd"/>
      <w:r w:rsidRPr="00EC6E98">
        <w:rPr>
          <w:color w:val="000000" w:themeColor="text1"/>
          <w:szCs w:val="22"/>
        </w:rPr>
        <w:t xml:space="preserve"> for O and HO adsorbed on </w:t>
      </w:r>
      <w:proofErr w:type="gramStart"/>
      <w:r w:rsidRPr="00EC6E98">
        <w:rPr>
          <w:color w:val="000000" w:themeColor="text1"/>
          <w:szCs w:val="22"/>
        </w:rPr>
        <w:t>Pt(</w:t>
      </w:r>
      <w:proofErr w:type="gramEnd"/>
      <w:r w:rsidRPr="00EC6E98">
        <w:rPr>
          <w:color w:val="000000" w:themeColor="text1"/>
          <w:szCs w:val="22"/>
        </w:rPr>
        <w:t xml:space="preserve">111), respectively, this equates to electric field effects on the order of 15 </w:t>
      </w:r>
      <w:proofErr w:type="spellStart"/>
      <w:r w:rsidRPr="00EC6E98">
        <w:rPr>
          <w:color w:val="000000" w:themeColor="text1"/>
          <w:szCs w:val="22"/>
        </w:rPr>
        <w:t>meV</w:t>
      </w:r>
      <w:proofErr w:type="spellEnd"/>
      <w:r w:rsidRPr="00EC6E98">
        <w:rPr>
          <w:color w:val="000000" w:themeColor="text1"/>
          <w:szCs w:val="22"/>
        </w:rPr>
        <w:t xml:space="preserve"> for adsorbed hydroxide, </w:t>
      </w:r>
      <w:r>
        <w:rPr>
          <w:color w:val="000000" w:themeColor="text1"/>
          <w:szCs w:val="22"/>
        </w:rPr>
        <w:t>*OH</w:t>
      </w:r>
      <w:r w:rsidRPr="00EC6E98">
        <w:rPr>
          <w:color w:val="000000" w:themeColor="text1"/>
          <w:szCs w:val="22"/>
        </w:rPr>
        <w:t xml:space="preserve">, and 11 </w:t>
      </w:r>
      <w:proofErr w:type="spellStart"/>
      <w:r w:rsidRPr="00EC6E98">
        <w:rPr>
          <w:color w:val="000000" w:themeColor="text1"/>
          <w:szCs w:val="22"/>
        </w:rPr>
        <w:t>meV</w:t>
      </w:r>
      <w:proofErr w:type="spellEnd"/>
      <w:r w:rsidRPr="00EC6E98">
        <w:rPr>
          <w:color w:val="000000" w:themeColor="text1"/>
          <w:szCs w:val="22"/>
        </w:rPr>
        <w:t xml:space="preserve"> for adsorbed oxygen, </w:t>
      </w:r>
      <w:r>
        <w:rPr>
          <w:color w:val="000000" w:themeColor="text1"/>
          <w:szCs w:val="22"/>
        </w:rPr>
        <w:t>*O</w:t>
      </w:r>
      <w:r w:rsidRPr="00EC6E98">
        <w:rPr>
          <w:color w:val="000000" w:themeColor="text1"/>
          <w:szCs w:val="22"/>
        </w:rPr>
        <w:t>. In Ref.</w:t>
      </w:r>
      <w:r>
        <w:rPr>
          <w:color w:val="000000" w:themeColor="text1"/>
          <w:szCs w:val="22"/>
        </w:rPr>
        <w:t xml:space="preserve"> </w:t>
      </w:r>
      <w:r>
        <w:rPr>
          <w:color w:val="000000" w:themeColor="text1"/>
          <w:szCs w:val="22"/>
        </w:rPr>
        <w:fldChar w:fldCharType="begin"/>
      </w:r>
      <w:r w:rsidR="00FC5BEB">
        <w:rPr>
          <w:color w:val="000000" w:themeColor="text1"/>
          <w:szCs w:val="22"/>
        </w:rPr>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87</w:t>
      </w:r>
      <w:r>
        <w:rPr>
          <w:color w:val="000000" w:themeColor="text1"/>
          <w:szCs w:val="22"/>
        </w:rPr>
        <w:fldChar w:fldCharType="end"/>
      </w:r>
      <w:r w:rsidRPr="00EC6E98">
        <w:rPr>
          <w:color w:val="000000" w:themeColor="text1"/>
          <w:szCs w:val="22"/>
        </w:rPr>
        <w:t xml:space="preserve"> this analysis was extended to adsorbed hydroperoxide, </w:t>
      </w:r>
      <w:r>
        <w:rPr>
          <w:color w:val="000000" w:themeColor="text1"/>
          <w:szCs w:val="22"/>
        </w:rPr>
        <w:t>*OOH</w:t>
      </w:r>
      <w:r w:rsidRPr="00EC6E98">
        <w:rPr>
          <w:color w:val="000000" w:themeColor="text1"/>
          <w:szCs w:val="22"/>
        </w:rPr>
        <w:t xml:space="preserve">, where the field results in an 18 </w:t>
      </w:r>
      <w:proofErr w:type="spellStart"/>
      <w:r w:rsidRPr="00EC6E98">
        <w:rPr>
          <w:color w:val="000000" w:themeColor="text1"/>
          <w:szCs w:val="22"/>
        </w:rPr>
        <w:t>meV</w:t>
      </w:r>
      <w:proofErr w:type="spellEnd"/>
      <w:r w:rsidRPr="00EC6E98">
        <w:rPr>
          <w:color w:val="000000" w:themeColor="text1"/>
          <w:szCs w:val="22"/>
        </w:rPr>
        <w:t xml:space="preserve"> change in adsorption energy. All of these energies equate to only ~2 </w:t>
      </w:r>
      <w:proofErr w:type="spellStart"/>
      <w:r w:rsidRPr="00EC6E98">
        <w:rPr>
          <w:color w:val="000000" w:themeColor="text1"/>
          <w:szCs w:val="22"/>
        </w:rPr>
        <w:t>meV</w:t>
      </w:r>
      <w:proofErr w:type="spellEnd"/>
      <w:r w:rsidRPr="00EC6E98">
        <w:rPr>
          <w:color w:val="000000" w:themeColor="text1"/>
          <w:szCs w:val="22"/>
        </w:rPr>
        <w:t>/Å</w:t>
      </w:r>
      <w:r w:rsidRPr="00EC6E98">
        <w:rPr>
          <w:color w:val="000000" w:themeColor="text1"/>
          <w:szCs w:val="22"/>
          <w:vertAlign w:val="superscript"/>
        </w:rPr>
        <w:t>2</w:t>
      </w:r>
      <w:r w:rsidRPr="00EC6E98">
        <w:rPr>
          <w:color w:val="000000" w:themeColor="text1"/>
          <w:szCs w:val="22"/>
        </w:rPr>
        <w:t xml:space="preserve"> at 1 monolayer (ML) adsorbate coverage, well below energy changes typically achievable using </w:t>
      </w:r>
      <w:r w:rsidRPr="00EC6E98">
        <w:rPr>
          <w:i/>
          <w:iCs/>
          <w:color w:val="000000" w:themeColor="text1"/>
          <w:szCs w:val="22"/>
        </w:rPr>
        <w:t xml:space="preserve">ab initio </w:t>
      </w:r>
      <w:r w:rsidRPr="00EC6E98">
        <w:rPr>
          <w:color w:val="000000" w:themeColor="text1"/>
          <w:szCs w:val="22"/>
        </w:rPr>
        <w:t xml:space="preserve">atomistic thermodynamics. Thus, the authors of Refs. </w:t>
      </w:r>
      <w:r>
        <w:rPr>
          <w:color w:val="000000" w:themeColor="text1"/>
          <w:szCs w:val="22"/>
        </w:rPr>
        <w:fldChar w:fldCharType="begin"/>
      </w:r>
      <w:r w:rsidR="009F6662">
        <w:rPr>
          <w:color w:val="000000" w:themeColor="text1"/>
          <w:szCs w:val="22"/>
        </w:rPr>
        <w:instrText xml:space="preserve"> ADDIN EN.CITE &lt;EndNote&gt;&lt;Cite&gt;&lt;Author&gt;Nørskov&lt;/Author&gt;&lt;Year&gt;2004&lt;/Year&gt;&lt;RecNum&gt;59&lt;/RecNum&gt;&lt;DisplayText&gt;&lt;style face="superscript"&gt;59&lt;/style&gt;&lt;/DisplayText&gt;&lt;record&gt;&lt;rec-number&gt;59&lt;/rec-number&gt;&lt;foreign-keys&gt;&lt;key app="EN" db-id="2xex0erf4eexr4e2dpbxpdd829xttesxxxdr" timestamp="1715075296"&gt;59&lt;/key&gt;&lt;/foreign-keys&gt;&lt;ref-type name="Journal Article"&gt;17&lt;/ref-type&gt;&lt;contributors&gt;&lt;authors&gt;&lt;author&gt;Nørskov, J. K.&lt;/author&gt;&lt;author&gt;Rossmeisl, J.&lt;/author&gt;&lt;author&gt;Logadottir, A.&lt;/author&gt;&lt;author&gt;Lindqvist, L.&lt;/author&gt;&lt;author&gt;Kitchin, J. R.&lt;/author&gt;&lt;author&gt;Bligaard, T.&lt;/author&gt;&lt;author&gt;Jónsson, H.&lt;/author&gt;&lt;/authors&gt;&lt;/contributors&gt;&lt;titles&gt;&lt;title&gt;Origin of the Overpotential for Oxygen Reduction at a Fuel-Cell Cathode&lt;/title&gt;&lt;secondary-title&gt;Journal of Physical Chemistry B&lt;/secondary-title&gt;&lt;/titles&gt;&lt;periodical&gt;&lt;full-title&gt;Journal of Physical Chemistry B&lt;/full-title&gt;&lt;abbr-1&gt;J. Phys. Chem. B&lt;/abbr-1&gt;&lt;abbr-2&gt;J Phys Chem B&lt;/abbr-2&gt;&lt;/periodical&gt;&lt;pages&gt;17886-17892&lt;/pages&gt;&lt;volume&gt;108&lt;/volume&gt;&lt;number&gt;46&lt;/number&gt;&lt;dates&gt;&lt;year&gt;2004&lt;/year&gt;&lt;pub-dates&gt;&lt;date&gt;2004/11/01&lt;/date&gt;&lt;/pub-dates&gt;&lt;/dates&gt;&lt;publisher&gt;American Chemical Society&lt;/publisher&gt;&lt;isbn&gt;1520-6106&lt;/isbn&gt;&lt;urls&gt;&lt;related-urls&gt;&lt;url&gt;https://doi.org/10.1021/jp047349j&lt;/url&gt;&lt;/related-urls&gt;&lt;/urls&gt;&lt;electronic-resource-num&gt;10.1021/jp047349j&lt;/electronic-resource-num&gt;&lt;/record&gt;&lt;/Cite&gt;&lt;/EndNote&gt;</w:instrText>
      </w:r>
      <w:r>
        <w:rPr>
          <w:color w:val="000000" w:themeColor="text1"/>
          <w:szCs w:val="22"/>
        </w:rPr>
        <w:fldChar w:fldCharType="separate"/>
      </w:r>
      <w:r w:rsidR="009F6662" w:rsidRPr="009F6662">
        <w:rPr>
          <w:noProof/>
          <w:color w:val="000000" w:themeColor="text1"/>
          <w:szCs w:val="22"/>
          <w:vertAlign w:val="superscript"/>
        </w:rPr>
        <w:t>59</w:t>
      </w:r>
      <w:r>
        <w:rPr>
          <w:color w:val="000000" w:themeColor="text1"/>
          <w:szCs w:val="22"/>
        </w:rPr>
        <w:fldChar w:fldCharType="end"/>
      </w:r>
      <w:r>
        <w:rPr>
          <w:color w:val="000000" w:themeColor="text1"/>
          <w:szCs w:val="22"/>
        </w:rPr>
        <w:t xml:space="preserve"> </w:t>
      </w:r>
      <w:r w:rsidRPr="00EC6E98">
        <w:rPr>
          <w:color w:val="000000" w:themeColor="text1"/>
          <w:szCs w:val="22"/>
        </w:rPr>
        <w:t xml:space="preserve">and </w:t>
      </w:r>
      <w:r>
        <w:rPr>
          <w:color w:val="000000" w:themeColor="text1"/>
          <w:szCs w:val="22"/>
        </w:rPr>
        <w:fldChar w:fldCharType="begin"/>
      </w:r>
      <w:r w:rsidR="00FC5BEB">
        <w:rPr>
          <w:color w:val="000000" w:themeColor="text1"/>
          <w:szCs w:val="22"/>
        </w:rPr>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87</w:t>
      </w:r>
      <w:r>
        <w:rPr>
          <w:color w:val="000000" w:themeColor="text1"/>
          <w:szCs w:val="22"/>
        </w:rPr>
        <w:fldChar w:fldCharType="end"/>
      </w:r>
      <w:r>
        <w:rPr>
          <w:color w:val="000000" w:themeColor="text1"/>
          <w:szCs w:val="22"/>
        </w:rPr>
        <w:t xml:space="preserve"> </w:t>
      </w:r>
      <w:r w:rsidRPr="00EC6E98">
        <w:rPr>
          <w:color w:val="000000" w:themeColor="text1"/>
          <w:szCs w:val="22"/>
        </w:rPr>
        <w:t xml:space="preserve">argued </w:t>
      </w:r>
      <w:r w:rsidR="00595128">
        <w:rPr>
          <w:color w:val="000000" w:themeColor="text1"/>
          <w:szCs w:val="22"/>
        </w:rPr>
        <w:t xml:space="preserve">that </w:t>
      </w:r>
      <w:r w:rsidRPr="00EC6E98">
        <w:rPr>
          <w:color w:val="000000" w:themeColor="text1"/>
          <w:szCs w:val="22"/>
        </w:rPr>
        <w:t>field effects can be neglected, which may come as a surprise for an electrochemical system. However, field effects are now routinely ignored in CHE studies due to these estimates and others where explicit electric fields were included</w:t>
      </w:r>
      <w:r>
        <w:rPr>
          <w:color w:val="000000" w:themeColor="text1"/>
          <w:szCs w:val="22"/>
        </w:rPr>
        <w:fldChar w:fldCharType="begin">
          <w:fldData xml:space="preserve">PEVuZE5vdGU+PENpdGU+PEF1dGhvcj5LYXJsYmVyZzwvQXV0aG9yPjxZZWFyPjIwMDc8L1llYXI+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</w:fldData>
        </w:fldChar>
      </w:r>
      <w:r w:rsidR="00FC5BEB">
        <w:rPr>
          <w:color w:val="000000" w:themeColor="text1"/>
          <w:szCs w:val="22"/>
        </w:rPr>
        <w:instrText xml:space="preserve"> ADDIN EN.CITE </w:instrText>
      </w:r>
      <w:r w:rsidR="00FC5BEB">
        <w:rPr>
          <w:color w:val="000000" w:themeColor="text1"/>
          <w:szCs w:val="22"/>
        </w:rPr>
        <w:fldChar w:fldCharType="begin">
          <w:fldData xml:space="preserve">PEVuZE5vdGU+PENpdGU+PEF1dGhvcj5LYXJsYmVyZzwvQXV0aG9yPjxZZWFyPjIwMDc8L1llYXI+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</w:fldData>
        </w:fldChar>
      </w:r>
      <w:r w:rsidR="00FC5BEB">
        <w:rPr>
          <w:color w:val="000000" w:themeColor="text1"/>
          <w:szCs w:val="22"/>
        </w:rPr>
        <w:instrText xml:space="preserve"> ADDIN EN.CITE.DATA </w:instrText>
      </w:r>
      <w:r w:rsidR="00FC5BEB">
        <w:rPr>
          <w:color w:val="000000" w:themeColor="text1"/>
          <w:szCs w:val="22"/>
        </w:rPr>
      </w:r>
      <w:r w:rsidR="00FC5BEB">
        <w:rPr>
          <w:color w:val="000000" w:themeColor="text1"/>
          <w:szCs w:val="22"/>
        </w:rPr>
        <w:fldChar w:fldCharType="end"/>
      </w:r>
      <w:r>
        <w:rPr>
          <w:color w:val="000000" w:themeColor="text1"/>
          <w:szCs w:val="22"/>
        </w:rPr>
      </w:r>
      <w:r>
        <w:rPr>
          <w:color w:val="000000" w:themeColor="text1"/>
          <w:szCs w:val="22"/>
        </w:rPr>
        <w:fldChar w:fldCharType="separate"/>
      </w:r>
      <w:r w:rsidR="00FC5BEB" w:rsidRPr="00FC5BEB">
        <w:rPr>
          <w:noProof/>
          <w:color w:val="000000" w:themeColor="text1"/>
          <w:szCs w:val="22"/>
          <w:vertAlign w:val="superscript"/>
        </w:rPr>
        <w:t>128, 129</w:t>
      </w:r>
      <w:r>
        <w:rPr>
          <w:color w:val="000000" w:themeColor="text1"/>
          <w:szCs w:val="22"/>
        </w:rPr>
        <w:fldChar w:fldCharType="end"/>
      </w:r>
      <w:r>
        <w:rPr>
          <w:color w:val="000000" w:themeColor="text1"/>
          <w:szCs w:val="22"/>
        </w:rPr>
        <w:t>,</w:t>
      </w:r>
      <w:r w:rsidRPr="00EC6E98">
        <w:rPr>
          <w:color w:val="000000" w:themeColor="text1"/>
          <w:szCs w:val="22"/>
        </w:rPr>
        <w:t xml:space="preserve"> evidence is emerging that electric fields in microkinetic models may be important</w:t>
      </w:r>
      <w:r>
        <w:rPr>
          <w:color w:val="000000" w:themeColor="text1"/>
          <w:szCs w:val="22"/>
        </w:rPr>
        <w:fldChar w:fldCharType="begin"/>
      </w:r>
      <w:r w:rsidR="00FC5BEB">
        <w:rPr>
          <w:color w:val="000000" w:themeColor="text1"/>
          <w:szCs w:val="22"/>
        </w:rPr>
        <w:instrText xml:space="preserve"> ADDIN EN.CITE &lt;EndNote&gt;&lt;Cite&gt;&lt;Author&gt;Kelly&lt;/Author&gt;&lt;Year&gt;2020&lt;/Year&gt;&lt;RecNum&gt;128&lt;/RecNum&gt;&lt;DisplayText&gt;&lt;style face="superscript"&gt;130&lt;/style&gt;&lt;/DisplayText&gt;&lt;record&gt;&lt;rec-number&gt;128&lt;/rec-number&gt;&lt;foreign-keys&gt;&lt;key app="EN" db-id="2xex0erf4eexr4e2dpbxpdd829xttesxxxdr" timestamp="1715075296"&gt;128&lt;/key&gt;&lt;/foreign-keys&gt;&lt;ref-type name="Journal Article"&gt;17&lt;/ref-type&gt;&lt;contributors&gt;&lt;authors&gt;&lt;author&gt;Kelly, Sara R.&lt;/author&gt;&lt;author&gt;Kirk, Charlotte&lt;/author&gt;&lt;author&gt;Chan, Karen&lt;/author&gt;&lt;author&gt;Nørskov, Jens K.&lt;/author&gt;&lt;/authors&gt;&lt;/contributors&gt;&lt;titles&gt;&lt;title&gt;Electric Field Effects in Oxygen Reduction Kinetics: Rationalizing pH Dependence at the Pt(111), Au(111), and Au(100) Electrodes&lt;/title&gt;&lt;secondary-title&gt;Journal of Physical Chemistry C&lt;/secondary-title&gt;&lt;/titles&gt;&lt;periodical&gt;&lt;full-title&gt;Journal of Physical Chemistry C&lt;/full-title&gt;&lt;abbr-1&gt;J. Phys. Chem. C&lt;/abbr-1&gt;&lt;/periodical&gt;&lt;pages&gt;14581-14591&lt;/pages&gt;&lt;volume&gt;124&lt;/volume&gt;&lt;number&gt;27&lt;/number&gt;&lt;dates&gt;&lt;year&gt;2020&lt;/year&gt;&lt;pub-dates&gt;&lt;date&gt;2020/07/09&lt;/date&gt;&lt;/pub-dates&gt;&lt;/dates&gt;&lt;publisher&gt;American Chemical Society&lt;/publisher&gt;&lt;isbn&gt;1932-7447&lt;/isbn&gt;&lt;urls&gt;&lt;related-urls&gt;&lt;url&gt;https://doi.org/10.1021/acs.jpcc.0c02127&lt;/url&gt;&lt;/related-urls&gt;&lt;/urls&gt;&lt;electronic-resource-num&gt;10.1021/acs.jpcc.0c02127&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130</w:t>
      </w:r>
      <w:r>
        <w:rPr>
          <w:color w:val="000000" w:themeColor="text1"/>
          <w:szCs w:val="22"/>
        </w:rPr>
        <w:fldChar w:fldCharType="end"/>
      </w:r>
      <w:r>
        <w:rPr>
          <w:color w:val="000000" w:themeColor="text1"/>
          <w:szCs w:val="22"/>
        </w:rPr>
        <w:t>.</w:t>
      </w:r>
      <w:r w:rsidRPr="00EC6E98">
        <w:rPr>
          <w:color w:val="000000" w:themeColor="text1"/>
          <w:szCs w:val="22"/>
        </w:rPr>
        <w:t xml:space="preserve"> When the electric field is ignored, the energetics of PCET reactions can be computed using DFT total energies and tabulated thermochemical data through </w:t>
      </w:r>
      <w:r w:rsidR="00912480" w:rsidRPr="004B35B6">
        <w:rPr>
          <w:color w:val="000000" w:themeColor="text1"/>
          <w:szCs w:val="22"/>
        </w:rPr>
        <w:fldChar w:fldCharType="begin"/>
      </w:r>
      <w:r w:rsidR="00912480" w:rsidRPr="004B35B6">
        <w:rPr>
          <w:color w:val="000000" w:themeColor="text1"/>
          <w:szCs w:val="22"/>
        </w:rPr>
        <w:instrText xml:space="preserve"> REF _Ref159509215 \h </w:instrText>
      </w:r>
      <w:r w:rsidR="004B35B6">
        <w:rPr>
          <w:color w:val="000000" w:themeColor="text1"/>
          <w:szCs w:val="22"/>
        </w:rPr>
        <w:instrText xml:space="preserve"> \* MERGEFORMAT </w:instrText>
      </w:r>
      <w:r w:rsidR="00912480" w:rsidRPr="004B35B6">
        <w:rPr>
          <w:color w:val="000000" w:themeColor="text1"/>
          <w:szCs w:val="22"/>
        </w:rPr>
      </w:r>
      <w:r w:rsidR="00912480" w:rsidRPr="004B35B6">
        <w:rPr>
          <w:color w:val="000000" w:themeColor="text1"/>
          <w:szCs w:val="22"/>
        </w:rPr>
        <w:fldChar w:fldCharType="separate"/>
      </w:r>
      <w:r w:rsidR="003255C0" w:rsidRPr="00245F0C">
        <w:rPr>
          <w:szCs w:val="22"/>
        </w:rPr>
        <w:t xml:space="preserve">Equation </w:t>
      </w:r>
      <w:r w:rsidR="003255C0" w:rsidRPr="00245F0C">
        <w:rPr>
          <w:noProof/>
          <w:szCs w:val="22"/>
        </w:rPr>
        <w:t>33</w:t>
      </w:r>
      <w:r w:rsidR="00912480" w:rsidRPr="004B35B6">
        <w:rPr>
          <w:color w:val="000000" w:themeColor="text1"/>
          <w:szCs w:val="22"/>
        </w:rPr>
        <w:fldChar w:fldCharType="end"/>
      </w:r>
      <w:r w:rsidR="00912480">
        <w:rPr>
          <w:color w:val="000000" w:themeColor="text1"/>
          <w:szCs w:val="22"/>
        </w:rPr>
        <w:t xml:space="preserve"> </w:t>
      </w:r>
      <w:r w:rsidRPr="00EC6E98">
        <w:rPr>
          <w:color w:val="000000" w:themeColor="text1"/>
          <w:szCs w:val="22"/>
        </w:rPr>
        <w:t>under either complete or constrained thermodynamic equilibrium. This is the CHE.</w:t>
      </w:r>
    </w:p>
    <w:p w14:paraId="621A661A" w14:textId="77777777" w:rsidR="00594FAE" w:rsidRPr="00EC6E98" w:rsidRDefault="00594FAE" w:rsidP="00594FAE">
      <w:pPr>
        <w:rPr>
          <w:color w:val="000000" w:themeColor="text1"/>
          <w:szCs w:val="22"/>
        </w:rPr>
      </w:pPr>
    </w:p>
    <w:p w14:paraId="4C3F1379" w14:textId="78986D4C" w:rsidR="00E37E91" w:rsidRPr="00EC6E98" w:rsidRDefault="00BC7855" w:rsidP="00577291">
      <w:pPr>
        <w:pStyle w:val="Heading4"/>
      </w:pPr>
      <w:r>
        <w:t xml:space="preserve"> </w:t>
      </w:r>
      <w:bookmarkStart w:id="73" w:name="_Toc166441735"/>
      <w:r w:rsidR="00E37E91" w:rsidRPr="00EC6E98">
        <w:t>CHE model of the OER on metal surfaces</w:t>
      </w:r>
      <w:bookmarkEnd w:id="73"/>
    </w:p>
    <w:p w14:paraId="2ADADD54" w14:textId="77777777" w:rsidR="00E37E91" w:rsidRPr="00EC6E98" w:rsidRDefault="00E37E91" w:rsidP="00E37E91">
      <w:pPr>
        <w:rPr>
          <w:b/>
          <w:bCs/>
          <w:color w:val="000000" w:themeColor="text1"/>
          <w:szCs w:val="22"/>
        </w:rPr>
      </w:pPr>
    </w:p>
    <w:p w14:paraId="2969A739" w14:textId="6B73569B" w:rsidR="00E37E91" w:rsidRPr="00EC6E98" w:rsidRDefault="00E37E91" w:rsidP="00E37E91">
      <w:pPr>
        <w:ind w:firstLine="720"/>
        <w:rPr>
          <w:color w:val="000000" w:themeColor="text1"/>
          <w:szCs w:val="22"/>
        </w:rPr>
      </w:pPr>
      <w:r w:rsidRPr="00EC6E98">
        <w:rPr>
          <w:color w:val="000000" w:themeColor="text1"/>
          <w:szCs w:val="22"/>
        </w:rPr>
        <w:t>The first application of the CHE to the OER was on oxidized surfaces of platinum and gold</w:t>
      </w:r>
      <w:r>
        <w:rPr>
          <w:color w:val="000000" w:themeColor="text1"/>
          <w:szCs w:val="22"/>
        </w:rPr>
        <w:fldChar w:fldCharType="begin"/>
      </w:r>
      <w:r w:rsidR="00FC5BEB">
        <w:rPr>
          <w:color w:val="000000" w:themeColor="text1"/>
          <w:szCs w:val="22"/>
        </w:rPr>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87</w:t>
      </w:r>
      <w:r>
        <w:rPr>
          <w:color w:val="000000" w:themeColor="text1"/>
          <w:szCs w:val="22"/>
        </w:rPr>
        <w:fldChar w:fldCharType="end"/>
      </w:r>
      <w:r>
        <w:rPr>
          <w:color w:val="000000" w:themeColor="text1"/>
          <w:szCs w:val="22"/>
        </w:rPr>
        <w:t>.</w:t>
      </w:r>
      <w:r w:rsidRPr="00EC6E98">
        <w:rPr>
          <w:color w:val="000000" w:themeColor="text1"/>
          <w:szCs w:val="22"/>
        </w:rPr>
        <w:t xml:space="preserve"> This initial investigation set the stage for a significant fraction of the computational work on the OER that has been published to date. The authors began by noting that the OER can be written as four PCET steps, which we will refer to as the </w:t>
      </w:r>
      <w:r w:rsidRPr="00EC6E98">
        <w:rPr>
          <w:iCs/>
          <w:color w:val="000000" w:themeColor="text1"/>
          <w:szCs w:val="22"/>
        </w:rPr>
        <w:t>single-site nucleophilic attack mechanism; more recent literature has adopted the term a</w:t>
      </w:r>
      <w:r w:rsidR="00B054E7">
        <w:rPr>
          <w:iCs/>
          <w:color w:val="000000" w:themeColor="text1"/>
          <w:szCs w:val="22"/>
        </w:rPr>
        <w:t>d</w:t>
      </w:r>
      <w:r w:rsidRPr="00EC6E98">
        <w:rPr>
          <w:iCs/>
          <w:color w:val="000000" w:themeColor="text1"/>
          <w:szCs w:val="22"/>
        </w:rPr>
        <w:t>sorbate evolution mechanism (AEM)</w:t>
      </w:r>
      <w:r w:rsidRPr="00EC6E98">
        <w:rPr>
          <w:color w:val="000000" w:themeColor="text1"/>
          <w:szCs w:val="22"/>
        </w:rPr>
        <w:t>. It can be written as follows in acid:</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7"/>
        <w:gridCol w:w="6134"/>
        <w:gridCol w:w="2075"/>
      </w:tblGrid>
      <w:tr w:rsidR="00B026CA" w:rsidRPr="00B026CA" w14:paraId="036F8D15" w14:textId="77777777" w:rsidTr="00ED1E49">
        <w:tc>
          <w:tcPr>
            <w:tcW w:w="845" w:type="dxa"/>
            <w:vAlign w:val="center"/>
          </w:tcPr>
          <w:p w14:paraId="1CB19674" w14:textId="77777777" w:rsidR="00B026CA" w:rsidRPr="00B026CA" w:rsidRDefault="00B026CA" w:rsidP="00E45E28">
            <w:pPr>
              <w:rPr>
                <w:bCs/>
                <w:sz w:val="20"/>
                <w:szCs w:val="20"/>
              </w:rPr>
            </w:pPr>
          </w:p>
        </w:tc>
        <w:tc>
          <w:tcPr>
            <w:tcW w:w="6385" w:type="dxa"/>
            <w:vAlign w:val="center"/>
          </w:tcPr>
          <w:p w14:paraId="63E5A346" w14:textId="11FA386D" w:rsidR="00B026CA" w:rsidRPr="00B026CA" w:rsidRDefault="00B026CA" w:rsidP="003B25E3">
            <w:pPr>
              <w:rPr>
                <w:bCs/>
                <w:sz w:val="20"/>
                <w:szCs w:val="20"/>
              </w:rPr>
            </w:pPr>
            <m:oMathPara>
              <m:oMath>
                <m:r>
                  <m:rPr>
                    <m:sty m:val="p"/>
                  </m:rPr>
                  <w:rPr>
                    <w:rFonts w:ascii="Cambria Math" w:hAnsi="Cambria Math"/>
                    <w:color w:val="000000" w:themeColor="text1"/>
                    <w:sz w:val="20"/>
                    <w:szCs w:val="20"/>
                  </w:rPr>
                  <m:t xml:space="preserve">2 </m:t>
                </m:r>
                <m:sSub>
                  <m:sSubPr>
                    <m:ctrlPr>
                      <w:rPr>
                        <w:rFonts w:ascii="Cambria Math" w:eastAsiaTheme="minorHAnsi" w:hAnsi="Cambria Math"/>
                        <w:iCs/>
                        <w:color w:val="000000" w:themeColor="text1"/>
                        <w:sz w:val="20"/>
                        <w:szCs w:val="20"/>
                      </w:rPr>
                    </m:ctrlPr>
                  </m:sSubPr>
                  <m:e>
                    <m:r>
                      <m:rPr>
                        <m:sty m:val="p"/>
                      </m:rPr>
                      <w:rPr>
                        <w:rFonts w:ascii="Cambria Math" w:hAnsi="Cambria Math"/>
                        <w:color w:val="000000" w:themeColor="text1"/>
                        <w:sz w:val="20"/>
                        <w:szCs w:val="20"/>
                      </w:rPr>
                      <m:t>H</m:t>
                    </m:r>
                  </m:e>
                  <m:sub>
                    <m:r>
                      <m:rPr>
                        <m:sty m:val="p"/>
                      </m:rPr>
                      <w:rPr>
                        <w:rFonts w:ascii="Cambria Math" w:hAnsi="Cambria Math"/>
                        <w:color w:val="000000" w:themeColor="text1"/>
                        <w:sz w:val="20"/>
                        <w:szCs w:val="20"/>
                      </w:rPr>
                      <m:t>2</m:t>
                    </m:r>
                  </m:sub>
                </m:sSub>
                <m:r>
                  <m:rPr>
                    <m:sty m:val="p"/>
                  </m:rPr>
                  <w:rPr>
                    <w:rFonts w:ascii="Cambria Math" w:hAnsi="Cambria Math"/>
                    <w:color w:val="000000" w:themeColor="text1"/>
                    <w:sz w:val="20"/>
                    <w:szCs w:val="20"/>
                  </w:rPr>
                  <m:t>O→</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HO</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b>
                  <m:sSubPr>
                    <m:ctrlPr>
                      <w:rPr>
                        <w:rFonts w:ascii="Cambria Math" w:eastAsiaTheme="minorHAnsi" w:hAnsi="Cambria Math"/>
                        <w:iCs/>
                        <w:color w:val="000000" w:themeColor="text1"/>
                        <w:sz w:val="20"/>
                        <w:szCs w:val="20"/>
                      </w:rPr>
                    </m:ctrlPr>
                  </m:sSubPr>
                  <m:e>
                    <m:r>
                      <m:rPr>
                        <m:sty m:val="p"/>
                      </m:rPr>
                      <w:rPr>
                        <w:rFonts w:ascii="Cambria Math" w:hAnsi="Cambria Math"/>
                        <w:color w:val="000000" w:themeColor="text1"/>
                        <w:sz w:val="20"/>
                        <w:szCs w:val="20"/>
                      </w:rPr>
                      <m:t>H</m:t>
                    </m:r>
                  </m:e>
                  <m:sub>
                    <m:r>
                      <m:rPr>
                        <m:sty m:val="p"/>
                      </m:rPr>
                      <w:rPr>
                        <w:rFonts w:ascii="Cambria Math" w:hAnsi="Cambria Math"/>
                        <w:color w:val="000000" w:themeColor="text1"/>
                        <w:sz w:val="20"/>
                        <w:szCs w:val="20"/>
                      </w:rPr>
                      <m:t>2</m:t>
                    </m:r>
                  </m:sub>
                </m:sSub>
                <m:r>
                  <m:rPr>
                    <m:sty m:val="p"/>
                  </m:rPr>
                  <w:rPr>
                    <w:rFonts w:ascii="Cambria Math" w:hAnsi="Cambria Math"/>
                    <w:color w:val="000000" w:themeColor="text1"/>
                    <w:sz w:val="20"/>
                    <w:szCs w:val="20"/>
                  </w:rPr>
                  <m:t>O+</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e</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H</m:t>
                    </m:r>
                  </m:e>
                  <m:sup>
                    <m:r>
                      <m:rPr>
                        <m:sty m:val="p"/>
                      </m:rPr>
                      <w:rPr>
                        <w:rFonts w:ascii="Cambria Math" w:hAnsi="Cambria Math"/>
                        <w:color w:val="000000" w:themeColor="text1"/>
                        <w:sz w:val="20"/>
                        <w:szCs w:val="20"/>
                      </w:rPr>
                      <m:t>+</m:t>
                    </m:r>
                  </m:sup>
                </m:sSup>
              </m:oMath>
            </m:oMathPara>
          </w:p>
        </w:tc>
        <w:tc>
          <w:tcPr>
            <w:tcW w:w="2130" w:type="dxa"/>
            <w:vAlign w:val="center"/>
          </w:tcPr>
          <w:p w14:paraId="7BB5AB0A" w14:textId="5C6A1EF8" w:rsidR="00B026CA" w:rsidRPr="00B026CA" w:rsidRDefault="00B026CA" w:rsidP="00E45E28">
            <w:pPr>
              <w:keepNext/>
              <w:jc w:val="right"/>
              <w:rPr>
                <w:bCs/>
                <w:sz w:val="20"/>
                <w:szCs w:val="20"/>
              </w:rPr>
            </w:pPr>
            <w:bookmarkStart w:id="74" w:name="_Ref159510668"/>
            <w:r w:rsidRPr="00B026CA">
              <w:rPr>
                <w:sz w:val="20"/>
                <w:szCs w:val="20"/>
              </w:rPr>
              <w:t xml:space="preserve">Equation </w:t>
            </w:r>
            <w:r w:rsidRPr="00B026CA">
              <w:rPr>
                <w:sz w:val="20"/>
                <w:szCs w:val="20"/>
              </w:rPr>
              <w:fldChar w:fldCharType="begin"/>
            </w:r>
            <w:r w:rsidRPr="00B026CA">
              <w:rPr>
                <w:sz w:val="20"/>
                <w:szCs w:val="20"/>
              </w:rPr>
              <w:instrText xml:space="preserve"> SEQ Equation \* ARABIC </w:instrText>
            </w:r>
            <w:r w:rsidRPr="00B026CA">
              <w:rPr>
                <w:sz w:val="20"/>
                <w:szCs w:val="20"/>
              </w:rPr>
              <w:fldChar w:fldCharType="separate"/>
            </w:r>
            <w:r w:rsidR="003255C0">
              <w:rPr>
                <w:noProof/>
                <w:sz w:val="20"/>
                <w:szCs w:val="20"/>
              </w:rPr>
              <w:t>38</w:t>
            </w:r>
            <w:r w:rsidRPr="00B026CA">
              <w:rPr>
                <w:sz w:val="20"/>
                <w:szCs w:val="20"/>
              </w:rPr>
              <w:fldChar w:fldCharType="end"/>
            </w:r>
            <w:bookmarkEnd w:id="74"/>
          </w:p>
        </w:tc>
      </w:tr>
      <w:tr w:rsidR="00B026CA" w:rsidRPr="00B026CA" w14:paraId="5FE1874E" w14:textId="77777777" w:rsidTr="00ED1E49">
        <w:tc>
          <w:tcPr>
            <w:tcW w:w="845" w:type="dxa"/>
            <w:vAlign w:val="center"/>
          </w:tcPr>
          <w:p w14:paraId="4C82C53B" w14:textId="77777777" w:rsidR="00B026CA" w:rsidRPr="00B026CA" w:rsidRDefault="00B026CA" w:rsidP="00E45E28">
            <w:pPr>
              <w:rPr>
                <w:bCs/>
                <w:sz w:val="20"/>
                <w:szCs w:val="20"/>
              </w:rPr>
            </w:pPr>
          </w:p>
        </w:tc>
        <w:tc>
          <w:tcPr>
            <w:tcW w:w="6385" w:type="dxa"/>
            <w:vAlign w:val="center"/>
          </w:tcPr>
          <w:p w14:paraId="4FD5481E" w14:textId="6ED6CD34" w:rsidR="00B026CA" w:rsidRPr="00B026CA" w:rsidRDefault="00000000" w:rsidP="003B25E3">
            <w:pPr>
              <w:rPr>
                <w:bCs/>
                <w:sz w:val="20"/>
                <w:szCs w:val="20"/>
              </w:rPr>
            </w:pPr>
            <m:oMathPara>
              <m:oMath>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HO</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b>
                  <m:sSubPr>
                    <m:ctrlPr>
                      <w:rPr>
                        <w:rFonts w:ascii="Cambria Math" w:eastAsiaTheme="minorHAnsi" w:hAnsi="Cambria Math"/>
                        <w:iCs/>
                        <w:color w:val="000000" w:themeColor="text1"/>
                        <w:sz w:val="20"/>
                        <w:szCs w:val="20"/>
                      </w:rPr>
                    </m:ctrlPr>
                  </m:sSubPr>
                  <m:e>
                    <m:r>
                      <m:rPr>
                        <m:sty m:val="p"/>
                      </m:rPr>
                      <w:rPr>
                        <w:rFonts w:ascii="Cambria Math" w:hAnsi="Cambria Math"/>
                        <w:color w:val="000000" w:themeColor="text1"/>
                        <w:sz w:val="20"/>
                        <w:szCs w:val="20"/>
                      </w:rPr>
                      <m:t>H</m:t>
                    </m:r>
                  </m:e>
                  <m:sub>
                    <m:r>
                      <m:rPr>
                        <m:sty m:val="p"/>
                      </m:rPr>
                      <w:rPr>
                        <w:rFonts w:ascii="Cambria Math" w:hAnsi="Cambria Math"/>
                        <w:color w:val="000000" w:themeColor="text1"/>
                        <w:sz w:val="20"/>
                        <w:szCs w:val="20"/>
                      </w:rPr>
                      <m:t>2</m:t>
                    </m:r>
                  </m:sub>
                </m:sSub>
                <m:r>
                  <m:rPr>
                    <m:sty m:val="p"/>
                  </m:rPr>
                  <w:rPr>
                    <w:rFonts w:ascii="Cambria Math" w:hAnsi="Cambria Math"/>
                    <w:color w:val="000000" w:themeColor="text1"/>
                    <w:sz w:val="20"/>
                    <w:szCs w:val="20"/>
                  </w:rPr>
                  <m:t>O+</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e</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H</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O</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b>
                  <m:sSubPr>
                    <m:ctrlPr>
                      <w:rPr>
                        <w:rFonts w:ascii="Cambria Math" w:eastAsiaTheme="minorHAnsi" w:hAnsi="Cambria Math"/>
                        <w:iCs/>
                        <w:color w:val="000000" w:themeColor="text1"/>
                        <w:sz w:val="20"/>
                        <w:szCs w:val="20"/>
                      </w:rPr>
                    </m:ctrlPr>
                  </m:sSubPr>
                  <m:e>
                    <m:r>
                      <m:rPr>
                        <m:sty m:val="p"/>
                      </m:rPr>
                      <w:rPr>
                        <w:rFonts w:ascii="Cambria Math" w:hAnsi="Cambria Math"/>
                        <w:color w:val="000000" w:themeColor="text1"/>
                        <w:sz w:val="20"/>
                        <w:szCs w:val="20"/>
                      </w:rPr>
                      <m:t>H</m:t>
                    </m:r>
                  </m:e>
                  <m:sub>
                    <m:r>
                      <m:rPr>
                        <m:sty m:val="p"/>
                      </m:rPr>
                      <w:rPr>
                        <w:rFonts w:ascii="Cambria Math" w:hAnsi="Cambria Math"/>
                        <w:color w:val="000000" w:themeColor="text1"/>
                        <w:sz w:val="20"/>
                        <w:szCs w:val="20"/>
                      </w:rPr>
                      <m:t>2</m:t>
                    </m:r>
                  </m:sub>
                </m:sSub>
                <m:r>
                  <m:rPr>
                    <m:sty m:val="p"/>
                  </m:rPr>
                  <w:rPr>
                    <w:rFonts w:ascii="Cambria Math" w:hAnsi="Cambria Math"/>
                    <w:color w:val="000000" w:themeColor="text1"/>
                    <w:sz w:val="20"/>
                    <w:szCs w:val="20"/>
                  </w:rPr>
                  <m:t>O+</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2e</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2H</m:t>
                    </m:r>
                  </m:e>
                  <m:sup>
                    <m:r>
                      <m:rPr>
                        <m:sty m:val="p"/>
                      </m:rPr>
                      <w:rPr>
                        <w:rFonts w:ascii="Cambria Math" w:hAnsi="Cambria Math"/>
                        <w:color w:val="000000" w:themeColor="text1"/>
                        <w:sz w:val="20"/>
                        <w:szCs w:val="20"/>
                      </w:rPr>
                      <m:t>+</m:t>
                    </m:r>
                  </m:sup>
                </m:sSup>
              </m:oMath>
            </m:oMathPara>
          </w:p>
        </w:tc>
        <w:tc>
          <w:tcPr>
            <w:tcW w:w="2130" w:type="dxa"/>
            <w:vAlign w:val="center"/>
          </w:tcPr>
          <w:p w14:paraId="443C7F04" w14:textId="028CD39B" w:rsidR="00B026CA" w:rsidRPr="00B026CA" w:rsidRDefault="00B026CA" w:rsidP="00E45E28">
            <w:pPr>
              <w:keepNext/>
              <w:jc w:val="right"/>
              <w:rPr>
                <w:bCs/>
                <w:sz w:val="20"/>
                <w:szCs w:val="20"/>
              </w:rPr>
            </w:pPr>
            <w:r w:rsidRPr="00B026CA">
              <w:rPr>
                <w:sz w:val="20"/>
                <w:szCs w:val="20"/>
              </w:rPr>
              <w:t xml:space="preserve">Equation </w:t>
            </w:r>
            <w:r w:rsidRPr="00B026CA">
              <w:rPr>
                <w:sz w:val="20"/>
                <w:szCs w:val="20"/>
              </w:rPr>
              <w:fldChar w:fldCharType="begin"/>
            </w:r>
            <w:r w:rsidRPr="00B026CA">
              <w:rPr>
                <w:sz w:val="20"/>
                <w:szCs w:val="20"/>
              </w:rPr>
              <w:instrText xml:space="preserve"> SEQ Equation \* ARABIC </w:instrText>
            </w:r>
            <w:r w:rsidRPr="00B026CA">
              <w:rPr>
                <w:sz w:val="20"/>
                <w:szCs w:val="20"/>
              </w:rPr>
              <w:fldChar w:fldCharType="separate"/>
            </w:r>
            <w:r w:rsidR="003255C0">
              <w:rPr>
                <w:noProof/>
                <w:sz w:val="20"/>
                <w:szCs w:val="20"/>
              </w:rPr>
              <w:t>39</w:t>
            </w:r>
            <w:r w:rsidRPr="00B026CA">
              <w:rPr>
                <w:sz w:val="20"/>
                <w:szCs w:val="20"/>
              </w:rPr>
              <w:fldChar w:fldCharType="end"/>
            </w:r>
          </w:p>
        </w:tc>
      </w:tr>
      <w:tr w:rsidR="00B026CA" w:rsidRPr="00B026CA" w14:paraId="4BF0124E" w14:textId="77777777" w:rsidTr="00ED1E49">
        <w:tc>
          <w:tcPr>
            <w:tcW w:w="845" w:type="dxa"/>
            <w:vAlign w:val="center"/>
          </w:tcPr>
          <w:p w14:paraId="32A94927" w14:textId="77777777" w:rsidR="00B026CA" w:rsidRPr="00B026CA" w:rsidRDefault="00B026CA" w:rsidP="00E45E28">
            <w:pPr>
              <w:rPr>
                <w:bCs/>
                <w:sz w:val="20"/>
                <w:szCs w:val="20"/>
              </w:rPr>
            </w:pPr>
          </w:p>
        </w:tc>
        <w:tc>
          <w:tcPr>
            <w:tcW w:w="6385" w:type="dxa"/>
            <w:vAlign w:val="center"/>
          </w:tcPr>
          <w:p w14:paraId="236819A3" w14:textId="524A5C33" w:rsidR="00B026CA" w:rsidRPr="00B026CA" w:rsidRDefault="00000000" w:rsidP="003B25E3">
            <w:pPr>
              <w:rPr>
                <w:bCs/>
                <w:sz w:val="20"/>
                <w:szCs w:val="20"/>
              </w:rPr>
            </w:pPr>
            <m:oMathPara>
              <m:oMath>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O</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b>
                  <m:sSubPr>
                    <m:ctrlPr>
                      <w:rPr>
                        <w:rFonts w:ascii="Cambria Math" w:eastAsiaTheme="minorHAnsi" w:hAnsi="Cambria Math"/>
                        <w:iCs/>
                        <w:color w:val="000000" w:themeColor="text1"/>
                        <w:sz w:val="20"/>
                        <w:szCs w:val="20"/>
                      </w:rPr>
                    </m:ctrlPr>
                  </m:sSubPr>
                  <m:e>
                    <m:r>
                      <m:rPr>
                        <m:sty m:val="p"/>
                      </m:rPr>
                      <w:rPr>
                        <w:rFonts w:ascii="Cambria Math" w:hAnsi="Cambria Math"/>
                        <w:color w:val="000000" w:themeColor="text1"/>
                        <w:sz w:val="20"/>
                        <w:szCs w:val="20"/>
                      </w:rPr>
                      <m:t>H</m:t>
                    </m:r>
                  </m:e>
                  <m:sub>
                    <m:r>
                      <m:rPr>
                        <m:sty m:val="p"/>
                      </m:rPr>
                      <w:rPr>
                        <w:rFonts w:ascii="Cambria Math" w:hAnsi="Cambria Math"/>
                        <w:color w:val="000000" w:themeColor="text1"/>
                        <w:sz w:val="20"/>
                        <w:szCs w:val="20"/>
                      </w:rPr>
                      <m:t>2</m:t>
                    </m:r>
                  </m:sub>
                </m:sSub>
                <m:r>
                  <m:rPr>
                    <m:sty m:val="p"/>
                  </m:rPr>
                  <w:rPr>
                    <w:rFonts w:ascii="Cambria Math" w:hAnsi="Cambria Math"/>
                    <w:color w:val="000000" w:themeColor="text1"/>
                    <w:sz w:val="20"/>
                    <w:szCs w:val="20"/>
                  </w:rPr>
                  <m:t>O+</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2e</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2H</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HOO</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3e</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3H</m:t>
                    </m:r>
                  </m:e>
                  <m:sup>
                    <m:r>
                      <m:rPr>
                        <m:sty m:val="p"/>
                      </m:rPr>
                      <w:rPr>
                        <w:rFonts w:ascii="Cambria Math" w:hAnsi="Cambria Math"/>
                        <w:color w:val="000000" w:themeColor="text1"/>
                        <w:sz w:val="20"/>
                        <w:szCs w:val="20"/>
                      </w:rPr>
                      <m:t>+</m:t>
                    </m:r>
                  </m:sup>
                </m:sSup>
              </m:oMath>
            </m:oMathPara>
          </w:p>
        </w:tc>
        <w:tc>
          <w:tcPr>
            <w:tcW w:w="2130" w:type="dxa"/>
            <w:vAlign w:val="center"/>
          </w:tcPr>
          <w:p w14:paraId="6BAC4C18" w14:textId="4D80215F" w:rsidR="00B026CA" w:rsidRPr="00B026CA" w:rsidRDefault="00B026CA" w:rsidP="00E45E28">
            <w:pPr>
              <w:keepNext/>
              <w:jc w:val="right"/>
              <w:rPr>
                <w:bCs/>
                <w:sz w:val="20"/>
                <w:szCs w:val="20"/>
              </w:rPr>
            </w:pPr>
            <w:bookmarkStart w:id="75" w:name="_Ref159510654"/>
            <w:r w:rsidRPr="00B026CA">
              <w:rPr>
                <w:sz w:val="20"/>
                <w:szCs w:val="20"/>
              </w:rPr>
              <w:t xml:space="preserve">Equation </w:t>
            </w:r>
            <w:r w:rsidRPr="00B026CA">
              <w:rPr>
                <w:sz w:val="20"/>
                <w:szCs w:val="20"/>
              </w:rPr>
              <w:fldChar w:fldCharType="begin"/>
            </w:r>
            <w:r w:rsidRPr="00B026CA">
              <w:rPr>
                <w:sz w:val="20"/>
                <w:szCs w:val="20"/>
              </w:rPr>
              <w:instrText xml:space="preserve"> SEQ Equation \* ARABIC </w:instrText>
            </w:r>
            <w:r w:rsidRPr="00B026CA">
              <w:rPr>
                <w:sz w:val="20"/>
                <w:szCs w:val="20"/>
              </w:rPr>
              <w:fldChar w:fldCharType="separate"/>
            </w:r>
            <w:r w:rsidR="003255C0">
              <w:rPr>
                <w:noProof/>
                <w:sz w:val="20"/>
                <w:szCs w:val="20"/>
              </w:rPr>
              <w:t>40</w:t>
            </w:r>
            <w:r w:rsidRPr="00B026CA">
              <w:rPr>
                <w:sz w:val="20"/>
                <w:szCs w:val="20"/>
              </w:rPr>
              <w:fldChar w:fldCharType="end"/>
            </w:r>
            <w:bookmarkEnd w:id="75"/>
          </w:p>
        </w:tc>
      </w:tr>
      <w:tr w:rsidR="00B026CA" w:rsidRPr="00B026CA" w14:paraId="1AA0C27E" w14:textId="77777777" w:rsidTr="00ED1E49">
        <w:tc>
          <w:tcPr>
            <w:tcW w:w="845" w:type="dxa"/>
            <w:vAlign w:val="center"/>
          </w:tcPr>
          <w:p w14:paraId="7CF12C8B" w14:textId="77777777" w:rsidR="00B026CA" w:rsidRPr="00B026CA" w:rsidRDefault="00B026CA" w:rsidP="00E45E28">
            <w:pPr>
              <w:rPr>
                <w:bCs/>
                <w:sz w:val="20"/>
                <w:szCs w:val="20"/>
              </w:rPr>
            </w:pPr>
          </w:p>
        </w:tc>
        <w:tc>
          <w:tcPr>
            <w:tcW w:w="6385" w:type="dxa"/>
            <w:vAlign w:val="center"/>
          </w:tcPr>
          <w:p w14:paraId="4B46C5AF" w14:textId="18710A47" w:rsidR="00B026CA" w:rsidRPr="00B026CA" w:rsidRDefault="00000000" w:rsidP="003B25E3">
            <w:pPr>
              <w:rPr>
                <w:bCs/>
                <w:sz w:val="20"/>
                <w:szCs w:val="20"/>
              </w:rPr>
            </w:pPr>
            <m:oMathPara>
              <m:oMath>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HOO</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3e</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3H</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b>
                  <m:sSubPr>
                    <m:ctrlPr>
                      <w:rPr>
                        <w:rFonts w:ascii="Cambria Math" w:eastAsiaTheme="minorHAnsi" w:hAnsi="Cambria Math"/>
                        <w:iCs/>
                        <w:color w:val="000000" w:themeColor="text1"/>
                        <w:sz w:val="20"/>
                        <w:szCs w:val="20"/>
                      </w:rPr>
                    </m:ctrlPr>
                  </m:sSubPr>
                  <m:e>
                    <m:r>
                      <m:rPr>
                        <m:sty m:val="p"/>
                      </m:rPr>
                      <w:rPr>
                        <w:rFonts w:ascii="Cambria Math" w:hAnsi="Cambria Math"/>
                        <w:color w:val="000000" w:themeColor="text1"/>
                        <w:sz w:val="20"/>
                        <w:szCs w:val="20"/>
                      </w:rPr>
                      <m:t>O</m:t>
                    </m:r>
                  </m:e>
                  <m:sub>
                    <m:r>
                      <w:rPr>
                        <w:rFonts w:ascii="Cambria Math" w:hAnsi="Cambria Math"/>
                        <w:color w:val="000000" w:themeColor="text1"/>
                        <w:sz w:val="20"/>
                        <w:szCs w:val="20"/>
                      </w:rPr>
                      <m:t>2</m:t>
                    </m:r>
                  </m:sub>
                </m:sSub>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4e</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4H</m:t>
                    </m:r>
                  </m:e>
                  <m:sup>
                    <m:r>
                      <m:rPr>
                        <m:sty m:val="p"/>
                      </m:rPr>
                      <w:rPr>
                        <w:rFonts w:ascii="Cambria Math" w:hAnsi="Cambria Math"/>
                        <w:color w:val="000000" w:themeColor="text1"/>
                        <w:sz w:val="20"/>
                        <w:szCs w:val="20"/>
                      </w:rPr>
                      <m:t>+</m:t>
                    </m:r>
                  </m:sup>
                </m:sSup>
              </m:oMath>
            </m:oMathPara>
          </w:p>
        </w:tc>
        <w:tc>
          <w:tcPr>
            <w:tcW w:w="2130" w:type="dxa"/>
            <w:vAlign w:val="center"/>
          </w:tcPr>
          <w:p w14:paraId="751AA7B5" w14:textId="534B6986" w:rsidR="00B026CA" w:rsidRPr="00B026CA" w:rsidRDefault="00B026CA" w:rsidP="00E45E28">
            <w:pPr>
              <w:keepNext/>
              <w:jc w:val="right"/>
              <w:rPr>
                <w:bCs/>
                <w:sz w:val="20"/>
                <w:szCs w:val="20"/>
              </w:rPr>
            </w:pPr>
            <w:r w:rsidRPr="00B026CA">
              <w:rPr>
                <w:sz w:val="20"/>
                <w:szCs w:val="20"/>
              </w:rPr>
              <w:t xml:space="preserve">Equation </w:t>
            </w:r>
            <w:r w:rsidRPr="00B026CA">
              <w:rPr>
                <w:sz w:val="20"/>
                <w:szCs w:val="20"/>
              </w:rPr>
              <w:fldChar w:fldCharType="begin"/>
            </w:r>
            <w:r w:rsidRPr="00B026CA">
              <w:rPr>
                <w:sz w:val="20"/>
                <w:szCs w:val="20"/>
              </w:rPr>
              <w:instrText xml:space="preserve"> SEQ Equation \* ARABIC </w:instrText>
            </w:r>
            <w:r w:rsidRPr="00B026CA">
              <w:rPr>
                <w:sz w:val="20"/>
                <w:szCs w:val="20"/>
              </w:rPr>
              <w:fldChar w:fldCharType="separate"/>
            </w:r>
            <w:r w:rsidR="003255C0">
              <w:rPr>
                <w:noProof/>
                <w:sz w:val="20"/>
                <w:szCs w:val="20"/>
              </w:rPr>
              <w:t>41</w:t>
            </w:r>
            <w:r w:rsidRPr="00B026CA">
              <w:rPr>
                <w:sz w:val="20"/>
                <w:szCs w:val="20"/>
              </w:rPr>
              <w:fldChar w:fldCharType="end"/>
            </w:r>
          </w:p>
        </w:tc>
      </w:tr>
    </w:tbl>
    <w:p w14:paraId="2B7DFF8E" w14:textId="77777777" w:rsidR="00E37E91" w:rsidRPr="00EC6E98" w:rsidRDefault="00E37E91" w:rsidP="00E37E91">
      <w:pPr>
        <w:rPr>
          <w:iCs/>
          <w:color w:val="000000" w:themeColor="text1"/>
          <w:szCs w:val="22"/>
        </w:rPr>
      </w:pPr>
      <w:r w:rsidRPr="00EC6E98">
        <w:rPr>
          <w:iCs/>
          <w:color w:val="000000" w:themeColor="text1"/>
          <w:szCs w:val="22"/>
        </w:rPr>
        <w:t>or in alkaline conditions it can be written as: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7"/>
        <w:gridCol w:w="6134"/>
        <w:gridCol w:w="2075"/>
      </w:tblGrid>
      <w:tr w:rsidR="00B026CA" w:rsidRPr="004265D2" w14:paraId="5197BF41" w14:textId="77777777" w:rsidTr="00E45E28">
        <w:tc>
          <w:tcPr>
            <w:tcW w:w="845" w:type="dxa"/>
            <w:vAlign w:val="center"/>
          </w:tcPr>
          <w:p w14:paraId="4B6B6EA2" w14:textId="77777777" w:rsidR="00B026CA" w:rsidRPr="004265D2" w:rsidRDefault="00B026CA" w:rsidP="00E45E28">
            <w:pPr>
              <w:rPr>
                <w:bCs/>
                <w:sz w:val="20"/>
                <w:szCs w:val="20"/>
              </w:rPr>
            </w:pPr>
          </w:p>
        </w:tc>
        <w:tc>
          <w:tcPr>
            <w:tcW w:w="6385" w:type="dxa"/>
            <w:vAlign w:val="center"/>
          </w:tcPr>
          <w:p w14:paraId="7380200E" w14:textId="2F7040A1" w:rsidR="00B026CA" w:rsidRPr="004265D2" w:rsidRDefault="00B026CA" w:rsidP="003B25E3">
            <w:pPr>
              <w:rPr>
                <w:bCs/>
                <w:sz w:val="20"/>
                <w:szCs w:val="20"/>
              </w:rPr>
            </w:pPr>
            <m:oMathPara>
              <m:oMath>
                <m:r>
                  <m:rPr>
                    <m:sty m:val="p"/>
                  </m:rPr>
                  <w:rPr>
                    <w:rFonts w:ascii="Cambria Math" w:hAnsi="Cambria Math"/>
                    <w:color w:val="000000" w:themeColor="text1"/>
                    <w:sz w:val="20"/>
                    <w:szCs w:val="20"/>
                  </w:rPr>
                  <m:t>4</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OH</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HO</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+3</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OH</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e</m:t>
                    </m:r>
                  </m:e>
                  <m:sup>
                    <m:r>
                      <m:rPr>
                        <m:sty m:val="p"/>
                      </m:rPr>
                      <w:rPr>
                        <w:rFonts w:ascii="Cambria Math" w:hAnsi="Cambria Math"/>
                        <w:color w:val="000000" w:themeColor="text1"/>
                        <w:sz w:val="20"/>
                        <w:szCs w:val="20"/>
                      </w:rPr>
                      <m:t>-</m:t>
                    </m:r>
                  </m:sup>
                </m:sSup>
              </m:oMath>
            </m:oMathPara>
          </w:p>
        </w:tc>
        <w:tc>
          <w:tcPr>
            <w:tcW w:w="2130" w:type="dxa"/>
            <w:vAlign w:val="center"/>
          </w:tcPr>
          <w:p w14:paraId="155AA5CF" w14:textId="3AC452F3" w:rsidR="00B026CA" w:rsidRPr="004265D2" w:rsidRDefault="00B026CA" w:rsidP="00E45E28">
            <w:pPr>
              <w:keepNext/>
              <w:jc w:val="right"/>
              <w:rPr>
                <w:bCs/>
                <w:sz w:val="20"/>
                <w:szCs w:val="20"/>
              </w:rPr>
            </w:pPr>
            <w:bookmarkStart w:id="76" w:name="_Ref159510701"/>
            <w:r w:rsidRPr="004265D2">
              <w:rPr>
                <w:sz w:val="20"/>
                <w:szCs w:val="20"/>
              </w:rPr>
              <w:t xml:space="preserve">Equation </w:t>
            </w:r>
            <w:r w:rsidRPr="004265D2">
              <w:rPr>
                <w:sz w:val="20"/>
                <w:szCs w:val="20"/>
              </w:rPr>
              <w:fldChar w:fldCharType="begin"/>
            </w:r>
            <w:r w:rsidRPr="004265D2">
              <w:rPr>
                <w:sz w:val="20"/>
                <w:szCs w:val="20"/>
              </w:rPr>
              <w:instrText xml:space="preserve"> SEQ Equation \* ARABIC </w:instrText>
            </w:r>
            <w:r w:rsidRPr="004265D2">
              <w:rPr>
                <w:sz w:val="20"/>
                <w:szCs w:val="20"/>
              </w:rPr>
              <w:fldChar w:fldCharType="separate"/>
            </w:r>
            <w:r w:rsidR="003255C0">
              <w:rPr>
                <w:noProof/>
                <w:sz w:val="20"/>
                <w:szCs w:val="20"/>
              </w:rPr>
              <w:t>42</w:t>
            </w:r>
            <w:r w:rsidRPr="004265D2">
              <w:rPr>
                <w:sz w:val="20"/>
                <w:szCs w:val="20"/>
              </w:rPr>
              <w:fldChar w:fldCharType="end"/>
            </w:r>
            <w:bookmarkEnd w:id="76"/>
          </w:p>
        </w:tc>
      </w:tr>
      <w:tr w:rsidR="00B026CA" w:rsidRPr="004265D2" w14:paraId="7B7CBA34" w14:textId="77777777" w:rsidTr="00E45E28">
        <w:tc>
          <w:tcPr>
            <w:tcW w:w="845" w:type="dxa"/>
            <w:vAlign w:val="center"/>
          </w:tcPr>
          <w:p w14:paraId="4590FE46" w14:textId="77777777" w:rsidR="00B026CA" w:rsidRPr="004265D2" w:rsidRDefault="00B026CA" w:rsidP="00E45E28">
            <w:pPr>
              <w:rPr>
                <w:bCs/>
                <w:sz w:val="20"/>
                <w:szCs w:val="20"/>
              </w:rPr>
            </w:pPr>
          </w:p>
        </w:tc>
        <w:tc>
          <w:tcPr>
            <w:tcW w:w="6385" w:type="dxa"/>
            <w:vAlign w:val="center"/>
          </w:tcPr>
          <w:p w14:paraId="66779F37" w14:textId="769FBCD7" w:rsidR="00B026CA" w:rsidRPr="004265D2" w:rsidRDefault="00000000" w:rsidP="003B25E3">
            <w:pPr>
              <w:rPr>
                <w:bCs/>
                <w:sz w:val="20"/>
                <w:szCs w:val="20"/>
              </w:rPr>
            </w:pPr>
            <m:oMathPara>
              <m:oMath>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HO</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+3</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OH</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e</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O</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b>
                  <m:sSubPr>
                    <m:ctrlPr>
                      <w:rPr>
                        <w:rFonts w:ascii="Cambria Math" w:eastAsiaTheme="minorHAnsi" w:hAnsi="Cambria Math"/>
                        <w:iCs/>
                        <w:color w:val="000000" w:themeColor="text1"/>
                        <w:sz w:val="20"/>
                        <w:szCs w:val="20"/>
                      </w:rPr>
                    </m:ctrlPr>
                  </m:sSubPr>
                  <m:e>
                    <m:r>
                      <m:rPr>
                        <m:sty m:val="p"/>
                      </m:rPr>
                      <w:rPr>
                        <w:rFonts w:ascii="Cambria Math" w:hAnsi="Cambria Math"/>
                        <w:color w:val="000000" w:themeColor="text1"/>
                        <w:sz w:val="20"/>
                        <w:szCs w:val="20"/>
                      </w:rPr>
                      <m:t>H</m:t>
                    </m:r>
                  </m:e>
                  <m:sub>
                    <m:r>
                      <m:rPr>
                        <m:sty m:val="p"/>
                      </m:rPr>
                      <w:rPr>
                        <w:rFonts w:ascii="Cambria Math" w:hAnsi="Cambria Math"/>
                        <w:color w:val="000000" w:themeColor="text1"/>
                        <w:sz w:val="20"/>
                        <w:szCs w:val="20"/>
                      </w:rPr>
                      <m:t>2</m:t>
                    </m:r>
                  </m:sub>
                </m:sSub>
                <m:r>
                  <m:rPr>
                    <m:sty m:val="p"/>
                  </m:rPr>
                  <w:rPr>
                    <w:rFonts w:ascii="Cambria Math" w:hAnsi="Cambria Math"/>
                    <w:color w:val="000000" w:themeColor="text1"/>
                    <w:sz w:val="20"/>
                    <w:szCs w:val="20"/>
                  </w:rPr>
                  <m:t>O+</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2e</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+2</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OH</m:t>
                    </m:r>
                  </m:e>
                  <m:sup>
                    <m:r>
                      <m:rPr>
                        <m:sty m:val="p"/>
                      </m:rPr>
                      <w:rPr>
                        <w:rFonts w:ascii="Cambria Math" w:hAnsi="Cambria Math"/>
                        <w:color w:val="000000" w:themeColor="text1"/>
                        <w:sz w:val="20"/>
                        <w:szCs w:val="20"/>
                      </w:rPr>
                      <m:t>-</m:t>
                    </m:r>
                  </m:sup>
                </m:sSup>
              </m:oMath>
            </m:oMathPara>
          </w:p>
        </w:tc>
        <w:tc>
          <w:tcPr>
            <w:tcW w:w="2130" w:type="dxa"/>
            <w:vAlign w:val="center"/>
          </w:tcPr>
          <w:p w14:paraId="1623EE61" w14:textId="05540F3A" w:rsidR="00B026CA" w:rsidRPr="004265D2" w:rsidRDefault="00B026CA" w:rsidP="00E45E28">
            <w:pPr>
              <w:keepNext/>
              <w:jc w:val="right"/>
              <w:rPr>
                <w:bCs/>
                <w:sz w:val="20"/>
                <w:szCs w:val="20"/>
              </w:rPr>
            </w:pPr>
            <w:r w:rsidRPr="004265D2">
              <w:rPr>
                <w:sz w:val="20"/>
                <w:szCs w:val="20"/>
              </w:rPr>
              <w:t xml:space="preserve">Equation </w:t>
            </w:r>
            <w:r w:rsidRPr="004265D2">
              <w:rPr>
                <w:sz w:val="20"/>
                <w:szCs w:val="20"/>
              </w:rPr>
              <w:fldChar w:fldCharType="begin"/>
            </w:r>
            <w:r w:rsidRPr="004265D2">
              <w:rPr>
                <w:sz w:val="20"/>
                <w:szCs w:val="20"/>
              </w:rPr>
              <w:instrText xml:space="preserve"> SEQ Equation \* ARABIC </w:instrText>
            </w:r>
            <w:r w:rsidRPr="004265D2">
              <w:rPr>
                <w:sz w:val="20"/>
                <w:szCs w:val="20"/>
              </w:rPr>
              <w:fldChar w:fldCharType="separate"/>
            </w:r>
            <w:r w:rsidR="003255C0">
              <w:rPr>
                <w:noProof/>
                <w:sz w:val="20"/>
                <w:szCs w:val="20"/>
              </w:rPr>
              <w:t>43</w:t>
            </w:r>
            <w:r w:rsidRPr="004265D2">
              <w:rPr>
                <w:sz w:val="20"/>
                <w:szCs w:val="20"/>
              </w:rPr>
              <w:fldChar w:fldCharType="end"/>
            </w:r>
          </w:p>
        </w:tc>
      </w:tr>
      <w:tr w:rsidR="00B026CA" w:rsidRPr="004265D2" w14:paraId="0E40D7E0" w14:textId="77777777" w:rsidTr="00E45E28">
        <w:tc>
          <w:tcPr>
            <w:tcW w:w="845" w:type="dxa"/>
            <w:vAlign w:val="center"/>
          </w:tcPr>
          <w:p w14:paraId="7B005B37" w14:textId="77777777" w:rsidR="00B026CA" w:rsidRPr="004265D2" w:rsidRDefault="00B026CA" w:rsidP="00E45E28">
            <w:pPr>
              <w:rPr>
                <w:bCs/>
                <w:sz w:val="20"/>
                <w:szCs w:val="20"/>
              </w:rPr>
            </w:pPr>
          </w:p>
        </w:tc>
        <w:tc>
          <w:tcPr>
            <w:tcW w:w="6385" w:type="dxa"/>
            <w:vAlign w:val="center"/>
          </w:tcPr>
          <w:p w14:paraId="57B8569F" w14:textId="456E3748" w:rsidR="00B026CA" w:rsidRPr="004265D2" w:rsidRDefault="00000000" w:rsidP="003B25E3">
            <w:pPr>
              <w:rPr>
                <w:bCs/>
                <w:sz w:val="20"/>
                <w:szCs w:val="20"/>
              </w:rPr>
            </w:pPr>
            <m:oMathPara>
              <m:oMath>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O</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b>
                  <m:sSubPr>
                    <m:ctrlPr>
                      <w:rPr>
                        <w:rFonts w:ascii="Cambria Math" w:eastAsiaTheme="minorHAnsi" w:hAnsi="Cambria Math"/>
                        <w:iCs/>
                        <w:color w:val="000000" w:themeColor="text1"/>
                        <w:sz w:val="20"/>
                        <w:szCs w:val="20"/>
                      </w:rPr>
                    </m:ctrlPr>
                  </m:sSubPr>
                  <m:e>
                    <m:r>
                      <m:rPr>
                        <m:sty m:val="p"/>
                      </m:rPr>
                      <w:rPr>
                        <w:rFonts w:ascii="Cambria Math" w:hAnsi="Cambria Math"/>
                        <w:color w:val="000000" w:themeColor="text1"/>
                        <w:sz w:val="20"/>
                        <w:szCs w:val="20"/>
                      </w:rPr>
                      <m:t>H</m:t>
                    </m:r>
                  </m:e>
                  <m:sub>
                    <m:r>
                      <m:rPr>
                        <m:sty m:val="p"/>
                      </m:rPr>
                      <w:rPr>
                        <w:rFonts w:ascii="Cambria Math" w:hAnsi="Cambria Math"/>
                        <w:color w:val="000000" w:themeColor="text1"/>
                        <w:sz w:val="20"/>
                        <w:szCs w:val="20"/>
                      </w:rPr>
                      <m:t>2</m:t>
                    </m:r>
                  </m:sub>
                </m:sSub>
                <m:r>
                  <m:rPr>
                    <m:sty m:val="p"/>
                  </m:rPr>
                  <w:rPr>
                    <w:rFonts w:ascii="Cambria Math" w:hAnsi="Cambria Math"/>
                    <w:color w:val="000000" w:themeColor="text1"/>
                    <w:sz w:val="20"/>
                    <w:szCs w:val="20"/>
                  </w:rPr>
                  <m:t>O+</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2e</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+2</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OH</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HOO</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b>
                  <m:sSubPr>
                    <m:ctrlPr>
                      <w:rPr>
                        <w:rFonts w:ascii="Cambria Math" w:eastAsiaTheme="minorHAnsi" w:hAnsi="Cambria Math"/>
                        <w:iCs/>
                        <w:color w:val="000000" w:themeColor="text1"/>
                        <w:sz w:val="20"/>
                        <w:szCs w:val="20"/>
                      </w:rPr>
                    </m:ctrlPr>
                  </m:sSubPr>
                  <m:e>
                    <m:r>
                      <m:rPr>
                        <m:sty m:val="p"/>
                      </m:rPr>
                      <w:rPr>
                        <w:rFonts w:ascii="Cambria Math" w:hAnsi="Cambria Math"/>
                        <w:color w:val="000000" w:themeColor="text1"/>
                        <w:sz w:val="20"/>
                        <w:szCs w:val="20"/>
                      </w:rPr>
                      <m:t>H</m:t>
                    </m:r>
                  </m:e>
                  <m:sub>
                    <m:r>
                      <m:rPr>
                        <m:sty m:val="p"/>
                      </m:rPr>
                      <w:rPr>
                        <w:rFonts w:ascii="Cambria Math" w:hAnsi="Cambria Math"/>
                        <w:color w:val="000000" w:themeColor="text1"/>
                        <w:sz w:val="20"/>
                        <w:szCs w:val="20"/>
                      </w:rPr>
                      <m:t>2</m:t>
                    </m:r>
                  </m:sub>
                </m:sSub>
                <m:r>
                  <m:rPr>
                    <m:sty m:val="p"/>
                  </m:rPr>
                  <w:rPr>
                    <w:rFonts w:ascii="Cambria Math" w:hAnsi="Cambria Math"/>
                    <w:color w:val="000000" w:themeColor="text1"/>
                    <w:sz w:val="20"/>
                    <w:szCs w:val="20"/>
                  </w:rPr>
                  <m:t>O+</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3e</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OH</m:t>
                    </m:r>
                  </m:e>
                  <m:sup>
                    <m:r>
                      <m:rPr>
                        <m:sty m:val="p"/>
                      </m:rPr>
                      <w:rPr>
                        <w:rFonts w:ascii="Cambria Math" w:hAnsi="Cambria Math"/>
                        <w:color w:val="000000" w:themeColor="text1"/>
                        <w:sz w:val="20"/>
                        <w:szCs w:val="20"/>
                      </w:rPr>
                      <m:t>-</m:t>
                    </m:r>
                  </m:sup>
                </m:sSup>
              </m:oMath>
            </m:oMathPara>
          </w:p>
        </w:tc>
        <w:tc>
          <w:tcPr>
            <w:tcW w:w="2130" w:type="dxa"/>
            <w:vAlign w:val="center"/>
          </w:tcPr>
          <w:p w14:paraId="55E00586" w14:textId="2A538EC7" w:rsidR="00B026CA" w:rsidRPr="004265D2" w:rsidRDefault="00B026CA" w:rsidP="00E45E28">
            <w:pPr>
              <w:keepNext/>
              <w:jc w:val="right"/>
              <w:rPr>
                <w:bCs/>
                <w:sz w:val="20"/>
                <w:szCs w:val="20"/>
              </w:rPr>
            </w:pPr>
            <w:bookmarkStart w:id="77" w:name="_Ref159510641"/>
            <w:r w:rsidRPr="004265D2">
              <w:rPr>
                <w:sz w:val="20"/>
                <w:szCs w:val="20"/>
              </w:rPr>
              <w:t xml:space="preserve">Equation </w:t>
            </w:r>
            <w:r w:rsidRPr="004265D2">
              <w:rPr>
                <w:sz w:val="20"/>
                <w:szCs w:val="20"/>
              </w:rPr>
              <w:fldChar w:fldCharType="begin"/>
            </w:r>
            <w:r w:rsidRPr="004265D2">
              <w:rPr>
                <w:sz w:val="20"/>
                <w:szCs w:val="20"/>
              </w:rPr>
              <w:instrText xml:space="preserve"> SEQ Equation \* ARABIC </w:instrText>
            </w:r>
            <w:r w:rsidRPr="004265D2">
              <w:rPr>
                <w:sz w:val="20"/>
                <w:szCs w:val="20"/>
              </w:rPr>
              <w:fldChar w:fldCharType="separate"/>
            </w:r>
            <w:r w:rsidR="003255C0">
              <w:rPr>
                <w:noProof/>
                <w:sz w:val="20"/>
                <w:szCs w:val="20"/>
              </w:rPr>
              <w:t>44</w:t>
            </w:r>
            <w:r w:rsidRPr="004265D2">
              <w:rPr>
                <w:sz w:val="20"/>
                <w:szCs w:val="20"/>
              </w:rPr>
              <w:fldChar w:fldCharType="end"/>
            </w:r>
            <w:bookmarkEnd w:id="77"/>
          </w:p>
        </w:tc>
      </w:tr>
      <w:tr w:rsidR="00B026CA" w:rsidRPr="004265D2" w14:paraId="65909834" w14:textId="77777777" w:rsidTr="00E45E28">
        <w:tc>
          <w:tcPr>
            <w:tcW w:w="845" w:type="dxa"/>
            <w:vAlign w:val="center"/>
          </w:tcPr>
          <w:p w14:paraId="68A658F5" w14:textId="77777777" w:rsidR="00B026CA" w:rsidRPr="004265D2" w:rsidRDefault="00B026CA" w:rsidP="00E45E28">
            <w:pPr>
              <w:rPr>
                <w:bCs/>
                <w:sz w:val="20"/>
                <w:szCs w:val="20"/>
              </w:rPr>
            </w:pPr>
          </w:p>
        </w:tc>
        <w:tc>
          <w:tcPr>
            <w:tcW w:w="6385" w:type="dxa"/>
            <w:vAlign w:val="center"/>
          </w:tcPr>
          <w:p w14:paraId="50AF8BC4" w14:textId="5B37469C" w:rsidR="00B026CA" w:rsidRPr="004265D2" w:rsidRDefault="00000000" w:rsidP="003B25E3">
            <w:pPr>
              <w:rPr>
                <w:bCs/>
                <w:sz w:val="20"/>
                <w:szCs w:val="20"/>
              </w:rPr>
            </w:pPr>
            <m:oMathPara>
              <m:oMath>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HOO</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b>
                  <m:sSubPr>
                    <m:ctrlPr>
                      <w:rPr>
                        <w:rFonts w:ascii="Cambria Math" w:eastAsiaTheme="minorHAnsi" w:hAnsi="Cambria Math"/>
                        <w:iCs/>
                        <w:color w:val="000000" w:themeColor="text1"/>
                        <w:sz w:val="20"/>
                        <w:szCs w:val="20"/>
                      </w:rPr>
                    </m:ctrlPr>
                  </m:sSubPr>
                  <m:e>
                    <m:r>
                      <m:rPr>
                        <m:sty m:val="p"/>
                      </m:rPr>
                      <w:rPr>
                        <w:rFonts w:ascii="Cambria Math" w:hAnsi="Cambria Math"/>
                        <w:color w:val="000000" w:themeColor="text1"/>
                        <w:sz w:val="20"/>
                        <w:szCs w:val="20"/>
                      </w:rPr>
                      <m:t>H</m:t>
                    </m:r>
                  </m:e>
                  <m:sub>
                    <m:r>
                      <m:rPr>
                        <m:sty m:val="p"/>
                      </m:rPr>
                      <w:rPr>
                        <w:rFonts w:ascii="Cambria Math" w:hAnsi="Cambria Math"/>
                        <w:color w:val="000000" w:themeColor="text1"/>
                        <w:sz w:val="20"/>
                        <w:szCs w:val="20"/>
                      </w:rPr>
                      <m:t>2</m:t>
                    </m:r>
                  </m:sub>
                </m:sSub>
                <m:r>
                  <m:rPr>
                    <m:sty m:val="p"/>
                  </m:rPr>
                  <w:rPr>
                    <w:rFonts w:ascii="Cambria Math" w:hAnsi="Cambria Math"/>
                    <w:color w:val="000000" w:themeColor="text1"/>
                    <w:sz w:val="20"/>
                    <w:szCs w:val="20"/>
                  </w:rPr>
                  <m:t>O+</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3e</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OH</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b>
                  <m:sSubPr>
                    <m:ctrlPr>
                      <w:rPr>
                        <w:rFonts w:ascii="Cambria Math" w:eastAsiaTheme="minorHAnsi" w:hAnsi="Cambria Math"/>
                        <w:iCs/>
                        <w:color w:val="000000" w:themeColor="text1"/>
                        <w:sz w:val="20"/>
                        <w:szCs w:val="20"/>
                      </w:rPr>
                    </m:ctrlPr>
                  </m:sSubPr>
                  <m:e>
                    <m:r>
                      <m:rPr>
                        <m:sty m:val="p"/>
                      </m:rPr>
                      <w:rPr>
                        <w:rFonts w:ascii="Cambria Math" w:hAnsi="Cambria Math"/>
                        <w:color w:val="000000" w:themeColor="text1"/>
                        <w:sz w:val="20"/>
                        <w:szCs w:val="20"/>
                      </w:rPr>
                      <m:t>O</m:t>
                    </m:r>
                  </m:e>
                  <m:sub>
                    <m:r>
                      <w:rPr>
                        <w:rFonts w:ascii="Cambria Math" w:hAnsi="Cambria Math"/>
                        <w:color w:val="000000" w:themeColor="text1"/>
                        <w:sz w:val="20"/>
                        <w:szCs w:val="20"/>
                      </w:rPr>
                      <m:t>2</m:t>
                    </m:r>
                  </m:sub>
                </m:sSub>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4e</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+2</m:t>
                </m:r>
                <m:sSub>
                  <m:sSubPr>
                    <m:ctrlPr>
                      <w:rPr>
                        <w:rFonts w:ascii="Cambria Math" w:eastAsiaTheme="minorHAnsi" w:hAnsi="Cambria Math"/>
                        <w:iCs/>
                        <w:color w:val="000000" w:themeColor="text1"/>
                        <w:sz w:val="20"/>
                        <w:szCs w:val="20"/>
                      </w:rPr>
                    </m:ctrlPr>
                  </m:sSubPr>
                  <m:e>
                    <m:r>
                      <m:rPr>
                        <m:sty m:val="p"/>
                      </m:rPr>
                      <w:rPr>
                        <w:rFonts w:ascii="Cambria Math" w:hAnsi="Cambria Math"/>
                        <w:color w:val="000000" w:themeColor="text1"/>
                        <w:sz w:val="20"/>
                        <w:szCs w:val="20"/>
                      </w:rPr>
                      <m:t>H</m:t>
                    </m:r>
                  </m:e>
                  <m:sub>
                    <m:r>
                      <m:rPr>
                        <m:sty m:val="p"/>
                      </m:rPr>
                      <w:rPr>
                        <w:rFonts w:ascii="Cambria Math" w:hAnsi="Cambria Math"/>
                        <w:color w:val="000000" w:themeColor="text1"/>
                        <w:sz w:val="20"/>
                        <w:szCs w:val="20"/>
                      </w:rPr>
                      <m:t>2</m:t>
                    </m:r>
                  </m:sub>
                </m:sSub>
                <m:r>
                  <m:rPr>
                    <m:sty m:val="p"/>
                  </m:rPr>
                  <w:rPr>
                    <w:rFonts w:ascii="Cambria Math" w:hAnsi="Cambria Math"/>
                    <w:color w:val="000000" w:themeColor="text1"/>
                    <w:sz w:val="20"/>
                    <w:szCs w:val="20"/>
                  </w:rPr>
                  <m:t>O</m:t>
                </m:r>
              </m:oMath>
            </m:oMathPara>
          </w:p>
        </w:tc>
        <w:tc>
          <w:tcPr>
            <w:tcW w:w="2130" w:type="dxa"/>
            <w:vAlign w:val="center"/>
          </w:tcPr>
          <w:p w14:paraId="7991B318" w14:textId="2110268D" w:rsidR="00B026CA" w:rsidRPr="004265D2" w:rsidRDefault="00B026CA" w:rsidP="00E45E28">
            <w:pPr>
              <w:keepNext/>
              <w:jc w:val="right"/>
              <w:rPr>
                <w:bCs/>
                <w:sz w:val="20"/>
                <w:szCs w:val="20"/>
              </w:rPr>
            </w:pPr>
            <w:r w:rsidRPr="004265D2">
              <w:rPr>
                <w:sz w:val="20"/>
                <w:szCs w:val="20"/>
              </w:rPr>
              <w:t xml:space="preserve">Equation </w:t>
            </w:r>
            <w:r w:rsidRPr="004265D2">
              <w:rPr>
                <w:sz w:val="20"/>
                <w:szCs w:val="20"/>
              </w:rPr>
              <w:fldChar w:fldCharType="begin"/>
            </w:r>
            <w:r w:rsidRPr="004265D2">
              <w:rPr>
                <w:sz w:val="20"/>
                <w:szCs w:val="20"/>
              </w:rPr>
              <w:instrText xml:space="preserve"> SEQ Equation \* ARABIC </w:instrText>
            </w:r>
            <w:r w:rsidRPr="004265D2">
              <w:rPr>
                <w:sz w:val="20"/>
                <w:szCs w:val="20"/>
              </w:rPr>
              <w:fldChar w:fldCharType="separate"/>
            </w:r>
            <w:r w:rsidR="003255C0">
              <w:rPr>
                <w:noProof/>
                <w:sz w:val="20"/>
                <w:szCs w:val="20"/>
              </w:rPr>
              <w:t>45</w:t>
            </w:r>
            <w:r w:rsidRPr="004265D2">
              <w:rPr>
                <w:sz w:val="20"/>
                <w:szCs w:val="20"/>
              </w:rPr>
              <w:fldChar w:fldCharType="end"/>
            </w:r>
          </w:p>
        </w:tc>
      </w:tr>
    </w:tbl>
    <w:p w14:paraId="79EB04E1" w14:textId="4C07AD1D" w:rsidR="00E37E91" w:rsidRPr="004B35B6" w:rsidRDefault="00E37E91" w:rsidP="00E37E91">
      <w:pPr>
        <w:rPr>
          <w:color w:val="000000" w:themeColor="text1"/>
          <w:szCs w:val="22"/>
        </w:rPr>
      </w:pPr>
      <w:r w:rsidRPr="00EC6E98">
        <w:rPr>
          <w:color w:val="000000" w:themeColor="text1"/>
          <w:szCs w:val="22"/>
        </w:rPr>
        <w:t>where * denotes an adsorbed species. These reaction networks were argued to be plausible because they avoid reactions involving direct coupling of adsorbed oxygen, which were assumed to be slow owing to the large barrier associated with that reaction (2</w:t>
      </w:r>
      <w:r>
        <w:rPr>
          <w:color w:val="000000" w:themeColor="text1"/>
          <w:szCs w:val="22"/>
        </w:rPr>
        <w:t>*O</w:t>
      </w:r>
      <w:r w:rsidRPr="00EC6E98">
        <w:rPr>
          <w:color w:val="000000" w:themeColor="text1"/>
          <w:szCs w:val="22"/>
        </w:rPr>
        <w:t xml:space="preserve"> </w:t>
      </w:r>
      <w:r w:rsidRPr="00EC6E98">
        <w:rPr>
          <w:color w:val="000000" w:themeColor="text1"/>
          <w:szCs w:val="22"/>
        </w:rPr>
        <w:sym w:font="Symbol" w:char="F0AE"/>
      </w:r>
      <w:r w:rsidRPr="00EC6E98">
        <w:rPr>
          <w:color w:val="000000" w:themeColor="text1"/>
          <w:szCs w:val="22"/>
        </w:rPr>
        <w:t xml:space="preserve"> O</w:t>
      </w:r>
      <w:r w:rsidRPr="00EC6E98">
        <w:rPr>
          <w:color w:val="000000" w:themeColor="text1"/>
          <w:szCs w:val="22"/>
          <w:vertAlign w:val="subscript"/>
        </w:rPr>
        <w:t>2</w:t>
      </w:r>
      <w:r w:rsidRPr="00EC6E98">
        <w:rPr>
          <w:color w:val="000000" w:themeColor="text1"/>
          <w:szCs w:val="22"/>
        </w:rPr>
        <w:t>) on gold and platinum in gas-phase thermal chemistry</w:t>
      </w:r>
      <w:r>
        <w:rPr>
          <w:color w:val="000000" w:themeColor="text1"/>
          <w:szCs w:val="22"/>
        </w:rPr>
        <w:fldChar w:fldCharType="begin"/>
      </w:r>
      <w:r w:rsidR="00FC5BEB">
        <w:rPr>
          <w:color w:val="000000" w:themeColor="text1"/>
          <w:szCs w:val="22"/>
        </w:rPr>
        <w:instrText xml:space="preserve"> ADDIN EN.CITE &lt;EndNote&gt;&lt;Cite&gt;&lt;Author&gt;Nørskov&lt;/Author&gt;&lt;Year&gt;2002&lt;/Year&gt;&lt;RecNum&gt;129&lt;/RecNum&gt;&lt;DisplayText&gt;&lt;style face="superscript"&gt;131&lt;/style&gt;&lt;/DisplayText&gt;&lt;record&gt;&lt;rec-number&gt;129&lt;/rec-number&gt;&lt;foreign-keys&gt;&lt;key app="EN" db-id="2xex0erf4eexr4e2dpbxpdd829xttesxxxdr" timestamp="1715075296"&gt;129&lt;/key&gt;&lt;/foreign-keys&gt;&lt;ref-type name="Journal Article"&gt;17&lt;/ref-type&gt;&lt;contributors&gt;&lt;authors&gt;&lt;author&gt;Nørskov, J. K.&lt;/author&gt;&lt;author&gt;Bligaard, T.&lt;/author&gt;&lt;author&gt;Logadottir, A.&lt;/author&gt;&lt;author&gt;Bahn, S.&lt;/author&gt;&lt;author&gt;Hansen, L. B.&lt;/author&gt;&lt;author&gt;Bollinger, M.&lt;/author&gt;&lt;author&gt;Bengaard, H.&lt;/author&gt;&lt;author&gt;Hammer, B.&lt;/author&gt;&lt;author&gt;Sljivancanin, Z.&lt;/author&gt;&lt;author&gt;Mavrikakis, M.&lt;/author&gt;&lt;author&gt;Xu, Y.&lt;/author&gt;&lt;author&gt;Dahl, S.&lt;/author&gt;&lt;author&gt;Jacobsen, C. J. H.&lt;/author&gt;&lt;/authors&gt;&lt;/contributors&gt;&lt;titles&gt;&lt;title&gt;Universality in Heterogeneous Catalysis&lt;/title&gt;&lt;secondary-title&gt;Journal of Catalysis&lt;/secondary-title&gt;&lt;/titles&gt;&lt;periodical&gt;&lt;full-title&gt;Journal of Catalysis&lt;/full-title&gt;&lt;abbr-1&gt;J. Catal.&lt;/abbr-1&gt;&lt;abbr-2&gt;J Catal&lt;/abbr-2&gt;&lt;/periodical&gt;&lt;pages&gt;275-278&lt;/pages&gt;&lt;volume&gt;209&lt;/volume&gt;&lt;number&gt;2&lt;/number&gt;&lt;dates&gt;&lt;year&gt;2002&lt;/year&gt;&lt;/dates&gt;&lt;isbn&gt;0021-9517&lt;/isbn&gt;&lt;urls&gt;&lt;related-urls&gt;&lt;url&gt;http://www.sciencedirect.com/science/article/pii/S0021951702936158&lt;/url&gt;&lt;/related-urls&gt;&lt;/urls&gt;&lt;electronic-resource-num&gt;10.1006/jcat.2002.3615&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131</w:t>
      </w:r>
      <w:r>
        <w:rPr>
          <w:color w:val="000000" w:themeColor="text1"/>
          <w:szCs w:val="22"/>
        </w:rPr>
        <w:fldChar w:fldCharType="end"/>
      </w:r>
      <w:r>
        <w:rPr>
          <w:color w:val="000000" w:themeColor="text1"/>
          <w:szCs w:val="22"/>
        </w:rPr>
        <w:t>.</w:t>
      </w:r>
      <w:r w:rsidRPr="00EC6E98">
        <w:rPr>
          <w:color w:val="000000" w:themeColor="text1"/>
          <w:szCs w:val="22"/>
        </w:rPr>
        <w:t xml:space="preserve"> This suggestion was a major departure from many mechanisms involving direct oxygen coupling evidenced by isotope labeling studies</w:t>
      </w:r>
      <w:r>
        <w:rPr>
          <w:color w:val="000000" w:themeColor="text1"/>
          <w:szCs w:val="22"/>
        </w:rPr>
        <w:fldChar w:fldCharType="begin">
          <w:fldData xml:space="preserve">PEVuZE5vdGU+PENpdGU+PEF1dGhvcj5GaWVycm88L0F1dGhvcj48WWVhcj4yMDA3PC9ZZWFyPjxS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</w:fldData>
        </w:fldChar>
      </w:r>
      <w:r w:rsidR="00FC5BEB">
        <w:rPr>
          <w:color w:val="000000" w:themeColor="text1"/>
          <w:szCs w:val="22"/>
        </w:rPr>
        <w:instrText xml:space="preserve"> ADDIN EN.CITE </w:instrText>
      </w:r>
      <w:r w:rsidR="00FC5BEB">
        <w:rPr>
          <w:color w:val="000000" w:themeColor="text1"/>
          <w:szCs w:val="22"/>
        </w:rPr>
        <w:fldChar w:fldCharType="begin">
          <w:fldData xml:space="preserve">PEVuZE5vdGU+PENpdGU+PEF1dGhvcj5GaWVycm88L0F1dGhvcj48WWVhcj4yMDA3PC9ZZWFyPjxS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</w:fldData>
        </w:fldChar>
      </w:r>
      <w:r w:rsidR="00FC5BEB">
        <w:rPr>
          <w:color w:val="000000" w:themeColor="text1"/>
          <w:szCs w:val="22"/>
        </w:rPr>
        <w:instrText xml:space="preserve"> ADDIN EN.CITE.DATA </w:instrText>
      </w:r>
      <w:r w:rsidR="00FC5BEB">
        <w:rPr>
          <w:color w:val="000000" w:themeColor="text1"/>
          <w:szCs w:val="22"/>
        </w:rPr>
      </w:r>
      <w:r w:rsidR="00FC5BEB">
        <w:rPr>
          <w:color w:val="000000" w:themeColor="text1"/>
          <w:szCs w:val="22"/>
        </w:rPr>
        <w:fldChar w:fldCharType="end"/>
      </w:r>
      <w:r>
        <w:rPr>
          <w:color w:val="000000" w:themeColor="text1"/>
          <w:szCs w:val="22"/>
        </w:rPr>
      </w:r>
      <w:r>
        <w:rPr>
          <w:color w:val="000000" w:themeColor="text1"/>
          <w:szCs w:val="22"/>
        </w:rPr>
        <w:fldChar w:fldCharType="separate"/>
      </w:r>
      <w:r w:rsidR="00FC5BEB" w:rsidRPr="00FC5BEB">
        <w:rPr>
          <w:noProof/>
          <w:color w:val="000000" w:themeColor="text1"/>
          <w:szCs w:val="22"/>
          <w:vertAlign w:val="superscript"/>
        </w:rPr>
        <w:t>132, 133</w:t>
      </w:r>
      <w:r>
        <w:rPr>
          <w:color w:val="000000" w:themeColor="text1"/>
          <w:szCs w:val="22"/>
        </w:rPr>
        <w:fldChar w:fldCharType="end"/>
      </w:r>
      <w:r>
        <w:rPr>
          <w:color w:val="000000" w:themeColor="text1"/>
          <w:szCs w:val="22"/>
        </w:rPr>
        <w:t xml:space="preserve"> </w:t>
      </w:r>
      <w:r w:rsidRPr="00EC6E98">
        <w:rPr>
          <w:color w:val="000000" w:themeColor="text1"/>
          <w:szCs w:val="22"/>
        </w:rPr>
        <w:t>or postulated from classical electrochemical kinetics</w:t>
      </w:r>
      <w:r w:rsidR="00877DFC">
        <w:rPr>
          <w:color w:val="000000" w:themeColor="text1"/>
          <w:szCs w:val="22"/>
        </w:rPr>
        <w:t>.</w:t>
      </w:r>
      <w:r>
        <w:rPr>
          <w:color w:val="000000" w:themeColor="text1"/>
          <w:szCs w:val="22"/>
        </w:rPr>
        <w:fldChar w:fldCharType="begin"/>
      </w:r>
      <w:r w:rsidR="00FC5BEB">
        <w:rPr>
          <w:color w:val="000000" w:themeColor="text1"/>
          <w:szCs w:val="22"/>
        </w:rPr>
        <w:instrText xml:space="preserve"> ADDIN EN.CITE &lt;EndNote&gt;&lt;Cite&gt;&lt;Author&gt;Krishtalik&lt;/Author&gt;&lt;Year&gt;1981&lt;/Year&gt;&lt;RecNum&gt;132&lt;/RecNum&gt;&lt;DisplayText&gt;&lt;style face="superscript"&gt;134&lt;/style&gt;&lt;/DisplayText&gt;&lt;record&gt;&lt;rec-number&gt;132&lt;/rec-number&gt;&lt;foreign-keys&gt;&lt;key app="EN" db-id="2xex0erf4eexr4e2dpbxpdd829xttesxxxdr" timestamp="1715075296"&gt;132&lt;/key&gt;&lt;/foreign-keys&gt;&lt;ref-type name="Journal Article"&gt;17&lt;/ref-type&gt;&lt;contributors&gt;&lt;authors&gt;&lt;author&gt;Krishtalik, L. I.&lt;/author&gt;&lt;/authors&gt;&lt;/contributors&gt;&lt;titles&gt;&lt;title&gt;Kinetics and mechanism of anodic chlorine and oxygen evolution reactions on transition metal oxide electrodes&lt;/title&gt;&lt;secondary-title&gt;Electrochimica Acta&lt;/secondary-title&gt;&lt;/titles&gt;&lt;periodical&gt;&lt;full-title&gt;Electrochimica Acta&lt;/full-title&gt;&lt;abbr-1&gt;Electrochim. Acta&lt;/abbr-1&gt;&lt;abbr-2&gt;Electrochim Acta&lt;/abbr-2&gt;&lt;/periodical&gt;&lt;pages&gt;329-337&lt;/pages&gt;&lt;volume&gt;26&lt;/volume&gt;&lt;number&gt;3&lt;/number&gt;&lt;dates&gt;&lt;year&gt;1981&lt;/year&gt;&lt;pub-dates&gt;&lt;date&gt;1981/03/01/&lt;/date&gt;&lt;/pub-dates&gt;&lt;/dates&gt;&lt;isbn&gt;0013-4686&lt;/isbn&gt;&lt;urls&gt;&lt;related-urls&gt;&lt;url&gt;https://www.sciencedirect.com/science/article/pii/0013468681850190&lt;/url&gt;&lt;/related-urls&gt;&lt;/urls&gt;&lt;electronic-resource-num&gt;https://doi.org/10.1016/0013-4686(81)85019-0&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134</w:t>
      </w:r>
      <w:r>
        <w:rPr>
          <w:color w:val="000000" w:themeColor="text1"/>
          <w:szCs w:val="22"/>
        </w:rPr>
        <w:fldChar w:fldCharType="end"/>
      </w:r>
      <w:r w:rsidRPr="00877DFC">
        <w:rPr>
          <w:color w:val="000000" w:themeColor="text1"/>
          <w:szCs w:val="22"/>
          <w:vertAlign w:val="superscript"/>
        </w:rPr>
        <w:t>,</w:t>
      </w:r>
      <w:r>
        <w:rPr>
          <w:color w:val="000000" w:themeColor="text1"/>
          <w:szCs w:val="22"/>
        </w:rPr>
        <w:fldChar w:fldCharType="begin">
          <w:fldData xml:space="preserve">PEVuZE5vdGU+PENpdGU+PEF1dGhvcj5Cb2NrcmlzPC9BdXRob3I+PFllYXI+MTk1NjwvWWVhcj48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</w:fldData>
        </w:fldChar>
      </w:r>
      <w:r w:rsidR="00FC5BEB">
        <w:rPr>
          <w:color w:val="000000" w:themeColor="text1"/>
          <w:szCs w:val="22"/>
        </w:rPr>
        <w:instrText xml:space="preserve"> ADDIN EN.CITE </w:instrText>
      </w:r>
      <w:r w:rsidR="00FC5BEB">
        <w:rPr>
          <w:color w:val="000000" w:themeColor="text1"/>
          <w:szCs w:val="22"/>
        </w:rPr>
        <w:fldChar w:fldCharType="begin">
          <w:fldData xml:space="preserve">PEVuZE5vdGU+PENpdGU+PEF1dGhvcj5Cb2NrcmlzPC9BdXRob3I+PFllYXI+MTk1NjwvWWVhcj48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</w:fldData>
        </w:fldChar>
      </w:r>
      <w:r w:rsidR="00FC5BEB">
        <w:rPr>
          <w:color w:val="000000" w:themeColor="text1"/>
          <w:szCs w:val="22"/>
        </w:rPr>
        <w:instrText xml:space="preserve"> ADDIN EN.CITE.DATA </w:instrText>
      </w:r>
      <w:r w:rsidR="00FC5BEB">
        <w:rPr>
          <w:color w:val="000000" w:themeColor="text1"/>
          <w:szCs w:val="22"/>
        </w:rPr>
      </w:r>
      <w:r w:rsidR="00FC5BEB">
        <w:rPr>
          <w:color w:val="000000" w:themeColor="text1"/>
          <w:szCs w:val="22"/>
        </w:rPr>
        <w:fldChar w:fldCharType="end"/>
      </w:r>
      <w:r>
        <w:rPr>
          <w:color w:val="000000" w:themeColor="text1"/>
          <w:szCs w:val="22"/>
        </w:rPr>
      </w:r>
      <w:r>
        <w:rPr>
          <w:color w:val="000000" w:themeColor="text1"/>
          <w:szCs w:val="22"/>
        </w:rPr>
        <w:fldChar w:fldCharType="separate"/>
      </w:r>
      <w:r w:rsidR="00FC5BEB" w:rsidRPr="00FC5BEB">
        <w:rPr>
          <w:noProof/>
          <w:color w:val="000000" w:themeColor="text1"/>
          <w:szCs w:val="22"/>
          <w:vertAlign w:val="superscript"/>
        </w:rPr>
        <w:t>135-140</w:t>
      </w:r>
      <w:r>
        <w:rPr>
          <w:color w:val="000000" w:themeColor="text1"/>
          <w:szCs w:val="22"/>
        </w:rPr>
        <w:fldChar w:fldCharType="end"/>
      </w:r>
      <w:r w:rsidRPr="00EC6E98">
        <w:rPr>
          <w:color w:val="000000" w:themeColor="text1"/>
          <w:szCs w:val="22"/>
        </w:rPr>
        <w:t xml:space="preserve"> Rather, the authors of Ref. </w:t>
      </w:r>
      <w:r>
        <w:rPr>
          <w:color w:val="000000" w:themeColor="text1"/>
          <w:szCs w:val="22"/>
        </w:rPr>
        <w:fldChar w:fldCharType="begin"/>
      </w:r>
      <w:r w:rsidR="00FC5BEB">
        <w:rPr>
          <w:color w:val="000000" w:themeColor="text1"/>
          <w:szCs w:val="22"/>
        </w:rPr>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87</w:t>
      </w:r>
      <w:r>
        <w:rPr>
          <w:color w:val="000000" w:themeColor="text1"/>
          <w:szCs w:val="22"/>
        </w:rPr>
        <w:fldChar w:fldCharType="end"/>
      </w:r>
      <w:r>
        <w:rPr>
          <w:color w:val="000000" w:themeColor="text1"/>
          <w:szCs w:val="22"/>
        </w:rPr>
        <w:t xml:space="preserve"> </w:t>
      </w:r>
      <w:r w:rsidRPr="00EC6E98">
        <w:rPr>
          <w:color w:val="000000" w:themeColor="text1"/>
          <w:szCs w:val="22"/>
        </w:rPr>
        <w:t xml:space="preserve">employed </w:t>
      </w:r>
      <w:proofErr w:type="spellStart"/>
      <w:r w:rsidRPr="00EC6E98">
        <w:rPr>
          <w:color w:val="000000" w:themeColor="text1"/>
          <w:szCs w:val="22"/>
        </w:rPr>
        <w:t>Kobussen’s</w:t>
      </w:r>
      <w:proofErr w:type="spellEnd"/>
      <w:r w:rsidRPr="00EC6E98">
        <w:rPr>
          <w:color w:val="000000" w:themeColor="text1"/>
          <w:szCs w:val="22"/>
        </w:rPr>
        <w:t xml:space="preserve"> path involving the formation of an adsorbed </w:t>
      </w:r>
      <w:proofErr w:type="spellStart"/>
      <w:r w:rsidRPr="00EC6E98">
        <w:rPr>
          <w:color w:val="000000" w:themeColor="text1"/>
          <w:szCs w:val="22"/>
        </w:rPr>
        <w:t>hydroperoxo</w:t>
      </w:r>
      <w:proofErr w:type="spellEnd"/>
      <w:r w:rsidRPr="00EC6E98">
        <w:rPr>
          <w:color w:val="000000" w:themeColor="text1"/>
          <w:szCs w:val="22"/>
        </w:rPr>
        <w:t xml:space="preserve"> (</w:t>
      </w:r>
      <w:r>
        <w:rPr>
          <w:color w:val="000000" w:themeColor="text1"/>
          <w:szCs w:val="22"/>
        </w:rPr>
        <w:t>*OOH</w:t>
      </w:r>
      <w:r w:rsidRPr="00EC6E98">
        <w:rPr>
          <w:color w:val="000000" w:themeColor="text1"/>
          <w:szCs w:val="22"/>
        </w:rPr>
        <w:t>) through the reaction of an aqueous OH</w:t>
      </w:r>
      <w:r w:rsidRPr="00EC6E98">
        <w:rPr>
          <w:color w:val="000000" w:themeColor="text1"/>
          <w:szCs w:val="22"/>
          <w:vertAlign w:val="superscript"/>
        </w:rPr>
        <w:t>-</w:t>
      </w:r>
      <w:r w:rsidRPr="00EC6E98">
        <w:rPr>
          <w:color w:val="000000" w:themeColor="text1"/>
          <w:szCs w:val="22"/>
        </w:rPr>
        <w:t xml:space="preserve"> (</w:t>
      </w:r>
      <w:r w:rsidR="00B026CA" w:rsidRPr="004B35B6">
        <w:rPr>
          <w:color w:val="000000" w:themeColor="text1"/>
          <w:szCs w:val="22"/>
        </w:rPr>
        <w:fldChar w:fldCharType="begin"/>
      </w:r>
      <w:r w:rsidR="00B026CA" w:rsidRPr="004B35B6">
        <w:rPr>
          <w:color w:val="000000" w:themeColor="text1"/>
          <w:szCs w:val="22"/>
        </w:rPr>
        <w:instrText xml:space="preserve"> REF _Ref159510641 \h </w:instrText>
      </w:r>
      <w:r w:rsidR="004B35B6">
        <w:rPr>
          <w:color w:val="000000" w:themeColor="text1"/>
          <w:szCs w:val="22"/>
        </w:rPr>
        <w:instrText xml:space="preserve"> \* MERGEFORMAT </w:instrText>
      </w:r>
      <w:r w:rsidR="00B026CA" w:rsidRPr="004B35B6">
        <w:rPr>
          <w:color w:val="000000" w:themeColor="text1"/>
          <w:szCs w:val="22"/>
        </w:rPr>
      </w:r>
      <w:r w:rsidR="00B026CA" w:rsidRPr="004B35B6">
        <w:rPr>
          <w:color w:val="000000" w:themeColor="text1"/>
          <w:szCs w:val="22"/>
        </w:rPr>
        <w:fldChar w:fldCharType="separate"/>
      </w:r>
      <w:r w:rsidR="003255C0" w:rsidRPr="00245F0C">
        <w:rPr>
          <w:szCs w:val="22"/>
        </w:rPr>
        <w:t xml:space="preserve">Equation </w:t>
      </w:r>
      <w:r w:rsidR="003255C0" w:rsidRPr="00245F0C">
        <w:rPr>
          <w:noProof/>
          <w:szCs w:val="22"/>
        </w:rPr>
        <w:t>44</w:t>
      </w:r>
      <w:r w:rsidR="00B026CA" w:rsidRPr="004B35B6">
        <w:rPr>
          <w:color w:val="000000" w:themeColor="text1"/>
          <w:szCs w:val="22"/>
        </w:rPr>
        <w:fldChar w:fldCharType="end"/>
      </w:r>
      <w:r w:rsidRPr="004B35B6">
        <w:rPr>
          <w:color w:val="000000" w:themeColor="text1"/>
          <w:szCs w:val="22"/>
        </w:rPr>
        <w:t>), H</w:t>
      </w:r>
      <w:r w:rsidRPr="004B35B6">
        <w:rPr>
          <w:color w:val="000000" w:themeColor="text1"/>
          <w:szCs w:val="22"/>
          <w:vertAlign w:val="subscript"/>
        </w:rPr>
        <w:t>2</w:t>
      </w:r>
      <w:r w:rsidRPr="004B35B6">
        <w:rPr>
          <w:color w:val="000000" w:themeColor="text1"/>
          <w:szCs w:val="22"/>
        </w:rPr>
        <w:t>O in acid (</w:t>
      </w:r>
      <w:r w:rsidR="00B026CA" w:rsidRPr="004B35B6">
        <w:rPr>
          <w:color w:val="000000" w:themeColor="text1"/>
          <w:szCs w:val="22"/>
        </w:rPr>
        <w:fldChar w:fldCharType="begin"/>
      </w:r>
      <w:r w:rsidR="00B026CA" w:rsidRPr="004B35B6">
        <w:rPr>
          <w:color w:val="000000" w:themeColor="text1"/>
          <w:szCs w:val="22"/>
        </w:rPr>
        <w:instrText xml:space="preserve"> REF _Ref159510654 \h </w:instrText>
      </w:r>
      <w:r w:rsidR="004B35B6">
        <w:rPr>
          <w:color w:val="000000" w:themeColor="text1"/>
          <w:szCs w:val="22"/>
        </w:rPr>
        <w:instrText xml:space="preserve"> \* MERGEFORMAT </w:instrText>
      </w:r>
      <w:r w:rsidR="00B026CA" w:rsidRPr="004B35B6">
        <w:rPr>
          <w:color w:val="000000" w:themeColor="text1"/>
          <w:szCs w:val="22"/>
        </w:rPr>
      </w:r>
      <w:r w:rsidR="00B026CA" w:rsidRPr="004B35B6">
        <w:rPr>
          <w:color w:val="000000" w:themeColor="text1"/>
          <w:szCs w:val="22"/>
        </w:rPr>
        <w:fldChar w:fldCharType="separate"/>
      </w:r>
      <w:r w:rsidR="003255C0" w:rsidRPr="00245F0C">
        <w:rPr>
          <w:szCs w:val="22"/>
        </w:rPr>
        <w:t xml:space="preserve">Equation </w:t>
      </w:r>
      <w:r w:rsidR="003255C0" w:rsidRPr="00245F0C">
        <w:rPr>
          <w:noProof/>
          <w:szCs w:val="22"/>
        </w:rPr>
        <w:t>40</w:t>
      </w:r>
      <w:r w:rsidR="00B026CA" w:rsidRPr="004B35B6">
        <w:rPr>
          <w:color w:val="000000" w:themeColor="text1"/>
          <w:szCs w:val="22"/>
        </w:rPr>
        <w:fldChar w:fldCharType="end"/>
      </w:r>
      <w:r w:rsidRPr="004B35B6">
        <w:rPr>
          <w:color w:val="000000" w:themeColor="text1"/>
          <w:szCs w:val="22"/>
        </w:rPr>
        <w:t xml:space="preserve">), with adsorbed oxygen (*O) </w:t>
      </w:r>
      <w:r w:rsidRPr="004B35B6">
        <w:rPr>
          <w:color w:val="000000" w:themeColor="text1"/>
          <w:szCs w:val="22"/>
        </w:rPr>
        <w:fldChar w:fldCharType="begin">
          <w:fldData xml:space="preserve">PEVuZE5vdGU+PENpdGU+PEF1dGhvcj5Lb2J1c3NlbjwvQXV0aG9yPjxZZWFyPjE5ODE8L1llYXI+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</w:fldData>
        </w:fldChar>
      </w:r>
      <w:r w:rsidR="00FC5BEB">
        <w:rPr>
          <w:color w:val="000000" w:themeColor="text1"/>
          <w:szCs w:val="22"/>
        </w:rPr>
        <w:instrText xml:space="preserve"> ADDIN EN.CITE </w:instrText>
      </w:r>
      <w:r w:rsidR="00FC5BEB">
        <w:rPr>
          <w:color w:val="000000" w:themeColor="text1"/>
          <w:szCs w:val="22"/>
        </w:rPr>
        <w:fldChar w:fldCharType="begin">
          <w:fldData xml:space="preserve">PEVuZE5vdGU+PENpdGU+PEF1dGhvcj5Lb2J1c3NlbjwvQXV0aG9yPjxZZWFyPjE5ODE8L1llYXI+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</w:fldData>
        </w:fldChar>
      </w:r>
      <w:r w:rsidR="00FC5BEB">
        <w:rPr>
          <w:color w:val="000000" w:themeColor="text1"/>
          <w:szCs w:val="22"/>
        </w:rPr>
        <w:instrText xml:space="preserve"> ADDIN EN.CITE.DATA </w:instrText>
      </w:r>
      <w:r w:rsidR="00FC5BEB">
        <w:rPr>
          <w:color w:val="000000" w:themeColor="text1"/>
          <w:szCs w:val="22"/>
        </w:rPr>
      </w:r>
      <w:r w:rsidR="00FC5BEB">
        <w:rPr>
          <w:color w:val="000000" w:themeColor="text1"/>
          <w:szCs w:val="22"/>
        </w:rPr>
        <w:fldChar w:fldCharType="end"/>
      </w:r>
      <w:r w:rsidRPr="004B35B6">
        <w:rPr>
          <w:color w:val="000000" w:themeColor="text1"/>
          <w:szCs w:val="22"/>
        </w:rPr>
      </w:r>
      <w:r w:rsidRPr="004B35B6">
        <w:rPr>
          <w:color w:val="000000" w:themeColor="text1"/>
          <w:szCs w:val="22"/>
        </w:rPr>
        <w:fldChar w:fldCharType="separate"/>
      </w:r>
      <w:r w:rsidR="00FC5BEB" w:rsidRPr="00FC5BEB">
        <w:rPr>
          <w:noProof/>
          <w:color w:val="000000" w:themeColor="text1"/>
          <w:szCs w:val="22"/>
          <w:vertAlign w:val="superscript"/>
        </w:rPr>
        <w:t>86, 141</w:t>
      </w:r>
      <w:r w:rsidRPr="004B35B6">
        <w:rPr>
          <w:color w:val="000000" w:themeColor="text1"/>
          <w:szCs w:val="22"/>
        </w:rPr>
        <w:fldChar w:fldCharType="end"/>
      </w:r>
      <w:r w:rsidRPr="004B35B6">
        <w:rPr>
          <w:color w:val="000000" w:themeColor="text1"/>
          <w:szCs w:val="22"/>
        </w:rPr>
        <w:t>. The same type of O-O coupling step had also been noted as a possible elementary step in the OER over Pt by Bockris</w:t>
      </w:r>
      <w:r w:rsidRPr="004B35B6">
        <w:rPr>
          <w:color w:val="000000" w:themeColor="text1"/>
          <w:szCs w:val="22"/>
        </w:rPr>
        <w:fldChar w:fldCharType="begin"/>
      </w:r>
      <w:r w:rsidR="00FC5BEB">
        <w:rPr>
          <w:color w:val="000000" w:themeColor="text1"/>
          <w:szCs w:val="22"/>
        </w:rPr>
        <w:instrText xml:space="preserve"> ADDIN EN.CITE &lt;EndNote&gt;&lt;Cite&gt;&lt;Author&gt;Bockris&lt;/Author&gt;&lt;Year&gt;1956&lt;/Year&gt;&lt;RecNum&gt;133&lt;/RecNum&gt;&lt;DisplayText&gt;&lt;style face="superscript"&gt;135&lt;/style&gt;&lt;/DisplayText&gt;&lt;record&gt;&lt;rec-number&gt;133&lt;/rec-number&gt;&lt;foreign-keys&gt;&lt;key app="EN" db-id="2xex0erf4eexr4e2dpbxpdd829xttesxxxdr" timestamp="1715075296"&gt;133&lt;/key&gt;&lt;/foreign-keys&gt;&lt;ref-type name="Journal Article"&gt;17&lt;/ref-type&gt;&lt;contributors&gt;&lt;authors&gt;&lt;author&gt;Bockris, J. O&lt;/author&gt;&lt;author&gt;Shamshul Huq, A. K. M.&lt;/author&gt;&lt;/authors&gt;&lt;/contributors&gt;&lt;titles&gt;&lt;title&gt;The mechanism of the electrolytic evolution of oxygen on platinum&lt;/title&gt;&lt;secondary-title&gt;Proc. R. Soc. Lond. A&lt;/secondary-title&gt;&lt;/titles&gt;&lt;periodical&gt;&lt;full-title&gt;Proc. R. Soc. Lond. A&lt;/full-title&gt;&lt;/periodical&gt;&lt;pages&gt;277-296&lt;/pages&gt;&lt;volume&gt;237&lt;/volume&gt;&lt;number&gt;1209&lt;/number&gt;&lt;dates&gt;&lt;year&gt;1956&lt;/year&gt;&lt;/dates&gt;&lt;urls&gt;&lt;related-urls&gt;&lt;url&gt;https://royalsocietypublishing.org/doi/abs/10.1098/rspa.1956.0177&lt;/url&gt;&lt;/related-urls&gt;&lt;/urls&gt;&lt;electronic-resource-num&gt;doi:10.1098/rspa.1956.0177&lt;/electronic-resource-num&gt;&lt;/record&gt;&lt;/Cite&gt;&lt;/EndNote&gt;</w:instrText>
      </w:r>
      <w:r w:rsidRPr="004B35B6">
        <w:rPr>
          <w:color w:val="000000" w:themeColor="text1"/>
          <w:szCs w:val="22"/>
        </w:rPr>
        <w:fldChar w:fldCharType="separate"/>
      </w:r>
      <w:r w:rsidR="00FC5BEB" w:rsidRPr="00FC5BEB">
        <w:rPr>
          <w:noProof/>
          <w:color w:val="000000" w:themeColor="text1"/>
          <w:szCs w:val="22"/>
          <w:vertAlign w:val="superscript"/>
        </w:rPr>
        <w:t>135</w:t>
      </w:r>
      <w:r w:rsidRPr="004B35B6">
        <w:rPr>
          <w:color w:val="000000" w:themeColor="text1"/>
          <w:szCs w:val="22"/>
        </w:rPr>
        <w:fldChar w:fldCharType="end"/>
      </w:r>
      <w:r w:rsidRPr="004B35B6">
        <w:rPr>
          <w:color w:val="000000" w:themeColor="text1"/>
          <w:szCs w:val="22"/>
        </w:rPr>
        <w:t xml:space="preserve">. </w:t>
      </w:r>
      <w:r w:rsidR="00B026CA" w:rsidRPr="004B35B6">
        <w:rPr>
          <w:color w:val="000000" w:themeColor="text1"/>
          <w:szCs w:val="22"/>
        </w:rPr>
        <w:fldChar w:fldCharType="begin"/>
      </w:r>
      <w:r w:rsidR="00B026CA" w:rsidRPr="004B35B6">
        <w:rPr>
          <w:color w:val="000000" w:themeColor="text1"/>
          <w:szCs w:val="22"/>
        </w:rPr>
        <w:instrText xml:space="preserve"> REF _Ref159510668 \h </w:instrText>
      </w:r>
      <w:r w:rsidR="004B35B6">
        <w:rPr>
          <w:color w:val="000000" w:themeColor="text1"/>
          <w:szCs w:val="22"/>
        </w:rPr>
        <w:instrText xml:space="preserve"> \* MERGEFORMAT </w:instrText>
      </w:r>
      <w:r w:rsidR="00B026CA" w:rsidRPr="004B35B6">
        <w:rPr>
          <w:color w:val="000000" w:themeColor="text1"/>
          <w:szCs w:val="22"/>
        </w:rPr>
      </w:r>
      <w:r w:rsidR="00B026CA" w:rsidRPr="004B35B6">
        <w:rPr>
          <w:color w:val="000000" w:themeColor="text1"/>
          <w:szCs w:val="22"/>
        </w:rPr>
        <w:fldChar w:fldCharType="separate"/>
      </w:r>
      <w:r w:rsidR="003255C0" w:rsidRPr="00245F0C">
        <w:rPr>
          <w:szCs w:val="22"/>
        </w:rPr>
        <w:t xml:space="preserve">Equation </w:t>
      </w:r>
      <w:r w:rsidR="003255C0" w:rsidRPr="00245F0C">
        <w:rPr>
          <w:noProof/>
          <w:szCs w:val="22"/>
        </w:rPr>
        <w:t>38</w:t>
      </w:r>
      <w:r w:rsidR="00B026CA" w:rsidRPr="004B35B6">
        <w:rPr>
          <w:color w:val="000000" w:themeColor="text1"/>
          <w:szCs w:val="22"/>
        </w:rPr>
        <w:fldChar w:fldCharType="end"/>
      </w:r>
      <w:r w:rsidR="00B026CA" w:rsidRPr="004B35B6">
        <w:rPr>
          <w:color w:val="000000" w:themeColor="text1"/>
          <w:szCs w:val="22"/>
        </w:rPr>
        <w:t xml:space="preserve">-41 </w:t>
      </w:r>
      <w:r w:rsidRPr="004B35B6">
        <w:rPr>
          <w:color w:val="000000" w:themeColor="text1"/>
          <w:szCs w:val="22"/>
        </w:rPr>
        <w:t xml:space="preserve">and </w:t>
      </w:r>
      <w:r w:rsidR="00B026CA" w:rsidRPr="004B35B6">
        <w:rPr>
          <w:color w:val="000000" w:themeColor="text1"/>
          <w:szCs w:val="22"/>
        </w:rPr>
        <w:fldChar w:fldCharType="begin"/>
      </w:r>
      <w:r w:rsidR="00B026CA" w:rsidRPr="004B35B6">
        <w:rPr>
          <w:color w:val="000000" w:themeColor="text1"/>
          <w:szCs w:val="22"/>
        </w:rPr>
        <w:instrText xml:space="preserve"> REF _Ref159510701 \h </w:instrText>
      </w:r>
      <w:r w:rsidR="004B35B6">
        <w:rPr>
          <w:color w:val="000000" w:themeColor="text1"/>
          <w:szCs w:val="22"/>
        </w:rPr>
        <w:instrText xml:space="preserve"> \* MERGEFORMAT </w:instrText>
      </w:r>
      <w:r w:rsidR="00B026CA" w:rsidRPr="004B35B6">
        <w:rPr>
          <w:color w:val="000000" w:themeColor="text1"/>
          <w:szCs w:val="22"/>
        </w:rPr>
      </w:r>
      <w:r w:rsidR="00B026CA" w:rsidRPr="004B35B6">
        <w:rPr>
          <w:color w:val="000000" w:themeColor="text1"/>
          <w:szCs w:val="22"/>
        </w:rPr>
        <w:fldChar w:fldCharType="separate"/>
      </w:r>
      <w:r w:rsidR="003255C0" w:rsidRPr="00245F0C">
        <w:rPr>
          <w:szCs w:val="22"/>
        </w:rPr>
        <w:t xml:space="preserve">Equation </w:t>
      </w:r>
      <w:r w:rsidR="003255C0" w:rsidRPr="00245F0C">
        <w:rPr>
          <w:noProof/>
          <w:szCs w:val="22"/>
        </w:rPr>
        <w:t>42</w:t>
      </w:r>
      <w:r w:rsidR="00B026CA" w:rsidRPr="004B35B6">
        <w:rPr>
          <w:color w:val="000000" w:themeColor="text1"/>
          <w:szCs w:val="22"/>
        </w:rPr>
        <w:fldChar w:fldCharType="end"/>
      </w:r>
      <w:r w:rsidR="00B026CA" w:rsidRPr="004B35B6">
        <w:rPr>
          <w:color w:val="000000" w:themeColor="text1"/>
          <w:szCs w:val="22"/>
        </w:rPr>
        <w:t xml:space="preserve">-45 </w:t>
      </w:r>
      <w:r w:rsidRPr="004B35B6">
        <w:rPr>
          <w:color w:val="000000" w:themeColor="text1"/>
          <w:szCs w:val="22"/>
        </w:rPr>
        <w:t>are referred to as the single-site nucleophilic attack mechanisms since they involve water (</w:t>
      </w:r>
      <w:r w:rsidR="00B026CA" w:rsidRPr="004B35B6">
        <w:rPr>
          <w:color w:val="000000" w:themeColor="text1"/>
          <w:szCs w:val="22"/>
        </w:rPr>
        <w:fldChar w:fldCharType="begin"/>
      </w:r>
      <w:r w:rsidR="00B026CA" w:rsidRPr="004B35B6">
        <w:rPr>
          <w:color w:val="000000" w:themeColor="text1"/>
          <w:szCs w:val="22"/>
        </w:rPr>
        <w:instrText xml:space="preserve"> REF _Ref159510668 \h </w:instrText>
      </w:r>
      <w:r w:rsidR="004B35B6">
        <w:rPr>
          <w:color w:val="000000" w:themeColor="text1"/>
          <w:szCs w:val="22"/>
        </w:rPr>
        <w:instrText xml:space="preserve"> \* MERGEFORMAT </w:instrText>
      </w:r>
      <w:r w:rsidR="00B026CA" w:rsidRPr="004B35B6">
        <w:rPr>
          <w:color w:val="000000" w:themeColor="text1"/>
          <w:szCs w:val="22"/>
        </w:rPr>
      </w:r>
      <w:r w:rsidR="00B026CA" w:rsidRPr="004B35B6">
        <w:rPr>
          <w:color w:val="000000" w:themeColor="text1"/>
          <w:szCs w:val="22"/>
        </w:rPr>
        <w:fldChar w:fldCharType="separate"/>
      </w:r>
      <w:r w:rsidR="003255C0" w:rsidRPr="00245F0C">
        <w:rPr>
          <w:szCs w:val="22"/>
        </w:rPr>
        <w:t xml:space="preserve">Equation </w:t>
      </w:r>
      <w:r w:rsidR="003255C0" w:rsidRPr="00245F0C">
        <w:rPr>
          <w:noProof/>
          <w:szCs w:val="22"/>
        </w:rPr>
        <w:t>38</w:t>
      </w:r>
      <w:r w:rsidR="00B026CA" w:rsidRPr="004B35B6">
        <w:rPr>
          <w:color w:val="000000" w:themeColor="text1"/>
          <w:szCs w:val="22"/>
        </w:rPr>
        <w:fldChar w:fldCharType="end"/>
      </w:r>
      <w:r w:rsidR="00B026CA" w:rsidRPr="004B35B6">
        <w:rPr>
          <w:color w:val="000000" w:themeColor="text1"/>
          <w:szCs w:val="22"/>
        </w:rPr>
        <w:t>-41</w:t>
      </w:r>
      <w:r w:rsidRPr="004B35B6">
        <w:rPr>
          <w:color w:val="000000" w:themeColor="text1"/>
          <w:szCs w:val="22"/>
        </w:rPr>
        <w:t>) or hydroxide (</w:t>
      </w:r>
      <w:r w:rsidR="00B026CA" w:rsidRPr="004B35B6">
        <w:rPr>
          <w:color w:val="000000" w:themeColor="text1"/>
          <w:szCs w:val="22"/>
        </w:rPr>
        <w:fldChar w:fldCharType="begin"/>
      </w:r>
      <w:r w:rsidR="00B026CA" w:rsidRPr="004B35B6">
        <w:rPr>
          <w:color w:val="000000" w:themeColor="text1"/>
          <w:szCs w:val="22"/>
        </w:rPr>
        <w:instrText xml:space="preserve"> REF _Ref159510701 \h </w:instrText>
      </w:r>
      <w:r w:rsidR="004B35B6">
        <w:rPr>
          <w:color w:val="000000" w:themeColor="text1"/>
          <w:szCs w:val="22"/>
        </w:rPr>
        <w:instrText xml:space="preserve"> \* MERGEFORMAT </w:instrText>
      </w:r>
      <w:r w:rsidR="00B026CA" w:rsidRPr="004B35B6">
        <w:rPr>
          <w:color w:val="000000" w:themeColor="text1"/>
          <w:szCs w:val="22"/>
        </w:rPr>
      </w:r>
      <w:r w:rsidR="00B026CA" w:rsidRPr="004B35B6">
        <w:rPr>
          <w:color w:val="000000" w:themeColor="text1"/>
          <w:szCs w:val="22"/>
        </w:rPr>
        <w:fldChar w:fldCharType="separate"/>
      </w:r>
      <w:r w:rsidR="003255C0" w:rsidRPr="00245F0C">
        <w:rPr>
          <w:szCs w:val="22"/>
        </w:rPr>
        <w:t xml:space="preserve">Equation </w:t>
      </w:r>
      <w:r w:rsidR="003255C0" w:rsidRPr="00245F0C">
        <w:rPr>
          <w:noProof/>
          <w:szCs w:val="22"/>
        </w:rPr>
        <w:t>42</w:t>
      </w:r>
      <w:r w:rsidR="00B026CA" w:rsidRPr="004B35B6">
        <w:rPr>
          <w:color w:val="000000" w:themeColor="text1"/>
          <w:szCs w:val="22"/>
        </w:rPr>
        <w:fldChar w:fldCharType="end"/>
      </w:r>
      <w:r w:rsidR="00B026CA" w:rsidRPr="004B35B6">
        <w:rPr>
          <w:color w:val="000000" w:themeColor="text1"/>
          <w:szCs w:val="22"/>
        </w:rPr>
        <w:t>-45</w:t>
      </w:r>
      <w:r w:rsidRPr="004B35B6">
        <w:rPr>
          <w:color w:val="000000" w:themeColor="text1"/>
          <w:szCs w:val="22"/>
        </w:rPr>
        <w:t>) nucleophilic attack on adsorbed oxygen.</w:t>
      </w:r>
    </w:p>
    <w:p w14:paraId="48272559" w14:textId="77777777" w:rsidR="00E37E91" w:rsidRPr="004B35B6" w:rsidRDefault="00E37E91" w:rsidP="00E37E91">
      <w:pPr>
        <w:rPr>
          <w:color w:val="000000" w:themeColor="text1"/>
          <w:szCs w:val="22"/>
        </w:rPr>
      </w:pPr>
    </w:p>
    <w:p w14:paraId="20D099AE" w14:textId="1BA07A75" w:rsidR="00E37E91" w:rsidRDefault="00E37E91" w:rsidP="00E37E91">
      <w:pPr>
        <w:rPr>
          <w:color w:val="000000" w:themeColor="text1"/>
          <w:szCs w:val="22"/>
        </w:rPr>
      </w:pPr>
      <w:r w:rsidRPr="004B35B6">
        <w:rPr>
          <w:color w:val="000000" w:themeColor="text1"/>
          <w:szCs w:val="22"/>
        </w:rPr>
        <w:tab/>
        <w:t xml:space="preserve">Because writing the OER using </w:t>
      </w:r>
      <w:r w:rsidR="00B026CA" w:rsidRPr="004B35B6">
        <w:rPr>
          <w:color w:val="000000" w:themeColor="text1"/>
          <w:szCs w:val="22"/>
        </w:rPr>
        <w:fldChar w:fldCharType="begin"/>
      </w:r>
      <w:r w:rsidR="00B026CA" w:rsidRPr="004B35B6">
        <w:rPr>
          <w:color w:val="000000" w:themeColor="text1"/>
          <w:szCs w:val="22"/>
        </w:rPr>
        <w:instrText xml:space="preserve"> REF _Ref159510668 \h </w:instrText>
      </w:r>
      <w:r w:rsidR="004B35B6">
        <w:rPr>
          <w:color w:val="000000" w:themeColor="text1"/>
          <w:szCs w:val="22"/>
        </w:rPr>
        <w:instrText xml:space="preserve"> \* MERGEFORMAT </w:instrText>
      </w:r>
      <w:r w:rsidR="00B026CA" w:rsidRPr="004B35B6">
        <w:rPr>
          <w:color w:val="000000" w:themeColor="text1"/>
          <w:szCs w:val="22"/>
        </w:rPr>
      </w:r>
      <w:r w:rsidR="00B026CA" w:rsidRPr="004B35B6">
        <w:rPr>
          <w:color w:val="000000" w:themeColor="text1"/>
          <w:szCs w:val="22"/>
        </w:rPr>
        <w:fldChar w:fldCharType="separate"/>
      </w:r>
      <w:r w:rsidR="003255C0" w:rsidRPr="00245F0C">
        <w:rPr>
          <w:szCs w:val="22"/>
        </w:rPr>
        <w:t xml:space="preserve">Equation </w:t>
      </w:r>
      <w:r w:rsidR="003255C0" w:rsidRPr="00245F0C">
        <w:rPr>
          <w:noProof/>
          <w:szCs w:val="22"/>
        </w:rPr>
        <w:t>38</w:t>
      </w:r>
      <w:r w:rsidR="00B026CA" w:rsidRPr="004B35B6">
        <w:rPr>
          <w:color w:val="000000" w:themeColor="text1"/>
          <w:szCs w:val="22"/>
        </w:rPr>
        <w:fldChar w:fldCharType="end"/>
      </w:r>
      <w:r w:rsidR="00B026CA" w:rsidRPr="004B35B6">
        <w:rPr>
          <w:color w:val="000000" w:themeColor="text1"/>
          <w:szCs w:val="22"/>
        </w:rPr>
        <w:t>-41</w:t>
      </w:r>
      <w:r w:rsidRPr="004B35B6">
        <w:rPr>
          <w:color w:val="000000" w:themeColor="text1"/>
          <w:szCs w:val="22"/>
        </w:rPr>
        <w:t xml:space="preserve"> and/or </w:t>
      </w:r>
      <w:r w:rsidR="00B026CA" w:rsidRPr="004B35B6">
        <w:rPr>
          <w:color w:val="000000" w:themeColor="text1"/>
          <w:szCs w:val="22"/>
        </w:rPr>
        <w:fldChar w:fldCharType="begin"/>
      </w:r>
      <w:r w:rsidR="00B026CA" w:rsidRPr="004B35B6">
        <w:rPr>
          <w:color w:val="000000" w:themeColor="text1"/>
          <w:szCs w:val="22"/>
        </w:rPr>
        <w:instrText xml:space="preserve"> REF _Ref159510701 \h </w:instrText>
      </w:r>
      <w:r w:rsidR="004B35B6">
        <w:rPr>
          <w:color w:val="000000" w:themeColor="text1"/>
          <w:szCs w:val="22"/>
        </w:rPr>
        <w:instrText xml:space="preserve"> \* MERGEFORMAT </w:instrText>
      </w:r>
      <w:r w:rsidR="00B026CA" w:rsidRPr="004B35B6">
        <w:rPr>
          <w:color w:val="000000" w:themeColor="text1"/>
          <w:szCs w:val="22"/>
        </w:rPr>
      </w:r>
      <w:r w:rsidR="00B026CA" w:rsidRPr="004B35B6">
        <w:rPr>
          <w:color w:val="000000" w:themeColor="text1"/>
          <w:szCs w:val="22"/>
        </w:rPr>
        <w:fldChar w:fldCharType="separate"/>
      </w:r>
      <w:r w:rsidR="003255C0" w:rsidRPr="00245F0C">
        <w:rPr>
          <w:szCs w:val="22"/>
        </w:rPr>
        <w:t xml:space="preserve">Equation </w:t>
      </w:r>
      <w:r w:rsidR="003255C0" w:rsidRPr="00245F0C">
        <w:rPr>
          <w:noProof/>
          <w:szCs w:val="22"/>
        </w:rPr>
        <w:t>42</w:t>
      </w:r>
      <w:r w:rsidR="00B026CA" w:rsidRPr="004B35B6">
        <w:rPr>
          <w:color w:val="000000" w:themeColor="text1"/>
          <w:szCs w:val="22"/>
        </w:rPr>
        <w:fldChar w:fldCharType="end"/>
      </w:r>
      <w:r w:rsidR="00B026CA" w:rsidRPr="004B35B6">
        <w:rPr>
          <w:color w:val="000000" w:themeColor="text1"/>
          <w:szCs w:val="22"/>
        </w:rPr>
        <w:t>-45</w:t>
      </w:r>
      <w:r w:rsidRPr="004B35B6">
        <w:rPr>
          <w:color w:val="000000" w:themeColor="text1"/>
          <w:szCs w:val="22"/>
        </w:rPr>
        <w:t xml:space="preserve"> involves only PCET </w:t>
      </w:r>
      <w:r w:rsidRPr="00EC6E98">
        <w:rPr>
          <w:color w:val="000000" w:themeColor="text1"/>
          <w:szCs w:val="22"/>
        </w:rPr>
        <w:t xml:space="preserve">steps, the free energy change of each elementary step depends on the electrode potential for each step of the reaction. </w:t>
      </w:r>
      <w:r>
        <w:rPr>
          <w:color w:val="000000" w:themeColor="text1"/>
          <w:szCs w:val="22"/>
        </w:rPr>
        <w:t>It should be noted that this implies that at fixed potential and pH the free energy cost for each elementary step depends only on the adsorbates and not the proton acceptor, H</w:t>
      </w:r>
      <w:r w:rsidRPr="00163AE5">
        <w:rPr>
          <w:color w:val="000000" w:themeColor="text1"/>
          <w:szCs w:val="22"/>
          <w:vertAlign w:val="subscript"/>
        </w:rPr>
        <w:t>2</w:t>
      </w:r>
      <w:r>
        <w:rPr>
          <w:color w:val="000000" w:themeColor="text1"/>
          <w:szCs w:val="22"/>
        </w:rPr>
        <w:t>O in acid and OH</w:t>
      </w:r>
      <w:r w:rsidRPr="00163AE5">
        <w:rPr>
          <w:color w:val="000000" w:themeColor="text1"/>
          <w:szCs w:val="22"/>
          <w:vertAlign w:val="superscript"/>
        </w:rPr>
        <w:t>-</w:t>
      </w:r>
      <w:r>
        <w:rPr>
          <w:color w:val="000000" w:themeColor="text1"/>
          <w:szCs w:val="22"/>
        </w:rPr>
        <w:t xml:space="preserve"> in alkaline conditions</w:t>
      </w:r>
      <w:r>
        <w:rPr>
          <w:color w:val="000000" w:themeColor="text1"/>
          <w:szCs w:val="22"/>
        </w:rPr>
        <w:fldChar w:fldCharType="begin"/>
      </w:r>
      <w:r w:rsidR="00FC5BEB">
        <w:rPr>
          <w:color w:val="000000" w:themeColor="text1"/>
          <w:szCs w:val="22"/>
        </w:rPr>
        <w:instrText xml:space="preserve"> ADDIN EN.CITE &lt;EndNote&gt;&lt;Cite&gt;&lt;Author&gt;Liang&lt;/Author&gt;&lt;Year&gt;2021&lt;/Year&gt;&lt;RecNum&gt;140&lt;/RecNum&gt;&lt;DisplayText&gt;&lt;style face="superscript"&gt;142&lt;/style&gt;&lt;/DisplayText&gt;&lt;record&gt;&lt;rec-number&gt;140&lt;/rec-number&gt;&lt;foreign-keys&gt;&lt;key app="EN" db-id="2xex0erf4eexr4e2dpbxpdd829xttesxxxdr" timestamp="1715075296"&gt;140&lt;/key&gt;&lt;/foreign-keys&gt;&lt;ref-type name="Journal Article"&gt;17&lt;/ref-type&gt;&lt;contributors&gt;&lt;authors&gt;&lt;author&gt;Liang, Qiuhua&lt;/author&gt;&lt;author&gt;Brocks, Geert&lt;/author&gt;&lt;author&gt;Bieberle-Hütter, Anja&lt;/author&gt;&lt;/authors&gt;&lt;/contributors&gt;&lt;titles&gt;&lt;title&gt;Oxygen evolution reaction (OER) mechanism under alkaline and acidic conditions&lt;/title&gt;&lt;secondary-title&gt;JPhys Energy&lt;/secondary-title&gt;&lt;/titles&gt;&lt;periodical&gt;&lt;full-title&gt;JPhys Energy&lt;/full-title&gt;&lt;/periodical&gt;&lt;pages&gt;026001&lt;/pages&gt;&lt;volume&gt;3&lt;/volume&gt;&lt;number&gt;2&lt;/number&gt;&lt;dates&gt;&lt;year&gt;2021&lt;/year&gt;&lt;pub-dates&gt;&lt;date&gt;2021/03/11&lt;/date&gt;&lt;/pub-dates&gt;&lt;/dates&gt;&lt;publisher&gt;IOP Publishing&lt;/publisher&gt;&lt;isbn&gt;2515-7655&lt;/isbn&gt;&lt;urls&gt;&lt;related-urls&gt;&lt;url&gt;https://dx.doi.org/10.1088/2515-7655/abdc85&lt;/url&gt;&lt;/related-urls&gt;&lt;/urls&gt;&lt;electronic-resource-num&gt;10.1088/2515-7655/abdc85&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142</w:t>
      </w:r>
      <w:r>
        <w:rPr>
          <w:color w:val="000000" w:themeColor="text1"/>
          <w:szCs w:val="22"/>
        </w:rPr>
        <w:fldChar w:fldCharType="end"/>
      </w:r>
      <w:r>
        <w:rPr>
          <w:color w:val="000000" w:themeColor="text1"/>
          <w:szCs w:val="22"/>
        </w:rPr>
        <w:t>. The CHE is then not tied to a particular scale</w:t>
      </w:r>
      <w:r w:rsidR="00932A2C">
        <w:rPr>
          <w:color w:val="000000" w:themeColor="text1"/>
          <w:szCs w:val="22"/>
        </w:rPr>
        <w:t>, it</w:t>
      </w:r>
      <w:r>
        <w:rPr>
          <w:color w:val="000000" w:themeColor="text1"/>
          <w:szCs w:val="22"/>
        </w:rPr>
        <w:t xml:space="preserve"> is rather a grand-canonical concept</w:t>
      </w:r>
      <w:r>
        <w:rPr>
          <w:color w:val="000000" w:themeColor="text1"/>
          <w:szCs w:val="22"/>
        </w:rPr>
        <w:fldChar w:fldCharType="begin"/>
      </w:r>
      <w:r w:rsidR="00FC5BEB">
        <w:rPr>
          <w:color w:val="000000" w:themeColor="text1"/>
          <w:szCs w:val="22"/>
        </w:rPr>
        <w:instrText xml:space="preserve"> ADDIN EN.CITE &lt;EndNote&gt;&lt;Cite&gt;&lt;Author&gt;Groß&lt;/Author&gt;&lt;Year&gt;2022&lt;/Year&gt;&lt;RecNum&gt;123&lt;/RecNum&gt;&lt;DisplayText&gt;&lt;style face="superscript"&gt;125&lt;/style&gt;&lt;/DisplayText&gt;&lt;record&gt;&lt;rec-number&gt;123&lt;/rec-number&gt;&lt;foreign-keys&gt;&lt;key app="EN" db-id="2xex0erf4eexr4e2dpbxpdd829xttesxxxdr" timestamp="1715075296"&gt;123&lt;/key&gt;&lt;/foreign-keys&gt;&lt;ref-type name="Journal Article"&gt;17&lt;/ref-type&gt;&lt;contributors&gt;&lt;authors&gt;&lt;author&gt;Groß, Axel&lt;/author&gt;&lt;/authors&gt;&lt;/contributors&gt;&lt;titles&gt;&lt;title&gt;Reversible vs Standard Hydrogen Electrode Scale in Interfacial Electrochemistry from a Theoretician’s Atomistic Point of View&lt;/title&gt;&lt;secondary-title&gt;Journal of Physical Chemistry C&lt;/secondary-title&gt;&lt;/titles&gt;&lt;periodical&gt;&lt;full-title&gt;Journal of Physical Chemistry C&lt;/full-title&gt;&lt;abbr-1&gt;J. Phys. Chem. C&lt;/abbr-1&gt;&lt;/periodical&gt;&lt;pages&gt;11439-11446&lt;/pages&gt;&lt;volume&gt;126&lt;/volume&gt;&lt;number&gt;28&lt;/number&gt;&lt;dates&gt;&lt;year&gt;2022&lt;/year&gt;&lt;pub-dates&gt;&lt;date&gt;2022/07/21&lt;/date&gt;&lt;/pub-dates&gt;&lt;/dates&gt;&lt;publisher&gt;American Chemical Society&lt;/publisher&gt;&lt;isbn&gt;1932-7447&lt;/isbn&gt;&lt;urls&gt;&lt;related-urls&gt;&lt;url&gt;https://doi.org/10.1021/acs.jpcc.2c02734&lt;/url&gt;&lt;/related-urls&gt;&lt;/urls&gt;&lt;electronic-resource-num&gt;10.1021/acs.jpcc.2c02734&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125</w:t>
      </w:r>
      <w:r>
        <w:rPr>
          <w:color w:val="000000" w:themeColor="text1"/>
          <w:szCs w:val="22"/>
        </w:rPr>
        <w:fldChar w:fldCharType="end"/>
      </w:r>
      <w:r>
        <w:rPr>
          <w:color w:val="000000" w:themeColor="text1"/>
          <w:szCs w:val="22"/>
        </w:rPr>
        <w:t xml:space="preserve">. It is thus trivial to recast </w:t>
      </w:r>
      <w:r w:rsidR="00B026CA" w:rsidRPr="004B35B6">
        <w:rPr>
          <w:color w:val="000000" w:themeColor="text1"/>
          <w:szCs w:val="22"/>
        </w:rPr>
        <w:fldChar w:fldCharType="begin"/>
      </w:r>
      <w:r w:rsidR="00B026CA" w:rsidRPr="004B35B6">
        <w:rPr>
          <w:color w:val="000000" w:themeColor="text1"/>
          <w:szCs w:val="22"/>
        </w:rPr>
        <w:instrText xml:space="preserve"> REF _Ref159508699 \h </w:instrText>
      </w:r>
      <w:r w:rsidR="004B35B6">
        <w:rPr>
          <w:color w:val="000000" w:themeColor="text1"/>
          <w:szCs w:val="22"/>
        </w:rPr>
        <w:instrText xml:space="preserve"> \* MERGEFORMAT </w:instrText>
      </w:r>
      <w:r w:rsidR="00B026CA" w:rsidRPr="004B35B6">
        <w:rPr>
          <w:color w:val="000000" w:themeColor="text1"/>
          <w:szCs w:val="22"/>
        </w:rPr>
      </w:r>
      <w:r w:rsidR="00B026CA" w:rsidRPr="004B35B6">
        <w:rPr>
          <w:color w:val="000000" w:themeColor="text1"/>
          <w:szCs w:val="22"/>
        </w:rPr>
        <w:fldChar w:fldCharType="separate"/>
      </w:r>
      <w:r w:rsidR="003255C0" w:rsidRPr="00245F0C">
        <w:rPr>
          <w:szCs w:val="22"/>
        </w:rPr>
        <w:t xml:space="preserve">Equation </w:t>
      </w:r>
      <w:r w:rsidR="003255C0" w:rsidRPr="00245F0C">
        <w:rPr>
          <w:noProof/>
          <w:szCs w:val="22"/>
        </w:rPr>
        <w:t>32</w:t>
      </w:r>
      <w:r w:rsidR="00B026CA" w:rsidRPr="004B35B6">
        <w:rPr>
          <w:color w:val="000000" w:themeColor="text1"/>
          <w:szCs w:val="22"/>
        </w:rPr>
        <w:fldChar w:fldCharType="end"/>
      </w:r>
      <w:r>
        <w:rPr>
          <w:color w:val="000000" w:themeColor="text1"/>
          <w:szCs w:val="22"/>
        </w:rPr>
        <w:t>, which is written for the SHE, for the reversible hydrogen electrode (RHE) as: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7"/>
        <w:gridCol w:w="6134"/>
        <w:gridCol w:w="2075"/>
      </w:tblGrid>
      <w:tr w:rsidR="004265D2" w:rsidRPr="004265D2" w14:paraId="317FAA54" w14:textId="77777777" w:rsidTr="00ED1E49">
        <w:tc>
          <w:tcPr>
            <w:tcW w:w="845" w:type="dxa"/>
            <w:vAlign w:val="center"/>
          </w:tcPr>
          <w:p w14:paraId="52632ED9" w14:textId="77777777" w:rsidR="004265D2" w:rsidRPr="004265D2" w:rsidRDefault="004265D2" w:rsidP="00E45E28">
            <w:pPr>
              <w:rPr>
                <w:bCs/>
                <w:sz w:val="20"/>
                <w:szCs w:val="20"/>
              </w:rPr>
            </w:pPr>
          </w:p>
        </w:tc>
        <w:tc>
          <w:tcPr>
            <w:tcW w:w="6385" w:type="dxa"/>
            <w:vAlign w:val="center"/>
          </w:tcPr>
          <w:p w14:paraId="42091306" w14:textId="16649D89" w:rsidR="004265D2" w:rsidRPr="004265D2" w:rsidRDefault="00000000" w:rsidP="00E45E28">
            <w:pPr>
              <w:spacing w:before="60" w:after="60"/>
              <w:rPr>
                <w:bCs/>
                <w:sz w:val="20"/>
                <w:szCs w:val="20"/>
              </w:rPr>
            </w:pPr>
            <m:oMathPara>
              <m:oMath>
                <m:d>
                  <m:dPr>
                    <m:ctrlPr>
                      <w:rPr>
                        <w:rFonts w:ascii="Cambria Math" w:eastAsiaTheme="minorHAnsi" w:hAnsi="Cambria Math"/>
                        <w:i/>
                        <w:iCs/>
                        <w:color w:val="000000" w:themeColor="text1"/>
                        <w:sz w:val="20"/>
                        <w:szCs w:val="20"/>
                        <w:shd w:val="clear" w:color="auto" w:fill="FFFFFF"/>
                      </w:rPr>
                    </m:ctrlPr>
                  </m:dPr>
                  <m:e>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H+</m:t>
                        </m:r>
                      </m:sub>
                    </m:sSub>
                    <m:r>
                      <w:rPr>
                        <w:rFonts w:ascii="Cambria Math" w:hAnsi="Cambria Math"/>
                        <w:color w:val="000000" w:themeColor="text1"/>
                        <w:sz w:val="20"/>
                        <w:szCs w:val="20"/>
                        <w:shd w:val="clear" w:color="auto" w:fill="FFFFFF"/>
                      </w:rPr>
                      <m:t>+</m:t>
                    </m:r>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e</m:t>
                        </m:r>
                        <m:r>
                          <w:rPr>
                            <w:rFonts w:ascii="Cambria Math" w:hAnsi="Cambria Math"/>
                            <w:color w:val="000000" w:themeColor="text1"/>
                            <w:sz w:val="20"/>
                            <w:szCs w:val="20"/>
                            <w:shd w:val="clear" w:color="auto" w:fill="FFFFFF"/>
                          </w:rPr>
                          <m:t>-</m:t>
                        </m:r>
                      </m:sub>
                    </m:sSub>
                  </m:e>
                </m:d>
                <m:r>
                  <w:rPr>
                    <w:rFonts w:ascii="Cambria Math" w:hAnsi="Cambria Math"/>
                    <w:color w:val="000000" w:themeColor="text1"/>
                    <w:sz w:val="20"/>
                    <w:szCs w:val="20"/>
                    <w:shd w:val="clear" w:color="auto" w:fill="FFFFFF"/>
                  </w:rPr>
                  <m:t>=</m:t>
                </m:r>
                <m:f>
                  <m:fPr>
                    <m:ctrlPr>
                      <w:rPr>
                        <w:rFonts w:ascii="Cambria Math" w:eastAsiaTheme="minorHAnsi" w:hAnsi="Cambria Math"/>
                        <w:i/>
                        <w:iCs/>
                        <w:color w:val="000000" w:themeColor="text1"/>
                        <w:sz w:val="20"/>
                        <w:szCs w:val="20"/>
                        <w:shd w:val="clear" w:color="auto" w:fill="FFFFFF"/>
                      </w:rPr>
                    </m:ctrlPr>
                  </m:fPr>
                  <m:num>
                    <m:r>
                      <w:rPr>
                        <w:rFonts w:ascii="Cambria Math" w:hAnsi="Cambria Math"/>
                        <w:color w:val="000000" w:themeColor="text1"/>
                        <w:sz w:val="20"/>
                        <w:szCs w:val="20"/>
                        <w:shd w:val="clear" w:color="auto" w:fill="FFFFFF"/>
                      </w:rPr>
                      <m:t>1</m:t>
                    </m:r>
                  </m:num>
                  <m:den>
                    <m:r>
                      <w:rPr>
                        <w:rFonts w:ascii="Cambria Math" w:hAnsi="Cambria Math"/>
                        <w:color w:val="000000" w:themeColor="text1"/>
                        <w:sz w:val="20"/>
                        <w:szCs w:val="20"/>
                        <w:shd w:val="clear" w:color="auto" w:fill="FFFFFF"/>
                      </w:rPr>
                      <m:t>2</m:t>
                    </m:r>
                  </m:den>
                </m:f>
                <m:sSub>
                  <m:sSubPr>
                    <m:ctrlPr>
                      <w:rPr>
                        <w:rFonts w:ascii="Cambria Math" w:eastAsiaTheme="minorHAnsi" w:hAnsi="Cambria Math"/>
                        <w:i/>
                        <w:iCs/>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μ</m:t>
                    </m:r>
                  </m:e>
                  <m:sub>
                    <m:r>
                      <m:rPr>
                        <m:sty m:val="p"/>
                      </m:rPr>
                      <w:rPr>
                        <w:rFonts w:ascii="Cambria Math" w:hAnsi="Cambria Math"/>
                        <w:color w:val="000000" w:themeColor="text1"/>
                        <w:sz w:val="20"/>
                        <w:szCs w:val="20"/>
                        <w:shd w:val="clear" w:color="auto" w:fill="FFFFFF"/>
                      </w:rPr>
                      <m:t>H2</m:t>
                    </m:r>
                  </m:sub>
                </m:sSub>
                <m:r>
                  <m:rPr>
                    <m:sty m:val="p"/>
                  </m:rPr>
                  <w:rPr>
                    <w:rFonts w:ascii="Cambria Math" w:hAnsi="Cambria Math"/>
                    <w:color w:val="000000" w:themeColor="text1"/>
                    <w:sz w:val="20"/>
                    <w:szCs w:val="20"/>
                    <w:shd w:val="clear" w:color="auto" w:fill="FFFFFF"/>
                  </w:rPr>
                  <m:t xml:space="preserve"> </m:t>
                </m:r>
                <m:r>
                  <w:rPr>
                    <w:rFonts w:ascii="Cambria Math" w:hAnsi="Cambria Math"/>
                    <w:color w:val="000000" w:themeColor="text1"/>
                    <w:sz w:val="20"/>
                    <w:szCs w:val="20"/>
                    <w:shd w:val="clear" w:color="auto" w:fill="FFFFFF"/>
                  </w:rPr>
                  <m:t>-e</m:t>
                </m:r>
                <m:sSub>
                  <m:sSubPr>
                    <m:ctrlPr>
                      <w:rPr>
                        <w:rFonts w:ascii="Cambria Math" w:hAnsi="Cambria Math"/>
                        <w:i/>
                        <w:color w:val="000000" w:themeColor="text1"/>
                        <w:sz w:val="20"/>
                        <w:szCs w:val="20"/>
                        <w:shd w:val="clear" w:color="auto" w:fill="FFFFFF"/>
                      </w:rPr>
                    </m:ctrlPr>
                  </m:sSubPr>
                  <m:e>
                    <m:r>
                      <w:rPr>
                        <w:rFonts w:ascii="Cambria Math" w:hAnsi="Cambria Math"/>
                        <w:color w:val="000000" w:themeColor="text1"/>
                        <w:sz w:val="20"/>
                        <w:szCs w:val="20"/>
                        <w:shd w:val="clear" w:color="auto" w:fill="FFFFFF"/>
                      </w:rPr>
                      <m:t>U</m:t>
                    </m:r>
                  </m:e>
                  <m:sub>
                    <m:r>
                      <w:rPr>
                        <w:rFonts w:ascii="Cambria Math" w:hAnsi="Cambria Math"/>
                        <w:color w:val="000000" w:themeColor="text1"/>
                        <w:sz w:val="20"/>
                        <w:szCs w:val="20"/>
                        <w:shd w:val="clear" w:color="auto" w:fill="FFFFFF"/>
                      </w:rPr>
                      <m:t>RHE</m:t>
                    </m:r>
                  </m:sub>
                </m:sSub>
              </m:oMath>
            </m:oMathPara>
          </w:p>
        </w:tc>
        <w:tc>
          <w:tcPr>
            <w:tcW w:w="2130" w:type="dxa"/>
            <w:vAlign w:val="center"/>
          </w:tcPr>
          <w:p w14:paraId="712B9F00" w14:textId="3178A8AF" w:rsidR="004265D2" w:rsidRPr="004265D2" w:rsidRDefault="004265D2" w:rsidP="00E45E28">
            <w:pPr>
              <w:keepNext/>
              <w:jc w:val="right"/>
              <w:rPr>
                <w:bCs/>
                <w:sz w:val="20"/>
                <w:szCs w:val="20"/>
              </w:rPr>
            </w:pPr>
            <w:bookmarkStart w:id="78" w:name="_Ref159520302"/>
            <w:r w:rsidRPr="004265D2">
              <w:rPr>
                <w:sz w:val="20"/>
                <w:szCs w:val="20"/>
              </w:rPr>
              <w:t xml:space="preserve">Equation </w:t>
            </w:r>
            <w:r w:rsidRPr="004265D2">
              <w:rPr>
                <w:sz w:val="20"/>
                <w:szCs w:val="20"/>
              </w:rPr>
              <w:fldChar w:fldCharType="begin"/>
            </w:r>
            <w:r w:rsidRPr="004265D2">
              <w:rPr>
                <w:sz w:val="20"/>
                <w:szCs w:val="20"/>
              </w:rPr>
              <w:instrText xml:space="preserve"> SEQ Equation \* ARABIC </w:instrText>
            </w:r>
            <w:r w:rsidRPr="004265D2">
              <w:rPr>
                <w:sz w:val="20"/>
                <w:szCs w:val="20"/>
              </w:rPr>
              <w:fldChar w:fldCharType="separate"/>
            </w:r>
            <w:r w:rsidR="003255C0">
              <w:rPr>
                <w:noProof/>
                <w:sz w:val="20"/>
                <w:szCs w:val="20"/>
              </w:rPr>
              <w:t>46</w:t>
            </w:r>
            <w:r w:rsidRPr="004265D2">
              <w:rPr>
                <w:sz w:val="20"/>
                <w:szCs w:val="20"/>
              </w:rPr>
              <w:fldChar w:fldCharType="end"/>
            </w:r>
            <w:bookmarkEnd w:id="78"/>
          </w:p>
        </w:tc>
      </w:tr>
    </w:tbl>
    <w:p w14:paraId="202F5698" w14:textId="6051A1D2" w:rsidR="00E37E91" w:rsidRPr="00C630EE" w:rsidRDefault="00E37E91" w:rsidP="00E37E91">
      <w:pPr>
        <w:rPr>
          <w:color w:val="000000" w:themeColor="text1"/>
          <w:szCs w:val="22"/>
        </w:rPr>
      </w:pPr>
      <w:r>
        <w:rPr>
          <w:color w:val="000000" w:themeColor="text1"/>
          <w:szCs w:val="22"/>
        </w:rPr>
        <w:t xml:space="preserve">where </w:t>
      </w:r>
      <w:r>
        <w:rPr>
          <w:i/>
          <w:iCs/>
          <w:color w:val="000000" w:themeColor="text1"/>
          <w:szCs w:val="22"/>
        </w:rPr>
        <w:t>U</w:t>
      </w:r>
      <w:r>
        <w:rPr>
          <w:color w:val="000000" w:themeColor="text1"/>
          <w:szCs w:val="22"/>
          <w:vertAlign w:val="subscript"/>
        </w:rPr>
        <w:t>RHE</w:t>
      </w:r>
      <w:r>
        <w:rPr>
          <w:color w:val="000000" w:themeColor="text1"/>
          <w:szCs w:val="22"/>
        </w:rPr>
        <w:t xml:space="preserve"> is the potential on the RHE scale. An analogous expression for </w:t>
      </w:r>
      <w:r w:rsidR="00B026CA" w:rsidRPr="004B35B6">
        <w:rPr>
          <w:color w:val="000000" w:themeColor="text1"/>
          <w:szCs w:val="22"/>
        </w:rPr>
        <w:fldChar w:fldCharType="begin"/>
      </w:r>
      <w:r w:rsidR="00B026CA" w:rsidRPr="004B35B6">
        <w:rPr>
          <w:color w:val="000000" w:themeColor="text1"/>
          <w:szCs w:val="22"/>
        </w:rPr>
        <w:instrText xml:space="preserve"> REF _Ref159509215 \h </w:instrText>
      </w:r>
      <w:r w:rsidR="004B35B6">
        <w:rPr>
          <w:color w:val="000000" w:themeColor="text1"/>
          <w:szCs w:val="22"/>
        </w:rPr>
        <w:instrText xml:space="preserve"> \* MERGEFORMAT </w:instrText>
      </w:r>
      <w:r w:rsidR="00B026CA" w:rsidRPr="004B35B6">
        <w:rPr>
          <w:color w:val="000000" w:themeColor="text1"/>
          <w:szCs w:val="22"/>
        </w:rPr>
      </w:r>
      <w:r w:rsidR="00B026CA" w:rsidRPr="004B35B6">
        <w:rPr>
          <w:color w:val="000000" w:themeColor="text1"/>
          <w:szCs w:val="22"/>
        </w:rPr>
        <w:fldChar w:fldCharType="separate"/>
      </w:r>
      <w:r w:rsidR="003255C0" w:rsidRPr="00245F0C">
        <w:rPr>
          <w:szCs w:val="22"/>
        </w:rPr>
        <w:t xml:space="preserve">Equation </w:t>
      </w:r>
      <w:r w:rsidR="003255C0" w:rsidRPr="00245F0C">
        <w:rPr>
          <w:noProof/>
          <w:szCs w:val="22"/>
        </w:rPr>
        <w:t>33</w:t>
      </w:r>
      <w:r w:rsidR="00B026CA" w:rsidRPr="004B35B6">
        <w:rPr>
          <w:color w:val="000000" w:themeColor="text1"/>
          <w:szCs w:val="22"/>
        </w:rPr>
        <w:fldChar w:fldCharType="end"/>
      </w:r>
      <w:r w:rsidR="00B026CA">
        <w:rPr>
          <w:color w:val="000000" w:themeColor="text1"/>
          <w:szCs w:val="22"/>
        </w:rPr>
        <w:t xml:space="preserve"> </w:t>
      </w:r>
      <w:r>
        <w:rPr>
          <w:color w:val="000000" w:themeColor="text1"/>
          <w:szCs w:val="22"/>
        </w:rPr>
        <w:t xml:space="preserve">can then be used to compute the free energy change for removing a proton and electron from a surface on the RHE scale. However, most authors employ the SHE </w:t>
      </w:r>
      <w:proofErr w:type="gramStart"/>
      <w:r>
        <w:rPr>
          <w:color w:val="000000" w:themeColor="text1"/>
          <w:szCs w:val="22"/>
        </w:rPr>
        <w:t>scale</w:t>
      </w:r>
      <w:proofErr w:type="gramEnd"/>
      <w:r>
        <w:rPr>
          <w:color w:val="000000" w:themeColor="text1"/>
          <w:szCs w:val="22"/>
        </w:rPr>
        <w:t xml:space="preserve">. For simplicity we will then continue to use </w:t>
      </w:r>
      <w:r>
        <w:rPr>
          <w:i/>
          <w:iCs/>
          <w:color w:val="000000" w:themeColor="text1"/>
          <w:szCs w:val="22"/>
        </w:rPr>
        <w:t>U</w:t>
      </w:r>
      <w:r>
        <w:rPr>
          <w:color w:val="000000" w:themeColor="text1"/>
          <w:szCs w:val="22"/>
        </w:rPr>
        <w:t xml:space="preserve"> for the potential on the SHE </w:t>
      </w:r>
      <w:proofErr w:type="gramStart"/>
      <w:r>
        <w:rPr>
          <w:color w:val="000000" w:themeColor="text1"/>
          <w:szCs w:val="22"/>
        </w:rPr>
        <w:t>scale</w:t>
      </w:r>
      <w:proofErr w:type="gramEnd"/>
      <w:r>
        <w:rPr>
          <w:color w:val="000000" w:themeColor="text1"/>
          <w:szCs w:val="22"/>
        </w:rPr>
        <w:t xml:space="preserve"> and explicitly indicate when a different scale is used. </w:t>
      </w:r>
    </w:p>
    <w:p w14:paraId="5319C1FC" w14:textId="77777777" w:rsidR="00E37E91" w:rsidRPr="000875C7" w:rsidRDefault="00E37E91" w:rsidP="00E37E91">
      <w:pPr>
        <w:rPr>
          <w:color w:val="000000" w:themeColor="text1"/>
          <w:szCs w:val="22"/>
        </w:rPr>
      </w:pPr>
    </w:p>
    <w:p w14:paraId="1E33C64D" w14:textId="49061085" w:rsidR="00E37E91" w:rsidRPr="00EC6E98" w:rsidRDefault="00E37E91" w:rsidP="00E37E91">
      <w:pPr>
        <w:ind w:firstLine="720"/>
        <w:rPr>
          <w:iCs/>
          <w:color w:val="000000" w:themeColor="text1"/>
          <w:szCs w:val="22"/>
        </w:rPr>
      </w:pPr>
      <w:r>
        <w:rPr>
          <w:color w:val="000000" w:themeColor="text1"/>
          <w:szCs w:val="22"/>
        </w:rPr>
        <w:t>As we saw earlier, on the case of the SHE scale, the electrode potential dependence in the</w:t>
      </w:r>
      <w:r w:rsidRPr="00EC6E98">
        <w:rPr>
          <w:color w:val="000000" w:themeColor="text1"/>
          <w:szCs w:val="22"/>
        </w:rPr>
        <w:t xml:space="preserve"> CHE model is expressed </w:t>
      </w:r>
      <w:r w:rsidRPr="004B35B6">
        <w:rPr>
          <w:color w:val="000000" w:themeColor="text1"/>
          <w:szCs w:val="22"/>
        </w:rPr>
        <w:t xml:space="preserve">via </w:t>
      </w:r>
      <w:r w:rsidR="00B026CA" w:rsidRPr="004B35B6">
        <w:rPr>
          <w:color w:val="000000" w:themeColor="text1"/>
          <w:szCs w:val="22"/>
        </w:rPr>
        <w:fldChar w:fldCharType="begin"/>
      </w:r>
      <w:r w:rsidR="00B026CA" w:rsidRPr="004B35B6">
        <w:rPr>
          <w:color w:val="000000" w:themeColor="text1"/>
          <w:szCs w:val="22"/>
        </w:rPr>
        <w:instrText xml:space="preserve"> REF _Ref159508699 \h </w:instrText>
      </w:r>
      <w:r w:rsidR="004B35B6">
        <w:rPr>
          <w:color w:val="000000" w:themeColor="text1"/>
          <w:szCs w:val="22"/>
        </w:rPr>
        <w:instrText xml:space="preserve"> \* MERGEFORMAT </w:instrText>
      </w:r>
      <w:r w:rsidR="00B026CA" w:rsidRPr="004B35B6">
        <w:rPr>
          <w:color w:val="000000" w:themeColor="text1"/>
          <w:szCs w:val="22"/>
        </w:rPr>
      </w:r>
      <w:r w:rsidR="00B026CA" w:rsidRPr="004B35B6">
        <w:rPr>
          <w:color w:val="000000" w:themeColor="text1"/>
          <w:szCs w:val="22"/>
        </w:rPr>
        <w:fldChar w:fldCharType="separate"/>
      </w:r>
      <w:r w:rsidR="003255C0" w:rsidRPr="00245F0C">
        <w:rPr>
          <w:szCs w:val="22"/>
        </w:rPr>
        <w:t xml:space="preserve">Equation </w:t>
      </w:r>
      <w:r w:rsidR="003255C0" w:rsidRPr="00245F0C">
        <w:rPr>
          <w:noProof/>
          <w:szCs w:val="22"/>
        </w:rPr>
        <w:t>32</w:t>
      </w:r>
      <w:r w:rsidR="00B026CA" w:rsidRPr="004B35B6">
        <w:rPr>
          <w:color w:val="000000" w:themeColor="text1"/>
          <w:szCs w:val="22"/>
        </w:rPr>
        <w:fldChar w:fldCharType="end"/>
      </w:r>
      <w:r w:rsidRPr="004B35B6">
        <w:rPr>
          <w:color w:val="000000" w:themeColor="text1"/>
          <w:szCs w:val="22"/>
        </w:rPr>
        <w:t xml:space="preserve">, which allows the surface energy or reaction energy for each step to be computed for a given applied potential using DFT total energies and tabulated or computed thermochemistry data using </w:t>
      </w:r>
      <w:r w:rsidR="00B026CA" w:rsidRPr="004B35B6">
        <w:rPr>
          <w:color w:val="000000" w:themeColor="text1"/>
          <w:szCs w:val="22"/>
        </w:rPr>
        <w:fldChar w:fldCharType="begin"/>
      </w:r>
      <w:r w:rsidR="00B026CA" w:rsidRPr="004B35B6">
        <w:rPr>
          <w:color w:val="000000" w:themeColor="text1"/>
          <w:szCs w:val="22"/>
        </w:rPr>
        <w:instrText xml:space="preserve"> REF _Ref159509215 \h </w:instrText>
      </w:r>
      <w:r w:rsidR="004B35B6">
        <w:rPr>
          <w:color w:val="000000" w:themeColor="text1"/>
          <w:szCs w:val="22"/>
        </w:rPr>
        <w:instrText xml:space="preserve"> \* MERGEFORMAT </w:instrText>
      </w:r>
      <w:r w:rsidR="00B026CA" w:rsidRPr="004B35B6">
        <w:rPr>
          <w:color w:val="000000" w:themeColor="text1"/>
          <w:szCs w:val="22"/>
        </w:rPr>
      </w:r>
      <w:r w:rsidR="00B026CA" w:rsidRPr="004B35B6">
        <w:rPr>
          <w:color w:val="000000" w:themeColor="text1"/>
          <w:szCs w:val="22"/>
        </w:rPr>
        <w:fldChar w:fldCharType="separate"/>
      </w:r>
      <w:r w:rsidR="003255C0" w:rsidRPr="00245F0C">
        <w:rPr>
          <w:szCs w:val="22"/>
        </w:rPr>
        <w:t xml:space="preserve">Equation </w:t>
      </w:r>
      <w:r w:rsidR="003255C0" w:rsidRPr="00245F0C">
        <w:rPr>
          <w:noProof/>
          <w:szCs w:val="22"/>
        </w:rPr>
        <w:t>33</w:t>
      </w:r>
      <w:r w:rsidR="00B026CA" w:rsidRPr="004B35B6">
        <w:rPr>
          <w:color w:val="000000" w:themeColor="text1"/>
          <w:szCs w:val="22"/>
        </w:rPr>
        <w:fldChar w:fldCharType="end"/>
      </w:r>
      <w:r w:rsidRPr="004B35B6">
        <w:rPr>
          <w:color w:val="000000" w:themeColor="text1"/>
          <w:szCs w:val="22"/>
        </w:rPr>
        <w:t>.</w:t>
      </w:r>
      <w:r w:rsidRPr="00EC6E98">
        <w:rPr>
          <w:color w:val="000000" w:themeColor="text1"/>
          <w:szCs w:val="22"/>
        </w:rPr>
        <w:t xml:space="preserve"> As noted previously, this calculation requires the DFT total energies of all species involved, which for O</w:t>
      </w:r>
      <w:r w:rsidRPr="00EC6E98">
        <w:rPr>
          <w:color w:val="000000" w:themeColor="text1"/>
          <w:szCs w:val="22"/>
          <w:vertAlign w:val="subscript"/>
        </w:rPr>
        <w:t>2</w:t>
      </w:r>
      <w:r w:rsidRPr="00EC6E98">
        <w:rPr>
          <w:color w:val="000000" w:themeColor="text1"/>
          <w:szCs w:val="22"/>
        </w:rPr>
        <w:t xml:space="preserve"> is problematic</w:t>
      </w:r>
      <w:r>
        <w:rPr>
          <w:iCs/>
          <w:color w:val="000000" w:themeColor="text1"/>
          <w:szCs w:val="22"/>
          <w:shd w:val="clear" w:color="auto" w:fill="FFFFFF"/>
        </w:rPr>
        <w:fldChar w:fldCharType="begin">
          <w:fldData xml:space="preserve">PEVuZE5vdGU+PENpdGU+PEF1dGhvcj5LdXJ0aDwvQXV0aG9yPjxZZWFyPjE5OTk8L1llYXI+PFJl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</w:fldData>
        </w:fldChar>
      </w:r>
      <w:r w:rsidR="00FC5BEB">
        <w:rPr>
          <w:iCs/>
          <w:color w:val="000000" w:themeColor="text1"/>
          <w:szCs w:val="22"/>
          <w:shd w:val="clear" w:color="auto" w:fill="FFFFFF"/>
        </w:rPr>
        <w:instrText xml:space="preserve"> ADDIN EN.CITE </w:instrText>
      </w:r>
      <w:r w:rsidR="00FC5BEB">
        <w:rPr>
          <w:iCs/>
          <w:color w:val="000000" w:themeColor="text1"/>
          <w:szCs w:val="22"/>
          <w:shd w:val="clear" w:color="auto" w:fill="FFFFFF"/>
        </w:rPr>
        <w:fldChar w:fldCharType="begin">
          <w:fldData xml:space="preserve">PEVuZE5vdGU+PENpdGU+PEF1dGhvcj5LdXJ0aDwvQXV0aG9yPjxZZWFyPjE5OTk8L1llYXI+PFJl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</w:fldData>
        </w:fldChar>
      </w:r>
      <w:r w:rsidR="00FC5BEB">
        <w:rPr>
          <w:iCs/>
          <w:color w:val="000000" w:themeColor="text1"/>
          <w:szCs w:val="22"/>
          <w:shd w:val="clear" w:color="auto" w:fill="FFFFFF"/>
        </w:rPr>
        <w:instrText xml:space="preserve"> ADDIN EN.CITE.DATA </w:instrText>
      </w:r>
      <w:r w:rsidR="00FC5BEB">
        <w:rPr>
          <w:iCs/>
          <w:color w:val="000000" w:themeColor="text1"/>
          <w:szCs w:val="22"/>
          <w:shd w:val="clear" w:color="auto" w:fill="FFFFFF"/>
        </w:rPr>
      </w:r>
      <w:r w:rsidR="00FC5BEB">
        <w:rPr>
          <w:iCs/>
          <w:color w:val="000000" w:themeColor="text1"/>
          <w:szCs w:val="22"/>
          <w:shd w:val="clear" w:color="auto" w:fill="FFFFFF"/>
        </w:rPr>
        <w:fldChar w:fldCharType="end"/>
      </w:r>
      <w:r>
        <w:rPr>
          <w:iCs/>
          <w:color w:val="000000" w:themeColor="text1"/>
          <w:szCs w:val="22"/>
          <w:shd w:val="clear" w:color="auto" w:fill="FFFFFF"/>
        </w:rPr>
      </w:r>
      <w:r>
        <w:rPr>
          <w:iCs/>
          <w:color w:val="000000" w:themeColor="text1"/>
          <w:szCs w:val="22"/>
          <w:shd w:val="clear" w:color="auto" w:fill="FFFFFF"/>
        </w:rPr>
        <w:fldChar w:fldCharType="separate"/>
      </w:r>
      <w:r w:rsidR="00FC5BEB" w:rsidRPr="00FC5BEB">
        <w:rPr>
          <w:iCs/>
          <w:noProof/>
          <w:color w:val="000000" w:themeColor="text1"/>
          <w:szCs w:val="22"/>
          <w:shd w:val="clear" w:color="auto" w:fill="FFFFFF"/>
          <w:vertAlign w:val="superscript"/>
        </w:rPr>
        <w:t>114, 115</w:t>
      </w:r>
      <w:r>
        <w:rPr>
          <w:iCs/>
          <w:color w:val="000000" w:themeColor="text1"/>
          <w:szCs w:val="22"/>
          <w:shd w:val="clear" w:color="auto" w:fill="FFFFFF"/>
        </w:rPr>
        <w:fldChar w:fldCharType="end"/>
      </w:r>
      <w:r>
        <w:rPr>
          <w:iCs/>
          <w:color w:val="000000" w:themeColor="text1"/>
          <w:szCs w:val="22"/>
          <w:shd w:val="clear" w:color="auto" w:fill="FFFFFF"/>
        </w:rPr>
        <w:t xml:space="preserve"> </w:t>
      </w:r>
      <w:r w:rsidRPr="00EC6E98">
        <w:rPr>
          <w:color w:val="000000" w:themeColor="text1"/>
          <w:szCs w:val="22"/>
        </w:rPr>
        <w:t xml:space="preserve">with modern functionals. Thus, in </w:t>
      </w:r>
      <w:r>
        <w:rPr>
          <w:color w:val="000000" w:themeColor="text1"/>
          <w:szCs w:val="22"/>
        </w:rPr>
        <w:t xml:space="preserve">Ref. </w:t>
      </w:r>
      <w:r>
        <w:rPr>
          <w:color w:val="000000" w:themeColor="text1"/>
          <w:szCs w:val="22"/>
        </w:rPr>
        <w:fldChar w:fldCharType="begin"/>
      </w:r>
      <w:r w:rsidR="00FC5BEB">
        <w:rPr>
          <w:color w:val="000000" w:themeColor="text1"/>
          <w:szCs w:val="22"/>
        </w:rPr>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87</w:t>
      </w:r>
      <w:r>
        <w:rPr>
          <w:color w:val="000000" w:themeColor="text1"/>
          <w:szCs w:val="22"/>
        </w:rPr>
        <w:fldChar w:fldCharType="end"/>
      </w:r>
      <w:r>
        <w:rPr>
          <w:color w:val="000000" w:themeColor="text1"/>
          <w:szCs w:val="22"/>
        </w:rPr>
        <w:t xml:space="preserve"> </w:t>
      </w:r>
      <w:r w:rsidRPr="00EC6E98">
        <w:rPr>
          <w:color w:val="000000" w:themeColor="text1"/>
          <w:szCs w:val="22"/>
        </w:rPr>
        <w:t>the authors used gas-phase H</w:t>
      </w:r>
      <w:r w:rsidRPr="00EC6E98">
        <w:rPr>
          <w:color w:val="000000" w:themeColor="text1"/>
          <w:szCs w:val="22"/>
          <w:vertAlign w:val="subscript"/>
        </w:rPr>
        <w:t>2</w:t>
      </w:r>
      <w:r w:rsidRPr="00EC6E98">
        <w:rPr>
          <w:color w:val="000000" w:themeColor="text1"/>
          <w:szCs w:val="22"/>
        </w:rPr>
        <w:t>O and H</w:t>
      </w:r>
      <w:r w:rsidRPr="00EC6E98">
        <w:rPr>
          <w:color w:val="000000" w:themeColor="text1"/>
          <w:szCs w:val="22"/>
          <w:vertAlign w:val="subscript"/>
        </w:rPr>
        <w:t>2</w:t>
      </w:r>
      <w:r w:rsidRPr="00EC6E98">
        <w:rPr>
          <w:color w:val="000000" w:themeColor="text1"/>
          <w:szCs w:val="22"/>
        </w:rPr>
        <w:t xml:space="preserve"> as reference states, which are well described by DFT within the GGA. The entropic contributions to the chemical potentials were taken from tabulated values, where the entropy of gas-phase water at 0.035 bar was employed since this is the equilibrium pressure at room temperature. Enthalpic contributions were ignored. H</w:t>
      </w:r>
      <w:r w:rsidRPr="00EC6E98">
        <w:rPr>
          <w:color w:val="000000" w:themeColor="text1"/>
          <w:szCs w:val="22"/>
          <w:vertAlign w:val="subscript"/>
        </w:rPr>
        <w:t>2</w:t>
      </w:r>
      <w:r w:rsidRPr="00EC6E98">
        <w:rPr>
          <w:color w:val="000000" w:themeColor="text1"/>
          <w:szCs w:val="22"/>
        </w:rPr>
        <w:t>O and H</w:t>
      </w:r>
      <w:r w:rsidRPr="00EC6E98">
        <w:rPr>
          <w:color w:val="000000" w:themeColor="text1"/>
          <w:szCs w:val="22"/>
          <w:vertAlign w:val="subscript"/>
        </w:rPr>
        <w:t>2</w:t>
      </w:r>
      <w:r w:rsidRPr="00EC6E98">
        <w:rPr>
          <w:color w:val="000000" w:themeColor="text1"/>
          <w:szCs w:val="22"/>
        </w:rPr>
        <w:t xml:space="preserve"> were used as reference states; the authors computed the energy of O</w:t>
      </w:r>
      <w:r w:rsidRPr="00EC6E98">
        <w:rPr>
          <w:color w:val="000000" w:themeColor="text1"/>
          <w:szCs w:val="22"/>
          <w:vertAlign w:val="subscript"/>
        </w:rPr>
        <w:t>2</w:t>
      </w:r>
      <w:r w:rsidRPr="00EC6E98">
        <w:rPr>
          <w:color w:val="000000" w:themeColor="text1"/>
          <w:szCs w:val="22"/>
        </w:rPr>
        <w:t xml:space="preserve"> by fixing the free energy of</w:t>
      </w:r>
      <w:r w:rsidRPr="00EC6E98">
        <w:rPr>
          <w:iCs/>
          <w:color w:val="000000" w:themeColor="text1"/>
          <w:szCs w:val="22"/>
        </w:rPr>
        <w:t xml:space="preserve"> </w:t>
      </w:r>
      <m:oMath>
        <m:sSub>
          <m:sSubPr>
            <m:ctrlPr>
              <w:rPr>
                <w:rFonts w:ascii="Cambria Math" w:eastAsiaTheme="minorHAnsi" w:hAnsi="Cambria Math"/>
                <w:iCs/>
                <w:color w:val="000000" w:themeColor="text1"/>
                <w:szCs w:val="22"/>
              </w:rPr>
            </m:ctrlPr>
          </m:sSubPr>
          <m:e>
            <m:r>
              <m:rPr>
                <m:sty m:val="p"/>
              </m:rPr>
              <w:rPr>
                <w:rFonts w:ascii="Cambria Math" w:hAnsi="Cambria Math"/>
                <w:color w:val="000000" w:themeColor="text1"/>
                <w:szCs w:val="22"/>
              </w:rPr>
              <m:t>H</m:t>
            </m:r>
          </m:e>
          <m:sub>
            <m:r>
              <m:rPr>
                <m:sty m:val="p"/>
              </m:rPr>
              <w:rPr>
                <w:rFonts w:ascii="Cambria Math" w:hAnsi="Cambria Math"/>
                <w:color w:val="000000" w:themeColor="text1"/>
                <w:szCs w:val="22"/>
              </w:rPr>
              <m:t>2</m:t>
            </m:r>
          </m:sub>
        </m:sSub>
        <m:r>
          <m:rPr>
            <m:sty m:val="p"/>
          </m:rPr>
          <w:rPr>
            <w:rFonts w:ascii="Cambria Math" w:hAnsi="Cambria Math"/>
            <w:color w:val="000000" w:themeColor="text1"/>
            <w:szCs w:val="22"/>
          </w:rPr>
          <m:t>O→</m:t>
        </m:r>
        <m:f>
          <m:fPr>
            <m:ctrlPr>
              <w:rPr>
                <w:rFonts w:ascii="Cambria Math" w:eastAsiaTheme="minorHAnsi" w:hAnsi="Cambria Math"/>
                <w:iCs/>
                <w:color w:val="000000" w:themeColor="text1"/>
                <w:szCs w:val="22"/>
              </w:rPr>
            </m:ctrlPr>
          </m:fPr>
          <m:num>
            <m:r>
              <m:rPr>
                <m:sty m:val="p"/>
              </m:rPr>
              <w:rPr>
                <w:rFonts w:ascii="Cambria Math" w:hAnsi="Cambria Math"/>
                <w:color w:val="000000" w:themeColor="text1"/>
                <w:szCs w:val="22"/>
              </w:rPr>
              <m:t>1</m:t>
            </m:r>
          </m:num>
          <m:den>
            <m:r>
              <m:rPr>
                <m:sty m:val="p"/>
              </m:rPr>
              <w:rPr>
                <w:rFonts w:ascii="Cambria Math" w:hAnsi="Cambria Math"/>
                <w:color w:val="000000" w:themeColor="text1"/>
                <w:szCs w:val="22"/>
              </w:rPr>
              <m:t>2</m:t>
            </m:r>
          </m:den>
        </m:f>
        <m:sSub>
          <m:sSubPr>
            <m:ctrlPr>
              <w:rPr>
                <w:rFonts w:ascii="Cambria Math" w:eastAsiaTheme="minorHAnsi" w:hAnsi="Cambria Math"/>
                <w:iCs/>
                <w:color w:val="000000" w:themeColor="text1"/>
                <w:szCs w:val="22"/>
              </w:rPr>
            </m:ctrlPr>
          </m:sSubPr>
          <m:e>
            <m:r>
              <m:rPr>
                <m:sty m:val="p"/>
              </m:rPr>
              <w:rPr>
                <w:rFonts w:ascii="Cambria Math" w:hAnsi="Cambria Math"/>
                <w:color w:val="000000" w:themeColor="text1"/>
                <w:szCs w:val="22"/>
              </w:rPr>
              <m:t>O</m:t>
            </m:r>
          </m:e>
          <m:sub>
            <m:r>
              <m:rPr>
                <m:sty m:val="p"/>
              </m:rPr>
              <w:rPr>
                <w:rFonts w:ascii="Cambria Math" w:hAnsi="Cambria Math"/>
                <w:color w:val="000000" w:themeColor="text1"/>
                <w:szCs w:val="22"/>
              </w:rPr>
              <m:t>2</m:t>
            </m:r>
          </m:sub>
        </m:sSub>
        <m:r>
          <m:rPr>
            <m:sty m:val="p"/>
          </m:rPr>
          <w:rPr>
            <w:rFonts w:ascii="Cambria Math" w:hAnsi="Cambria Math"/>
            <w:color w:val="000000" w:themeColor="text1"/>
            <w:szCs w:val="22"/>
          </w:rPr>
          <m:t>+</m:t>
        </m:r>
        <m:sSub>
          <m:sSubPr>
            <m:ctrlPr>
              <w:rPr>
                <w:rFonts w:ascii="Cambria Math" w:eastAsiaTheme="minorHAnsi" w:hAnsi="Cambria Math"/>
                <w:iCs/>
                <w:color w:val="000000" w:themeColor="text1"/>
                <w:szCs w:val="22"/>
              </w:rPr>
            </m:ctrlPr>
          </m:sSubPr>
          <m:e>
            <m:r>
              <m:rPr>
                <m:sty m:val="p"/>
              </m:rPr>
              <w:rPr>
                <w:rFonts w:ascii="Cambria Math" w:hAnsi="Cambria Math"/>
                <w:color w:val="000000" w:themeColor="text1"/>
                <w:szCs w:val="22"/>
              </w:rPr>
              <m:t>H</m:t>
            </m:r>
          </m:e>
          <m:sub>
            <m:r>
              <m:rPr>
                <m:sty m:val="p"/>
              </m:rPr>
              <w:rPr>
                <w:rFonts w:ascii="Cambria Math" w:hAnsi="Cambria Math"/>
                <w:color w:val="000000" w:themeColor="text1"/>
                <w:szCs w:val="22"/>
              </w:rPr>
              <m:t>2</m:t>
            </m:r>
          </m:sub>
        </m:sSub>
      </m:oMath>
      <w:r w:rsidRPr="00EC6E98">
        <w:rPr>
          <w:iCs/>
          <w:color w:val="000000" w:themeColor="text1"/>
          <w:szCs w:val="22"/>
        </w:rPr>
        <w:t xml:space="preserve"> to 2.46 eV. By ignoring field effects, the authors were then able to compute free energies of reaction by correcting adsorption energies using the CHE framework.</w:t>
      </w:r>
    </w:p>
    <w:p w14:paraId="434B4513" w14:textId="77777777" w:rsidR="00E37E91" w:rsidRPr="00EC6E98" w:rsidRDefault="00E37E91" w:rsidP="00E37E91">
      <w:pPr>
        <w:rPr>
          <w:iCs/>
          <w:color w:val="000000" w:themeColor="text1"/>
          <w:szCs w:val="22"/>
        </w:rPr>
      </w:pPr>
    </w:p>
    <w:p w14:paraId="26CC07C7" w14:textId="47EC6442" w:rsidR="00E37E91" w:rsidRPr="004265D2" w:rsidRDefault="00E37E91" w:rsidP="00E37E91">
      <w:pPr>
        <w:pStyle w:val="NormalWeb"/>
        <w:rPr>
          <w:color w:val="000000" w:themeColor="text1"/>
          <w:szCs w:val="22"/>
        </w:rPr>
      </w:pPr>
      <w:r w:rsidRPr="00EC6E98">
        <w:rPr>
          <w:rFonts w:eastAsiaTheme="minorEastAsia"/>
          <w:iCs/>
          <w:color w:val="000000" w:themeColor="text1"/>
          <w:szCs w:val="22"/>
        </w:rPr>
        <w:tab/>
        <w:t xml:space="preserve">With all chemical potentials defined, the authors of </w:t>
      </w:r>
      <w:r>
        <w:rPr>
          <w:color w:val="000000" w:themeColor="text1"/>
          <w:szCs w:val="22"/>
        </w:rPr>
        <w:t xml:space="preserve">Ref. </w:t>
      </w:r>
      <w:r>
        <w:rPr>
          <w:color w:val="000000" w:themeColor="text1"/>
          <w:szCs w:val="22"/>
        </w:rPr>
        <w:fldChar w:fldCharType="begin"/>
      </w:r>
      <w:r w:rsidR="00FC5BEB">
        <w:rPr>
          <w:color w:val="000000" w:themeColor="text1"/>
          <w:szCs w:val="22"/>
        </w:rPr>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87</w:t>
      </w:r>
      <w:r>
        <w:rPr>
          <w:color w:val="000000" w:themeColor="text1"/>
          <w:szCs w:val="22"/>
        </w:rPr>
        <w:fldChar w:fldCharType="end"/>
      </w:r>
      <w:r>
        <w:rPr>
          <w:color w:val="000000" w:themeColor="text1"/>
          <w:szCs w:val="22"/>
        </w:rPr>
        <w:t xml:space="preserve"> </w:t>
      </w:r>
      <w:r w:rsidRPr="00EC6E98">
        <w:rPr>
          <w:color w:val="000000" w:themeColor="text1"/>
          <w:szCs w:val="22"/>
        </w:rPr>
        <w:t>turned to the role of solvent of the OER reaction free energies on Pt(111). The interfacial water structure was modeled using a 2D structure proposed from XAS, XPS, and XES studies of water-ice on Pt(111)</w:t>
      </w:r>
      <w:r>
        <w:rPr>
          <w:color w:val="000000" w:themeColor="text1"/>
          <w:szCs w:val="22"/>
        </w:rPr>
        <w:fldChar w:fldCharType="begin"/>
      </w:r>
      <w:r w:rsidR="00FC5BEB">
        <w:rPr>
          <w:color w:val="000000" w:themeColor="text1"/>
          <w:szCs w:val="22"/>
        </w:rPr>
        <w:instrText xml:space="preserve"> ADDIN EN.CITE &lt;EndNote&gt;&lt;Cite&gt;&lt;Author&gt;Ogasawara&lt;/Author&gt;&lt;Year&gt;2002&lt;/Year&gt;&lt;RecNum&gt;141&lt;/RecNum&gt;&lt;DisplayText&gt;&lt;style face="superscript"&gt;143&lt;/style&gt;&lt;/DisplayText&gt;&lt;record&gt;&lt;rec-number&gt;141&lt;/rec-number&gt;&lt;foreign-keys&gt;&lt;key app="EN" db-id="2xex0erf4eexr4e2dpbxpdd829xttesxxxdr" timestamp="1715075296"&gt;141&lt;/key&gt;&lt;/foreign-keys&gt;&lt;ref-type name="Journal Article"&gt;17&lt;/ref-type&gt;&lt;contributors&gt;&lt;authors&gt;&lt;author&gt;Ogasawara, H.&lt;/author&gt;&lt;author&gt;Brena, B.&lt;/author&gt;&lt;author&gt;Nordlund, D.&lt;/author&gt;&lt;author&gt;Nyberg, M.&lt;/author&gt;&lt;author&gt;Pelmenschikov, A.&lt;/author&gt;&lt;author&gt;Pettersson, L. G. M.&lt;/author&gt;&lt;author&gt;Nilsson, A.&lt;/author&gt;&lt;/authors&gt;&lt;/contributors&gt;&lt;titles&gt;&lt;title&gt;Structure and Bonding of Water on Pt(111)&lt;/title&gt;&lt;secondary-title&gt;Physical Review Letters&lt;/secondary-title&gt;&lt;/titles&gt;&lt;periodical&gt;&lt;full-title&gt;Physical Review Letters&lt;/full-title&gt;&lt;abbr-1&gt;Phys. Rev. Lett.&lt;/abbr-1&gt;&lt;abbr-2&gt;Phys Rev Lett&lt;/abbr-2&gt;&lt;/periodical&gt;&lt;pages&gt;276102&lt;/pages&gt;&lt;volume&gt;89&lt;/volume&gt;&lt;number&gt;27&lt;/number&gt;&lt;dates&gt;&lt;year&gt;2002&lt;/year&gt;&lt;pub-dates&gt;&lt;date&gt;12/18/&lt;/date&gt;&lt;/pub-dates&gt;&lt;/dates&gt;&lt;publisher&gt;American Physical Society&lt;/publisher&gt;&lt;urls&gt;&lt;related-urls&gt;&lt;url&gt;https://link.aps.org/doi/10.1103/PhysRevLett.89.276102&lt;/url&gt;&lt;/related-urls&gt;&lt;/urls&gt;&lt;electronic-resource-num&gt;10.1103/PhysRevLett.89.276102&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143</w:t>
      </w:r>
      <w:r>
        <w:rPr>
          <w:color w:val="000000" w:themeColor="text1"/>
          <w:szCs w:val="22"/>
        </w:rPr>
        <w:fldChar w:fldCharType="end"/>
      </w:r>
      <w:r w:rsidRPr="00EC6E98">
        <w:rPr>
          <w:color w:val="000000" w:themeColor="text1"/>
          <w:szCs w:val="22"/>
        </w:rPr>
        <w:t xml:space="preserve">. The authors found such 2D ice stabilized polar species, </w:t>
      </w:r>
      <w:r>
        <w:rPr>
          <w:color w:val="000000" w:themeColor="text1"/>
          <w:szCs w:val="22"/>
        </w:rPr>
        <w:t>*OH</w:t>
      </w:r>
      <w:r w:rsidRPr="00EC6E98">
        <w:rPr>
          <w:color w:val="000000" w:themeColor="text1"/>
          <w:szCs w:val="22"/>
        </w:rPr>
        <w:t xml:space="preserve"> and </w:t>
      </w:r>
      <w:r>
        <w:rPr>
          <w:color w:val="000000" w:themeColor="text1"/>
          <w:szCs w:val="22"/>
        </w:rPr>
        <w:t>*OOH</w:t>
      </w:r>
      <w:r w:rsidRPr="00EC6E98">
        <w:rPr>
          <w:color w:val="000000" w:themeColor="text1"/>
          <w:szCs w:val="22"/>
        </w:rPr>
        <w:t xml:space="preserve"> by ~0.3 eV on </w:t>
      </w:r>
      <w:proofErr w:type="gramStart"/>
      <w:r w:rsidRPr="00EC6E98">
        <w:rPr>
          <w:color w:val="000000" w:themeColor="text1"/>
          <w:szCs w:val="22"/>
        </w:rPr>
        <w:t>Pt(</w:t>
      </w:r>
      <w:proofErr w:type="gramEnd"/>
      <w:r w:rsidRPr="00EC6E98">
        <w:rPr>
          <w:color w:val="000000" w:themeColor="text1"/>
          <w:szCs w:val="22"/>
        </w:rPr>
        <w:t xml:space="preserve">111), whereas adsorbed O is not stabilized by the ice layer. The authors go on to point out that on oxidized surfaces the stabilization of polar molecules is reduced to 0.2 eV because the ice layer is on top of the adsorbates rather than in the plane of the adsorbed molecules. Since 0.2-0.3 eV is ~25% of the adsorption free energy of </w:t>
      </w:r>
      <w:r>
        <w:rPr>
          <w:color w:val="000000" w:themeColor="text1"/>
          <w:szCs w:val="22"/>
        </w:rPr>
        <w:t>*OH</w:t>
      </w:r>
      <w:r w:rsidRPr="00EC6E98">
        <w:rPr>
          <w:color w:val="000000" w:themeColor="text1"/>
          <w:szCs w:val="22"/>
        </w:rPr>
        <w:t xml:space="preserve">, ignoring this contribution would lead to unacceptably large errors; by way of </w:t>
      </w:r>
      <w:r w:rsidRPr="00EC6E98">
        <w:rPr>
          <w:color w:val="000000" w:themeColor="text1"/>
          <w:szCs w:val="22"/>
        </w:rPr>
        <w:lastRenderedPageBreak/>
        <w:t xml:space="preserve">example, </w:t>
      </w:r>
      <w:r w:rsidRPr="00EC6E98">
        <w:rPr>
          <w:color w:val="000000" w:themeColor="text1"/>
          <w:szCs w:val="22"/>
        </w:rPr>
        <w:sym w:font="Symbol" w:char="F044"/>
      </w:r>
      <w:r w:rsidRPr="00EC6E98">
        <w:rPr>
          <w:i/>
          <w:iCs/>
          <w:color w:val="000000" w:themeColor="text1"/>
          <w:szCs w:val="22"/>
        </w:rPr>
        <w:t>E</w:t>
      </w:r>
      <w:r w:rsidRPr="00EC6E98">
        <w:rPr>
          <w:color w:val="000000" w:themeColor="text1"/>
          <w:szCs w:val="22"/>
          <w:vertAlign w:val="subscript"/>
        </w:rPr>
        <w:t>ZPT</w:t>
      </w:r>
      <w:r w:rsidRPr="00EC6E98">
        <w:rPr>
          <w:color w:val="000000" w:themeColor="text1"/>
          <w:szCs w:val="22"/>
        </w:rPr>
        <w:t xml:space="preserve"> is in the range of 0.1-0.2 eV when hydrogen is present and </w:t>
      </w:r>
      <w:r w:rsidRPr="00EC6E98">
        <w:rPr>
          <w:color w:val="000000" w:themeColor="text1"/>
          <w:szCs w:val="22"/>
        </w:rPr>
        <w:sym w:font="Symbol" w:char="F044"/>
      </w:r>
      <w:r w:rsidRPr="00EC6E98">
        <w:rPr>
          <w:i/>
          <w:iCs/>
          <w:color w:val="000000" w:themeColor="text1"/>
          <w:szCs w:val="22"/>
        </w:rPr>
        <w:t>E</w:t>
      </w:r>
      <w:r w:rsidRPr="00EC6E98">
        <w:rPr>
          <w:color w:val="000000" w:themeColor="text1"/>
          <w:szCs w:val="22"/>
          <w:vertAlign w:val="subscript"/>
        </w:rPr>
        <w:t>ZPT</w:t>
      </w:r>
      <w:r w:rsidRPr="00EC6E98">
        <w:rPr>
          <w:color w:val="000000" w:themeColor="text1"/>
          <w:szCs w:val="22"/>
        </w:rPr>
        <w:t xml:space="preserve"> is included in </w:t>
      </w:r>
      <w:r w:rsidRPr="00EC6E98">
        <w:rPr>
          <w:i/>
          <w:iCs/>
          <w:color w:val="000000" w:themeColor="text1"/>
          <w:szCs w:val="22"/>
        </w:rPr>
        <w:t xml:space="preserve">ab initio </w:t>
      </w:r>
      <w:r w:rsidRPr="00EC6E98">
        <w:rPr>
          <w:color w:val="000000" w:themeColor="text1"/>
          <w:szCs w:val="22"/>
        </w:rPr>
        <w:t>atomistic thermodynamics to avoid an unacceptable error</w:t>
      </w:r>
      <w:r>
        <w:rPr>
          <w:rFonts w:eastAsiaTheme="minorEastAsia"/>
          <w:iCs/>
          <w:color w:val="000000" w:themeColor="text1"/>
          <w:szCs w:val="22"/>
          <w:shd w:val="clear" w:color="auto" w:fill="FFFFFF"/>
        </w:rPr>
        <w:fldChar w:fldCharType="begin">
          <w:fldData xml:space="preserve">PEVuZE5vdGU+PENpdGU+PEF1dGhvcj5TdW48L0F1dGhvcj48WWVhcj4yMDAzPC9ZZWFyPjxSZWNO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</w:fldData>
        </w:fldChar>
      </w:r>
      <w:r w:rsidR="00FC5BEB">
        <w:rPr>
          <w:rFonts w:eastAsiaTheme="minorEastAsia"/>
          <w:iCs/>
          <w:color w:val="000000" w:themeColor="text1"/>
          <w:szCs w:val="22"/>
          <w:shd w:val="clear" w:color="auto" w:fill="FFFFFF"/>
        </w:rPr>
        <w:instrText xml:space="preserve"> ADDIN EN.CITE </w:instrText>
      </w:r>
      <w:r w:rsidR="00FC5BEB">
        <w:rPr>
          <w:rFonts w:eastAsiaTheme="minorEastAsia"/>
          <w:iCs/>
          <w:color w:val="000000" w:themeColor="text1"/>
          <w:szCs w:val="22"/>
          <w:shd w:val="clear" w:color="auto" w:fill="FFFFFF"/>
        </w:rPr>
        <w:fldChar w:fldCharType="begin">
          <w:fldData xml:space="preserve">PEVuZE5vdGU+PENpdGU+PEF1dGhvcj5TdW48L0F1dGhvcj48WWVhcj4yMDAzPC9ZZWFyPjxSZWNO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</w:fldData>
        </w:fldChar>
      </w:r>
      <w:r w:rsidR="00FC5BEB">
        <w:rPr>
          <w:rFonts w:eastAsiaTheme="minorEastAsia"/>
          <w:iCs/>
          <w:color w:val="000000" w:themeColor="text1"/>
          <w:szCs w:val="22"/>
          <w:shd w:val="clear" w:color="auto" w:fill="FFFFFF"/>
        </w:rPr>
        <w:instrText xml:space="preserve"> ADDIN EN.CITE.DATA </w:instrText>
      </w:r>
      <w:r w:rsidR="00FC5BEB">
        <w:rPr>
          <w:rFonts w:eastAsiaTheme="minorEastAsia"/>
          <w:iCs/>
          <w:color w:val="000000" w:themeColor="text1"/>
          <w:szCs w:val="22"/>
          <w:shd w:val="clear" w:color="auto" w:fill="FFFFFF"/>
        </w:rPr>
      </w:r>
      <w:r w:rsidR="00FC5BEB">
        <w:rPr>
          <w:rFonts w:eastAsiaTheme="minorEastAsia"/>
          <w:iCs/>
          <w:color w:val="000000" w:themeColor="text1"/>
          <w:szCs w:val="22"/>
          <w:shd w:val="clear" w:color="auto" w:fill="FFFFFF"/>
        </w:rPr>
        <w:fldChar w:fldCharType="end"/>
      </w:r>
      <w:r>
        <w:rPr>
          <w:rFonts w:eastAsiaTheme="minorEastAsia"/>
          <w:iCs/>
          <w:color w:val="000000" w:themeColor="text1"/>
          <w:szCs w:val="22"/>
          <w:shd w:val="clear" w:color="auto" w:fill="FFFFFF"/>
        </w:rPr>
      </w:r>
      <w:r>
        <w:rPr>
          <w:rFonts w:eastAsiaTheme="minorEastAsia"/>
          <w:iCs/>
          <w:color w:val="000000" w:themeColor="text1"/>
          <w:szCs w:val="22"/>
          <w:shd w:val="clear" w:color="auto" w:fill="FFFFFF"/>
        </w:rPr>
        <w:fldChar w:fldCharType="separate"/>
      </w:r>
      <w:r w:rsidR="00FC5BEB" w:rsidRPr="00FC5BEB">
        <w:rPr>
          <w:rFonts w:eastAsiaTheme="minorEastAsia"/>
          <w:iCs/>
          <w:noProof/>
          <w:color w:val="000000" w:themeColor="text1"/>
          <w:szCs w:val="22"/>
          <w:shd w:val="clear" w:color="auto" w:fill="FFFFFF"/>
          <w:vertAlign w:val="superscript"/>
        </w:rPr>
        <w:t>87, 116</w:t>
      </w:r>
      <w:r>
        <w:rPr>
          <w:rFonts w:eastAsiaTheme="minorEastAsia"/>
          <w:iCs/>
          <w:color w:val="000000" w:themeColor="text1"/>
          <w:szCs w:val="22"/>
          <w:shd w:val="clear" w:color="auto" w:fill="FFFFFF"/>
        </w:rPr>
        <w:fldChar w:fldCharType="end"/>
      </w:r>
      <w:r>
        <w:rPr>
          <w:rFonts w:eastAsiaTheme="minorEastAsia"/>
          <w:iCs/>
          <w:color w:val="000000" w:themeColor="text1"/>
          <w:szCs w:val="22"/>
          <w:shd w:val="clear" w:color="auto" w:fill="FFFFFF"/>
        </w:rPr>
        <w:t>.</w:t>
      </w:r>
      <w:r w:rsidRPr="00EC6E98">
        <w:rPr>
          <w:color w:val="000000" w:themeColor="text1"/>
          <w:szCs w:val="22"/>
        </w:rPr>
        <w:t xml:space="preserve"> </w:t>
      </w:r>
    </w:p>
    <w:p w14:paraId="51A3048C" w14:textId="77777777" w:rsidR="00E37E91" w:rsidRPr="00EC6E98" w:rsidRDefault="00E37E91" w:rsidP="00E37E91">
      <w:pPr>
        <w:rPr>
          <w:color w:val="000000" w:themeColor="text1"/>
          <w:szCs w:val="22"/>
        </w:rPr>
      </w:pPr>
    </w:p>
    <w:p w14:paraId="75F24B2B" w14:textId="72E1DDE8" w:rsidR="00E37E91" w:rsidRPr="00EC6E98" w:rsidRDefault="00E37E91" w:rsidP="00E37E91">
      <w:pPr>
        <w:rPr>
          <w:color w:val="000000" w:themeColor="text1"/>
          <w:szCs w:val="22"/>
        </w:rPr>
      </w:pPr>
      <w:r w:rsidRPr="00EC6E98">
        <w:rPr>
          <w:iCs/>
          <w:color w:val="000000" w:themeColor="text1"/>
          <w:szCs w:val="22"/>
        </w:rPr>
        <w:tab/>
        <w:t xml:space="preserve">The CHE approach was then applied to model the OER on Pt(111) via </w:t>
      </w:r>
      <w:r w:rsidR="00B026CA" w:rsidRPr="004B35B6">
        <w:rPr>
          <w:iCs/>
          <w:color w:val="000000" w:themeColor="text1"/>
          <w:szCs w:val="22"/>
        </w:rPr>
        <w:fldChar w:fldCharType="begin"/>
      </w:r>
      <w:r w:rsidR="00B026CA" w:rsidRPr="004B35B6">
        <w:rPr>
          <w:iCs/>
          <w:color w:val="000000" w:themeColor="text1"/>
          <w:szCs w:val="22"/>
        </w:rPr>
        <w:instrText xml:space="preserve"> REF _Ref159510668 \h </w:instrText>
      </w:r>
      <w:r w:rsidR="004B35B6">
        <w:rPr>
          <w:iCs/>
          <w:color w:val="000000" w:themeColor="text1"/>
          <w:szCs w:val="22"/>
        </w:rPr>
        <w:instrText xml:space="preserve"> \* MERGEFORMAT </w:instrText>
      </w:r>
      <w:r w:rsidR="00B026CA" w:rsidRPr="004B35B6">
        <w:rPr>
          <w:iCs/>
          <w:color w:val="000000" w:themeColor="text1"/>
          <w:szCs w:val="22"/>
        </w:rPr>
      </w:r>
      <w:r w:rsidR="00B026CA" w:rsidRPr="004B35B6">
        <w:rPr>
          <w:iCs/>
          <w:color w:val="000000" w:themeColor="text1"/>
          <w:szCs w:val="22"/>
        </w:rPr>
        <w:fldChar w:fldCharType="separate"/>
      </w:r>
      <w:r w:rsidR="003255C0" w:rsidRPr="00245F0C">
        <w:rPr>
          <w:szCs w:val="22"/>
        </w:rPr>
        <w:t xml:space="preserve">Equation </w:t>
      </w:r>
      <w:r w:rsidR="003255C0" w:rsidRPr="00245F0C">
        <w:rPr>
          <w:noProof/>
          <w:szCs w:val="22"/>
        </w:rPr>
        <w:t>38</w:t>
      </w:r>
      <w:r w:rsidR="00B026CA" w:rsidRPr="004B35B6">
        <w:rPr>
          <w:iCs/>
          <w:color w:val="000000" w:themeColor="text1"/>
          <w:szCs w:val="22"/>
        </w:rPr>
        <w:fldChar w:fldCharType="end"/>
      </w:r>
      <w:r w:rsidR="00B026CA" w:rsidRPr="004B35B6">
        <w:rPr>
          <w:iCs/>
          <w:color w:val="000000" w:themeColor="text1"/>
          <w:szCs w:val="22"/>
        </w:rPr>
        <w:t>-41</w:t>
      </w:r>
      <w:r>
        <w:rPr>
          <w:iCs/>
          <w:color w:val="000000" w:themeColor="text1"/>
          <w:szCs w:val="22"/>
        </w:rPr>
        <w:fldChar w:fldCharType="begin"/>
      </w:r>
      <w:r w:rsidR="00FC5BEB">
        <w:rPr>
          <w:iCs/>
          <w:color w:val="000000" w:themeColor="text1"/>
          <w:szCs w:val="22"/>
        </w:rPr>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rPr>
          <w:iCs/>
          <w:color w:val="000000" w:themeColor="text1"/>
          <w:szCs w:val="22"/>
        </w:rPr>
        <w:fldChar w:fldCharType="separate"/>
      </w:r>
      <w:r w:rsidR="00FC5BEB" w:rsidRPr="00FC5BEB">
        <w:rPr>
          <w:iCs/>
          <w:noProof/>
          <w:color w:val="000000" w:themeColor="text1"/>
          <w:szCs w:val="22"/>
          <w:vertAlign w:val="superscript"/>
        </w:rPr>
        <w:t>87</w:t>
      </w:r>
      <w:r>
        <w:rPr>
          <w:iCs/>
          <w:color w:val="000000" w:themeColor="text1"/>
          <w:szCs w:val="22"/>
        </w:rPr>
        <w:fldChar w:fldCharType="end"/>
      </w:r>
      <w:r>
        <w:rPr>
          <w:iCs/>
          <w:color w:val="000000" w:themeColor="text1"/>
          <w:szCs w:val="22"/>
        </w:rPr>
        <w:t>.</w:t>
      </w:r>
      <w:r w:rsidRPr="00EC6E98">
        <w:rPr>
          <w:iCs/>
          <w:color w:val="000000" w:themeColor="text1"/>
          <w:szCs w:val="22"/>
        </w:rPr>
        <w:t xml:space="preserve"> Doing so requires several assumptions. First, the system must be under constrained equilibrium like we saw for the example of gas-phase CO oxidation on RuO</w:t>
      </w:r>
      <w:r w:rsidRPr="00EC6E98">
        <w:rPr>
          <w:iCs/>
          <w:color w:val="000000" w:themeColor="text1"/>
          <w:szCs w:val="22"/>
          <w:vertAlign w:val="subscript"/>
        </w:rPr>
        <w:t>2</w:t>
      </w:r>
      <w:r w:rsidRPr="00EC6E98">
        <w:rPr>
          <w:iCs/>
          <w:color w:val="000000" w:themeColor="text1"/>
          <w:szCs w:val="22"/>
        </w:rPr>
        <w:t xml:space="preserve"> </w:t>
      </w:r>
      <w:r>
        <w:rPr>
          <w:color w:val="000000" w:themeColor="text1"/>
          <w:szCs w:val="22"/>
          <w:shd w:val="clear" w:color="auto" w:fill="FFFFFF"/>
        </w:rPr>
        <w:fldChar w:fldCharType="begin"/>
      </w:r>
      <w:r w:rsidR="00FC5BEB">
        <w:rPr>
          <w:color w:val="000000" w:themeColor="text1"/>
          <w:szCs w:val="22"/>
          <w:shd w:val="clear" w:color="auto" w:fill="FFFFFF"/>
        </w:rPr>
        <w:instrText xml:space="preserve"> ADDIN EN.CITE &lt;EndNote&gt;&lt;Cite&gt;&lt;Author&gt;Reuter&lt;/Author&gt;&lt;Year&gt;2003&lt;/Year&gt;&lt;RecNum&gt;116&lt;/RecNum&gt;&lt;DisplayText&gt;&lt;style face="superscript"&gt;118&lt;/style&gt;&lt;/DisplayText&gt;&lt;record&gt;&lt;rec-number&gt;116&lt;/rec-number&gt;&lt;foreign-keys&gt;&lt;key app="EN" db-id="2xex0erf4eexr4e2dpbxpdd829xttesxxxdr" timestamp="1715075296"&gt;116&lt;/key&gt;&lt;/foreign-keys&gt;&lt;ref-type name="Journal Article"&gt;17&lt;/ref-type&gt;&lt;contributors&gt;&lt;authors&gt;&lt;author&gt;Reuter, Karsten&lt;/author&gt;&lt;author&gt;Scheffler, Matthias&lt;/author&gt;&lt;/authors&gt;&lt;/contributors&gt;&lt;titles&gt;&lt;title&gt;First-Principles Atomistic Thermodynamics for Oxidation Catalysis: Surface Phase Diagrams and Catalytically Interesting Regions&lt;/title&gt;&lt;secondary-title&gt;Physical Review Letters&lt;/secondary-title&gt;&lt;/titles&gt;&lt;periodical&gt;&lt;full-title&gt;Physical Review Letters&lt;/full-title&gt;&lt;abbr-1&gt;Phys. Rev. Lett.&lt;/abbr-1&gt;&lt;abbr-2&gt;Phys Rev Lett&lt;/abbr-2&gt;&lt;/periodical&gt;&lt;pages&gt;046103&lt;/pages&gt;&lt;volume&gt;90&lt;/volume&gt;&lt;number&gt;4&lt;/number&gt;&lt;dates&gt;&lt;year&gt;2003&lt;/year&gt;&lt;pub-dates&gt;&lt;date&gt;01/30/&lt;/date&gt;&lt;/pub-dates&gt;&lt;/dates&gt;&lt;publisher&gt;American Physical Society&lt;/publisher&gt;&lt;urls&gt;&lt;related-urls&gt;&lt;url&gt;https://link.aps.org/doi/10.1103/PhysRevLett.90.046103&lt;/url&gt;&lt;/related-urls&gt;&lt;/urls&gt;&lt;electronic-resource-num&gt;10.1103/PhysRevLett.90.046103&lt;/electronic-resource-num&gt;&lt;/record&gt;&lt;/Cite&gt;&lt;/EndNote&gt;</w:instrText>
      </w:r>
      <w:r>
        <w:rPr>
          <w:color w:val="000000" w:themeColor="text1"/>
          <w:szCs w:val="22"/>
          <w:shd w:val="clear" w:color="auto" w:fill="FFFFFF"/>
        </w:rPr>
        <w:fldChar w:fldCharType="separate"/>
      </w:r>
      <w:r w:rsidR="00FC5BEB" w:rsidRPr="00FC5BEB">
        <w:rPr>
          <w:noProof/>
          <w:color w:val="000000" w:themeColor="text1"/>
          <w:szCs w:val="22"/>
          <w:shd w:val="clear" w:color="auto" w:fill="FFFFFF"/>
          <w:vertAlign w:val="superscript"/>
        </w:rPr>
        <w:t>118</w:t>
      </w:r>
      <w:r>
        <w:rPr>
          <w:color w:val="000000" w:themeColor="text1"/>
          <w:szCs w:val="22"/>
          <w:shd w:val="clear" w:color="auto" w:fill="FFFFFF"/>
        </w:rPr>
        <w:fldChar w:fldCharType="end"/>
      </w:r>
      <w:r w:rsidRPr="00EC6E98">
        <w:rPr>
          <w:color w:val="000000" w:themeColor="text1"/>
          <w:szCs w:val="22"/>
          <w:shd w:val="clear" w:color="auto" w:fill="FFFFFF"/>
        </w:rPr>
        <w:t>.</w:t>
      </w:r>
      <w:r w:rsidRPr="00EC6E98">
        <w:rPr>
          <w:iCs/>
          <w:color w:val="000000" w:themeColor="text1"/>
          <w:szCs w:val="22"/>
        </w:rPr>
        <w:t xml:space="preserve"> That is, the OER half reaction is assumed to only occur on the catalyst surface and the system is in thermodynamic equilibrium.  The first assumption is likely a good assumption owing to the high barriers involved in water electrolysis; the second assumption will</w:t>
      </w:r>
      <w:r w:rsidR="00932A2C">
        <w:rPr>
          <w:iCs/>
          <w:color w:val="000000" w:themeColor="text1"/>
          <w:szCs w:val="22"/>
        </w:rPr>
        <w:t xml:space="preserve"> be</w:t>
      </w:r>
      <w:r w:rsidRPr="00EC6E98">
        <w:rPr>
          <w:iCs/>
          <w:color w:val="000000" w:themeColor="text1"/>
          <w:szCs w:val="22"/>
        </w:rPr>
        <w:t xml:space="preserve"> below the thermodynamic onset of the OER (1.23 V vs RHE) if there is no dissolution current. Above 1.23 V the assumption of thermodynamic equilibrium relies on slow kinetics, hence no OER activity; once the OER starts the system is open and can no longer be considered to be in thermodynamic equilibrium. With these caveats in mind, these assumptions allow one to generate a surface (pH, </w:t>
      </w:r>
      <w:r w:rsidRPr="00EC6E98">
        <w:rPr>
          <w:i/>
          <w:color w:val="000000" w:themeColor="text1"/>
          <w:szCs w:val="22"/>
        </w:rPr>
        <w:t>U</w:t>
      </w:r>
      <w:r w:rsidRPr="00EC6E98">
        <w:rPr>
          <w:iCs/>
          <w:color w:val="000000" w:themeColor="text1"/>
          <w:szCs w:val="22"/>
        </w:rPr>
        <w:t xml:space="preserve">) phase diagram akin to a surface </w:t>
      </w:r>
      <w:proofErr w:type="spellStart"/>
      <w:r w:rsidRPr="00EC6E98">
        <w:rPr>
          <w:iCs/>
          <w:color w:val="000000" w:themeColor="text1"/>
          <w:szCs w:val="22"/>
        </w:rPr>
        <w:t>Pourbaix</w:t>
      </w:r>
      <w:proofErr w:type="spellEnd"/>
      <w:r w:rsidRPr="00EC6E98">
        <w:rPr>
          <w:iCs/>
          <w:color w:val="000000" w:themeColor="text1"/>
          <w:szCs w:val="22"/>
        </w:rPr>
        <w:t xml:space="preserve"> diagram</w:t>
      </w:r>
      <w:r>
        <w:rPr>
          <w:color w:val="000000" w:themeColor="text1"/>
          <w:szCs w:val="22"/>
        </w:rPr>
        <w:fldChar w:fldCharType="begin">
          <w:fldData xml:space="preserve">PEVuZE5vdGU+PENpdGU+PEF1dGhvcj5TdW1hcmlhPC9BdXRob3I+PFllYXI+MjAxODwvWWVhcj48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</w:fldData>
        </w:fldChar>
      </w:r>
      <w:r w:rsidR="00FC5BEB">
        <w:rPr>
          <w:color w:val="000000" w:themeColor="text1"/>
          <w:szCs w:val="22"/>
        </w:rPr>
        <w:instrText xml:space="preserve"> ADDIN EN.CITE </w:instrText>
      </w:r>
      <w:r w:rsidR="00FC5BEB">
        <w:rPr>
          <w:color w:val="000000" w:themeColor="text1"/>
          <w:szCs w:val="22"/>
        </w:rPr>
        <w:fldChar w:fldCharType="begin">
          <w:fldData xml:space="preserve">PEVuZE5vdGU+PENpdGU+PEF1dGhvcj5TdW1hcmlhPC9BdXRob3I+PFllYXI+MjAxODwvWWVhcj48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</w:fldData>
        </w:fldChar>
      </w:r>
      <w:r w:rsidR="00FC5BEB">
        <w:rPr>
          <w:color w:val="000000" w:themeColor="text1"/>
          <w:szCs w:val="22"/>
        </w:rPr>
        <w:instrText xml:space="preserve"> ADDIN EN.CITE.DATA </w:instrText>
      </w:r>
      <w:r w:rsidR="00FC5BEB">
        <w:rPr>
          <w:color w:val="000000" w:themeColor="text1"/>
          <w:szCs w:val="22"/>
        </w:rPr>
      </w:r>
      <w:r w:rsidR="00FC5BEB">
        <w:rPr>
          <w:color w:val="000000" w:themeColor="text1"/>
          <w:szCs w:val="22"/>
        </w:rPr>
        <w:fldChar w:fldCharType="end"/>
      </w:r>
      <w:r>
        <w:rPr>
          <w:color w:val="000000" w:themeColor="text1"/>
          <w:szCs w:val="22"/>
        </w:rPr>
      </w:r>
      <w:r>
        <w:rPr>
          <w:color w:val="000000" w:themeColor="text1"/>
          <w:szCs w:val="22"/>
        </w:rPr>
        <w:fldChar w:fldCharType="separate"/>
      </w:r>
      <w:r w:rsidR="00FC5BEB" w:rsidRPr="00FC5BEB">
        <w:rPr>
          <w:noProof/>
          <w:color w:val="000000" w:themeColor="text1"/>
          <w:szCs w:val="22"/>
          <w:vertAlign w:val="superscript"/>
        </w:rPr>
        <w:t>144, 145</w:t>
      </w:r>
      <w:r>
        <w:rPr>
          <w:color w:val="000000" w:themeColor="text1"/>
          <w:szCs w:val="22"/>
        </w:rPr>
        <w:fldChar w:fldCharType="end"/>
      </w:r>
      <w:r>
        <w:rPr>
          <w:iCs/>
          <w:color w:val="000000" w:themeColor="text1"/>
          <w:szCs w:val="22"/>
        </w:rPr>
        <w:t xml:space="preserve">, </w:t>
      </w:r>
      <w:r w:rsidRPr="00EC6E98">
        <w:rPr>
          <w:iCs/>
          <w:color w:val="000000" w:themeColor="text1"/>
          <w:szCs w:val="22"/>
        </w:rPr>
        <w:t xml:space="preserve">though the surface </w:t>
      </w:r>
      <w:proofErr w:type="spellStart"/>
      <w:r w:rsidRPr="00EC6E98">
        <w:rPr>
          <w:iCs/>
          <w:color w:val="000000" w:themeColor="text1"/>
          <w:szCs w:val="22"/>
        </w:rPr>
        <w:t>Pourbaix</w:t>
      </w:r>
      <w:proofErr w:type="spellEnd"/>
      <w:r w:rsidRPr="00EC6E98">
        <w:rPr>
          <w:iCs/>
          <w:color w:val="000000" w:themeColor="text1"/>
          <w:szCs w:val="22"/>
        </w:rPr>
        <w:t xml:space="preserve"> diagram would describe the global thermodynamics of the surface.  Another assumption is required to make predictions about catalytic activity from a constrained thermodynamic picture; the reaction barriers are assumed to be captured by thermodynamics alone. We must also assume we know the form of this description. For instance, the Bronsted-Evans-Polanyi (BEP) relationship</w:t>
      </w:r>
      <w:r>
        <w:rPr>
          <w:color w:val="000000" w:themeColor="text1"/>
          <w:szCs w:val="22"/>
        </w:rPr>
        <w:fldChar w:fldCharType="begin">
          <w:fldData xml:space="preserve">PEVuZE5vdGU+PENpdGU+PEF1dGhvcj52YW4gU2FudGVuPC9BdXRob3I+PFllYXI+MjAxMDwvWWVh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</w:fldData>
        </w:fldChar>
      </w:r>
      <w:r w:rsidR="00FC5BEB">
        <w:rPr>
          <w:color w:val="000000" w:themeColor="text1"/>
          <w:szCs w:val="22"/>
        </w:rPr>
        <w:instrText xml:space="preserve"> ADDIN EN.CITE </w:instrText>
      </w:r>
      <w:r w:rsidR="00FC5BEB">
        <w:rPr>
          <w:color w:val="000000" w:themeColor="text1"/>
          <w:szCs w:val="22"/>
        </w:rPr>
        <w:fldChar w:fldCharType="begin">
          <w:fldData xml:space="preserve">PEVuZE5vdGU+PENpdGU+PEF1dGhvcj52YW4gU2FudGVuPC9BdXRob3I+PFllYXI+MjAxMDwvWWVh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</w:fldData>
        </w:fldChar>
      </w:r>
      <w:r w:rsidR="00FC5BEB">
        <w:rPr>
          <w:color w:val="000000" w:themeColor="text1"/>
          <w:szCs w:val="22"/>
        </w:rPr>
        <w:instrText xml:space="preserve"> ADDIN EN.CITE.DATA </w:instrText>
      </w:r>
      <w:r w:rsidR="00FC5BEB">
        <w:rPr>
          <w:color w:val="000000" w:themeColor="text1"/>
          <w:szCs w:val="22"/>
        </w:rPr>
      </w:r>
      <w:r w:rsidR="00FC5BEB">
        <w:rPr>
          <w:color w:val="000000" w:themeColor="text1"/>
          <w:szCs w:val="22"/>
        </w:rPr>
        <w:fldChar w:fldCharType="end"/>
      </w:r>
      <w:r>
        <w:rPr>
          <w:color w:val="000000" w:themeColor="text1"/>
          <w:szCs w:val="22"/>
        </w:rPr>
      </w:r>
      <w:r>
        <w:rPr>
          <w:color w:val="000000" w:themeColor="text1"/>
          <w:szCs w:val="22"/>
        </w:rPr>
        <w:fldChar w:fldCharType="separate"/>
      </w:r>
      <w:r w:rsidR="00FC5BEB" w:rsidRPr="00FC5BEB">
        <w:rPr>
          <w:noProof/>
          <w:color w:val="000000" w:themeColor="text1"/>
          <w:szCs w:val="22"/>
          <w:vertAlign w:val="superscript"/>
        </w:rPr>
        <w:t>146-150</w:t>
      </w:r>
      <w:r>
        <w:rPr>
          <w:color w:val="000000" w:themeColor="text1"/>
          <w:szCs w:val="22"/>
        </w:rPr>
        <w:fldChar w:fldCharType="end"/>
      </w:r>
      <w:r w:rsidRPr="00EC6E98">
        <w:rPr>
          <w:iCs/>
          <w:color w:val="000000" w:themeColor="text1"/>
          <w:szCs w:val="22"/>
        </w:rPr>
        <w:t xml:space="preserve"> links activation energies and reaction enthalpies via a linear relationship (</w:t>
      </w:r>
      <w:proofErr w:type="spellStart"/>
      <w:r w:rsidRPr="00EC6E98">
        <w:rPr>
          <w:i/>
          <w:color w:val="000000" w:themeColor="text1"/>
          <w:szCs w:val="22"/>
        </w:rPr>
        <w:t>E</w:t>
      </w:r>
      <w:r w:rsidRPr="00EC6E98">
        <w:rPr>
          <w:iCs/>
          <w:color w:val="000000" w:themeColor="text1"/>
          <w:szCs w:val="22"/>
          <w:vertAlign w:val="subscript"/>
        </w:rPr>
        <w:t>a</w:t>
      </w:r>
      <w:proofErr w:type="spellEnd"/>
      <w:r w:rsidRPr="00EC6E98">
        <w:rPr>
          <w:iCs/>
          <w:color w:val="000000" w:themeColor="text1"/>
          <w:szCs w:val="22"/>
        </w:rPr>
        <w:t xml:space="preserve"> = </w:t>
      </w:r>
      <w:r w:rsidRPr="008E7AE3">
        <w:rPr>
          <w:i/>
          <w:color w:val="000000" w:themeColor="text1"/>
          <w:szCs w:val="22"/>
        </w:rPr>
        <w:sym w:font="Symbol" w:char="F061"/>
      </w:r>
      <w:r w:rsidRPr="00EC6E98">
        <w:rPr>
          <w:iCs/>
          <w:color w:val="000000" w:themeColor="text1"/>
          <w:szCs w:val="22"/>
        </w:rPr>
        <w:sym w:font="Symbol" w:char="F044"/>
      </w:r>
      <w:proofErr w:type="spellStart"/>
      <w:r w:rsidRPr="00EC6E98">
        <w:rPr>
          <w:i/>
          <w:color w:val="000000" w:themeColor="text1"/>
          <w:szCs w:val="22"/>
        </w:rPr>
        <w:t>H</w:t>
      </w:r>
      <w:r w:rsidRPr="00EC6E98">
        <w:rPr>
          <w:iCs/>
          <w:color w:val="000000" w:themeColor="text1"/>
          <w:szCs w:val="22"/>
          <w:vertAlign w:val="subscript"/>
        </w:rPr>
        <w:t>rxn</w:t>
      </w:r>
      <w:proofErr w:type="spellEnd"/>
      <w:r w:rsidRPr="00EC6E98">
        <w:rPr>
          <w:iCs/>
          <w:color w:val="000000" w:themeColor="text1"/>
          <w:szCs w:val="22"/>
        </w:rPr>
        <w:t xml:space="preserve"> + </w:t>
      </w:r>
      <w:r w:rsidRPr="008E7AE3">
        <w:rPr>
          <w:i/>
          <w:color w:val="000000" w:themeColor="text1"/>
          <w:szCs w:val="22"/>
        </w:rPr>
        <w:sym w:font="Symbol" w:char="F062"/>
      </w:r>
      <w:r w:rsidRPr="00EC6E98">
        <w:rPr>
          <w:iCs/>
          <w:color w:val="000000" w:themeColor="text1"/>
          <w:szCs w:val="22"/>
        </w:rPr>
        <w:t xml:space="preserve">) with unknown, but possibly universal </w:t>
      </w:r>
      <w:r>
        <w:rPr>
          <w:iCs/>
          <w:color w:val="000000" w:themeColor="text1"/>
          <w:szCs w:val="22"/>
        </w:rPr>
        <w:fldChar w:fldCharType="begin">
          <w:fldData xml:space="preserve">PEVuZE5vdGU+PENpdGU+PEF1dGhvcj5Ow7hyc2tvdjwvQXV0aG9yPjxZZWFyPjIwMDI8L1llYXI+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</w:fldData>
        </w:fldChar>
      </w:r>
      <w:r w:rsidR="00FC5BEB">
        <w:rPr>
          <w:iCs/>
          <w:color w:val="000000" w:themeColor="text1"/>
          <w:szCs w:val="22"/>
        </w:rPr>
        <w:instrText xml:space="preserve"> ADDIN EN.CITE </w:instrText>
      </w:r>
      <w:r w:rsidR="00FC5BEB">
        <w:rPr>
          <w:iCs/>
          <w:color w:val="000000" w:themeColor="text1"/>
          <w:szCs w:val="22"/>
        </w:rPr>
        <w:fldChar w:fldCharType="begin">
          <w:fldData xml:space="preserve">PEVuZE5vdGU+PENpdGU+PEF1dGhvcj5Ow7hyc2tvdjwvQXV0aG9yPjxZZWFyPjIwMDI8L1llYXI+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</w:fldData>
        </w:fldChar>
      </w:r>
      <w:r w:rsidR="00FC5BEB">
        <w:rPr>
          <w:iCs/>
          <w:color w:val="000000" w:themeColor="text1"/>
          <w:szCs w:val="22"/>
        </w:rPr>
        <w:instrText xml:space="preserve"> ADDIN EN.CITE.DATA </w:instrText>
      </w:r>
      <w:r w:rsidR="00FC5BEB">
        <w:rPr>
          <w:iCs/>
          <w:color w:val="000000" w:themeColor="text1"/>
          <w:szCs w:val="22"/>
        </w:rPr>
      </w:r>
      <w:r w:rsidR="00FC5BEB">
        <w:rPr>
          <w:iCs/>
          <w:color w:val="000000" w:themeColor="text1"/>
          <w:szCs w:val="22"/>
        </w:rPr>
        <w:fldChar w:fldCharType="end"/>
      </w:r>
      <w:r>
        <w:rPr>
          <w:iCs/>
          <w:color w:val="000000" w:themeColor="text1"/>
          <w:szCs w:val="22"/>
        </w:rPr>
      </w:r>
      <w:r>
        <w:rPr>
          <w:iCs/>
          <w:color w:val="000000" w:themeColor="text1"/>
          <w:szCs w:val="22"/>
        </w:rPr>
        <w:fldChar w:fldCharType="separate"/>
      </w:r>
      <w:r w:rsidR="00FC5BEB" w:rsidRPr="00FC5BEB">
        <w:rPr>
          <w:iCs/>
          <w:noProof/>
          <w:color w:val="000000" w:themeColor="text1"/>
          <w:szCs w:val="22"/>
          <w:vertAlign w:val="superscript"/>
        </w:rPr>
        <w:t>131, 151-155</w:t>
      </w:r>
      <w:r>
        <w:rPr>
          <w:iCs/>
          <w:color w:val="000000" w:themeColor="text1"/>
          <w:szCs w:val="22"/>
        </w:rPr>
        <w:fldChar w:fldCharType="end"/>
      </w:r>
      <w:r w:rsidRPr="00EC6E98">
        <w:rPr>
          <w:iCs/>
          <w:color w:val="000000" w:themeColor="text1"/>
          <w:szCs w:val="22"/>
        </w:rPr>
        <w:t>, coefficients (</w:t>
      </w:r>
      <w:r w:rsidRPr="008E7AE3">
        <w:rPr>
          <w:i/>
          <w:color w:val="000000" w:themeColor="text1"/>
          <w:szCs w:val="22"/>
        </w:rPr>
        <w:sym w:font="Symbol" w:char="F061"/>
      </w:r>
      <w:r w:rsidRPr="00EC6E98">
        <w:rPr>
          <w:iCs/>
          <w:color w:val="000000" w:themeColor="text1"/>
          <w:szCs w:val="22"/>
        </w:rPr>
        <w:t xml:space="preserve">, </w:t>
      </w:r>
      <w:r w:rsidRPr="008E7AE3">
        <w:rPr>
          <w:i/>
          <w:color w:val="000000" w:themeColor="text1"/>
          <w:szCs w:val="22"/>
        </w:rPr>
        <w:sym w:font="Symbol" w:char="F062"/>
      </w:r>
      <w:r w:rsidRPr="00EC6E98">
        <w:rPr>
          <w:iCs/>
          <w:color w:val="000000" w:themeColor="text1"/>
          <w:szCs w:val="22"/>
        </w:rPr>
        <w:t xml:space="preserve">). </w:t>
      </w:r>
      <w:r w:rsidR="00EB1322">
        <w:rPr>
          <w:iCs/>
          <w:color w:val="000000" w:themeColor="text1"/>
          <w:szCs w:val="22"/>
        </w:rPr>
        <w:t xml:space="preserve">These BEP coefficients should not be confused with the transfer and symmetry coefficients </w:t>
      </w:r>
      <w:r w:rsidR="00EB1322" w:rsidRPr="000849A5">
        <w:rPr>
          <w:iCs/>
          <w:color w:val="000000" w:themeColor="text1"/>
          <w:szCs w:val="22"/>
        </w:rPr>
        <w:t>introduced in Section</w:t>
      </w:r>
      <w:r w:rsidR="000849A5">
        <w:rPr>
          <w:iCs/>
          <w:color w:val="000000" w:themeColor="text1"/>
          <w:szCs w:val="22"/>
        </w:rPr>
        <w:t xml:space="preserve"> </w:t>
      </w:r>
      <w:r w:rsidR="00C80B22">
        <w:rPr>
          <w:iCs/>
          <w:color w:val="000000" w:themeColor="text1"/>
          <w:szCs w:val="22"/>
        </w:rPr>
        <w:fldChar w:fldCharType="begin"/>
      </w:r>
      <w:r w:rsidR="00C80B22">
        <w:rPr>
          <w:iCs/>
          <w:color w:val="000000" w:themeColor="text1"/>
          <w:szCs w:val="22"/>
        </w:rPr>
        <w:instrText xml:space="preserve"> REF _Ref159882562 \r \h </w:instrText>
      </w:r>
      <w:r w:rsidR="00C80B22">
        <w:rPr>
          <w:iCs/>
          <w:color w:val="000000" w:themeColor="text1"/>
          <w:szCs w:val="22"/>
        </w:rPr>
      </w:r>
      <w:r w:rsidR="00C80B22">
        <w:rPr>
          <w:iCs/>
          <w:color w:val="000000" w:themeColor="text1"/>
          <w:szCs w:val="22"/>
        </w:rPr>
        <w:fldChar w:fldCharType="separate"/>
      </w:r>
      <w:r w:rsidR="003255C0">
        <w:rPr>
          <w:iCs/>
          <w:color w:val="000000" w:themeColor="text1"/>
          <w:szCs w:val="22"/>
        </w:rPr>
        <w:t>2.1</w:t>
      </w:r>
      <w:r w:rsidR="00C80B22">
        <w:rPr>
          <w:iCs/>
          <w:color w:val="000000" w:themeColor="text1"/>
          <w:szCs w:val="22"/>
        </w:rPr>
        <w:fldChar w:fldCharType="end"/>
      </w:r>
      <w:r w:rsidR="00EB1322" w:rsidRPr="000849A5">
        <w:rPr>
          <w:iCs/>
          <w:color w:val="000000" w:themeColor="text1"/>
          <w:szCs w:val="22"/>
        </w:rPr>
        <w:t xml:space="preserve">. </w:t>
      </w:r>
      <w:r w:rsidRPr="000849A5">
        <w:rPr>
          <w:iCs/>
          <w:color w:val="000000" w:themeColor="text1"/>
          <w:szCs w:val="22"/>
        </w:rPr>
        <w:t>While the linearity of this relationship may be surprising, it can be rationalized th</w:t>
      </w:r>
      <w:r w:rsidR="00BA3C79">
        <w:rPr>
          <w:iCs/>
          <w:color w:val="000000" w:themeColor="text1"/>
          <w:szCs w:val="22"/>
        </w:rPr>
        <w:t>r</w:t>
      </w:r>
      <w:r w:rsidRPr="000849A5">
        <w:rPr>
          <w:iCs/>
          <w:color w:val="000000" w:themeColor="text1"/>
          <w:szCs w:val="22"/>
        </w:rPr>
        <w:t>ough</w:t>
      </w:r>
      <w:r w:rsidRPr="00EC6E98">
        <w:rPr>
          <w:iCs/>
          <w:color w:val="000000" w:themeColor="text1"/>
          <w:szCs w:val="22"/>
        </w:rPr>
        <w:t xml:space="preserve"> bond order conservation, and while linearity tends to break down when reaction barriers are low</w:t>
      </w:r>
      <w:r>
        <w:rPr>
          <w:color w:val="000000" w:themeColor="text1"/>
          <w:szCs w:val="22"/>
        </w:rPr>
        <w:fldChar w:fldCharType="begin"/>
      </w:r>
      <w:r w:rsidR="00FC5BEB">
        <w:rPr>
          <w:color w:val="000000" w:themeColor="text1"/>
          <w:szCs w:val="22"/>
        </w:rPr>
        <w:instrText xml:space="preserve"> ADDIN EN.CITE &lt;EndNote&gt;&lt;Cite&gt;&lt;Author&gt;Plessow&lt;/Author&gt;&lt;Year&gt;2015&lt;/Year&gt;&lt;RecNum&gt;154&lt;/RecNum&gt;&lt;DisplayText&gt;&lt;style face="superscript"&gt;156&lt;/style&gt;&lt;/DisplayText&gt;&lt;record&gt;&lt;rec-number&gt;154&lt;/rec-number&gt;&lt;foreign-keys&gt;&lt;key app="EN" db-id="2xex0erf4eexr4e2dpbxpdd829xttesxxxdr" timestamp="1715075296"&gt;154&lt;/key&gt;&lt;/foreign-keys&gt;&lt;ref-type name="Journal Article"&gt;17&lt;/ref-type&gt;&lt;contributors&gt;&lt;authors&gt;&lt;author&gt;Plessow, Philipp N.&lt;/author&gt;&lt;author&gt;Abild-Pedersen, Frank&lt;/author&gt;&lt;/authors&gt;&lt;/contributors&gt;&lt;titles&gt;&lt;title&gt;Examining the Linearity of Transition State Scaling Relations&lt;/title&gt;&lt;secondary-title&gt;Journal of Physical Chemistry C&lt;/secondary-title&gt;&lt;/titles&gt;&lt;periodical&gt;&lt;full-title&gt;Journal of Physical Chemistry C&lt;/full-title&gt;&lt;abbr-1&gt;J. Phys. Chem. C&lt;/abbr-1&gt;&lt;/periodical&gt;&lt;pages&gt;10448-10453&lt;/pages&gt;&lt;volume&gt;119&lt;/volume&gt;&lt;number&gt;19&lt;/number&gt;&lt;dates&gt;&lt;year&gt;2015&lt;/year&gt;&lt;pub-dates&gt;&lt;date&gt;2015/05/14&lt;/date&gt;&lt;/pub-dates&gt;&lt;/dates&gt;&lt;publisher&gt;American Chemical Society&lt;/publisher&gt;&lt;isbn&gt;1932-7447&lt;/isbn&gt;&lt;urls&gt;&lt;related-urls&gt;&lt;url&gt;https://doi.org/10.1021/acs.jpcc.5b02055&lt;/url&gt;&lt;/related-urls&gt;&lt;/urls&gt;&lt;electronic-resource-num&gt;10.1021/acs.jpcc.5b02055&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156</w:t>
      </w:r>
      <w:r>
        <w:rPr>
          <w:color w:val="000000" w:themeColor="text1"/>
          <w:szCs w:val="22"/>
        </w:rPr>
        <w:fldChar w:fldCharType="end"/>
      </w:r>
      <w:r w:rsidRPr="00EC6E98">
        <w:rPr>
          <w:color w:val="000000" w:themeColor="text1"/>
          <w:szCs w:val="22"/>
        </w:rPr>
        <w:t>, such a breakdown may be unimportant for kinetics since low barriers will likely not be rate determining.</w:t>
      </w:r>
    </w:p>
    <w:p w14:paraId="6B3AA86E" w14:textId="77777777" w:rsidR="00E37E91" w:rsidRPr="00EC6E98" w:rsidRDefault="00E37E91" w:rsidP="00E37E91">
      <w:pPr>
        <w:rPr>
          <w:iCs/>
          <w:color w:val="000000" w:themeColor="text1"/>
          <w:szCs w:val="22"/>
        </w:rPr>
      </w:pPr>
    </w:p>
    <w:p w14:paraId="6746BAC5" w14:textId="1369AC41" w:rsidR="00E37E91" w:rsidRPr="004265D2" w:rsidRDefault="00E37E91" w:rsidP="000849A5">
      <w:pPr>
        <w:pStyle w:val="NormalWeb"/>
        <w:spacing w:before="0" w:beforeAutospacing="0"/>
        <w:ind w:firstLine="720"/>
        <w:rPr>
          <w:color w:val="000000" w:themeColor="text1"/>
          <w:szCs w:val="22"/>
        </w:rPr>
      </w:pPr>
      <w:r w:rsidRPr="00EC6E98">
        <w:rPr>
          <w:rFonts w:eastAsiaTheme="minorEastAsia"/>
          <w:iCs/>
          <w:color w:val="000000" w:themeColor="text1"/>
          <w:szCs w:val="22"/>
        </w:rPr>
        <w:t xml:space="preserve">In Ref. </w:t>
      </w:r>
      <w:r>
        <w:rPr>
          <w:rFonts w:eastAsiaTheme="minorEastAsia"/>
          <w:iCs/>
          <w:color w:val="000000" w:themeColor="text1"/>
          <w:szCs w:val="22"/>
        </w:rPr>
        <w:fldChar w:fldCharType="begin"/>
      </w:r>
      <w:r w:rsidR="00FC5BEB">
        <w:rPr>
          <w:rFonts w:eastAsiaTheme="minorEastAsia"/>
          <w:iCs/>
          <w:color w:val="000000" w:themeColor="text1"/>
          <w:szCs w:val="22"/>
        </w:rPr>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rPr>
          <w:rFonts w:eastAsiaTheme="minorEastAsia"/>
          <w:iCs/>
          <w:color w:val="000000" w:themeColor="text1"/>
          <w:szCs w:val="22"/>
        </w:rPr>
        <w:fldChar w:fldCharType="separate"/>
      </w:r>
      <w:r w:rsidR="00FC5BEB" w:rsidRPr="00FC5BEB">
        <w:rPr>
          <w:rFonts w:eastAsiaTheme="minorEastAsia"/>
          <w:iCs/>
          <w:noProof/>
          <w:color w:val="000000" w:themeColor="text1"/>
          <w:szCs w:val="22"/>
          <w:vertAlign w:val="superscript"/>
        </w:rPr>
        <w:t>87</w:t>
      </w:r>
      <w:r>
        <w:rPr>
          <w:rFonts w:eastAsiaTheme="minorEastAsia"/>
          <w:iCs/>
          <w:color w:val="000000" w:themeColor="text1"/>
          <w:szCs w:val="22"/>
        </w:rPr>
        <w:fldChar w:fldCharType="end"/>
      </w:r>
      <w:r>
        <w:rPr>
          <w:rFonts w:eastAsiaTheme="minorEastAsia"/>
          <w:iCs/>
          <w:color w:val="000000" w:themeColor="text1"/>
          <w:szCs w:val="22"/>
        </w:rPr>
        <w:t xml:space="preserve"> </w:t>
      </w:r>
      <w:r w:rsidRPr="00EC6E98">
        <w:rPr>
          <w:rFonts w:eastAsiaTheme="minorEastAsia"/>
          <w:iCs/>
          <w:color w:val="000000" w:themeColor="text1"/>
          <w:szCs w:val="22"/>
        </w:rPr>
        <w:t>the authors implicitly use the BEP relationship and assume all reaction steps must be exergonic for the OER to run. These assumption</w:t>
      </w:r>
      <w:r w:rsidR="007A650E">
        <w:rPr>
          <w:rFonts w:eastAsiaTheme="minorEastAsia"/>
          <w:iCs/>
          <w:color w:val="000000" w:themeColor="text1"/>
          <w:szCs w:val="22"/>
        </w:rPr>
        <w:t>s</w:t>
      </w:r>
      <w:r w:rsidRPr="00EC6E98">
        <w:rPr>
          <w:rFonts w:eastAsiaTheme="minorEastAsia"/>
          <w:iCs/>
          <w:color w:val="000000" w:themeColor="text1"/>
          <w:szCs w:val="22"/>
        </w:rPr>
        <w:t xml:space="preserve"> allowed the authors to define a theoretical overpotential (</w:t>
      </w:r>
      <w:r w:rsidRPr="00EC6E98">
        <w:rPr>
          <w:rFonts w:eastAsiaTheme="minorEastAsia"/>
          <w:i/>
          <w:color w:val="000000" w:themeColor="text1"/>
          <w:szCs w:val="22"/>
        </w:rPr>
        <w:sym w:font="Symbol" w:char="F068"/>
      </w:r>
      <w:r w:rsidRPr="00EC6E98">
        <w:rPr>
          <w:rFonts w:eastAsiaTheme="minorEastAsia"/>
          <w:iCs/>
          <w:color w:val="000000" w:themeColor="text1"/>
          <w:szCs w:val="22"/>
          <w:vertAlign w:val="subscript"/>
        </w:rPr>
        <w:t>CHE</w:t>
      </w:r>
      <w:r w:rsidRPr="00EC6E98">
        <w:rPr>
          <w:rFonts w:eastAsiaTheme="minorEastAsia"/>
          <w:iCs/>
          <w:color w:val="000000" w:themeColor="text1"/>
          <w:szCs w:val="22"/>
        </w:rPr>
        <w:t xml:space="preserve">) for the OER on </w:t>
      </w:r>
      <w:proofErr w:type="gramStart"/>
      <w:r w:rsidRPr="00EC6E98">
        <w:rPr>
          <w:rFonts w:eastAsiaTheme="minorEastAsia"/>
          <w:iCs/>
          <w:color w:val="000000" w:themeColor="text1"/>
          <w:szCs w:val="22"/>
        </w:rPr>
        <w:t>Pt(</w:t>
      </w:r>
      <w:proofErr w:type="gramEnd"/>
      <w:r w:rsidRPr="00EC6E98">
        <w:rPr>
          <w:rFonts w:eastAsiaTheme="minorEastAsia"/>
          <w:iCs/>
          <w:color w:val="000000" w:themeColor="text1"/>
          <w:szCs w:val="22"/>
        </w:rPr>
        <w:t xml:space="preserve">111) as the potential </w:t>
      </w:r>
      <w:r>
        <w:rPr>
          <w:rFonts w:eastAsiaTheme="minorEastAsia"/>
          <w:iCs/>
          <w:color w:val="000000" w:themeColor="text1"/>
          <w:szCs w:val="22"/>
        </w:rPr>
        <w:t xml:space="preserve">beyond 1.23 V </w:t>
      </w:r>
      <w:r w:rsidRPr="00EC6E98">
        <w:rPr>
          <w:rFonts w:eastAsiaTheme="minorEastAsia"/>
          <w:iCs/>
          <w:color w:val="000000" w:themeColor="text1"/>
          <w:szCs w:val="22"/>
        </w:rPr>
        <w:t xml:space="preserve">required to make all the PCET steps downhill in free energy. </w:t>
      </w:r>
      <w:r w:rsidR="0098295F">
        <w:rPr>
          <w:rFonts w:eastAsiaTheme="minorEastAsia"/>
          <w:iCs/>
          <w:color w:val="000000" w:themeColor="text1"/>
          <w:szCs w:val="22"/>
        </w:rPr>
        <w:fldChar w:fldCharType="begin"/>
      </w:r>
      <w:r w:rsidR="0098295F">
        <w:rPr>
          <w:rFonts w:eastAsiaTheme="minorEastAsia"/>
          <w:iCs/>
          <w:color w:val="000000" w:themeColor="text1"/>
          <w:szCs w:val="22"/>
        </w:rPr>
        <w:instrText xml:space="preserve"> REF _Ref159512497 \h </w:instrText>
      </w:r>
      <w:r w:rsidR="0098295F">
        <w:rPr>
          <w:rFonts w:eastAsiaTheme="minorEastAsia"/>
          <w:iCs/>
          <w:color w:val="000000" w:themeColor="text1"/>
          <w:szCs w:val="22"/>
        </w:rPr>
      </w:r>
      <w:r w:rsidR="0098295F">
        <w:rPr>
          <w:rFonts w:eastAsiaTheme="minorEastAsia"/>
          <w:iCs/>
          <w:color w:val="000000" w:themeColor="text1"/>
          <w:szCs w:val="22"/>
        </w:rPr>
        <w:fldChar w:fldCharType="separate"/>
      </w:r>
      <w:r w:rsidR="003255C0" w:rsidRPr="00430A30">
        <w:rPr>
          <w:b/>
          <w:bCs/>
        </w:rPr>
        <w:t xml:space="preserve">Figure </w:t>
      </w:r>
      <w:r w:rsidR="003255C0">
        <w:rPr>
          <w:b/>
          <w:bCs/>
          <w:noProof/>
        </w:rPr>
        <w:t>11</w:t>
      </w:r>
      <w:r w:rsidR="0098295F">
        <w:rPr>
          <w:rFonts w:eastAsiaTheme="minorEastAsia"/>
          <w:iCs/>
          <w:color w:val="000000" w:themeColor="text1"/>
          <w:szCs w:val="22"/>
        </w:rPr>
        <w:fldChar w:fldCharType="end"/>
      </w:r>
      <w:r w:rsidR="0098295F">
        <w:rPr>
          <w:rFonts w:eastAsiaTheme="minorEastAsia"/>
          <w:iCs/>
          <w:color w:val="000000" w:themeColor="text1"/>
          <w:szCs w:val="22"/>
        </w:rPr>
        <w:t xml:space="preserve"> </w:t>
      </w:r>
      <w:r w:rsidRPr="00EC6E98">
        <w:rPr>
          <w:rFonts w:eastAsiaTheme="minorEastAsia"/>
          <w:iCs/>
          <w:color w:val="000000" w:themeColor="text1"/>
          <w:szCs w:val="22"/>
        </w:rPr>
        <w:t xml:space="preserve">shows that on Pt(111), an </w:t>
      </w:r>
      <w:r w:rsidRPr="00793F1B">
        <w:rPr>
          <w:rFonts w:eastAsiaTheme="minorEastAsia"/>
          <w:iCs/>
          <w:color w:val="000000" w:themeColor="text1"/>
          <w:szCs w:val="22"/>
        </w:rPr>
        <w:t>overpotential of 1.32 V</w:t>
      </w:r>
      <w:r w:rsidRPr="00EC6E98">
        <w:rPr>
          <w:rFonts w:eastAsiaTheme="minorEastAsia"/>
          <w:iCs/>
          <w:color w:val="000000" w:themeColor="text1"/>
          <w:szCs w:val="22"/>
        </w:rPr>
        <w:t xml:space="preserve"> was computed, where the figure shows the relative free energies at 4 different electrode potentials along the 4 step reaction coordinate; the electrode potential is the </w:t>
      </w:r>
      <m:oMath>
        <m:r>
          <w:rPr>
            <w:rFonts w:ascii="Cambria Math" w:hAnsi="Cambria Math"/>
            <w:color w:val="000000" w:themeColor="text1"/>
            <w:szCs w:val="22"/>
            <w:shd w:val="clear" w:color="auto" w:fill="FFFFFF"/>
          </w:rPr>
          <m:t>eU</m:t>
        </m:r>
      </m:oMath>
      <w:r w:rsidRPr="00EC6E98">
        <w:rPr>
          <w:rFonts w:eastAsiaTheme="minorEastAsia"/>
          <w:iCs/>
          <w:color w:val="000000" w:themeColor="text1"/>
          <w:szCs w:val="22"/>
          <w:shd w:val="clear" w:color="auto" w:fill="FFFFFF"/>
        </w:rPr>
        <w:t xml:space="preserve"> term in </w:t>
      </w:r>
      <w:r w:rsidR="00B026CA" w:rsidRPr="004B35B6">
        <w:rPr>
          <w:rFonts w:eastAsiaTheme="minorEastAsia"/>
          <w:iCs/>
          <w:color w:val="000000" w:themeColor="text1"/>
          <w:szCs w:val="22"/>
          <w:shd w:val="clear" w:color="auto" w:fill="FFFFFF"/>
        </w:rPr>
        <w:fldChar w:fldCharType="begin"/>
      </w:r>
      <w:r w:rsidR="00B026CA" w:rsidRPr="004B35B6">
        <w:rPr>
          <w:rFonts w:eastAsiaTheme="minorEastAsia"/>
          <w:iCs/>
          <w:color w:val="000000" w:themeColor="text1"/>
          <w:szCs w:val="22"/>
          <w:shd w:val="clear" w:color="auto" w:fill="FFFFFF"/>
        </w:rPr>
        <w:instrText xml:space="preserve"> REF _Ref159509215 \h </w:instrText>
      </w:r>
      <w:r w:rsidR="004B35B6">
        <w:rPr>
          <w:rFonts w:eastAsiaTheme="minorEastAsia"/>
          <w:iCs/>
          <w:color w:val="000000" w:themeColor="text1"/>
          <w:szCs w:val="22"/>
          <w:shd w:val="clear" w:color="auto" w:fill="FFFFFF"/>
        </w:rPr>
        <w:instrText xml:space="preserve"> \* MERGEFORMAT </w:instrText>
      </w:r>
      <w:r w:rsidR="00B026CA" w:rsidRPr="004B35B6">
        <w:rPr>
          <w:rFonts w:eastAsiaTheme="minorEastAsia"/>
          <w:iCs/>
          <w:color w:val="000000" w:themeColor="text1"/>
          <w:szCs w:val="22"/>
          <w:shd w:val="clear" w:color="auto" w:fill="FFFFFF"/>
        </w:rPr>
      </w:r>
      <w:r w:rsidR="00B026CA" w:rsidRPr="004B35B6">
        <w:rPr>
          <w:rFonts w:eastAsiaTheme="minorEastAsia"/>
          <w:iCs/>
          <w:color w:val="000000" w:themeColor="text1"/>
          <w:szCs w:val="22"/>
          <w:shd w:val="clear" w:color="auto" w:fill="FFFFFF"/>
        </w:rPr>
        <w:fldChar w:fldCharType="separate"/>
      </w:r>
      <w:r w:rsidR="003255C0" w:rsidRPr="00245F0C">
        <w:rPr>
          <w:szCs w:val="22"/>
        </w:rPr>
        <w:t xml:space="preserve">Equation </w:t>
      </w:r>
      <w:r w:rsidR="003255C0" w:rsidRPr="00245F0C">
        <w:rPr>
          <w:noProof/>
          <w:szCs w:val="22"/>
        </w:rPr>
        <w:t>33</w:t>
      </w:r>
      <w:r w:rsidR="00B026CA" w:rsidRPr="004B35B6">
        <w:rPr>
          <w:rFonts w:eastAsiaTheme="minorEastAsia"/>
          <w:iCs/>
          <w:color w:val="000000" w:themeColor="text1"/>
          <w:szCs w:val="22"/>
          <w:shd w:val="clear" w:color="auto" w:fill="FFFFFF"/>
        </w:rPr>
        <w:fldChar w:fldCharType="end"/>
      </w:r>
      <w:r w:rsidRPr="00EC6E98">
        <w:rPr>
          <w:rFonts w:eastAsiaTheme="minorEastAsia"/>
          <w:iCs/>
          <w:color w:val="000000" w:themeColor="text1"/>
          <w:szCs w:val="22"/>
        </w:rPr>
        <w:t xml:space="preserve">. At 0 V each step can be seen to increase the free energy of the system, while at 1.23 V the formation of </w:t>
      </w:r>
      <w:r>
        <w:rPr>
          <w:rFonts w:eastAsiaTheme="minorEastAsia"/>
          <w:iCs/>
          <w:color w:val="000000" w:themeColor="text1"/>
          <w:szCs w:val="22"/>
        </w:rPr>
        <w:t>*OOH</w:t>
      </w:r>
      <w:r w:rsidRPr="00EC6E98">
        <w:rPr>
          <w:rFonts w:eastAsiaTheme="minorEastAsia"/>
          <w:iCs/>
          <w:color w:val="000000" w:themeColor="text1"/>
          <w:szCs w:val="22"/>
        </w:rPr>
        <w:t xml:space="preserve"> can still be seen to require energy. It is not until 2.55 V that each step is downhill, resulting in a 1</w:t>
      </w:r>
      <w:r>
        <w:rPr>
          <w:rFonts w:eastAsiaTheme="minorEastAsia"/>
          <w:iCs/>
          <w:color w:val="000000" w:themeColor="text1"/>
          <w:szCs w:val="22"/>
        </w:rPr>
        <w:t>.</w:t>
      </w:r>
      <w:r w:rsidRPr="00EC6E98">
        <w:rPr>
          <w:rFonts w:eastAsiaTheme="minorEastAsia"/>
          <w:iCs/>
          <w:color w:val="000000" w:themeColor="text1"/>
          <w:szCs w:val="22"/>
        </w:rPr>
        <w:t>32 V theoretical overpotential (</w:t>
      </w:r>
      <w:r w:rsidRPr="00EC6E98">
        <w:rPr>
          <w:rFonts w:eastAsiaTheme="minorEastAsia"/>
          <w:i/>
          <w:color w:val="000000" w:themeColor="text1"/>
          <w:szCs w:val="22"/>
        </w:rPr>
        <w:sym w:font="Symbol" w:char="F068"/>
      </w:r>
      <w:r w:rsidRPr="00EC6E98">
        <w:rPr>
          <w:rFonts w:eastAsiaTheme="minorEastAsia"/>
          <w:iCs/>
          <w:color w:val="000000" w:themeColor="text1"/>
          <w:szCs w:val="22"/>
          <w:vertAlign w:val="subscript"/>
        </w:rPr>
        <w:t>CHE</w:t>
      </w:r>
      <w:r w:rsidRPr="00EC6E98">
        <w:rPr>
          <w:rFonts w:eastAsiaTheme="minorEastAsia"/>
          <w:iCs/>
          <w:color w:val="000000" w:themeColor="text1"/>
          <w:szCs w:val="22"/>
        </w:rPr>
        <w:t xml:space="preserve">). Thus, the formation of </w:t>
      </w:r>
      <w:r>
        <w:rPr>
          <w:rFonts w:eastAsiaTheme="minorEastAsia"/>
          <w:iCs/>
          <w:color w:val="000000" w:themeColor="text1"/>
          <w:szCs w:val="22"/>
        </w:rPr>
        <w:t>*OOH</w:t>
      </w:r>
      <w:r w:rsidRPr="00EC6E98">
        <w:rPr>
          <w:rFonts w:eastAsiaTheme="minorEastAsia"/>
          <w:iCs/>
          <w:color w:val="000000" w:themeColor="text1"/>
          <w:szCs w:val="22"/>
        </w:rPr>
        <w:t xml:space="preserve"> is deemed to be the potential determining step (PDS) in the reaction as the thermodynamics of </w:t>
      </w:r>
      <w:r>
        <w:rPr>
          <w:rFonts w:eastAsiaTheme="minorEastAsia"/>
          <w:iCs/>
          <w:color w:val="000000" w:themeColor="text1"/>
          <w:szCs w:val="22"/>
        </w:rPr>
        <w:t>*OOH</w:t>
      </w:r>
      <w:r w:rsidRPr="00EC6E98">
        <w:rPr>
          <w:rFonts w:eastAsiaTheme="minorEastAsia"/>
          <w:iCs/>
          <w:color w:val="000000" w:themeColor="text1"/>
          <w:szCs w:val="22"/>
        </w:rPr>
        <w:t xml:space="preserve"> formation determine</w:t>
      </w:r>
      <w:r w:rsidR="00665E08">
        <w:rPr>
          <w:rFonts w:eastAsiaTheme="minorEastAsia"/>
          <w:iCs/>
          <w:color w:val="000000" w:themeColor="text1"/>
          <w:szCs w:val="22"/>
        </w:rPr>
        <w:t>s</w:t>
      </w:r>
      <w:r w:rsidRPr="00EC6E98">
        <w:rPr>
          <w:rFonts w:eastAsiaTheme="minorEastAsia"/>
          <w:iCs/>
          <w:color w:val="000000" w:themeColor="text1"/>
          <w:szCs w:val="22"/>
        </w:rPr>
        <w:t xml:space="preserve"> </w:t>
      </w:r>
      <w:r w:rsidRPr="00EC6E98">
        <w:rPr>
          <w:rFonts w:eastAsiaTheme="minorEastAsia"/>
          <w:i/>
          <w:color w:val="000000" w:themeColor="text1"/>
          <w:szCs w:val="22"/>
        </w:rPr>
        <w:sym w:font="Symbol" w:char="F068"/>
      </w:r>
      <w:r w:rsidRPr="00EC6E98">
        <w:rPr>
          <w:rFonts w:eastAsiaTheme="minorEastAsia"/>
          <w:iCs/>
          <w:color w:val="000000" w:themeColor="text1"/>
          <w:szCs w:val="22"/>
          <w:vertAlign w:val="subscript"/>
        </w:rPr>
        <w:t>CHE</w:t>
      </w:r>
      <w:r w:rsidRPr="00EC6E98">
        <w:rPr>
          <w:rFonts w:eastAsiaTheme="minorEastAsia"/>
          <w:iCs/>
          <w:color w:val="000000" w:themeColor="text1"/>
          <w:szCs w:val="22"/>
        </w:rPr>
        <w:t>. Since there are no barriers, we cannot refer to this as a rate determining step (RDS), though such claims are common in the literature, see for instance Refs.</w:t>
      </w:r>
      <w:r>
        <w:rPr>
          <w:rFonts w:eastAsiaTheme="minorEastAsia"/>
          <w:iCs/>
          <w:color w:val="000000" w:themeColor="text1"/>
          <w:szCs w:val="22"/>
        </w:rPr>
        <w:t xml:space="preserve"> </w:t>
      </w:r>
      <w:r>
        <w:rPr>
          <w:rFonts w:eastAsiaTheme="minorEastAsia"/>
          <w:iCs/>
          <w:color w:val="000000" w:themeColor="text1"/>
          <w:szCs w:val="22"/>
        </w:rPr>
        <w:fldChar w:fldCharType="begin">
          <w:fldData xml:space="preserve">PEVuZE5vdGU+PENpdGU+PEF1dGhvcj5Ld29uPC9BdXRob3I+PFllYXI+MjAxODwvWWVhcj48UmVj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</w:fldData>
        </w:fldChar>
      </w:r>
      <w:r w:rsidR="00FC5BEB">
        <w:rPr>
          <w:rFonts w:eastAsiaTheme="minorEastAsia"/>
          <w:iCs/>
          <w:color w:val="000000" w:themeColor="text1"/>
          <w:szCs w:val="22"/>
        </w:rPr>
        <w:instrText xml:space="preserve"> ADDIN EN.CITE </w:instrText>
      </w:r>
      <w:r w:rsidR="00FC5BEB">
        <w:rPr>
          <w:rFonts w:eastAsiaTheme="minorEastAsia"/>
          <w:iCs/>
          <w:color w:val="000000" w:themeColor="text1"/>
          <w:szCs w:val="22"/>
        </w:rPr>
        <w:fldChar w:fldCharType="begin">
          <w:fldData xml:space="preserve">PEVuZE5vdGU+PENpdGU+PEF1dGhvcj5Ld29uPC9BdXRob3I+PFllYXI+MjAxODwvWWVhcj48UmVj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</w:fldData>
        </w:fldChar>
      </w:r>
      <w:r w:rsidR="00FC5BEB">
        <w:rPr>
          <w:rFonts w:eastAsiaTheme="minorEastAsia"/>
          <w:iCs/>
          <w:color w:val="000000" w:themeColor="text1"/>
          <w:szCs w:val="22"/>
        </w:rPr>
        <w:instrText xml:space="preserve"> ADDIN EN.CITE.DATA </w:instrText>
      </w:r>
      <w:r w:rsidR="00FC5BEB">
        <w:rPr>
          <w:rFonts w:eastAsiaTheme="minorEastAsia"/>
          <w:iCs/>
          <w:color w:val="000000" w:themeColor="text1"/>
          <w:szCs w:val="22"/>
        </w:rPr>
      </w:r>
      <w:r w:rsidR="00FC5BEB">
        <w:rPr>
          <w:rFonts w:eastAsiaTheme="minorEastAsia"/>
          <w:iCs/>
          <w:color w:val="000000" w:themeColor="text1"/>
          <w:szCs w:val="22"/>
        </w:rPr>
        <w:fldChar w:fldCharType="end"/>
      </w:r>
      <w:r>
        <w:rPr>
          <w:rFonts w:eastAsiaTheme="minorEastAsia"/>
          <w:iCs/>
          <w:color w:val="000000" w:themeColor="text1"/>
          <w:szCs w:val="22"/>
        </w:rPr>
      </w:r>
      <w:r>
        <w:rPr>
          <w:rFonts w:eastAsiaTheme="minorEastAsia"/>
          <w:iCs/>
          <w:color w:val="000000" w:themeColor="text1"/>
          <w:szCs w:val="22"/>
        </w:rPr>
        <w:fldChar w:fldCharType="separate"/>
      </w:r>
      <w:r w:rsidR="00FC5BEB" w:rsidRPr="00FC5BEB">
        <w:rPr>
          <w:rFonts w:eastAsiaTheme="minorEastAsia"/>
          <w:iCs/>
          <w:noProof/>
          <w:color w:val="000000" w:themeColor="text1"/>
          <w:szCs w:val="22"/>
          <w:vertAlign w:val="superscript"/>
        </w:rPr>
        <w:t>157-174</w:t>
      </w:r>
      <w:r>
        <w:rPr>
          <w:rFonts w:eastAsiaTheme="minorEastAsia"/>
          <w:iCs/>
          <w:color w:val="000000" w:themeColor="text1"/>
          <w:szCs w:val="22"/>
        </w:rPr>
        <w:fldChar w:fldCharType="end"/>
      </w:r>
      <w:r>
        <w:rPr>
          <w:color w:val="000000" w:themeColor="text1"/>
          <w:szCs w:val="22"/>
        </w:rPr>
        <w:t xml:space="preserve"> </w:t>
      </w:r>
      <w:r>
        <w:rPr>
          <w:color w:val="000000" w:themeColor="text1"/>
          <w:szCs w:val="22"/>
          <w:shd w:val="clear" w:color="auto" w:fill="FFFFFF"/>
        </w:rPr>
        <w:fldChar w:fldCharType="begin">
          <w:fldData xml:space="preserve">PEVuZE5vdGU+PENpdGU+PEF1dGhvcj5SYW88L0F1dGhvcj48WWVhcj4yMDIwPC9ZZWFyPjxSZWNO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</w:fldData>
        </w:fldChar>
      </w:r>
      <w:r w:rsidR="00FC5BEB">
        <w:rPr>
          <w:color w:val="000000" w:themeColor="text1"/>
          <w:szCs w:val="22"/>
          <w:shd w:val="clear" w:color="auto" w:fill="FFFFFF"/>
        </w:rPr>
        <w:instrText xml:space="preserve"> ADDIN EN.CITE </w:instrText>
      </w:r>
      <w:r w:rsidR="00FC5BEB">
        <w:rPr>
          <w:color w:val="000000" w:themeColor="text1"/>
          <w:szCs w:val="22"/>
          <w:shd w:val="clear" w:color="auto" w:fill="FFFFFF"/>
        </w:rPr>
        <w:fldChar w:fldCharType="begin">
          <w:fldData xml:space="preserve">PEVuZE5vdGU+PENpdGU+PEF1dGhvcj5SYW88L0F1dGhvcj48WWVhcj4yMDIwPC9ZZWFyPjxSZWNO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</w:fldData>
        </w:fldChar>
      </w:r>
      <w:r w:rsidR="00FC5BEB">
        <w:rPr>
          <w:color w:val="000000" w:themeColor="text1"/>
          <w:szCs w:val="22"/>
          <w:shd w:val="clear" w:color="auto" w:fill="FFFFFF"/>
        </w:rPr>
        <w:instrText xml:space="preserve"> ADDIN EN.CITE.DATA </w:instrText>
      </w:r>
      <w:r w:rsidR="00FC5BEB">
        <w:rPr>
          <w:color w:val="000000" w:themeColor="text1"/>
          <w:szCs w:val="22"/>
          <w:shd w:val="clear" w:color="auto" w:fill="FFFFFF"/>
        </w:rPr>
      </w:r>
      <w:r w:rsidR="00FC5BEB">
        <w:rPr>
          <w:color w:val="000000" w:themeColor="text1"/>
          <w:szCs w:val="22"/>
          <w:shd w:val="clear" w:color="auto" w:fill="FFFFFF"/>
        </w:rPr>
        <w:fldChar w:fldCharType="end"/>
      </w:r>
      <w:r>
        <w:rPr>
          <w:color w:val="000000" w:themeColor="text1"/>
          <w:szCs w:val="22"/>
          <w:shd w:val="clear" w:color="auto" w:fill="FFFFFF"/>
        </w:rPr>
      </w:r>
      <w:r>
        <w:rPr>
          <w:color w:val="000000" w:themeColor="text1"/>
          <w:szCs w:val="22"/>
          <w:shd w:val="clear" w:color="auto" w:fill="FFFFFF"/>
        </w:rPr>
        <w:fldChar w:fldCharType="separate"/>
      </w:r>
      <w:r w:rsidR="00FC5BEB" w:rsidRPr="00FC5BEB">
        <w:rPr>
          <w:noProof/>
          <w:color w:val="000000" w:themeColor="text1"/>
          <w:szCs w:val="22"/>
          <w:shd w:val="clear" w:color="auto" w:fill="FFFFFF"/>
          <w:vertAlign w:val="superscript"/>
        </w:rPr>
        <w:t>175-177</w:t>
      </w:r>
      <w:r>
        <w:rPr>
          <w:color w:val="000000" w:themeColor="text1"/>
          <w:szCs w:val="22"/>
          <w:shd w:val="clear" w:color="auto" w:fill="FFFFFF"/>
        </w:rPr>
        <w:fldChar w:fldCharType="end"/>
      </w:r>
      <w:r w:rsidR="006147EE" w:rsidRPr="006147EE">
        <w:rPr>
          <w:vertAlign w:val="superscript"/>
          <w:lang w:eastAsia="en-US"/>
        </w:rPr>
        <w:t>,</w:t>
      </w:r>
      <w:r>
        <w:rPr>
          <w:color w:val="000000" w:themeColor="text1"/>
          <w:szCs w:val="22"/>
        </w:rPr>
        <w:fldChar w:fldCharType="begin"/>
      </w:r>
      <w:r w:rsidR="00FC5BEB">
        <w:rPr>
          <w:color w:val="000000" w:themeColor="text1"/>
          <w:szCs w:val="22"/>
        </w:rPr>
        <w:instrText xml:space="preserve"> ADDIN EN.CITE &lt;EndNote&gt;&lt;Cite&gt;&lt;Author&gt;Zhang&lt;/Author&gt;&lt;Year&gt;2021&lt;/Year&gt;&lt;RecNum&gt;176&lt;/RecNum&gt;&lt;DisplayText&gt;&lt;style face="superscript"&gt;178&lt;/style&gt;&lt;/DisplayText&gt;&lt;record&gt;&lt;rec-number&gt;176&lt;/rec-number&gt;&lt;foreign-keys&gt;&lt;key app="EN" db-id="2xex0erf4eexr4e2dpbxpdd829xttesxxxdr" timestamp="1715075296"&gt;176&lt;/key&gt;&lt;/foreign-keys&gt;&lt;ref-type name="Journal Article"&gt;17&lt;/ref-type&gt;&lt;contributors&gt;&lt;authors&gt;&lt;author&gt;Zhang, Rui&lt;/author&gt;&lt;author&gt;Wei, Zhenhua&lt;/author&gt;&lt;author&gt;Ye, Gaoyang&lt;/author&gt;&lt;author&gt;Chen, Guanjie&lt;/author&gt;&lt;author&gt;Miao, Jiaojiao&lt;/author&gt;&lt;author&gt;Zhou, Xuehua&lt;/author&gt;&lt;author&gt;Zhu, Xiangwei&lt;/author&gt;&lt;author&gt;Cao, Xiaoqun&lt;/author&gt;&lt;author&gt;Sun, Xiangnan&lt;/author&gt;&lt;/authors&gt;&lt;/contributors&gt;&lt;titles&gt;&lt;title&gt;“d-Electron Complementation” Induced V-Co Phosphide for Efficient Overall Water Splitting&lt;/title&gt;&lt;secondary-title&gt;Adv. Energy Mater.&lt;/secondary-title&gt;&lt;/titles&gt;&lt;periodical&gt;&lt;full-title&gt;Adv. Energy Mater.&lt;/full-title&gt;&lt;/periodical&gt;&lt;pages&gt;2101758&lt;/pages&gt;&lt;volume&gt;11&lt;/volume&gt;&lt;number&gt;38&lt;/number&gt;&lt;dates&gt;&lt;year&gt;2021&lt;/year&gt;&lt;/dates&gt;&lt;isbn&gt;1614-6832&lt;/isbn&gt;&lt;urls&gt;&lt;related-urls&gt;&lt;url&gt;https://onlinelibrary.wiley.com/doi/abs/10.1002/aenm.202101758&lt;/url&gt;&lt;/related-urls&gt;&lt;/urls&gt;&lt;electronic-resource-num&gt;https://doi.org/10.1002/aenm.202101758&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178</w:t>
      </w:r>
      <w:r>
        <w:rPr>
          <w:color w:val="000000" w:themeColor="text1"/>
          <w:szCs w:val="22"/>
        </w:rPr>
        <w:fldChar w:fldCharType="end"/>
      </w:r>
      <w:r w:rsidRPr="00EC6E98">
        <w:rPr>
          <w:color w:val="000000" w:themeColor="text1"/>
          <w:szCs w:val="22"/>
        </w:rPr>
        <w:t xml:space="preserve">. However, the PDS need not be the </w:t>
      </w:r>
      <w:r w:rsidRPr="001241CC">
        <w:rPr>
          <w:color w:val="000000" w:themeColor="text1"/>
          <w:szCs w:val="22"/>
        </w:rPr>
        <w:t>RDS</w:t>
      </w:r>
      <w:r w:rsidRPr="001241CC">
        <w:rPr>
          <w:color w:val="000000" w:themeColor="text1"/>
          <w:szCs w:val="22"/>
        </w:rPr>
        <w:fldChar w:fldCharType="begin">
          <w:fldData xml:space="preserve">PEVuZE5vdGU+PENpdGU+PEF1dGhvcj5FeG5lcjwvQXV0aG9yPjxZZWFyPjIwMTc8L1llYXI+PFJl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</w:fldData>
        </w:fldChar>
      </w:r>
      <w:r w:rsidR="00FC5BEB">
        <w:rPr>
          <w:color w:val="000000" w:themeColor="text1"/>
          <w:szCs w:val="22"/>
        </w:rPr>
        <w:instrText xml:space="preserve"> ADDIN EN.CITE </w:instrText>
      </w:r>
      <w:r w:rsidR="00FC5BEB">
        <w:rPr>
          <w:color w:val="000000" w:themeColor="text1"/>
          <w:szCs w:val="22"/>
        </w:rPr>
        <w:fldChar w:fldCharType="begin">
          <w:fldData xml:space="preserve">PEVuZE5vdGU+PENpdGU+PEF1dGhvcj5FeG5lcjwvQXV0aG9yPjxZZWFyPjIwMTc8L1llYXI+PFJl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</w:fldData>
        </w:fldChar>
      </w:r>
      <w:r w:rsidR="00FC5BEB">
        <w:rPr>
          <w:color w:val="000000" w:themeColor="text1"/>
          <w:szCs w:val="22"/>
        </w:rPr>
        <w:instrText xml:space="preserve"> ADDIN EN.CITE.DATA </w:instrText>
      </w:r>
      <w:r w:rsidR="00FC5BEB">
        <w:rPr>
          <w:color w:val="000000" w:themeColor="text1"/>
          <w:szCs w:val="22"/>
        </w:rPr>
      </w:r>
      <w:r w:rsidR="00FC5BEB">
        <w:rPr>
          <w:color w:val="000000" w:themeColor="text1"/>
          <w:szCs w:val="22"/>
        </w:rPr>
        <w:fldChar w:fldCharType="end"/>
      </w:r>
      <w:r w:rsidRPr="001241CC">
        <w:rPr>
          <w:color w:val="000000" w:themeColor="text1"/>
          <w:szCs w:val="22"/>
        </w:rPr>
      </w:r>
      <w:r w:rsidRPr="001241CC">
        <w:rPr>
          <w:color w:val="000000" w:themeColor="text1"/>
          <w:szCs w:val="22"/>
        </w:rPr>
        <w:fldChar w:fldCharType="separate"/>
      </w:r>
      <w:r w:rsidR="00FC5BEB" w:rsidRPr="00FC5BEB">
        <w:rPr>
          <w:noProof/>
          <w:color w:val="000000" w:themeColor="text1"/>
          <w:szCs w:val="22"/>
          <w:vertAlign w:val="superscript"/>
        </w:rPr>
        <w:t>179, 180</w:t>
      </w:r>
      <w:r w:rsidRPr="001241CC">
        <w:rPr>
          <w:color w:val="000000" w:themeColor="text1"/>
          <w:szCs w:val="22"/>
        </w:rPr>
        <w:fldChar w:fldCharType="end"/>
      </w:r>
      <w:r w:rsidRPr="00EC6E98">
        <w:rPr>
          <w:color w:val="000000" w:themeColor="text1"/>
          <w:szCs w:val="22"/>
        </w:rPr>
        <w:t xml:space="preserve">. The authors of </w:t>
      </w:r>
      <w:r w:rsidRPr="00EC6E98">
        <w:rPr>
          <w:rFonts w:eastAsiaTheme="minorEastAsia"/>
          <w:iCs/>
          <w:color w:val="000000" w:themeColor="text1"/>
          <w:szCs w:val="22"/>
        </w:rPr>
        <w:t>Ref.</w:t>
      </w:r>
      <w:r>
        <w:rPr>
          <w:rFonts w:eastAsiaTheme="minorEastAsia"/>
          <w:iCs/>
          <w:color w:val="000000" w:themeColor="text1"/>
          <w:szCs w:val="22"/>
        </w:rPr>
        <w:t xml:space="preserve"> </w:t>
      </w:r>
      <w:r>
        <w:rPr>
          <w:rFonts w:eastAsiaTheme="minorEastAsia"/>
          <w:iCs/>
          <w:color w:val="000000" w:themeColor="text1"/>
          <w:szCs w:val="22"/>
        </w:rPr>
        <w:fldChar w:fldCharType="begin"/>
      </w:r>
      <w:r w:rsidR="00FC5BEB">
        <w:rPr>
          <w:rFonts w:eastAsiaTheme="minorEastAsia"/>
          <w:iCs/>
          <w:color w:val="000000" w:themeColor="text1"/>
          <w:szCs w:val="22"/>
        </w:rPr>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rPr>
          <w:rFonts w:eastAsiaTheme="minorEastAsia"/>
          <w:iCs/>
          <w:color w:val="000000" w:themeColor="text1"/>
          <w:szCs w:val="22"/>
        </w:rPr>
        <w:fldChar w:fldCharType="separate"/>
      </w:r>
      <w:r w:rsidR="00FC5BEB" w:rsidRPr="00FC5BEB">
        <w:rPr>
          <w:rFonts w:eastAsiaTheme="minorEastAsia"/>
          <w:iCs/>
          <w:noProof/>
          <w:color w:val="000000" w:themeColor="text1"/>
          <w:szCs w:val="22"/>
          <w:vertAlign w:val="superscript"/>
        </w:rPr>
        <w:t>87</w:t>
      </w:r>
      <w:r>
        <w:rPr>
          <w:rFonts w:eastAsiaTheme="minorEastAsia"/>
          <w:iCs/>
          <w:color w:val="000000" w:themeColor="text1"/>
          <w:szCs w:val="22"/>
        </w:rPr>
        <w:fldChar w:fldCharType="end"/>
      </w:r>
      <w:r w:rsidRPr="00EC6E98">
        <w:rPr>
          <w:rFonts w:eastAsiaTheme="minorEastAsia"/>
          <w:iCs/>
          <w:color w:val="000000" w:themeColor="text1"/>
          <w:szCs w:val="22"/>
        </w:rPr>
        <w:t xml:space="preserve"> ignore this possible issue and</w:t>
      </w:r>
      <w:r w:rsidRPr="00EC6E98">
        <w:rPr>
          <w:color w:val="000000" w:themeColor="text1"/>
          <w:szCs w:val="22"/>
        </w:rPr>
        <w:t xml:space="preserve"> use </w:t>
      </w:r>
      <w:r w:rsidRPr="00EC6E98">
        <w:rPr>
          <w:rFonts w:eastAsiaTheme="minorEastAsia"/>
          <w:i/>
          <w:color w:val="000000" w:themeColor="text1"/>
          <w:szCs w:val="22"/>
        </w:rPr>
        <w:sym w:font="Symbol" w:char="F068"/>
      </w:r>
      <w:r w:rsidRPr="00EC6E98">
        <w:rPr>
          <w:rFonts w:eastAsiaTheme="minorEastAsia"/>
          <w:iCs/>
          <w:color w:val="000000" w:themeColor="text1"/>
          <w:szCs w:val="22"/>
          <w:vertAlign w:val="subscript"/>
        </w:rPr>
        <w:t>CHE</w:t>
      </w:r>
      <w:r w:rsidRPr="00EC6E98">
        <w:rPr>
          <w:rFonts w:eastAsiaTheme="minorEastAsia"/>
          <w:iCs/>
          <w:color w:val="000000" w:themeColor="text1"/>
          <w:szCs w:val="22"/>
        </w:rPr>
        <w:t xml:space="preserve"> as a metric of catalytic performance, though it should be recognized that </w:t>
      </w:r>
      <w:r w:rsidRPr="00EC6E98">
        <w:rPr>
          <w:rFonts w:eastAsiaTheme="minorEastAsia"/>
          <w:i/>
          <w:color w:val="000000" w:themeColor="text1"/>
          <w:szCs w:val="22"/>
        </w:rPr>
        <w:sym w:font="Symbol" w:char="F068"/>
      </w:r>
      <w:r w:rsidRPr="00EC6E98">
        <w:rPr>
          <w:rFonts w:eastAsiaTheme="minorEastAsia"/>
          <w:iCs/>
          <w:color w:val="000000" w:themeColor="text1"/>
          <w:szCs w:val="22"/>
          <w:vertAlign w:val="subscript"/>
        </w:rPr>
        <w:t>CHE</w:t>
      </w:r>
      <w:r w:rsidRPr="00EC6E98">
        <w:rPr>
          <w:rFonts w:eastAsiaTheme="minorEastAsia"/>
          <w:iCs/>
          <w:color w:val="000000" w:themeColor="text1"/>
          <w:szCs w:val="22"/>
        </w:rPr>
        <w:t xml:space="preserve"> does not necessarily correlate with activity </w:t>
      </w:r>
      <w:r>
        <w:rPr>
          <w:rFonts w:eastAsiaTheme="minorEastAsia"/>
          <w:iCs/>
          <w:color w:val="000000" w:themeColor="text1"/>
          <w:szCs w:val="22"/>
        </w:rPr>
        <w:t xml:space="preserve">and hence with the </w:t>
      </w:r>
      <w:r w:rsidRPr="00EC6E98">
        <w:rPr>
          <w:rFonts w:eastAsiaTheme="minorEastAsia"/>
          <w:iCs/>
          <w:color w:val="000000" w:themeColor="text1"/>
          <w:szCs w:val="22"/>
        </w:rPr>
        <w:t>experimental overpotential. Semantics aside, the type of stair</w:t>
      </w:r>
      <w:r w:rsidR="000849A5">
        <w:rPr>
          <w:rFonts w:eastAsiaTheme="minorEastAsia"/>
          <w:iCs/>
          <w:color w:val="000000" w:themeColor="text1"/>
          <w:szCs w:val="22"/>
        </w:rPr>
        <w:t xml:space="preserve"> </w:t>
      </w:r>
      <w:r w:rsidRPr="00EC6E98">
        <w:rPr>
          <w:rFonts w:eastAsiaTheme="minorEastAsia"/>
          <w:iCs/>
          <w:color w:val="000000" w:themeColor="text1"/>
          <w:szCs w:val="22"/>
        </w:rPr>
        <w:t>step diagram shown in</w:t>
      </w:r>
      <w:r w:rsidR="000849A5">
        <w:rPr>
          <w:rFonts w:eastAsiaTheme="minorEastAsia"/>
          <w:iCs/>
          <w:color w:val="000000" w:themeColor="text1"/>
          <w:szCs w:val="22"/>
        </w:rPr>
        <w:t xml:space="preserve"> </w:t>
      </w:r>
      <w:r w:rsidR="000849A5">
        <w:rPr>
          <w:rFonts w:eastAsiaTheme="minorEastAsia"/>
          <w:iCs/>
          <w:color w:val="000000" w:themeColor="text1"/>
          <w:szCs w:val="22"/>
        </w:rPr>
        <w:fldChar w:fldCharType="begin"/>
      </w:r>
      <w:r w:rsidR="000849A5">
        <w:rPr>
          <w:rFonts w:eastAsiaTheme="minorEastAsia"/>
          <w:iCs/>
          <w:color w:val="000000" w:themeColor="text1"/>
          <w:szCs w:val="22"/>
        </w:rPr>
        <w:instrText xml:space="preserve"> REF _Ref159512497 \h </w:instrText>
      </w:r>
      <w:r w:rsidR="000849A5">
        <w:rPr>
          <w:rFonts w:eastAsiaTheme="minorEastAsia"/>
          <w:iCs/>
          <w:color w:val="000000" w:themeColor="text1"/>
          <w:szCs w:val="22"/>
        </w:rPr>
      </w:r>
      <w:r w:rsidR="000849A5">
        <w:rPr>
          <w:rFonts w:eastAsiaTheme="minorEastAsia"/>
          <w:iCs/>
          <w:color w:val="000000" w:themeColor="text1"/>
          <w:szCs w:val="22"/>
        </w:rPr>
        <w:fldChar w:fldCharType="separate"/>
      </w:r>
      <w:r w:rsidR="003255C0" w:rsidRPr="00430A30">
        <w:rPr>
          <w:b/>
          <w:bCs/>
        </w:rPr>
        <w:t xml:space="preserve">Figure </w:t>
      </w:r>
      <w:r w:rsidR="003255C0">
        <w:rPr>
          <w:b/>
          <w:bCs/>
          <w:noProof/>
        </w:rPr>
        <w:t>11</w:t>
      </w:r>
      <w:r w:rsidR="000849A5">
        <w:rPr>
          <w:rFonts w:eastAsiaTheme="minorEastAsia"/>
          <w:iCs/>
          <w:color w:val="000000" w:themeColor="text1"/>
          <w:szCs w:val="22"/>
        </w:rPr>
        <w:fldChar w:fldCharType="end"/>
      </w:r>
      <w:r w:rsidRPr="00EC6E98">
        <w:rPr>
          <w:rFonts w:eastAsiaTheme="minorEastAsia"/>
          <w:iCs/>
          <w:color w:val="000000" w:themeColor="text1"/>
          <w:szCs w:val="22"/>
        </w:rPr>
        <w:t xml:space="preserve">, and its use in the identification of a PDS and </w:t>
      </w:r>
      <w:r w:rsidRPr="00EC6E98">
        <w:rPr>
          <w:rFonts w:eastAsiaTheme="minorEastAsia"/>
          <w:i/>
          <w:color w:val="000000" w:themeColor="text1"/>
          <w:szCs w:val="22"/>
        </w:rPr>
        <w:sym w:font="Symbol" w:char="F068"/>
      </w:r>
      <w:r w:rsidRPr="00EC6E98">
        <w:rPr>
          <w:rFonts w:eastAsiaTheme="minorEastAsia"/>
          <w:iCs/>
          <w:color w:val="000000" w:themeColor="text1"/>
          <w:szCs w:val="22"/>
          <w:vertAlign w:val="subscript"/>
        </w:rPr>
        <w:t>CHE</w:t>
      </w:r>
      <w:r w:rsidRPr="00EC6E98">
        <w:rPr>
          <w:rFonts w:eastAsiaTheme="minorEastAsia"/>
          <w:iCs/>
          <w:color w:val="000000" w:themeColor="text1"/>
          <w:szCs w:val="22"/>
        </w:rPr>
        <w:t>, has become ubiquitous in computational OER work.</w:t>
      </w:r>
    </w:p>
    <w:p w14:paraId="1F7810BA" w14:textId="77777777" w:rsidR="00E37E91" w:rsidRPr="00EC6E98" w:rsidRDefault="00E37E91" w:rsidP="00E37E91">
      <w:pPr>
        <w:jc w:val="center"/>
        <w:rPr>
          <w:iCs/>
          <w:color w:val="000000" w:themeColor="text1"/>
          <w:szCs w:val="22"/>
        </w:rPr>
      </w:pPr>
      <w:r w:rsidRPr="00EC6E98">
        <w:rPr>
          <w:iCs/>
          <w:noProof/>
          <w:color w:val="000000" w:themeColor="text1"/>
          <w:szCs w:val="22"/>
        </w:rPr>
        <w:lastRenderedPageBreak/>
        <w:drawing>
          <wp:inline distT="0" distB="0" distL="0" distR="0" wp14:anchorId="0958EA86" wp14:editId="3329D04D">
            <wp:extent cx="3062921" cy="2145354"/>
            <wp:effectExtent l="0" t="0" r="0" b="1270"/>
            <wp:docPr id="20854199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5419946" name=""/>
                    <pic:cNvPicPr/>
                  </pic:nvPicPr>
                  <pic:blipFill>
                    <a:blip r:embed="rId21"/>
                    <a:stretch>
                      <a:fillRect/>
                    </a:stretch>
                  </pic:blipFill>
                  <pic:spPr>
                    <a:xfrm>
                      <a:off x="0" y="0"/>
                      <a:ext cx="3113235" cy="2180595"/>
                    </a:xfrm>
                    <a:prstGeom prst="rect">
                      <a:avLst/>
                    </a:prstGeom>
                  </pic:spPr>
                </pic:pic>
              </a:graphicData>
            </a:graphic>
          </wp:inline>
        </w:drawing>
      </w:r>
    </w:p>
    <w:p w14:paraId="5C267E65" w14:textId="48B5E000" w:rsidR="00E37E91" w:rsidRPr="00704C0E" w:rsidRDefault="00430A30" w:rsidP="00430A30">
      <w:pPr>
        <w:pStyle w:val="Caption"/>
        <w:rPr>
          <w:szCs w:val="20"/>
          <w:lang w:val="en-US"/>
        </w:rPr>
      </w:pPr>
      <w:bookmarkStart w:id="79" w:name="_Ref159512497"/>
      <w:bookmarkStart w:id="80" w:name="_Ref159512075"/>
      <w:r w:rsidRPr="00430A30">
        <w:rPr>
          <w:b/>
          <w:bCs w:val="0"/>
          <w:sz w:val="22"/>
        </w:rPr>
        <w:t xml:space="preserve">Figure </w:t>
      </w:r>
      <w:r w:rsidRPr="00430A30">
        <w:rPr>
          <w:b/>
          <w:bCs w:val="0"/>
          <w:sz w:val="22"/>
        </w:rPr>
        <w:fldChar w:fldCharType="begin"/>
      </w:r>
      <w:r w:rsidRPr="00430A30">
        <w:rPr>
          <w:b/>
          <w:bCs w:val="0"/>
          <w:sz w:val="22"/>
        </w:rPr>
        <w:instrText xml:space="preserve"> SEQ Figure \* ARABIC </w:instrText>
      </w:r>
      <w:r w:rsidRPr="00430A30">
        <w:rPr>
          <w:b/>
          <w:bCs w:val="0"/>
          <w:sz w:val="22"/>
        </w:rPr>
        <w:fldChar w:fldCharType="separate"/>
      </w:r>
      <w:r w:rsidR="003255C0">
        <w:rPr>
          <w:b/>
          <w:bCs w:val="0"/>
          <w:noProof/>
          <w:sz w:val="22"/>
        </w:rPr>
        <w:t>11</w:t>
      </w:r>
      <w:r w:rsidRPr="00430A30">
        <w:rPr>
          <w:b/>
          <w:bCs w:val="0"/>
          <w:sz w:val="22"/>
        </w:rPr>
        <w:fldChar w:fldCharType="end"/>
      </w:r>
      <w:bookmarkEnd w:id="79"/>
      <w:r w:rsidR="00E37E91" w:rsidRPr="00EC6E98">
        <w:rPr>
          <w:sz w:val="22"/>
        </w:rPr>
        <w:t xml:space="preserve"> </w:t>
      </w:r>
      <w:r w:rsidR="00E37E91" w:rsidRPr="004A6FE9">
        <w:rPr>
          <w:szCs w:val="20"/>
        </w:rPr>
        <w:t xml:space="preserve">Free energy diagrams for the OER over </w:t>
      </w:r>
      <w:proofErr w:type="gramStart"/>
      <w:r w:rsidR="00E37E91" w:rsidRPr="004A6FE9">
        <w:rPr>
          <w:szCs w:val="20"/>
        </w:rPr>
        <w:t>Pt(</w:t>
      </w:r>
      <w:proofErr w:type="gramEnd"/>
      <w:r w:rsidR="00E37E91" w:rsidRPr="004A6FE9">
        <w:rPr>
          <w:szCs w:val="20"/>
        </w:rPr>
        <w:t xml:space="preserve">111) at 4 electrode potential computed using the CHE. When the electrode potential reaches 2.55 V all steps become downhill in free energy and the reaction is assumed to proceed. </w:t>
      </w:r>
      <w:r w:rsidR="000757AA" w:rsidRPr="004A6FE9">
        <w:rPr>
          <w:szCs w:val="20"/>
        </w:rPr>
        <w:t>Reproduced with permission from Ref.</w:t>
      </w:r>
      <w:r w:rsidR="00E37E91" w:rsidRPr="004A6FE9">
        <w:rPr>
          <w:szCs w:val="20"/>
        </w:rPr>
        <w:t xml:space="preserve"> </w:t>
      </w:r>
      <w:r w:rsidR="00E37E91" w:rsidRPr="004A6FE9">
        <w:rPr>
          <w:szCs w:val="20"/>
        </w:rPr>
        <w:fldChar w:fldCharType="begin"/>
      </w:r>
      <w:r w:rsidR="00FC5BEB">
        <w:rPr>
          <w:szCs w:val="20"/>
        </w:rPr>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rsidR="00E37E91" w:rsidRPr="004A6FE9">
        <w:rPr>
          <w:szCs w:val="20"/>
        </w:rPr>
        <w:fldChar w:fldCharType="separate"/>
      </w:r>
      <w:r w:rsidR="00FC5BEB" w:rsidRPr="00FC5BEB">
        <w:rPr>
          <w:noProof/>
          <w:szCs w:val="20"/>
          <w:vertAlign w:val="superscript"/>
        </w:rPr>
        <w:t>87</w:t>
      </w:r>
      <w:r w:rsidR="00E37E91" w:rsidRPr="004A6FE9">
        <w:rPr>
          <w:szCs w:val="20"/>
        </w:rPr>
        <w:fldChar w:fldCharType="end"/>
      </w:r>
      <w:r w:rsidR="00E37E91" w:rsidRPr="004A6FE9">
        <w:rPr>
          <w:szCs w:val="20"/>
        </w:rPr>
        <w:t>.</w:t>
      </w:r>
      <w:bookmarkEnd w:id="80"/>
      <w:r w:rsidR="0020572A">
        <w:rPr>
          <w:szCs w:val="20"/>
        </w:rPr>
        <w:t xml:space="preserve"> </w:t>
      </w:r>
      <w:r w:rsidR="0020572A" w:rsidRPr="0020572A">
        <w:rPr>
          <w:szCs w:val="20"/>
          <w:lang w:val="en-US"/>
        </w:rPr>
        <w:t>Copyright 2005 Elsevier.</w:t>
      </w:r>
    </w:p>
    <w:p w14:paraId="4BCBC5D4" w14:textId="77777777" w:rsidR="00E37E91" w:rsidRPr="00EC6E98" w:rsidRDefault="00E37E91" w:rsidP="00E37E91">
      <w:pPr>
        <w:rPr>
          <w:iCs/>
          <w:color w:val="000000" w:themeColor="text1"/>
          <w:szCs w:val="22"/>
        </w:rPr>
      </w:pPr>
    </w:p>
    <w:p w14:paraId="63712763" w14:textId="3C36DE4F" w:rsidR="00E37E91" w:rsidRPr="00EC6E98" w:rsidRDefault="00E37E91" w:rsidP="00E37E91">
      <w:pPr>
        <w:ind w:firstLine="720"/>
        <w:rPr>
          <w:color w:val="000000" w:themeColor="text1"/>
          <w:szCs w:val="22"/>
        </w:rPr>
      </w:pPr>
      <w:r w:rsidRPr="00EC6E98">
        <w:rPr>
          <w:color w:val="000000" w:themeColor="text1"/>
          <w:szCs w:val="22"/>
        </w:rPr>
        <w:t>In generating</w:t>
      </w:r>
      <w:r w:rsidR="000849A5">
        <w:rPr>
          <w:color w:val="000000" w:themeColor="text1"/>
          <w:szCs w:val="22"/>
        </w:rPr>
        <w:t xml:space="preserve"> </w:t>
      </w:r>
      <w:r w:rsidR="000849A5">
        <w:rPr>
          <w:b/>
        </w:rPr>
        <w:fldChar w:fldCharType="begin"/>
      </w:r>
      <w:r w:rsidR="000849A5">
        <w:rPr>
          <w:color w:val="000000" w:themeColor="text1"/>
          <w:szCs w:val="22"/>
        </w:rPr>
        <w:instrText xml:space="preserve"> REF _Ref159512497 \h </w:instrText>
      </w:r>
      <w:r w:rsidR="000849A5">
        <w:rPr>
          <w:b/>
        </w:rPr>
      </w:r>
      <w:r w:rsidR="000849A5">
        <w:rPr>
          <w:b/>
        </w:rPr>
        <w:fldChar w:fldCharType="separate"/>
      </w:r>
      <w:r w:rsidR="003255C0" w:rsidRPr="00430A30">
        <w:rPr>
          <w:b/>
          <w:bCs/>
        </w:rPr>
        <w:t xml:space="preserve">Figure </w:t>
      </w:r>
      <w:r w:rsidR="003255C0">
        <w:rPr>
          <w:b/>
          <w:bCs/>
          <w:noProof/>
        </w:rPr>
        <w:t>11</w:t>
      </w:r>
      <w:r w:rsidR="000849A5">
        <w:rPr>
          <w:b/>
        </w:rPr>
        <w:fldChar w:fldCharType="end"/>
      </w:r>
      <w:r w:rsidRPr="00EC6E98">
        <w:rPr>
          <w:color w:val="000000" w:themeColor="text1"/>
          <w:szCs w:val="22"/>
        </w:rPr>
        <w:t>, the authors of Ref.</w:t>
      </w:r>
      <w:r>
        <w:rPr>
          <w:color w:val="000000" w:themeColor="text1"/>
          <w:szCs w:val="22"/>
        </w:rPr>
        <w:t xml:space="preserve"> </w:t>
      </w:r>
      <w:r>
        <w:rPr>
          <w:color w:val="000000" w:themeColor="text1"/>
          <w:szCs w:val="22"/>
        </w:rPr>
        <w:fldChar w:fldCharType="begin"/>
      </w:r>
      <w:r w:rsidR="00FC5BEB">
        <w:rPr>
          <w:color w:val="000000" w:themeColor="text1"/>
          <w:szCs w:val="22"/>
        </w:rPr>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87</w:t>
      </w:r>
      <w:r>
        <w:rPr>
          <w:color w:val="000000" w:themeColor="text1"/>
          <w:szCs w:val="22"/>
        </w:rPr>
        <w:fldChar w:fldCharType="end"/>
      </w:r>
      <w:r w:rsidRPr="00EC6E98">
        <w:rPr>
          <w:color w:val="000000" w:themeColor="text1"/>
          <w:szCs w:val="22"/>
        </w:rPr>
        <w:t xml:space="preserve"> found coverage effects are critical for the thermodynamics. They showed that </w:t>
      </w:r>
      <w:r>
        <w:rPr>
          <w:color w:val="000000" w:themeColor="text1"/>
          <w:szCs w:val="22"/>
        </w:rPr>
        <w:t>*OOH</w:t>
      </w:r>
      <w:r w:rsidRPr="00EC6E98">
        <w:rPr>
          <w:color w:val="000000" w:themeColor="text1"/>
          <w:szCs w:val="22"/>
        </w:rPr>
        <w:t xml:space="preserve"> on </w:t>
      </w:r>
      <w:proofErr w:type="gramStart"/>
      <w:r w:rsidRPr="00EC6E98">
        <w:rPr>
          <w:color w:val="000000" w:themeColor="text1"/>
          <w:szCs w:val="22"/>
        </w:rPr>
        <w:t>Pt(</w:t>
      </w:r>
      <w:proofErr w:type="gramEnd"/>
      <w:r w:rsidRPr="00EC6E98">
        <w:rPr>
          <w:color w:val="000000" w:themeColor="text1"/>
          <w:szCs w:val="22"/>
        </w:rPr>
        <w:t xml:space="preserve">111) could dissociate into </w:t>
      </w:r>
      <w:r>
        <w:rPr>
          <w:color w:val="000000" w:themeColor="text1"/>
          <w:szCs w:val="22"/>
        </w:rPr>
        <w:t>*O</w:t>
      </w:r>
      <w:r w:rsidRPr="00EC6E98">
        <w:rPr>
          <w:color w:val="000000" w:themeColor="text1"/>
          <w:szCs w:val="22"/>
        </w:rPr>
        <w:t xml:space="preserve"> and </w:t>
      </w:r>
      <w:r>
        <w:rPr>
          <w:color w:val="000000" w:themeColor="text1"/>
          <w:szCs w:val="22"/>
        </w:rPr>
        <w:t>*OH</w:t>
      </w:r>
      <w:r w:rsidRPr="00EC6E98">
        <w:rPr>
          <w:color w:val="000000" w:themeColor="text1"/>
          <w:szCs w:val="22"/>
        </w:rPr>
        <w:t xml:space="preserve">, as the latter species are lower in total energy. The authors then explored stabilizing the </w:t>
      </w:r>
      <w:proofErr w:type="spellStart"/>
      <w:r w:rsidRPr="00EC6E98">
        <w:rPr>
          <w:color w:val="000000" w:themeColor="text1"/>
          <w:szCs w:val="22"/>
        </w:rPr>
        <w:t>hydroperoxo</w:t>
      </w:r>
      <w:proofErr w:type="spellEnd"/>
      <w:r w:rsidRPr="00EC6E98">
        <w:rPr>
          <w:color w:val="000000" w:themeColor="text1"/>
          <w:szCs w:val="22"/>
        </w:rPr>
        <w:t xml:space="preserve"> by increasing the absorbed oxygen coverage to 2/3 ML, which was found to stabilize </w:t>
      </w:r>
      <w:r>
        <w:rPr>
          <w:color w:val="000000" w:themeColor="text1"/>
          <w:szCs w:val="22"/>
        </w:rPr>
        <w:t>*OOH</w:t>
      </w:r>
      <w:r w:rsidRPr="00EC6E98">
        <w:rPr>
          <w:color w:val="000000" w:themeColor="text1"/>
          <w:szCs w:val="22"/>
        </w:rPr>
        <w:t xml:space="preserve">; they did the same with </w:t>
      </w:r>
      <w:proofErr w:type="gramStart"/>
      <w:r w:rsidRPr="00EC6E98">
        <w:rPr>
          <w:color w:val="000000" w:themeColor="text1"/>
          <w:szCs w:val="22"/>
        </w:rPr>
        <w:t>Au(</w:t>
      </w:r>
      <w:proofErr w:type="gramEnd"/>
      <w:r w:rsidRPr="00EC6E98">
        <w:rPr>
          <w:color w:val="000000" w:themeColor="text1"/>
          <w:szCs w:val="22"/>
        </w:rPr>
        <w:t xml:space="preserve">111) and found 1/3 ML </w:t>
      </w:r>
      <w:r>
        <w:rPr>
          <w:color w:val="000000" w:themeColor="text1"/>
          <w:szCs w:val="22"/>
        </w:rPr>
        <w:t>*O</w:t>
      </w:r>
      <w:r w:rsidRPr="00EC6E98">
        <w:rPr>
          <w:color w:val="000000" w:themeColor="text1"/>
          <w:szCs w:val="22"/>
        </w:rPr>
        <w:t xml:space="preserve"> stabilizes </w:t>
      </w:r>
      <w:r>
        <w:rPr>
          <w:color w:val="000000" w:themeColor="text1"/>
          <w:szCs w:val="22"/>
        </w:rPr>
        <w:t>*OOH</w:t>
      </w:r>
      <w:r w:rsidRPr="00EC6E98">
        <w:rPr>
          <w:color w:val="000000" w:themeColor="text1"/>
          <w:szCs w:val="22"/>
        </w:rPr>
        <w:t xml:space="preserve"> on the Au(111) surface. Such considerations are crucial to accurately describe the surface of the electrode during operation. In fact, inspection of </w:t>
      </w:r>
      <w:r w:rsidR="000849A5">
        <w:rPr>
          <w:color w:val="000000" w:themeColor="text1"/>
          <w:szCs w:val="22"/>
        </w:rPr>
        <w:fldChar w:fldCharType="begin"/>
      </w:r>
      <w:r w:rsidR="000849A5">
        <w:rPr>
          <w:color w:val="000000" w:themeColor="text1"/>
          <w:szCs w:val="22"/>
        </w:rPr>
        <w:instrText xml:space="preserve"> REF _Ref159512497 \h </w:instrText>
      </w:r>
      <w:r w:rsidR="000849A5">
        <w:rPr>
          <w:color w:val="000000" w:themeColor="text1"/>
          <w:szCs w:val="22"/>
        </w:rPr>
      </w:r>
      <w:r w:rsidR="000849A5">
        <w:rPr>
          <w:color w:val="000000" w:themeColor="text1"/>
          <w:szCs w:val="22"/>
        </w:rPr>
        <w:fldChar w:fldCharType="separate"/>
      </w:r>
      <w:r w:rsidR="003255C0" w:rsidRPr="00430A30">
        <w:rPr>
          <w:b/>
          <w:bCs/>
        </w:rPr>
        <w:t xml:space="preserve">Figure </w:t>
      </w:r>
      <w:r w:rsidR="003255C0">
        <w:rPr>
          <w:b/>
          <w:bCs/>
          <w:noProof/>
        </w:rPr>
        <w:t>11</w:t>
      </w:r>
      <w:r w:rsidR="000849A5">
        <w:rPr>
          <w:color w:val="000000" w:themeColor="text1"/>
          <w:szCs w:val="22"/>
        </w:rPr>
        <w:fldChar w:fldCharType="end"/>
      </w:r>
      <w:r w:rsidR="000849A5">
        <w:rPr>
          <w:color w:val="000000" w:themeColor="text1"/>
          <w:szCs w:val="22"/>
        </w:rPr>
        <w:t xml:space="preserve"> </w:t>
      </w:r>
      <w:r w:rsidRPr="00EC6E98">
        <w:rPr>
          <w:color w:val="000000" w:themeColor="text1"/>
          <w:szCs w:val="22"/>
        </w:rPr>
        <w:t xml:space="preserve">suggests it is reasonable to assume </w:t>
      </w:r>
      <w:r>
        <w:rPr>
          <w:color w:val="000000" w:themeColor="text1"/>
          <w:szCs w:val="22"/>
        </w:rPr>
        <w:t>*O</w:t>
      </w:r>
      <w:r w:rsidRPr="00EC6E98">
        <w:rPr>
          <w:color w:val="000000" w:themeColor="text1"/>
          <w:szCs w:val="22"/>
        </w:rPr>
        <w:t xml:space="preserve"> will be present on </w:t>
      </w:r>
      <w:proofErr w:type="gramStart"/>
      <w:r w:rsidRPr="00EC6E98">
        <w:rPr>
          <w:color w:val="000000" w:themeColor="text1"/>
          <w:szCs w:val="22"/>
        </w:rPr>
        <w:t>Pt(</w:t>
      </w:r>
      <w:proofErr w:type="gramEnd"/>
      <w:r w:rsidRPr="00EC6E98">
        <w:rPr>
          <w:color w:val="000000" w:themeColor="text1"/>
          <w:szCs w:val="22"/>
        </w:rPr>
        <w:t xml:space="preserve">111) above 1.23 V, since it can be formed without any thermodynamic barrier under such conditions. When the </w:t>
      </w:r>
      <w:proofErr w:type="gramStart"/>
      <w:r w:rsidRPr="00EC6E98">
        <w:rPr>
          <w:color w:val="000000" w:themeColor="text1"/>
          <w:szCs w:val="22"/>
        </w:rPr>
        <w:t>Pt(</w:t>
      </w:r>
      <w:proofErr w:type="gramEnd"/>
      <w:r w:rsidRPr="00EC6E98">
        <w:rPr>
          <w:color w:val="000000" w:themeColor="text1"/>
          <w:szCs w:val="22"/>
        </w:rPr>
        <w:t xml:space="preserve">111) surface is covered in 2/3 ML </w:t>
      </w:r>
      <w:r>
        <w:rPr>
          <w:color w:val="000000" w:themeColor="text1"/>
          <w:szCs w:val="22"/>
        </w:rPr>
        <w:t>*O</w:t>
      </w:r>
      <w:r w:rsidRPr="00EC6E98">
        <w:rPr>
          <w:color w:val="000000" w:themeColor="text1"/>
          <w:szCs w:val="22"/>
        </w:rPr>
        <w:t xml:space="preserve"> the authors found the PDS was reduced from 2.55 V to 1.90 V</w:t>
      </w:r>
      <w:r>
        <w:rPr>
          <w:color w:val="000000" w:themeColor="text1"/>
          <w:szCs w:val="22"/>
        </w:rPr>
        <w:t xml:space="preserve">. </w:t>
      </w:r>
      <w:r w:rsidRPr="00EC6E98">
        <w:rPr>
          <w:color w:val="000000" w:themeColor="text1"/>
          <w:szCs w:val="22"/>
        </w:rPr>
        <w:t xml:space="preserve">That is, </w:t>
      </w:r>
      <w:r w:rsidRPr="00EC6E98">
        <w:rPr>
          <w:iCs/>
          <w:color w:val="000000" w:themeColor="text1"/>
          <w:szCs w:val="22"/>
        </w:rPr>
        <w:sym w:font="Symbol" w:char="F068"/>
      </w:r>
      <w:r w:rsidRPr="00EC6E98">
        <w:rPr>
          <w:iCs/>
          <w:color w:val="000000" w:themeColor="text1"/>
          <w:szCs w:val="22"/>
          <w:vertAlign w:val="subscript"/>
        </w:rPr>
        <w:t>CHE</w:t>
      </w:r>
      <w:r w:rsidRPr="00EC6E98">
        <w:rPr>
          <w:color w:val="000000" w:themeColor="text1"/>
          <w:szCs w:val="22"/>
        </w:rPr>
        <w:t xml:space="preserve"> dropped from 1</w:t>
      </w:r>
      <w:r>
        <w:rPr>
          <w:color w:val="000000" w:themeColor="text1"/>
          <w:szCs w:val="22"/>
        </w:rPr>
        <w:t>.</w:t>
      </w:r>
      <w:r w:rsidRPr="00EC6E98">
        <w:rPr>
          <w:color w:val="000000" w:themeColor="text1"/>
          <w:szCs w:val="22"/>
        </w:rPr>
        <w:t xml:space="preserve">32 V to </w:t>
      </w:r>
      <w:r>
        <w:rPr>
          <w:color w:val="000000" w:themeColor="text1"/>
          <w:szCs w:val="22"/>
        </w:rPr>
        <w:t>0.</w:t>
      </w:r>
      <w:r w:rsidRPr="00EC6E98">
        <w:rPr>
          <w:color w:val="000000" w:themeColor="text1"/>
          <w:szCs w:val="22"/>
        </w:rPr>
        <w:t xml:space="preserve">67 mV. </w:t>
      </w:r>
      <w:r>
        <w:rPr>
          <w:color w:val="000000" w:themeColor="text1"/>
          <w:szCs w:val="22"/>
        </w:rPr>
        <w:t>However, the PDS changes from</w:t>
      </w:r>
      <w:r w:rsidRPr="00EC6E98">
        <w:rPr>
          <w:color w:val="000000" w:themeColor="text1"/>
          <w:szCs w:val="22"/>
        </w:rPr>
        <w:t xml:space="preserve"> </w:t>
      </w:r>
      <w:r>
        <w:rPr>
          <w:color w:val="000000" w:themeColor="text1"/>
          <w:szCs w:val="22"/>
        </w:rPr>
        <w:t xml:space="preserve">third to the first step when the *O coverage reaches 2/3 ML, which makes it unclear if 2/3 ML *O would be maintained at 1.90 V. </w:t>
      </w:r>
      <w:r w:rsidRPr="00EC6E98">
        <w:rPr>
          <w:color w:val="000000" w:themeColor="text1"/>
          <w:szCs w:val="22"/>
        </w:rPr>
        <w:t>Th</w:t>
      </w:r>
      <w:r>
        <w:rPr>
          <w:color w:val="000000" w:themeColor="text1"/>
          <w:szCs w:val="22"/>
        </w:rPr>
        <w:t>ese</w:t>
      </w:r>
      <w:r w:rsidRPr="00EC6E98">
        <w:rPr>
          <w:color w:val="000000" w:themeColor="text1"/>
          <w:szCs w:val="22"/>
        </w:rPr>
        <w:t xml:space="preserve"> finding</w:t>
      </w:r>
      <w:r>
        <w:rPr>
          <w:color w:val="000000" w:themeColor="text1"/>
          <w:szCs w:val="22"/>
        </w:rPr>
        <w:t>s</w:t>
      </w:r>
      <w:r w:rsidRPr="00EC6E98">
        <w:rPr>
          <w:color w:val="000000" w:themeColor="text1"/>
          <w:szCs w:val="22"/>
        </w:rPr>
        <w:t xml:space="preserve"> demonstrate the importance of identifying the correct surface phase on which the OER occurs.</w:t>
      </w:r>
    </w:p>
    <w:p w14:paraId="0700E4D9" w14:textId="77777777" w:rsidR="00E37E91" w:rsidRPr="00EC6E98" w:rsidRDefault="00E37E91" w:rsidP="00E37E91">
      <w:pPr>
        <w:ind w:firstLine="720"/>
        <w:rPr>
          <w:color w:val="000000" w:themeColor="text1"/>
          <w:szCs w:val="22"/>
        </w:rPr>
      </w:pPr>
    </w:p>
    <w:p w14:paraId="4858112E" w14:textId="0FC0D55F" w:rsidR="00E37E91" w:rsidRDefault="00E37E91" w:rsidP="00E37E91">
      <w:pPr>
        <w:ind w:firstLine="720"/>
        <w:rPr>
          <w:color w:val="000000" w:themeColor="text1"/>
          <w:szCs w:val="22"/>
        </w:rPr>
      </w:pPr>
      <w:r w:rsidRPr="00EC6E98">
        <w:rPr>
          <w:color w:val="000000" w:themeColor="text1"/>
          <w:szCs w:val="22"/>
        </w:rPr>
        <w:t>The authors of Ref.</w:t>
      </w:r>
      <w:r>
        <w:rPr>
          <w:color w:val="000000" w:themeColor="text1"/>
          <w:szCs w:val="22"/>
        </w:rPr>
        <w:t xml:space="preserve"> </w:t>
      </w:r>
      <w:r>
        <w:rPr>
          <w:color w:val="000000" w:themeColor="text1"/>
          <w:szCs w:val="22"/>
        </w:rPr>
        <w:fldChar w:fldCharType="begin"/>
      </w:r>
      <w:r w:rsidR="00FC5BEB">
        <w:rPr>
          <w:color w:val="000000" w:themeColor="text1"/>
          <w:szCs w:val="22"/>
        </w:rPr>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87</w:t>
      </w:r>
      <w:r>
        <w:rPr>
          <w:color w:val="000000" w:themeColor="text1"/>
          <w:szCs w:val="22"/>
        </w:rPr>
        <w:fldChar w:fldCharType="end"/>
      </w:r>
      <w:r w:rsidRPr="00EC6E98">
        <w:rPr>
          <w:color w:val="000000" w:themeColor="text1"/>
          <w:szCs w:val="22"/>
        </w:rPr>
        <w:t xml:space="preserve"> extended their analysis to show that there are linear relationships between the adsorption energies of the intermediates and both the type of metal and the oxygen coverage on that metal. Such relationships are commonly observed on transition metal surfaces</w:t>
      </w:r>
      <w:r>
        <w:rPr>
          <w:color w:val="000000" w:themeColor="text1"/>
          <w:szCs w:val="22"/>
          <w:shd w:val="clear" w:color="auto" w:fill="FFFFFF"/>
        </w:rPr>
        <w:fldChar w:fldCharType="begin">
          <w:fldData xml:space="preserve">PEVuZE5vdGU+PENpdGU+PEF1dGhvcj5BYmlsZC1QZWRlcnNlbjwvQXV0aG9yPjxZZWFyPjIwMDc8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</w:fldData>
        </w:fldChar>
      </w:r>
      <w:r w:rsidR="00FC5BEB">
        <w:rPr>
          <w:color w:val="000000" w:themeColor="text1"/>
          <w:szCs w:val="22"/>
          <w:shd w:val="clear" w:color="auto" w:fill="FFFFFF"/>
        </w:rPr>
        <w:instrText xml:space="preserve"> ADDIN EN.CITE </w:instrText>
      </w:r>
      <w:r w:rsidR="00FC5BEB">
        <w:rPr>
          <w:color w:val="000000" w:themeColor="text1"/>
          <w:szCs w:val="22"/>
          <w:shd w:val="clear" w:color="auto" w:fill="FFFFFF"/>
        </w:rPr>
        <w:fldChar w:fldCharType="begin">
          <w:fldData xml:space="preserve">PEVuZE5vdGU+PENpdGU+PEF1dGhvcj5BYmlsZC1QZWRlcnNlbjwvQXV0aG9yPjxZZWFyPjIwMDc8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</w:fldData>
        </w:fldChar>
      </w:r>
      <w:r w:rsidR="00FC5BEB">
        <w:rPr>
          <w:color w:val="000000" w:themeColor="text1"/>
          <w:szCs w:val="22"/>
          <w:shd w:val="clear" w:color="auto" w:fill="FFFFFF"/>
        </w:rPr>
        <w:instrText xml:space="preserve"> ADDIN EN.CITE.DATA </w:instrText>
      </w:r>
      <w:r w:rsidR="00FC5BEB">
        <w:rPr>
          <w:color w:val="000000" w:themeColor="text1"/>
          <w:szCs w:val="22"/>
          <w:shd w:val="clear" w:color="auto" w:fill="FFFFFF"/>
        </w:rPr>
      </w:r>
      <w:r w:rsidR="00FC5BEB">
        <w:rPr>
          <w:color w:val="000000" w:themeColor="text1"/>
          <w:szCs w:val="22"/>
          <w:shd w:val="clear" w:color="auto" w:fill="FFFFFF"/>
        </w:rPr>
        <w:fldChar w:fldCharType="end"/>
      </w:r>
      <w:r>
        <w:rPr>
          <w:color w:val="000000" w:themeColor="text1"/>
          <w:szCs w:val="22"/>
          <w:shd w:val="clear" w:color="auto" w:fill="FFFFFF"/>
        </w:rPr>
      </w:r>
      <w:r>
        <w:rPr>
          <w:color w:val="000000" w:themeColor="text1"/>
          <w:szCs w:val="22"/>
          <w:shd w:val="clear" w:color="auto" w:fill="FFFFFF"/>
        </w:rPr>
        <w:fldChar w:fldCharType="separate"/>
      </w:r>
      <w:r w:rsidR="00FC5BEB" w:rsidRPr="00FC5BEB">
        <w:rPr>
          <w:noProof/>
          <w:color w:val="000000" w:themeColor="text1"/>
          <w:szCs w:val="22"/>
          <w:shd w:val="clear" w:color="auto" w:fill="FFFFFF"/>
          <w:vertAlign w:val="superscript"/>
        </w:rPr>
        <w:t>156, 181-184</w:t>
      </w:r>
      <w:r>
        <w:rPr>
          <w:color w:val="000000" w:themeColor="text1"/>
          <w:szCs w:val="22"/>
          <w:shd w:val="clear" w:color="auto" w:fill="FFFFFF"/>
        </w:rPr>
        <w:fldChar w:fldCharType="end"/>
      </w:r>
      <w:r>
        <w:rPr>
          <w:color w:val="000000" w:themeColor="text1"/>
          <w:szCs w:val="22"/>
        </w:rPr>
        <w:t>,</w:t>
      </w:r>
      <w:r w:rsidRPr="00EC6E98">
        <w:rPr>
          <w:color w:val="000000" w:themeColor="text1"/>
          <w:szCs w:val="22"/>
        </w:rPr>
        <w:t xml:space="preserve"> where they arise due to bond order conservation of the adsorbed species. That is, the adsorption energy of a species </w:t>
      </w:r>
      <w:proofErr w:type="spellStart"/>
      <w:r w:rsidRPr="000849A5">
        <w:rPr>
          <w:color w:val="000000" w:themeColor="text1"/>
          <w:szCs w:val="22"/>
        </w:rPr>
        <w:t>A</w:t>
      </w:r>
      <w:r w:rsidR="00E24817" w:rsidRPr="000849A5">
        <w:rPr>
          <w:color w:val="000000" w:themeColor="text1"/>
          <w:szCs w:val="22"/>
        </w:rPr>
        <w:t>H</w:t>
      </w:r>
      <w:r w:rsidR="00E24817" w:rsidRPr="000849A5">
        <w:rPr>
          <w:color w:val="000000" w:themeColor="text1"/>
          <w:szCs w:val="22"/>
          <w:vertAlign w:val="subscript"/>
        </w:rPr>
        <w:t>x</w:t>
      </w:r>
      <w:proofErr w:type="spellEnd"/>
      <w:r w:rsidRPr="00EC6E98">
        <w:rPr>
          <w:color w:val="000000" w:themeColor="text1"/>
          <w:szCs w:val="22"/>
        </w:rPr>
        <w:t xml:space="preserve"> can be written as: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6"/>
        <w:gridCol w:w="6137"/>
        <w:gridCol w:w="2073"/>
      </w:tblGrid>
      <w:tr w:rsidR="004265D2" w:rsidRPr="004265D2" w14:paraId="30883642" w14:textId="77777777" w:rsidTr="00ED1E49">
        <w:tc>
          <w:tcPr>
            <w:tcW w:w="845" w:type="dxa"/>
            <w:vAlign w:val="center"/>
          </w:tcPr>
          <w:p w14:paraId="0C37291A" w14:textId="77777777" w:rsidR="004265D2" w:rsidRPr="004265D2" w:rsidRDefault="004265D2" w:rsidP="00E45E28">
            <w:pPr>
              <w:rPr>
                <w:bCs/>
                <w:sz w:val="20"/>
                <w:szCs w:val="20"/>
              </w:rPr>
            </w:pPr>
          </w:p>
        </w:tc>
        <w:tc>
          <w:tcPr>
            <w:tcW w:w="6385" w:type="dxa"/>
            <w:vAlign w:val="center"/>
          </w:tcPr>
          <w:p w14:paraId="3B308AE2" w14:textId="044677C2" w:rsidR="004265D2" w:rsidRPr="004265D2" w:rsidRDefault="00000000" w:rsidP="00E45E28">
            <w:pPr>
              <w:spacing w:before="60" w:after="60"/>
              <w:rPr>
                <w:bCs/>
                <w:sz w:val="20"/>
                <w:szCs w:val="20"/>
                <w:lang w:val="de-DE"/>
              </w:rPr>
            </w:pPr>
            <m:oMathPara>
              <m:oMath>
                <m:sSub>
                  <m:sSubPr>
                    <m:ctrlPr>
                      <w:rPr>
                        <w:rFonts w:ascii="Cambria Math" w:hAnsi="Cambria Math"/>
                        <w:bCs/>
                        <w:i/>
                        <w:iCs/>
                        <w:sz w:val="20"/>
                        <w:szCs w:val="20"/>
                        <w:lang w:val="de-DE"/>
                      </w:rPr>
                    </m:ctrlPr>
                  </m:sSubPr>
                  <m:e>
                    <m:r>
                      <w:rPr>
                        <w:rFonts w:ascii="Cambria Math" w:hAnsi="Cambria Math"/>
                        <w:sz w:val="20"/>
                        <w:szCs w:val="20"/>
                        <w:lang w:val="de-DE"/>
                      </w:rPr>
                      <m:t>E</m:t>
                    </m:r>
                  </m:e>
                  <m:sub>
                    <m:r>
                      <w:rPr>
                        <w:rFonts w:ascii="Cambria Math" w:hAnsi="Cambria Math"/>
                        <w:sz w:val="20"/>
                        <w:szCs w:val="20"/>
                        <w:lang w:val="de-DE"/>
                      </w:rPr>
                      <m:t>ads</m:t>
                    </m:r>
                  </m:sub>
                </m:sSub>
                <m:d>
                  <m:dPr>
                    <m:ctrlPr>
                      <w:rPr>
                        <w:rFonts w:ascii="Cambria Math" w:hAnsi="Cambria Math"/>
                        <w:bCs/>
                        <w:i/>
                        <w:iCs/>
                        <w:sz w:val="20"/>
                        <w:szCs w:val="20"/>
                        <w:lang w:val="de-DE"/>
                      </w:rPr>
                    </m:ctrlPr>
                  </m:dPr>
                  <m:e>
                    <m:sSub>
                      <m:sSubPr>
                        <m:ctrlPr>
                          <w:rPr>
                            <w:rFonts w:ascii="Cambria Math" w:hAnsi="Cambria Math"/>
                            <w:bCs/>
                            <w:sz w:val="20"/>
                            <w:szCs w:val="20"/>
                            <w:lang w:val="de-DE"/>
                          </w:rPr>
                        </m:ctrlPr>
                      </m:sSubPr>
                      <m:e>
                        <m:r>
                          <m:rPr>
                            <m:sty m:val="p"/>
                          </m:rPr>
                          <w:rPr>
                            <w:rFonts w:ascii="Cambria Math" w:hAnsi="Cambria Math"/>
                            <w:sz w:val="20"/>
                            <w:szCs w:val="20"/>
                            <w:lang w:val="de-DE"/>
                          </w:rPr>
                          <m:t>AH</m:t>
                        </m:r>
                      </m:e>
                      <m:sub>
                        <m:r>
                          <m:rPr>
                            <m:sty m:val="p"/>
                          </m:rPr>
                          <w:rPr>
                            <w:rFonts w:ascii="Cambria Math" w:hAnsi="Cambria Math"/>
                            <w:sz w:val="20"/>
                            <w:szCs w:val="20"/>
                            <w:lang w:val="de-DE"/>
                          </w:rPr>
                          <m:t>x</m:t>
                        </m:r>
                      </m:sub>
                    </m:sSub>
                  </m:e>
                </m:d>
                <m:r>
                  <w:rPr>
                    <w:rFonts w:ascii="Cambria Math" w:hAnsi="Cambria Math"/>
                    <w:sz w:val="20"/>
                    <w:szCs w:val="20"/>
                    <w:lang w:val="de-DE"/>
                  </w:rPr>
                  <m:t>=</m:t>
                </m:r>
                <m:f>
                  <m:fPr>
                    <m:ctrlPr>
                      <w:rPr>
                        <w:rFonts w:ascii="Cambria Math" w:hAnsi="Cambria Math"/>
                        <w:bCs/>
                        <w:i/>
                        <w:iCs/>
                        <w:sz w:val="20"/>
                        <w:szCs w:val="20"/>
                        <w:lang w:val="de-DE"/>
                      </w:rPr>
                    </m:ctrlPr>
                  </m:fPr>
                  <m:num>
                    <m:sSub>
                      <m:sSubPr>
                        <m:ctrlPr>
                          <w:rPr>
                            <w:rFonts w:ascii="Cambria Math" w:hAnsi="Cambria Math"/>
                            <w:bCs/>
                            <w:i/>
                            <w:iCs/>
                            <w:sz w:val="20"/>
                            <w:szCs w:val="20"/>
                            <w:lang w:val="de-DE"/>
                          </w:rPr>
                        </m:ctrlPr>
                      </m:sSubPr>
                      <m:e>
                        <m:r>
                          <w:rPr>
                            <w:rFonts w:ascii="Cambria Math" w:hAnsi="Cambria Math"/>
                            <w:sz w:val="20"/>
                            <w:szCs w:val="20"/>
                            <w:lang w:val="de-DE"/>
                          </w:rPr>
                          <m:t>x</m:t>
                        </m:r>
                      </m:e>
                      <m:sub>
                        <m:r>
                          <w:rPr>
                            <w:rFonts w:ascii="Cambria Math" w:hAnsi="Cambria Math"/>
                            <w:sz w:val="20"/>
                            <w:szCs w:val="20"/>
                            <w:lang w:val="de-DE"/>
                          </w:rPr>
                          <m:t>max</m:t>
                        </m:r>
                      </m:sub>
                    </m:sSub>
                    <m:r>
                      <w:rPr>
                        <w:rFonts w:ascii="Cambria Math" w:hAnsi="Cambria Math"/>
                        <w:sz w:val="20"/>
                        <w:szCs w:val="20"/>
                        <w:lang w:val="de-DE"/>
                      </w:rPr>
                      <m:t>-x</m:t>
                    </m:r>
                  </m:num>
                  <m:den>
                    <m:sSub>
                      <m:sSubPr>
                        <m:ctrlPr>
                          <w:rPr>
                            <w:rFonts w:ascii="Cambria Math" w:hAnsi="Cambria Math"/>
                            <w:bCs/>
                            <w:i/>
                            <w:iCs/>
                            <w:sz w:val="20"/>
                            <w:szCs w:val="20"/>
                            <w:lang w:val="de-DE"/>
                          </w:rPr>
                        </m:ctrlPr>
                      </m:sSubPr>
                      <m:e>
                        <m:r>
                          <w:rPr>
                            <w:rFonts w:ascii="Cambria Math" w:hAnsi="Cambria Math"/>
                            <w:sz w:val="20"/>
                            <w:szCs w:val="20"/>
                            <w:lang w:val="de-DE"/>
                          </w:rPr>
                          <m:t>x</m:t>
                        </m:r>
                      </m:e>
                      <m:sub>
                        <m:r>
                          <w:rPr>
                            <w:rFonts w:ascii="Cambria Math" w:hAnsi="Cambria Math"/>
                            <w:sz w:val="20"/>
                            <w:szCs w:val="20"/>
                            <w:lang w:val="de-DE"/>
                          </w:rPr>
                          <m:t>max</m:t>
                        </m:r>
                      </m:sub>
                    </m:sSub>
                  </m:den>
                </m:f>
                <m:r>
                  <w:rPr>
                    <w:rFonts w:ascii="Cambria Math" w:hAnsi="Cambria Math"/>
                    <w:sz w:val="20"/>
                    <w:szCs w:val="20"/>
                    <w:lang w:val="de-DE"/>
                  </w:rPr>
                  <m:t>*</m:t>
                </m:r>
                <m:sSub>
                  <m:sSubPr>
                    <m:ctrlPr>
                      <w:rPr>
                        <w:rFonts w:ascii="Cambria Math" w:hAnsi="Cambria Math"/>
                        <w:bCs/>
                        <w:i/>
                        <w:iCs/>
                        <w:sz w:val="20"/>
                        <w:szCs w:val="20"/>
                        <w:lang w:val="de-DE"/>
                      </w:rPr>
                    </m:ctrlPr>
                  </m:sSubPr>
                  <m:e>
                    <m:r>
                      <w:rPr>
                        <w:rFonts w:ascii="Cambria Math" w:hAnsi="Cambria Math"/>
                        <w:sz w:val="20"/>
                        <w:szCs w:val="20"/>
                        <w:lang w:val="de-DE"/>
                      </w:rPr>
                      <m:t>E</m:t>
                    </m:r>
                  </m:e>
                  <m:sub>
                    <m:r>
                      <w:rPr>
                        <w:rFonts w:ascii="Cambria Math" w:hAnsi="Cambria Math"/>
                        <w:sz w:val="20"/>
                        <w:szCs w:val="20"/>
                        <w:lang w:val="de-DE"/>
                      </w:rPr>
                      <m:t>ads</m:t>
                    </m:r>
                  </m:sub>
                </m:sSub>
                <m:d>
                  <m:dPr>
                    <m:ctrlPr>
                      <w:rPr>
                        <w:rFonts w:ascii="Cambria Math" w:hAnsi="Cambria Math"/>
                        <w:bCs/>
                        <w:i/>
                        <w:iCs/>
                        <w:sz w:val="20"/>
                        <w:szCs w:val="20"/>
                        <w:lang w:val="de-DE"/>
                      </w:rPr>
                    </m:ctrlPr>
                  </m:dPr>
                  <m:e>
                    <m:r>
                      <m:rPr>
                        <m:sty m:val="p"/>
                      </m:rPr>
                      <w:rPr>
                        <w:rFonts w:ascii="Cambria Math" w:hAnsi="Cambria Math"/>
                        <w:sz w:val="20"/>
                        <w:szCs w:val="20"/>
                        <w:lang w:val="de-DE"/>
                      </w:rPr>
                      <m:t>A</m:t>
                    </m:r>
                  </m:e>
                </m:d>
                <m:r>
                  <w:rPr>
                    <w:rFonts w:ascii="Cambria Math" w:hAnsi="Cambria Math"/>
                    <w:sz w:val="20"/>
                    <w:szCs w:val="20"/>
                    <w:lang w:val="de-DE"/>
                  </w:rPr>
                  <m:t>+ξ</m:t>
                </m:r>
              </m:oMath>
            </m:oMathPara>
          </w:p>
        </w:tc>
        <w:tc>
          <w:tcPr>
            <w:tcW w:w="2130" w:type="dxa"/>
            <w:vAlign w:val="center"/>
          </w:tcPr>
          <w:p w14:paraId="504CE208" w14:textId="0101D027" w:rsidR="004265D2" w:rsidRPr="004265D2" w:rsidRDefault="004265D2" w:rsidP="00E45E28">
            <w:pPr>
              <w:keepNext/>
              <w:jc w:val="right"/>
              <w:rPr>
                <w:bCs/>
                <w:sz w:val="20"/>
                <w:szCs w:val="20"/>
              </w:rPr>
            </w:pPr>
            <w:r w:rsidRPr="004265D2">
              <w:rPr>
                <w:sz w:val="20"/>
                <w:szCs w:val="20"/>
              </w:rPr>
              <w:t xml:space="preserve">Equation </w:t>
            </w:r>
            <w:r w:rsidRPr="004265D2">
              <w:rPr>
                <w:sz w:val="20"/>
                <w:szCs w:val="20"/>
              </w:rPr>
              <w:fldChar w:fldCharType="begin"/>
            </w:r>
            <w:r w:rsidRPr="004265D2">
              <w:rPr>
                <w:sz w:val="20"/>
                <w:szCs w:val="20"/>
              </w:rPr>
              <w:instrText xml:space="preserve"> SEQ Equation \* ARABIC </w:instrText>
            </w:r>
            <w:r w:rsidRPr="004265D2">
              <w:rPr>
                <w:sz w:val="20"/>
                <w:szCs w:val="20"/>
              </w:rPr>
              <w:fldChar w:fldCharType="separate"/>
            </w:r>
            <w:r w:rsidR="003255C0">
              <w:rPr>
                <w:noProof/>
                <w:sz w:val="20"/>
                <w:szCs w:val="20"/>
              </w:rPr>
              <w:t>47</w:t>
            </w:r>
            <w:r w:rsidRPr="004265D2">
              <w:rPr>
                <w:sz w:val="20"/>
                <w:szCs w:val="20"/>
              </w:rPr>
              <w:fldChar w:fldCharType="end"/>
            </w:r>
          </w:p>
        </w:tc>
      </w:tr>
    </w:tbl>
    <w:p w14:paraId="6560D32D" w14:textId="7FBF1BEC" w:rsidR="00E37E91" w:rsidRPr="00EC6E98" w:rsidRDefault="00E37E91" w:rsidP="004265D2">
      <w:pPr>
        <w:rPr>
          <w:color w:val="000000" w:themeColor="text1"/>
          <w:szCs w:val="22"/>
        </w:rPr>
      </w:pPr>
      <w:r w:rsidRPr="00EC6E98">
        <w:rPr>
          <w:color w:val="000000" w:themeColor="text1"/>
          <w:szCs w:val="22"/>
        </w:rPr>
        <w:t>where the offset (</w:t>
      </w:r>
      <w:r w:rsidRPr="00B25882">
        <w:rPr>
          <w:i/>
          <w:iCs/>
          <w:color w:val="000000" w:themeColor="text1"/>
          <w:szCs w:val="22"/>
        </w:rPr>
        <w:sym w:font="Symbol" w:char="F078"/>
      </w:r>
      <w:r w:rsidRPr="00EC6E98">
        <w:rPr>
          <w:color w:val="000000" w:themeColor="text1"/>
          <w:szCs w:val="22"/>
        </w:rPr>
        <w:t>) depends on the local geometry of the adsorption site</w:t>
      </w:r>
      <w:r>
        <w:rPr>
          <w:color w:val="000000" w:themeColor="text1"/>
          <w:szCs w:val="22"/>
        </w:rPr>
        <w:fldChar w:fldCharType="begin"/>
      </w:r>
      <w:r w:rsidR="00FC5BEB">
        <w:rPr>
          <w:color w:val="000000" w:themeColor="text1"/>
          <w:szCs w:val="22"/>
        </w:rPr>
        <w:instrText xml:space="preserve"> ADDIN EN.CITE &lt;EndNote&gt;&lt;Cite&gt;&lt;Author&gt;Calle-Vallejo&lt;/Author&gt;&lt;Year&gt;2015&lt;/Year&gt;&lt;RecNum&gt;183&lt;/RecNum&gt;&lt;DisplayText&gt;&lt;style face="superscript"&gt;185&lt;/style&gt;&lt;/DisplayText&gt;&lt;record&gt;&lt;rec-number&gt;183&lt;/rec-number&gt;&lt;foreign-keys&gt;&lt;key app="EN" db-id="2xex0erf4eexr4e2dpbxpdd829xttesxxxdr" timestamp="1715075296"&gt;183&lt;/key&gt;&lt;/foreign-keys&gt;&lt;ref-type name="Journal Article"&gt;17&lt;/ref-type&gt;&lt;contributors&gt;&lt;authors&gt;&lt;author&gt;Calle-Vallejo, Federico&lt;/author&gt;&lt;author&gt;Loffreda, David&lt;/author&gt;&lt;author&gt;Koper, Marc T. M.&lt;/author&gt;&lt;author&gt;Sautet, Philippe&lt;/author&gt;&lt;/authors&gt;&lt;/contributors&gt;&lt;titles&gt;&lt;title&gt;Introducing structural sensitivity into adsorption–energy scaling relations by means of coordination numbers&lt;/title&gt;&lt;secondary-title&gt;Nat. Chem.&lt;/secondary-title&gt;&lt;/titles&gt;&lt;periodical&gt;&lt;full-title&gt;Nat. Chem.&lt;/full-title&gt;&lt;abbr-1&gt;Nat. Chem.&lt;/abbr-1&gt;&lt;/periodical&gt;&lt;pages&gt;403-410&lt;/pages&gt;&lt;volume&gt;7&lt;/volume&gt;&lt;number&gt;5&lt;/number&gt;&lt;dates&gt;&lt;year&gt;2015&lt;/year&gt;&lt;pub-dates&gt;&lt;date&gt;2015/05/01&lt;/date&gt;&lt;/pub-dates&gt;&lt;/dates&gt;&lt;isbn&gt;1755-4349&lt;/isbn&gt;&lt;urls&gt;&lt;related-urls&gt;&lt;url&gt;https://doi.org/10.1038/nchem.2226&lt;/url&gt;&lt;/related-urls&gt;&lt;/urls&gt;&lt;electronic-resource-num&gt;10.1038/nchem.2226&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185</w:t>
      </w:r>
      <w:r>
        <w:rPr>
          <w:color w:val="000000" w:themeColor="text1"/>
          <w:szCs w:val="22"/>
        </w:rPr>
        <w:fldChar w:fldCharType="end"/>
      </w:r>
      <w:r w:rsidRPr="00EC6E98">
        <w:rPr>
          <w:color w:val="000000" w:themeColor="text1"/>
          <w:szCs w:val="22"/>
        </w:rPr>
        <w:t xml:space="preserve"> and the slope is determined solely by bond order conservation, with </w:t>
      </w:r>
      <w:proofErr w:type="spellStart"/>
      <w:r w:rsidRPr="00EC6E98">
        <w:rPr>
          <w:i/>
          <w:iCs/>
          <w:color w:val="000000" w:themeColor="text1"/>
          <w:szCs w:val="22"/>
        </w:rPr>
        <w:t>x</w:t>
      </w:r>
      <w:r w:rsidRPr="00EC6E98">
        <w:rPr>
          <w:color w:val="000000" w:themeColor="text1"/>
          <w:szCs w:val="22"/>
          <w:vertAlign w:val="subscript"/>
        </w:rPr>
        <w:t>max</w:t>
      </w:r>
      <w:proofErr w:type="spellEnd"/>
      <w:r w:rsidRPr="00EC6E98">
        <w:rPr>
          <w:color w:val="000000" w:themeColor="text1"/>
          <w:szCs w:val="22"/>
        </w:rPr>
        <w:t xml:space="preserve"> being the maximum number of bonds </w:t>
      </w:r>
      <w:r w:rsidR="00E24817">
        <w:rPr>
          <w:color w:val="000000" w:themeColor="text1"/>
          <w:szCs w:val="22"/>
        </w:rPr>
        <w:t xml:space="preserve">species </w:t>
      </w:r>
      <w:r w:rsidRPr="006743A6">
        <w:rPr>
          <w:color w:val="000000" w:themeColor="text1"/>
          <w:szCs w:val="22"/>
        </w:rPr>
        <w:t>A</w:t>
      </w:r>
      <w:r w:rsidRPr="00EC6E98">
        <w:rPr>
          <w:color w:val="000000" w:themeColor="text1"/>
          <w:szCs w:val="22"/>
        </w:rPr>
        <w:t xml:space="preserve"> can accommodate. Such relationships offer a powerful means of studying catalytic behavior, and they even impose constraints on the catalytic performance</w:t>
      </w:r>
      <w:r>
        <w:rPr>
          <w:color w:val="000000" w:themeColor="text1"/>
          <w:szCs w:val="22"/>
        </w:rPr>
        <w:fldChar w:fldCharType="begin">
          <w:fldData xml:space="preserve">PEVuZE5vdGU+PENpdGU+PEF1dGhvcj5HcmVlbGV5PC9BdXRob3I+PFllYXI+MjAxNjwvWWVhcj48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</w:fldData>
        </w:fldChar>
      </w:r>
      <w:r w:rsidR="00FC5BEB">
        <w:rPr>
          <w:color w:val="000000" w:themeColor="text1"/>
          <w:szCs w:val="22"/>
        </w:rPr>
        <w:instrText xml:space="preserve"> ADDIN EN.CITE </w:instrText>
      </w:r>
      <w:r w:rsidR="00FC5BEB">
        <w:rPr>
          <w:color w:val="000000" w:themeColor="text1"/>
          <w:szCs w:val="22"/>
        </w:rPr>
        <w:fldChar w:fldCharType="begin">
          <w:fldData xml:space="preserve">PEVuZE5vdGU+PENpdGU+PEF1dGhvcj5HcmVlbGV5PC9BdXRob3I+PFllYXI+MjAxNjwvWWVhcj48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</w:fldData>
        </w:fldChar>
      </w:r>
      <w:r w:rsidR="00FC5BEB">
        <w:rPr>
          <w:color w:val="000000" w:themeColor="text1"/>
          <w:szCs w:val="22"/>
        </w:rPr>
        <w:instrText xml:space="preserve"> ADDIN EN.CITE.DATA </w:instrText>
      </w:r>
      <w:r w:rsidR="00FC5BEB">
        <w:rPr>
          <w:color w:val="000000" w:themeColor="text1"/>
          <w:szCs w:val="22"/>
        </w:rPr>
      </w:r>
      <w:r w:rsidR="00FC5BEB">
        <w:rPr>
          <w:color w:val="000000" w:themeColor="text1"/>
          <w:szCs w:val="22"/>
        </w:rPr>
        <w:fldChar w:fldCharType="end"/>
      </w:r>
      <w:r>
        <w:rPr>
          <w:color w:val="000000" w:themeColor="text1"/>
          <w:szCs w:val="22"/>
        </w:rPr>
      </w:r>
      <w:r>
        <w:rPr>
          <w:color w:val="000000" w:themeColor="text1"/>
          <w:szCs w:val="22"/>
        </w:rPr>
        <w:fldChar w:fldCharType="separate"/>
      </w:r>
      <w:r w:rsidR="00FC5BEB" w:rsidRPr="00FC5BEB">
        <w:rPr>
          <w:noProof/>
          <w:color w:val="000000" w:themeColor="text1"/>
          <w:szCs w:val="22"/>
          <w:vertAlign w:val="superscript"/>
        </w:rPr>
        <w:t>183, 184</w:t>
      </w:r>
      <w:r>
        <w:rPr>
          <w:color w:val="000000" w:themeColor="text1"/>
          <w:szCs w:val="22"/>
        </w:rPr>
        <w:fldChar w:fldCharType="end"/>
      </w:r>
      <w:r>
        <w:rPr>
          <w:color w:val="000000" w:themeColor="text1"/>
          <w:szCs w:val="22"/>
        </w:rPr>
        <w:t>.</w:t>
      </w:r>
      <w:r w:rsidRPr="00EC6E98">
        <w:rPr>
          <w:color w:val="000000" w:themeColor="text1"/>
          <w:szCs w:val="22"/>
        </w:rPr>
        <w:t xml:space="preserve"> Demonstrating that linear scaling relationships hold for metal surfaces during the OER was then a major breakthrough.</w:t>
      </w:r>
    </w:p>
    <w:p w14:paraId="4E925B0F" w14:textId="4AC566E6" w:rsidR="00E37E91" w:rsidRDefault="00E37E91" w:rsidP="00430A30">
      <w:pPr>
        <w:rPr>
          <w:color w:val="000000" w:themeColor="text1"/>
          <w:szCs w:val="22"/>
        </w:rPr>
      </w:pPr>
      <w:r w:rsidRPr="00EC6E98">
        <w:rPr>
          <w:color w:val="000000" w:themeColor="text1"/>
          <w:szCs w:val="22"/>
        </w:rPr>
        <w:t xml:space="preserve">In Ref. </w:t>
      </w:r>
      <w:r>
        <w:rPr>
          <w:color w:val="000000" w:themeColor="text1"/>
          <w:szCs w:val="22"/>
        </w:rPr>
        <w:fldChar w:fldCharType="begin"/>
      </w:r>
      <w:r w:rsidR="00FC5BEB">
        <w:rPr>
          <w:color w:val="000000" w:themeColor="text1"/>
          <w:szCs w:val="22"/>
        </w:rPr>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87</w:t>
      </w:r>
      <w:r>
        <w:rPr>
          <w:color w:val="000000" w:themeColor="text1"/>
          <w:szCs w:val="22"/>
        </w:rPr>
        <w:fldChar w:fldCharType="end"/>
      </w:r>
      <w:r>
        <w:rPr>
          <w:color w:val="000000" w:themeColor="text1"/>
          <w:szCs w:val="22"/>
        </w:rPr>
        <w:t>,</w:t>
      </w:r>
      <w:r w:rsidR="004265D2">
        <w:rPr>
          <w:color w:val="000000" w:themeColor="text1"/>
          <w:szCs w:val="22"/>
        </w:rPr>
        <w:t xml:space="preserve"> </w:t>
      </w:r>
      <w:r w:rsidRPr="00EC6E98">
        <w:rPr>
          <w:color w:val="000000" w:themeColor="text1"/>
          <w:szCs w:val="22"/>
        </w:rPr>
        <w:t xml:space="preserve">the authors showed the adsorption energy of </w:t>
      </w:r>
      <w:r>
        <w:rPr>
          <w:color w:val="000000" w:themeColor="text1"/>
          <w:szCs w:val="22"/>
        </w:rPr>
        <w:t>*OH</w:t>
      </w:r>
      <w:r w:rsidRPr="00EC6E98">
        <w:rPr>
          <w:color w:val="000000" w:themeColor="text1"/>
          <w:szCs w:val="22"/>
        </w:rPr>
        <w:t xml:space="preserve">, </w:t>
      </w:r>
      <w:r w:rsidRPr="00EC6E98">
        <w:rPr>
          <w:i/>
          <w:iCs/>
          <w:color w:val="000000" w:themeColor="text1"/>
          <w:szCs w:val="22"/>
        </w:rPr>
        <w:t>E</w:t>
      </w:r>
      <w:r>
        <w:rPr>
          <w:color w:val="000000" w:themeColor="text1"/>
          <w:szCs w:val="22"/>
          <w:vertAlign w:val="subscript"/>
        </w:rPr>
        <w:t>*OH</w:t>
      </w:r>
      <w:r w:rsidRPr="00EC6E98">
        <w:rPr>
          <w:color w:val="000000" w:themeColor="text1"/>
          <w:szCs w:val="22"/>
        </w:rPr>
        <w:t xml:space="preserve">, could be expressed as: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7"/>
        <w:gridCol w:w="6133"/>
        <w:gridCol w:w="2076"/>
      </w:tblGrid>
      <w:tr w:rsidR="00430A30" w:rsidRPr="00430A30" w14:paraId="1996FB47" w14:textId="77777777" w:rsidTr="00430A30">
        <w:tc>
          <w:tcPr>
            <w:tcW w:w="845" w:type="dxa"/>
            <w:vAlign w:val="center"/>
          </w:tcPr>
          <w:p w14:paraId="45917320" w14:textId="77777777" w:rsidR="00430A30" w:rsidRPr="00430A30" w:rsidRDefault="00430A30" w:rsidP="00E45E28">
            <w:pPr>
              <w:rPr>
                <w:bCs/>
                <w:sz w:val="20"/>
                <w:szCs w:val="20"/>
              </w:rPr>
            </w:pPr>
          </w:p>
        </w:tc>
        <w:tc>
          <w:tcPr>
            <w:tcW w:w="6385" w:type="dxa"/>
            <w:vAlign w:val="center"/>
          </w:tcPr>
          <w:p w14:paraId="77FA6C89" w14:textId="1C214A61" w:rsidR="00430A30" w:rsidRPr="00430A30" w:rsidRDefault="00430A30" w:rsidP="00430A30">
            <w:pPr>
              <w:spacing w:before="60" w:after="60"/>
              <w:jc w:val="center"/>
              <w:rPr>
                <w:bCs/>
                <w:sz w:val="20"/>
                <w:szCs w:val="20"/>
                <w:lang w:val="de-DE"/>
              </w:rPr>
            </w:pPr>
            <w:r w:rsidRPr="00430A30">
              <w:rPr>
                <w:i/>
                <w:iCs/>
                <w:color w:val="000000" w:themeColor="text1"/>
                <w:sz w:val="20"/>
                <w:szCs w:val="20"/>
              </w:rPr>
              <w:t>E</w:t>
            </w:r>
            <w:r w:rsidRPr="00430A30">
              <w:rPr>
                <w:color w:val="000000" w:themeColor="text1"/>
                <w:sz w:val="20"/>
                <w:szCs w:val="20"/>
                <w:vertAlign w:val="subscript"/>
              </w:rPr>
              <w:t>*OH</w:t>
            </w:r>
            <w:r w:rsidRPr="00430A30">
              <w:rPr>
                <w:color w:val="000000" w:themeColor="text1"/>
                <w:sz w:val="20"/>
                <w:szCs w:val="20"/>
              </w:rPr>
              <w:t xml:space="preserve"> = 0.50</w:t>
            </w:r>
            <w:r w:rsidRPr="00430A30">
              <w:rPr>
                <w:i/>
                <w:iCs/>
                <w:color w:val="000000" w:themeColor="text1"/>
                <w:sz w:val="20"/>
                <w:szCs w:val="20"/>
              </w:rPr>
              <w:t>E</w:t>
            </w:r>
            <w:r w:rsidRPr="00430A30">
              <w:rPr>
                <w:color w:val="000000" w:themeColor="text1"/>
                <w:sz w:val="20"/>
                <w:szCs w:val="20"/>
                <w:vertAlign w:val="subscript"/>
              </w:rPr>
              <w:t>*O</w:t>
            </w:r>
            <w:r w:rsidRPr="00430A30">
              <w:rPr>
                <w:color w:val="000000" w:themeColor="text1"/>
                <w:sz w:val="20"/>
                <w:szCs w:val="20"/>
              </w:rPr>
              <w:t xml:space="preserve"> + 0.05</w:t>
            </w:r>
          </w:p>
        </w:tc>
        <w:tc>
          <w:tcPr>
            <w:tcW w:w="2130" w:type="dxa"/>
            <w:vAlign w:val="center"/>
          </w:tcPr>
          <w:p w14:paraId="5D22C2C6" w14:textId="3DE44221" w:rsidR="00430A30" w:rsidRPr="00430A30" w:rsidRDefault="00430A30" w:rsidP="00E45E28">
            <w:pPr>
              <w:keepNext/>
              <w:jc w:val="right"/>
              <w:rPr>
                <w:bCs/>
                <w:sz w:val="20"/>
                <w:szCs w:val="20"/>
              </w:rPr>
            </w:pPr>
            <w:bookmarkStart w:id="81" w:name="_Ref159511717"/>
            <w:r w:rsidRPr="00430A30">
              <w:rPr>
                <w:sz w:val="20"/>
                <w:szCs w:val="20"/>
              </w:rPr>
              <w:t xml:space="preserve">Equation </w:t>
            </w:r>
            <w:r w:rsidRPr="00430A30">
              <w:rPr>
                <w:sz w:val="20"/>
                <w:szCs w:val="20"/>
              </w:rPr>
              <w:fldChar w:fldCharType="begin"/>
            </w:r>
            <w:r w:rsidRPr="00430A30">
              <w:rPr>
                <w:sz w:val="20"/>
                <w:szCs w:val="20"/>
              </w:rPr>
              <w:instrText xml:space="preserve"> SEQ Equation \* ARABIC </w:instrText>
            </w:r>
            <w:r w:rsidRPr="00430A30">
              <w:rPr>
                <w:sz w:val="20"/>
                <w:szCs w:val="20"/>
              </w:rPr>
              <w:fldChar w:fldCharType="separate"/>
            </w:r>
            <w:r w:rsidR="003255C0">
              <w:rPr>
                <w:noProof/>
                <w:sz w:val="20"/>
                <w:szCs w:val="20"/>
              </w:rPr>
              <w:t>48</w:t>
            </w:r>
            <w:r w:rsidRPr="00430A30">
              <w:rPr>
                <w:sz w:val="20"/>
                <w:szCs w:val="20"/>
              </w:rPr>
              <w:fldChar w:fldCharType="end"/>
            </w:r>
            <w:bookmarkEnd w:id="81"/>
          </w:p>
        </w:tc>
      </w:tr>
    </w:tbl>
    <w:p w14:paraId="527078E3" w14:textId="77777777" w:rsidR="00E37E91" w:rsidRDefault="00E37E91" w:rsidP="00E37E91">
      <w:pPr>
        <w:rPr>
          <w:color w:val="000000" w:themeColor="text1"/>
          <w:szCs w:val="22"/>
        </w:rPr>
      </w:pPr>
      <w:r w:rsidRPr="00EC6E98">
        <w:rPr>
          <w:color w:val="000000" w:themeColor="text1"/>
          <w:szCs w:val="22"/>
        </w:rPr>
        <w:t xml:space="preserve">and that of </w:t>
      </w:r>
      <w:r>
        <w:rPr>
          <w:color w:val="000000" w:themeColor="text1"/>
          <w:szCs w:val="22"/>
        </w:rPr>
        <w:t>*OOH</w:t>
      </w:r>
      <w:r w:rsidRPr="00EC6E98">
        <w:rPr>
          <w:color w:val="000000" w:themeColor="text1"/>
          <w:szCs w:val="22"/>
        </w:rPr>
        <w:t xml:space="preserve"> could be written as: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7"/>
        <w:gridCol w:w="6133"/>
        <w:gridCol w:w="2076"/>
      </w:tblGrid>
      <w:tr w:rsidR="00430A30" w:rsidRPr="00430A30" w14:paraId="7F592AF7" w14:textId="77777777" w:rsidTr="00E45E28">
        <w:tc>
          <w:tcPr>
            <w:tcW w:w="845" w:type="dxa"/>
            <w:vAlign w:val="center"/>
          </w:tcPr>
          <w:p w14:paraId="2FDE3149" w14:textId="77777777" w:rsidR="00430A30" w:rsidRPr="00430A30" w:rsidRDefault="00430A30" w:rsidP="00E45E28">
            <w:pPr>
              <w:rPr>
                <w:bCs/>
                <w:sz w:val="20"/>
                <w:szCs w:val="20"/>
              </w:rPr>
            </w:pPr>
          </w:p>
        </w:tc>
        <w:tc>
          <w:tcPr>
            <w:tcW w:w="6385" w:type="dxa"/>
            <w:vAlign w:val="center"/>
          </w:tcPr>
          <w:p w14:paraId="7A1579FC" w14:textId="35EAC23D" w:rsidR="00430A30" w:rsidRPr="00430A30" w:rsidRDefault="00430A30" w:rsidP="00E45E28">
            <w:pPr>
              <w:spacing w:before="60" w:after="60"/>
              <w:jc w:val="center"/>
              <w:rPr>
                <w:bCs/>
                <w:sz w:val="20"/>
                <w:szCs w:val="20"/>
                <w:lang w:val="de-DE"/>
              </w:rPr>
            </w:pPr>
            <w:r w:rsidRPr="00430A30">
              <w:rPr>
                <w:i/>
                <w:iCs/>
                <w:color w:val="000000" w:themeColor="text1"/>
                <w:sz w:val="20"/>
                <w:szCs w:val="20"/>
              </w:rPr>
              <w:t>E</w:t>
            </w:r>
            <w:r w:rsidRPr="00430A30">
              <w:rPr>
                <w:color w:val="000000" w:themeColor="text1"/>
                <w:sz w:val="20"/>
                <w:szCs w:val="20"/>
                <w:vertAlign w:val="subscript"/>
              </w:rPr>
              <w:t>*OOH</w:t>
            </w:r>
            <w:r w:rsidRPr="00430A30">
              <w:rPr>
                <w:color w:val="000000" w:themeColor="text1"/>
                <w:sz w:val="20"/>
                <w:szCs w:val="20"/>
              </w:rPr>
              <w:t xml:space="preserve"> = 0.53</w:t>
            </w:r>
            <w:r w:rsidRPr="00430A30">
              <w:rPr>
                <w:i/>
                <w:iCs/>
                <w:color w:val="000000" w:themeColor="text1"/>
                <w:sz w:val="20"/>
                <w:szCs w:val="20"/>
              </w:rPr>
              <w:t>E</w:t>
            </w:r>
            <w:r w:rsidRPr="00430A30">
              <w:rPr>
                <w:color w:val="000000" w:themeColor="text1"/>
                <w:sz w:val="20"/>
                <w:szCs w:val="20"/>
                <w:vertAlign w:val="subscript"/>
              </w:rPr>
              <w:t>*O</w:t>
            </w:r>
            <w:r w:rsidRPr="00430A30">
              <w:rPr>
                <w:color w:val="000000" w:themeColor="text1"/>
                <w:sz w:val="20"/>
                <w:szCs w:val="20"/>
              </w:rPr>
              <w:t xml:space="preserve"> + 3.18</w:t>
            </w:r>
          </w:p>
        </w:tc>
        <w:tc>
          <w:tcPr>
            <w:tcW w:w="2130" w:type="dxa"/>
            <w:vAlign w:val="center"/>
          </w:tcPr>
          <w:p w14:paraId="24F5A8CB" w14:textId="4F76C196" w:rsidR="00430A30" w:rsidRPr="00430A30" w:rsidRDefault="00430A30" w:rsidP="00E45E28">
            <w:pPr>
              <w:keepNext/>
              <w:jc w:val="right"/>
              <w:rPr>
                <w:bCs/>
                <w:sz w:val="20"/>
                <w:szCs w:val="20"/>
              </w:rPr>
            </w:pPr>
            <w:r w:rsidRPr="00430A30">
              <w:rPr>
                <w:sz w:val="20"/>
                <w:szCs w:val="20"/>
              </w:rPr>
              <w:t xml:space="preserve">Equation </w:t>
            </w:r>
            <w:r w:rsidRPr="00430A30">
              <w:rPr>
                <w:sz w:val="20"/>
                <w:szCs w:val="20"/>
              </w:rPr>
              <w:fldChar w:fldCharType="begin"/>
            </w:r>
            <w:r w:rsidRPr="00430A30">
              <w:rPr>
                <w:sz w:val="20"/>
                <w:szCs w:val="20"/>
              </w:rPr>
              <w:instrText xml:space="preserve"> SEQ Equation \* ARABIC </w:instrText>
            </w:r>
            <w:r w:rsidRPr="00430A30">
              <w:rPr>
                <w:sz w:val="20"/>
                <w:szCs w:val="20"/>
              </w:rPr>
              <w:fldChar w:fldCharType="separate"/>
            </w:r>
            <w:r w:rsidR="003255C0">
              <w:rPr>
                <w:noProof/>
                <w:sz w:val="20"/>
                <w:szCs w:val="20"/>
              </w:rPr>
              <w:t>49</w:t>
            </w:r>
            <w:r w:rsidRPr="00430A30">
              <w:rPr>
                <w:sz w:val="20"/>
                <w:szCs w:val="20"/>
              </w:rPr>
              <w:fldChar w:fldCharType="end"/>
            </w:r>
          </w:p>
        </w:tc>
      </w:tr>
    </w:tbl>
    <w:p w14:paraId="19C90F7F" w14:textId="77777777" w:rsidR="00430A30" w:rsidRDefault="00E37E91" w:rsidP="00E37E91">
      <w:pPr>
        <w:rPr>
          <w:color w:val="000000" w:themeColor="text1"/>
          <w:szCs w:val="22"/>
        </w:rPr>
      </w:pPr>
      <w:r w:rsidRPr="00EC6E98">
        <w:rPr>
          <w:color w:val="000000" w:themeColor="text1"/>
          <w:szCs w:val="22"/>
        </w:rPr>
        <w:t xml:space="preserve">where </w:t>
      </w:r>
      <w:r w:rsidRPr="00EC6E98">
        <w:rPr>
          <w:i/>
          <w:iCs/>
          <w:color w:val="000000" w:themeColor="text1"/>
          <w:szCs w:val="22"/>
        </w:rPr>
        <w:t>E</w:t>
      </w:r>
      <w:r>
        <w:rPr>
          <w:color w:val="000000" w:themeColor="text1"/>
          <w:szCs w:val="22"/>
          <w:vertAlign w:val="subscript"/>
        </w:rPr>
        <w:t>*O</w:t>
      </w:r>
      <w:r w:rsidRPr="00EC6E98">
        <w:rPr>
          <w:color w:val="000000" w:themeColor="text1"/>
          <w:szCs w:val="22"/>
        </w:rPr>
        <w:t xml:space="preserve"> is the adsorption energy of oxygen.</w:t>
      </w:r>
      <w:r w:rsidRPr="00EC6E98">
        <w:rPr>
          <w:i/>
          <w:iCs/>
          <w:color w:val="000000" w:themeColor="text1"/>
          <w:szCs w:val="22"/>
        </w:rPr>
        <w:t xml:space="preserve"> </w:t>
      </w:r>
      <w:r w:rsidRPr="00EC6E98">
        <w:rPr>
          <w:color w:val="000000" w:themeColor="text1"/>
          <w:szCs w:val="22"/>
        </w:rPr>
        <w:t>Analogous expression can be written for the free energies as: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6"/>
        <w:gridCol w:w="6135"/>
        <w:gridCol w:w="2075"/>
      </w:tblGrid>
      <w:tr w:rsidR="00430A30" w:rsidRPr="00430A30" w14:paraId="3696A901" w14:textId="77777777" w:rsidTr="00E45E28">
        <w:tc>
          <w:tcPr>
            <w:tcW w:w="845" w:type="dxa"/>
            <w:vAlign w:val="center"/>
          </w:tcPr>
          <w:p w14:paraId="63E8BF2B" w14:textId="77777777" w:rsidR="00430A30" w:rsidRPr="00430A30" w:rsidRDefault="00430A30" w:rsidP="00E45E28">
            <w:pPr>
              <w:rPr>
                <w:bCs/>
                <w:sz w:val="20"/>
                <w:szCs w:val="20"/>
              </w:rPr>
            </w:pPr>
          </w:p>
        </w:tc>
        <w:tc>
          <w:tcPr>
            <w:tcW w:w="6385" w:type="dxa"/>
            <w:vAlign w:val="center"/>
          </w:tcPr>
          <w:p w14:paraId="72FAC8E8" w14:textId="04D2350A" w:rsidR="00430A30" w:rsidRPr="00430A30" w:rsidRDefault="00430A30" w:rsidP="00E45E28">
            <w:pPr>
              <w:spacing w:before="60" w:after="60"/>
              <w:jc w:val="center"/>
              <w:rPr>
                <w:bCs/>
                <w:sz w:val="20"/>
                <w:szCs w:val="20"/>
                <w:lang w:val="de-DE"/>
              </w:rPr>
            </w:pPr>
            <w:r w:rsidRPr="00430A30">
              <w:rPr>
                <w:color w:val="000000" w:themeColor="text1"/>
                <w:sz w:val="20"/>
                <w:szCs w:val="20"/>
              </w:rPr>
              <w:sym w:font="Symbol" w:char="F044"/>
            </w:r>
            <w:r w:rsidRPr="00430A30">
              <w:rPr>
                <w:i/>
                <w:iCs/>
                <w:color w:val="000000" w:themeColor="text1"/>
                <w:sz w:val="20"/>
                <w:szCs w:val="20"/>
                <w:lang w:val="de-DE"/>
              </w:rPr>
              <w:t>G</w:t>
            </w:r>
            <w:r w:rsidRPr="00430A30">
              <w:rPr>
                <w:color w:val="000000" w:themeColor="text1"/>
                <w:sz w:val="20"/>
                <w:szCs w:val="20"/>
                <w:vertAlign w:val="subscript"/>
                <w:lang w:val="de-DE"/>
              </w:rPr>
              <w:t>*OH</w:t>
            </w:r>
            <w:r w:rsidRPr="00430A30">
              <w:rPr>
                <w:color w:val="000000" w:themeColor="text1"/>
                <w:sz w:val="20"/>
                <w:szCs w:val="20"/>
                <w:lang w:val="de-DE"/>
              </w:rPr>
              <w:t xml:space="preserve"> = 0.50</w:t>
            </w:r>
            <w:r w:rsidRPr="00430A30">
              <w:rPr>
                <w:color w:val="000000" w:themeColor="text1"/>
                <w:sz w:val="20"/>
                <w:szCs w:val="20"/>
              </w:rPr>
              <w:sym w:font="Symbol" w:char="F044"/>
            </w:r>
            <w:r w:rsidRPr="00430A30">
              <w:rPr>
                <w:i/>
                <w:iCs/>
                <w:color w:val="000000" w:themeColor="text1"/>
                <w:sz w:val="20"/>
                <w:szCs w:val="20"/>
                <w:lang w:val="de-DE"/>
              </w:rPr>
              <w:t>G</w:t>
            </w:r>
            <w:r w:rsidRPr="00430A30">
              <w:rPr>
                <w:color w:val="000000" w:themeColor="text1"/>
                <w:sz w:val="20"/>
                <w:szCs w:val="20"/>
                <w:vertAlign w:val="subscript"/>
                <w:lang w:val="de-DE"/>
              </w:rPr>
              <w:t>*O</w:t>
            </w:r>
            <w:r w:rsidRPr="00430A30">
              <w:rPr>
                <w:color w:val="000000" w:themeColor="text1"/>
                <w:sz w:val="20"/>
                <w:szCs w:val="20"/>
                <w:lang w:val="de-DE"/>
              </w:rPr>
              <w:t xml:space="preserve"> + 0.04</w:t>
            </w:r>
          </w:p>
        </w:tc>
        <w:tc>
          <w:tcPr>
            <w:tcW w:w="2130" w:type="dxa"/>
            <w:vAlign w:val="center"/>
          </w:tcPr>
          <w:p w14:paraId="19FA68E4" w14:textId="55C07B7F" w:rsidR="00430A30" w:rsidRPr="00430A30" w:rsidRDefault="00430A30" w:rsidP="00E45E28">
            <w:pPr>
              <w:keepNext/>
              <w:jc w:val="right"/>
              <w:rPr>
                <w:bCs/>
                <w:sz w:val="20"/>
                <w:szCs w:val="20"/>
              </w:rPr>
            </w:pPr>
            <w:r w:rsidRPr="00430A30">
              <w:rPr>
                <w:sz w:val="20"/>
                <w:szCs w:val="20"/>
              </w:rPr>
              <w:t xml:space="preserve">Equation </w:t>
            </w:r>
            <w:r w:rsidRPr="00430A30">
              <w:rPr>
                <w:sz w:val="20"/>
                <w:szCs w:val="20"/>
              </w:rPr>
              <w:fldChar w:fldCharType="begin"/>
            </w:r>
            <w:r w:rsidRPr="00430A30">
              <w:rPr>
                <w:sz w:val="20"/>
                <w:szCs w:val="20"/>
              </w:rPr>
              <w:instrText xml:space="preserve"> SEQ Equation \* ARABIC </w:instrText>
            </w:r>
            <w:r w:rsidRPr="00430A30">
              <w:rPr>
                <w:sz w:val="20"/>
                <w:szCs w:val="20"/>
              </w:rPr>
              <w:fldChar w:fldCharType="separate"/>
            </w:r>
            <w:r w:rsidR="003255C0">
              <w:rPr>
                <w:noProof/>
                <w:sz w:val="20"/>
                <w:szCs w:val="20"/>
              </w:rPr>
              <w:t>50</w:t>
            </w:r>
            <w:r w:rsidRPr="00430A30">
              <w:rPr>
                <w:sz w:val="20"/>
                <w:szCs w:val="20"/>
              </w:rPr>
              <w:fldChar w:fldCharType="end"/>
            </w:r>
          </w:p>
        </w:tc>
      </w:tr>
    </w:tbl>
    <w:p w14:paraId="19896D65" w14:textId="77777777" w:rsidR="00E37E91" w:rsidRDefault="00E37E91" w:rsidP="00E37E91">
      <w:pPr>
        <w:rPr>
          <w:color w:val="000000" w:themeColor="text1"/>
          <w:szCs w:val="22"/>
        </w:rPr>
      </w:pPr>
      <w:r w:rsidRPr="00EC6E98">
        <w:rPr>
          <w:color w:val="000000" w:themeColor="text1"/>
          <w:szCs w:val="22"/>
        </w:rPr>
        <w:t xml:space="preserve">and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16"/>
        <w:gridCol w:w="6135"/>
        <w:gridCol w:w="2075"/>
      </w:tblGrid>
      <w:tr w:rsidR="00430A30" w:rsidRPr="00430A30" w14:paraId="21AA4DE5" w14:textId="77777777" w:rsidTr="00E45E28">
        <w:tc>
          <w:tcPr>
            <w:tcW w:w="845" w:type="dxa"/>
            <w:vAlign w:val="center"/>
          </w:tcPr>
          <w:p w14:paraId="68AEB549" w14:textId="77777777" w:rsidR="00430A30" w:rsidRPr="00430A30" w:rsidRDefault="00430A30" w:rsidP="00E45E28">
            <w:pPr>
              <w:rPr>
                <w:bCs/>
                <w:sz w:val="20"/>
                <w:szCs w:val="20"/>
              </w:rPr>
            </w:pPr>
          </w:p>
        </w:tc>
        <w:tc>
          <w:tcPr>
            <w:tcW w:w="6385" w:type="dxa"/>
            <w:vAlign w:val="center"/>
          </w:tcPr>
          <w:p w14:paraId="116DAC68" w14:textId="7EF13E40" w:rsidR="00430A30" w:rsidRPr="00430A30" w:rsidRDefault="00430A30" w:rsidP="00E45E28">
            <w:pPr>
              <w:spacing w:before="60" w:after="60"/>
              <w:jc w:val="center"/>
              <w:rPr>
                <w:bCs/>
                <w:sz w:val="20"/>
                <w:szCs w:val="20"/>
                <w:lang w:val="de-DE"/>
              </w:rPr>
            </w:pPr>
            <w:r w:rsidRPr="00430A30">
              <w:rPr>
                <w:color w:val="000000" w:themeColor="text1"/>
                <w:sz w:val="20"/>
                <w:szCs w:val="20"/>
              </w:rPr>
              <w:sym w:font="Symbol" w:char="F044"/>
            </w:r>
            <w:r w:rsidRPr="00430A30">
              <w:rPr>
                <w:i/>
                <w:iCs/>
                <w:color w:val="000000" w:themeColor="text1"/>
                <w:sz w:val="20"/>
                <w:szCs w:val="20"/>
              </w:rPr>
              <w:t>G</w:t>
            </w:r>
            <w:r w:rsidRPr="00430A30">
              <w:rPr>
                <w:color w:val="000000" w:themeColor="text1"/>
                <w:sz w:val="20"/>
                <w:szCs w:val="20"/>
                <w:vertAlign w:val="subscript"/>
              </w:rPr>
              <w:t>*OOH</w:t>
            </w:r>
            <w:r w:rsidRPr="00430A30">
              <w:rPr>
                <w:color w:val="000000" w:themeColor="text1"/>
                <w:sz w:val="20"/>
                <w:szCs w:val="20"/>
              </w:rPr>
              <w:t xml:space="preserve"> = 0.53</w:t>
            </w:r>
            <w:r w:rsidRPr="00430A30">
              <w:rPr>
                <w:color w:val="000000" w:themeColor="text1"/>
                <w:sz w:val="20"/>
                <w:szCs w:val="20"/>
              </w:rPr>
              <w:sym w:font="Symbol" w:char="F044"/>
            </w:r>
            <w:r w:rsidRPr="00430A30">
              <w:rPr>
                <w:i/>
                <w:iCs/>
                <w:color w:val="000000" w:themeColor="text1"/>
                <w:sz w:val="20"/>
                <w:szCs w:val="20"/>
              </w:rPr>
              <w:t>G</w:t>
            </w:r>
            <w:r w:rsidRPr="00430A30">
              <w:rPr>
                <w:color w:val="000000" w:themeColor="text1"/>
                <w:sz w:val="20"/>
                <w:szCs w:val="20"/>
                <w:vertAlign w:val="subscript"/>
              </w:rPr>
              <w:t>*O</w:t>
            </w:r>
            <w:r w:rsidRPr="00430A30">
              <w:rPr>
                <w:color w:val="000000" w:themeColor="text1"/>
                <w:sz w:val="20"/>
                <w:szCs w:val="20"/>
              </w:rPr>
              <w:t xml:space="preserve"> + 3.33</w:t>
            </w:r>
          </w:p>
        </w:tc>
        <w:tc>
          <w:tcPr>
            <w:tcW w:w="2130" w:type="dxa"/>
            <w:vAlign w:val="center"/>
          </w:tcPr>
          <w:p w14:paraId="377BC110" w14:textId="74181ED7" w:rsidR="00430A30" w:rsidRPr="00430A30" w:rsidRDefault="00430A30" w:rsidP="00E45E28">
            <w:pPr>
              <w:keepNext/>
              <w:jc w:val="right"/>
              <w:rPr>
                <w:bCs/>
                <w:sz w:val="20"/>
                <w:szCs w:val="20"/>
              </w:rPr>
            </w:pPr>
            <w:r w:rsidRPr="00430A30">
              <w:rPr>
                <w:sz w:val="20"/>
                <w:szCs w:val="20"/>
              </w:rPr>
              <w:t xml:space="preserve">Equation </w:t>
            </w:r>
            <w:r w:rsidRPr="00430A30">
              <w:rPr>
                <w:sz w:val="20"/>
                <w:szCs w:val="20"/>
              </w:rPr>
              <w:fldChar w:fldCharType="begin"/>
            </w:r>
            <w:r w:rsidRPr="00430A30">
              <w:rPr>
                <w:sz w:val="20"/>
                <w:szCs w:val="20"/>
              </w:rPr>
              <w:instrText xml:space="preserve"> SEQ Equation \* ARABIC </w:instrText>
            </w:r>
            <w:r w:rsidRPr="00430A30">
              <w:rPr>
                <w:sz w:val="20"/>
                <w:szCs w:val="20"/>
              </w:rPr>
              <w:fldChar w:fldCharType="separate"/>
            </w:r>
            <w:r w:rsidR="003255C0">
              <w:rPr>
                <w:noProof/>
                <w:sz w:val="20"/>
                <w:szCs w:val="20"/>
              </w:rPr>
              <w:t>51</w:t>
            </w:r>
            <w:r w:rsidRPr="00430A30">
              <w:rPr>
                <w:sz w:val="20"/>
                <w:szCs w:val="20"/>
              </w:rPr>
              <w:fldChar w:fldCharType="end"/>
            </w:r>
          </w:p>
        </w:tc>
      </w:tr>
    </w:tbl>
    <w:p w14:paraId="4780CFF7" w14:textId="6E9383A7" w:rsidR="00E37E91" w:rsidRPr="00EC6E98" w:rsidRDefault="00E37E91" w:rsidP="00E37E91">
      <w:pPr>
        <w:rPr>
          <w:color w:val="000000" w:themeColor="text1"/>
          <w:szCs w:val="22"/>
        </w:rPr>
      </w:pPr>
      <w:r w:rsidRPr="00EC6E98">
        <w:rPr>
          <w:color w:val="000000" w:themeColor="text1"/>
          <w:szCs w:val="22"/>
        </w:rPr>
        <w:t xml:space="preserve">As noted above, the slope of 0.5 </w:t>
      </w:r>
      <w:r w:rsidRPr="00FA7C4B">
        <w:rPr>
          <w:color w:val="000000" w:themeColor="text1"/>
          <w:szCs w:val="22"/>
        </w:rPr>
        <w:t xml:space="preserve">in </w:t>
      </w:r>
      <w:r w:rsidR="00430A30" w:rsidRPr="00FA7C4B">
        <w:rPr>
          <w:color w:val="000000" w:themeColor="text1"/>
          <w:szCs w:val="22"/>
        </w:rPr>
        <w:fldChar w:fldCharType="begin"/>
      </w:r>
      <w:r w:rsidR="00430A30" w:rsidRPr="00FA7C4B">
        <w:rPr>
          <w:color w:val="000000" w:themeColor="text1"/>
          <w:szCs w:val="22"/>
        </w:rPr>
        <w:instrText xml:space="preserve"> REF _Ref159511717 \h </w:instrText>
      </w:r>
      <w:r w:rsidR="00FA7C4B">
        <w:rPr>
          <w:color w:val="000000" w:themeColor="text1"/>
          <w:szCs w:val="22"/>
        </w:rPr>
        <w:instrText xml:space="preserve"> \* MERGEFORMAT </w:instrText>
      </w:r>
      <w:r w:rsidR="00430A30" w:rsidRPr="00FA7C4B">
        <w:rPr>
          <w:color w:val="000000" w:themeColor="text1"/>
          <w:szCs w:val="22"/>
        </w:rPr>
      </w:r>
      <w:r w:rsidR="00430A30" w:rsidRPr="00FA7C4B">
        <w:rPr>
          <w:color w:val="000000" w:themeColor="text1"/>
          <w:szCs w:val="22"/>
        </w:rPr>
        <w:fldChar w:fldCharType="separate"/>
      </w:r>
      <w:r w:rsidR="003255C0" w:rsidRPr="00245F0C">
        <w:rPr>
          <w:szCs w:val="22"/>
        </w:rPr>
        <w:t xml:space="preserve">Equation </w:t>
      </w:r>
      <w:r w:rsidR="003255C0" w:rsidRPr="00245F0C">
        <w:rPr>
          <w:noProof/>
          <w:szCs w:val="22"/>
        </w:rPr>
        <w:t>48</w:t>
      </w:r>
      <w:r w:rsidR="00430A30" w:rsidRPr="00FA7C4B">
        <w:rPr>
          <w:color w:val="000000" w:themeColor="text1"/>
          <w:szCs w:val="22"/>
        </w:rPr>
        <w:fldChar w:fldCharType="end"/>
      </w:r>
      <w:r w:rsidR="00430A30" w:rsidRPr="00FA7C4B">
        <w:rPr>
          <w:color w:val="000000" w:themeColor="text1"/>
          <w:szCs w:val="22"/>
        </w:rPr>
        <w:t>-51</w:t>
      </w:r>
      <w:r w:rsidR="00430A30">
        <w:rPr>
          <w:color w:val="000000" w:themeColor="text1"/>
          <w:szCs w:val="22"/>
        </w:rPr>
        <w:t xml:space="preserve"> </w:t>
      </w:r>
      <w:r>
        <w:rPr>
          <w:color w:val="000000" w:themeColor="text1"/>
          <w:szCs w:val="22"/>
        </w:rPr>
        <w:t xml:space="preserve">is thought to </w:t>
      </w:r>
      <w:r w:rsidRPr="00EC6E98">
        <w:rPr>
          <w:color w:val="000000" w:themeColor="text1"/>
          <w:szCs w:val="22"/>
        </w:rPr>
        <w:t>emerge because of bond order conservation of the adsorbed species</w:t>
      </w:r>
      <w:r>
        <w:rPr>
          <w:color w:val="000000" w:themeColor="text1"/>
          <w:szCs w:val="22"/>
          <w:shd w:val="clear" w:color="auto" w:fill="FFFFFF"/>
        </w:rPr>
        <w:fldChar w:fldCharType="begin">
          <w:fldData xml:space="preserve">PEVuZE5vdGU+PENpdGU+PEF1dGhvcj5BYmlsZC1QZWRlcnNlbjwvQXV0aG9yPjxZZWFyPjIwMDc8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</w:fldData>
        </w:fldChar>
      </w:r>
      <w:r w:rsidR="00FC5BEB">
        <w:rPr>
          <w:color w:val="000000" w:themeColor="text1"/>
          <w:szCs w:val="22"/>
          <w:shd w:val="clear" w:color="auto" w:fill="FFFFFF"/>
        </w:rPr>
        <w:instrText xml:space="preserve"> ADDIN EN.CITE </w:instrText>
      </w:r>
      <w:r w:rsidR="00FC5BEB">
        <w:rPr>
          <w:color w:val="000000" w:themeColor="text1"/>
          <w:szCs w:val="22"/>
          <w:shd w:val="clear" w:color="auto" w:fill="FFFFFF"/>
        </w:rPr>
        <w:fldChar w:fldCharType="begin">
          <w:fldData xml:space="preserve">PEVuZE5vdGU+PENpdGU+PEF1dGhvcj5BYmlsZC1QZWRlcnNlbjwvQXV0aG9yPjxZZWFyPjIwMDc8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</w:fldData>
        </w:fldChar>
      </w:r>
      <w:r w:rsidR="00FC5BEB">
        <w:rPr>
          <w:color w:val="000000" w:themeColor="text1"/>
          <w:szCs w:val="22"/>
          <w:shd w:val="clear" w:color="auto" w:fill="FFFFFF"/>
        </w:rPr>
        <w:instrText xml:space="preserve"> ADDIN EN.CITE.DATA </w:instrText>
      </w:r>
      <w:r w:rsidR="00FC5BEB">
        <w:rPr>
          <w:color w:val="000000" w:themeColor="text1"/>
          <w:szCs w:val="22"/>
          <w:shd w:val="clear" w:color="auto" w:fill="FFFFFF"/>
        </w:rPr>
      </w:r>
      <w:r w:rsidR="00FC5BEB">
        <w:rPr>
          <w:color w:val="000000" w:themeColor="text1"/>
          <w:szCs w:val="22"/>
          <w:shd w:val="clear" w:color="auto" w:fill="FFFFFF"/>
        </w:rPr>
        <w:fldChar w:fldCharType="end"/>
      </w:r>
      <w:r>
        <w:rPr>
          <w:color w:val="000000" w:themeColor="text1"/>
          <w:szCs w:val="22"/>
          <w:shd w:val="clear" w:color="auto" w:fill="FFFFFF"/>
        </w:rPr>
      </w:r>
      <w:r>
        <w:rPr>
          <w:color w:val="000000" w:themeColor="text1"/>
          <w:szCs w:val="22"/>
          <w:shd w:val="clear" w:color="auto" w:fill="FFFFFF"/>
        </w:rPr>
        <w:fldChar w:fldCharType="separate"/>
      </w:r>
      <w:r w:rsidR="00FC5BEB" w:rsidRPr="00FC5BEB">
        <w:rPr>
          <w:noProof/>
          <w:color w:val="000000" w:themeColor="text1"/>
          <w:szCs w:val="22"/>
          <w:shd w:val="clear" w:color="auto" w:fill="FFFFFF"/>
          <w:vertAlign w:val="superscript"/>
        </w:rPr>
        <w:t>47, 181, 182</w:t>
      </w:r>
      <w:r>
        <w:rPr>
          <w:color w:val="000000" w:themeColor="text1"/>
          <w:szCs w:val="22"/>
          <w:shd w:val="clear" w:color="auto" w:fill="FFFFFF"/>
        </w:rPr>
        <w:fldChar w:fldCharType="end"/>
      </w:r>
      <w:r>
        <w:rPr>
          <w:color w:val="000000" w:themeColor="text1"/>
          <w:szCs w:val="22"/>
          <w:shd w:val="clear" w:color="auto" w:fill="FFFFFF"/>
        </w:rPr>
        <w:t>.</w:t>
      </w:r>
      <w:r w:rsidRPr="00EC6E98">
        <w:rPr>
          <w:color w:val="000000" w:themeColor="text1"/>
          <w:szCs w:val="22"/>
        </w:rPr>
        <w:t xml:space="preserve"> That is, </w:t>
      </w:r>
      <w:r>
        <w:rPr>
          <w:color w:val="000000" w:themeColor="text1"/>
          <w:szCs w:val="22"/>
        </w:rPr>
        <w:t>*O</w:t>
      </w:r>
      <w:r w:rsidRPr="00EC6E98">
        <w:rPr>
          <w:color w:val="000000" w:themeColor="text1"/>
          <w:szCs w:val="22"/>
        </w:rPr>
        <w:t xml:space="preserve"> is bound to the surface through a double O=M bond and both the </w:t>
      </w:r>
      <w:r>
        <w:rPr>
          <w:color w:val="000000" w:themeColor="text1"/>
          <w:szCs w:val="22"/>
        </w:rPr>
        <w:t>*OH</w:t>
      </w:r>
      <w:r w:rsidRPr="00EC6E98">
        <w:rPr>
          <w:color w:val="000000" w:themeColor="text1"/>
          <w:szCs w:val="22"/>
        </w:rPr>
        <w:t xml:space="preserve"> and </w:t>
      </w:r>
      <w:r>
        <w:rPr>
          <w:color w:val="000000" w:themeColor="text1"/>
          <w:szCs w:val="22"/>
        </w:rPr>
        <w:t>*OOH</w:t>
      </w:r>
      <w:r w:rsidRPr="00EC6E98">
        <w:rPr>
          <w:color w:val="000000" w:themeColor="text1"/>
          <w:szCs w:val="22"/>
        </w:rPr>
        <w:t xml:space="preserve"> are bound by a single O-M bond. These scaling relationships allow the thermodynamic contribution to the activation free energy to be expressed as a function of the oxygen adsorption energy computed from DFT and tabulated thermochemical data, see</w:t>
      </w:r>
      <w:r w:rsidR="000849A5">
        <w:rPr>
          <w:color w:val="000000" w:themeColor="text1"/>
          <w:szCs w:val="22"/>
        </w:rPr>
        <w:t xml:space="preserve"> </w:t>
      </w:r>
      <w:r w:rsidR="000849A5">
        <w:rPr>
          <w:color w:val="000000" w:themeColor="text1"/>
          <w:szCs w:val="22"/>
        </w:rPr>
        <w:fldChar w:fldCharType="begin"/>
      </w:r>
      <w:r w:rsidR="000849A5">
        <w:rPr>
          <w:color w:val="000000" w:themeColor="text1"/>
          <w:szCs w:val="22"/>
        </w:rPr>
        <w:instrText xml:space="preserve"> REF _Ref159512581 \h </w:instrText>
      </w:r>
      <w:r w:rsidR="000849A5">
        <w:rPr>
          <w:color w:val="000000" w:themeColor="text1"/>
          <w:szCs w:val="22"/>
        </w:rPr>
      </w:r>
      <w:r w:rsidR="000849A5">
        <w:rPr>
          <w:color w:val="000000" w:themeColor="text1"/>
          <w:szCs w:val="22"/>
        </w:rPr>
        <w:fldChar w:fldCharType="separate"/>
      </w:r>
      <w:r w:rsidR="003255C0" w:rsidRPr="0098295F">
        <w:rPr>
          <w:b/>
          <w:bCs/>
        </w:rPr>
        <w:t xml:space="preserve">Figure </w:t>
      </w:r>
      <w:r w:rsidR="003255C0">
        <w:rPr>
          <w:b/>
          <w:bCs/>
          <w:noProof/>
        </w:rPr>
        <w:t>12</w:t>
      </w:r>
      <w:r w:rsidR="000849A5">
        <w:rPr>
          <w:color w:val="000000" w:themeColor="text1"/>
          <w:szCs w:val="22"/>
        </w:rPr>
        <w:fldChar w:fldCharType="end"/>
      </w:r>
      <w:r w:rsidRPr="00EC6E98">
        <w:rPr>
          <w:color w:val="000000" w:themeColor="text1"/>
          <w:szCs w:val="22"/>
        </w:rPr>
        <w:t xml:space="preserve">. This linear scaling relationship analysis predicts that metals fall into two classes for the OER: </w:t>
      </w:r>
    </w:p>
    <w:p w14:paraId="33B71BCF" w14:textId="77777777" w:rsidR="00E37E91" w:rsidRPr="00EC6E98" w:rsidRDefault="00E37E91" w:rsidP="00E37E91">
      <w:pPr>
        <w:rPr>
          <w:color w:val="000000" w:themeColor="text1"/>
          <w:szCs w:val="22"/>
        </w:rPr>
      </w:pPr>
    </w:p>
    <w:p w14:paraId="12B2AF51" w14:textId="77777777" w:rsidR="00E37E91" w:rsidRPr="00EC6E98" w:rsidRDefault="00E37E91" w:rsidP="00E37E91">
      <w:pPr>
        <w:pStyle w:val="ListParagraph"/>
        <w:numPr>
          <w:ilvl w:val="0"/>
          <w:numId w:val="14"/>
        </w:numPr>
        <w:rPr>
          <w:color w:val="000000" w:themeColor="text1"/>
          <w:szCs w:val="22"/>
        </w:rPr>
      </w:pPr>
      <w:r w:rsidRPr="00EC6E98">
        <w:rPr>
          <w:color w:val="000000" w:themeColor="text1"/>
          <w:szCs w:val="22"/>
        </w:rPr>
        <w:t xml:space="preserve">metals that bind oxygen weakly and </w:t>
      </w:r>
    </w:p>
    <w:p w14:paraId="6BFC651B" w14:textId="77777777" w:rsidR="00E37E91" w:rsidRPr="00EC6E98" w:rsidRDefault="00E37E91" w:rsidP="00E37E91">
      <w:pPr>
        <w:pStyle w:val="ListParagraph"/>
        <w:numPr>
          <w:ilvl w:val="0"/>
          <w:numId w:val="14"/>
        </w:numPr>
        <w:rPr>
          <w:color w:val="000000" w:themeColor="text1"/>
          <w:szCs w:val="22"/>
        </w:rPr>
      </w:pPr>
      <w:r w:rsidRPr="00EC6E98">
        <w:rPr>
          <w:color w:val="000000" w:themeColor="text1"/>
          <w:szCs w:val="22"/>
        </w:rPr>
        <w:t xml:space="preserve">metals that bind oxygen strongly. </w:t>
      </w:r>
    </w:p>
    <w:p w14:paraId="4CBF9CDE" w14:textId="77777777" w:rsidR="00E37E91" w:rsidRPr="00EC6E98" w:rsidRDefault="00E37E91" w:rsidP="00E37E91">
      <w:pPr>
        <w:rPr>
          <w:color w:val="000000" w:themeColor="text1"/>
          <w:szCs w:val="22"/>
        </w:rPr>
      </w:pPr>
    </w:p>
    <w:p w14:paraId="6DF1C53D" w14:textId="77777777" w:rsidR="00E37E91" w:rsidRPr="00EC6E98" w:rsidRDefault="00E37E91" w:rsidP="00E37E91">
      <w:pPr>
        <w:rPr>
          <w:color w:val="000000" w:themeColor="text1"/>
          <w:szCs w:val="22"/>
        </w:rPr>
      </w:pPr>
      <w:r w:rsidRPr="00EC6E98">
        <w:rPr>
          <w:color w:val="000000" w:themeColor="text1"/>
          <w:szCs w:val="22"/>
        </w:rPr>
        <w:t>While such a distinction may appear trivial, it has powerful implications:</w:t>
      </w:r>
    </w:p>
    <w:p w14:paraId="6F28B822" w14:textId="77777777" w:rsidR="00E37E91" w:rsidRPr="00EC6E98" w:rsidRDefault="00E37E91" w:rsidP="00E37E91">
      <w:pPr>
        <w:rPr>
          <w:color w:val="000000" w:themeColor="text1"/>
          <w:szCs w:val="22"/>
        </w:rPr>
      </w:pPr>
    </w:p>
    <w:p w14:paraId="082CDDAD" w14:textId="06539E08" w:rsidR="00E37E91" w:rsidRPr="00EC6E98" w:rsidRDefault="00E37E91" w:rsidP="00E37E91">
      <w:pPr>
        <w:pStyle w:val="ListParagraph"/>
        <w:numPr>
          <w:ilvl w:val="0"/>
          <w:numId w:val="15"/>
        </w:numPr>
        <w:rPr>
          <w:color w:val="000000" w:themeColor="text1"/>
          <w:szCs w:val="22"/>
        </w:rPr>
      </w:pPr>
      <w:r w:rsidRPr="00EC6E98">
        <w:rPr>
          <w:color w:val="000000" w:themeColor="text1"/>
          <w:szCs w:val="22"/>
        </w:rPr>
        <w:t xml:space="preserve">On metals that bind oxygen too weakly, </w:t>
      </w:r>
      <w:r>
        <w:rPr>
          <w:color w:val="000000" w:themeColor="text1"/>
          <w:szCs w:val="22"/>
        </w:rPr>
        <w:t>*OH</w:t>
      </w:r>
      <w:r w:rsidRPr="00EC6E98">
        <w:rPr>
          <w:color w:val="000000" w:themeColor="text1"/>
          <w:szCs w:val="22"/>
        </w:rPr>
        <w:t xml:space="preserve"> formation </w:t>
      </w:r>
      <w:r w:rsidR="00F835AE">
        <w:rPr>
          <w:color w:val="000000" w:themeColor="text1"/>
          <w:szCs w:val="22"/>
        </w:rPr>
        <w:t xml:space="preserve">(i.e. the first step in </w:t>
      </w:r>
      <w:r w:rsidR="00F835AE">
        <w:rPr>
          <w:color w:val="000000" w:themeColor="text1"/>
          <w:szCs w:val="22"/>
        </w:rPr>
        <w:fldChar w:fldCharType="begin"/>
      </w:r>
      <w:r w:rsidR="00F835AE">
        <w:rPr>
          <w:color w:val="000000" w:themeColor="text1"/>
          <w:szCs w:val="22"/>
        </w:rPr>
        <w:instrText xml:space="preserve"> REF _Ref159512497 \h </w:instrText>
      </w:r>
      <w:r w:rsidR="00F835AE">
        <w:rPr>
          <w:color w:val="000000" w:themeColor="text1"/>
          <w:szCs w:val="22"/>
        </w:rPr>
      </w:r>
      <w:r w:rsidR="00F835AE">
        <w:rPr>
          <w:color w:val="000000" w:themeColor="text1"/>
          <w:szCs w:val="22"/>
        </w:rPr>
        <w:fldChar w:fldCharType="separate"/>
      </w:r>
      <w:r w:rsidR="003255C0" w:rsidRPr="00430A30">
        <w:rPr>
          <w:b/>
          <w:bCs/>
        </w:rPr>
        <w:t xml:space="preserve">Figure </w:t>
      </w:r>
      <w:r w:rsidR="003255C0">
        <w:rPr>
          <w:b/>
          <w:bCs/>
          <w:noProof/>
        </w:rPr>
        <w:t>11</w:t>
      </w:r>
      <w:r w:rsidR="00F835AE">
        <w:rPr>
          <w:color w:val="000000" w:themeColor="text1"/>
          <w:szCs w:val="22"/>
        </w:rPr>
        <w:fldChar w:fldCharType="end"/>
      </w:r>
      <w:r w:rsidR="00F835AE">
        <w:rPr>
          <w:color w:val="000000" w:themeColor="text1"/>
          <w:szCs w:val="22"/>
        </w:rPr>
        <w:t xml:space="preserve">) </w:t>
      </w:r>
      <w:r w:rsidRPr="00EC6E98">
        <w:rPr>
          <w:color w:val="000000" w:themeColor="text1"/>
          <w:szCs w:val="22"/>
        </w:rPr>
        <w:t xml:space="preserve">is the PDS and determines </w:t>
      </w:r>
      <w:r w:rsidRPr="00EC6E98">
        <w:rPr>
          <w:rFonts w:eastAsiaTheme="minorEastAsia"/>
          <w:i/>
          <w:color w:val="000000" w:themeColor="text1"/>
          <w:szCs w:val="22"/>
        </w:rPr>
        <w:sym w:font="Symbol" w:char="F068"/>
      </w:r>
      <w:r w:rsidRPr="00EC6E98">
        <w:rPr>
          <w:rFonts w:eastAsiaTheme="minorEastAsia"/>
          <w:iCs/>
          <w:color w:val="000000" w:themeColor="text1"/>
          <w:szCs w:val="22"/>
          <w:vertAlign w:val="subscript"/>
        </w:rPr>
        <w:t>CHE</w:t>
      </w:r>
      <w:r w:rsidRPr="00EC6E98">
        <w:rPr>
          <w:color w:val="000000" w:themeColor="text1"/>
          <w:szCs w:val="22"/>
        </w:rPr>
        <w:t>.</w:t>
      </w:r>
    </w:p>
    <w:p w14:paraId="3C40E9EC" w14:textId="13E9C52A" w:rsidR="00E37E91" w:rsidRPr="00EC6E98" w:rsidRDefault="00E37E91" w:rsidP="00E37E91">
      <w:pPr>
        <w:pStyle w:val="ListParagraph"/>
        <w:numPr>
          <w:ilvl w:val="0"/>
          <w:numId w:val="15"/>
        </w:numPr>
        <w:rPr>
          <w:color w:val="000000" w:themeColor="text1"/>
          <w:szCs w:val="22"/>
        </w:rPr>
      </w:pPr>
      <w:r w:rsidRPr="00EC6E98">
        <w:rPr>
          <w:color w:val="000000" w:themeColor="text1"/>
          <w:szCs w:val="22"/>
        </w:rPr>
        <w:t xml:space="preserve">On metals that bind oxygen too strongly, </w:t>
      </w:r>
      <w:r>
        <w:rPr>
          <w:color w:val="000000" w:themeColor="text1"/>
          <w:szCs w:val="22"/>
        </w:rPr>
        <w:t>*OOH</w:t>
      </w:r>
      <w:r w:rsidRPr="00EC6E98">
        <w:rPr>
          <w:color w:val="000000" w:themeColor="text1"/>
          <w:szCs w:val="22"/>
        </w:rPr>
        <w:t xml:space="preserve"> formation</w:t>
      </w:r>
      <w:r w:rsidR="005162CA">
        <w:rPr>
          <w:color w:val="000000" w:themeColor="text1"/>
          <w:szCs w:val="22"/>
        </w:rPr>
        <w:t xml:space="preserve"> (i.e. the third step in </w:t>
      </w:r>
      <w:r w:rsidR="005162CA">
        <w:rPr>
          <w:color w:val="000000" w:themeColor="text1"/>
          <w:szCs w:val="22"/>
        </w:rPr>
        <w:fldChar w:fldCharType="begin"/>
      </w:r>
      <w:r w:rsidR="005162CA">
        <w:rPr>
          <w:color w:val="000000" w:themeColor="text1"/>
          <w:szCs w:val="22"/>
        </w:rPr>
        <w:instrText xml:space="preserve"> REF _Ref159512497 \h </w:instrText>
      </w:r>
      <w:r w:rsidR="005162CA">
        <w:rPr>
          <w:color w:val="000000" w:themeColor="text1"/>
          <w:szCs w:val="22"/>
        </w:rPr>
      </w:r>
      <w:r w:rsidR="005162CA">
        <w:rPr>
          <w:color w:val="000000" w:themeColor="text1"/>
          <w:szCs w:val="22"/>
        </w:rPr>
        <w:fldChar w:fldCharType="separate"/>
      </w:r>
      <w:r w:rsidR="003255C0" w:rsidRPr="00430A30">
        <w:rPr>
          <w:b/>
          <w:bCs/>
        </w:rPr>
        <w:t xml:space="preserve">Figure </w:t>
      </w:r>
      <w:r w:rsidR="003255C0">
        <w:rPr>
          <w:b/>
          <w:bCs/>
          <w:noProof/>
        </w:rPr>
        <w:t>11</w:t>
      </w:r>
      <w:r w:rsidR="005162CA">
        <w:rPr>
          <w:color w:val="000000" w:themeColor="text1"/>
          <w:szCs w:val="22"/>
        </w:rPr>
        <w:fldChar w:fldCharType="end"/>
      </w:r>
      <w:r w:rsidR="005162CA">
        <w:rPr>
          <w:color w:val="000000" w:themeColor="text1"/>
          <w:szCs w:val="22"/>
        </w:rPr>
        <w:t>)</w:t>
      </w:r>
      <w:r w:rsidRPr="00EC6E98">
        <w:rPr>
          <w:color w:val="000000" w:themeColor="text1"/>
          <w:szCs w:val="22"/>
        </w:rPr>
        <w:t xml:space="preserve"> becomes the PDS and determines </w:t>
      </w:r>
      <w:r w:rsidRPr="00EC6E98">
        <w:rPr>
          <w:rFonts w:eastAsiaTheme="minorEastAsia"/>
          <w:i/>
          <w:color w:val="000000" w:themeColor="text1"/>
          <w:szCs w:val="22"/>
        </w:rPr>
        <w:sym w:font="Symbol" w:char="F068"/>
      </w:r>
      <w:r w:rsidRPr="00EC6E98">
        <w:rPr>
          <w:rFonts w:eastAsiaTheme="minorEastAsia"/>
          <w:iCs/>
          <w:color w:val="000000" w:themeColor="text1"/>
          <w:szCs w:val="22"/>
          <w:vertAlign w:val="subscript"/>
        </w:rPr>
        <w:t>CHE</w:t>
      </w:r>
      <w:r w:rsidRPr="00EC6E98">
        <w:rPr>
          <w:rFonts w:eastAsiaTheme="minorEastAsia"/>
          <w:iCs/>
          <w:color w:val="000000" w:themeColor="text1"/>
          <w:szCs w:val="22"/>
        </w:rPr>
        <w:t>.</w:t>
      </w:r>
    </w:p>
    <w:p w14:paraId="215AE5CB" w14:textId="77777777" w:rsidR="00E37E91" w:rsidRPr="00EC6E98" w:rsidRDefault="00E37E91" w:rsidP="00E37E91">
      <w:pPr>
        <w:pStyle w:val="ListParagraph"/>
        <w:ind w:left="1440"/>
        <w:rPr>
          <w:color w:val="000000" w:themeColor="text1"/>
          <w:szCs w:val="22"/>
        </w:rPr>
      </w:pPr>
    </w:p>
    <w:p w14:paraId="43D7CB70" w14:textId="79DC2D24" w:rsidR="005162CA" w:rsidRDefault="005162CA" w:rsidP="00E37E91">
      <w:pPr>
        <w:rPr>
          <w:color w:val="000000" w:themeColor="text1"/>
          <w:szCs w:val="22"/>
        </w:rPr>
      </w:pPr>
      <w:r w:rsidRPr="005162CA">
        <w:rPr>
          <w:color w:val="000000" w:themeColor="text1"/>
          <w:szCs w:val="22"/>
        </w:rPr>
        <w:t xml:space="preserve">Moreover, the scaling relationships among the adsorption energies of the adsorbates lead to the fact that the free energy cost of the first and second step depend on the adsorption energy of oxygen with a slope of -0.5, while the second step has a slope of 0.5. This constrains the sum of the free energy cost of the first and third step to a constant, which imposes an overpotential floor for </w:t>
      </w:r>
      <w:r w:rsidRPr="005162CA">
        <w:rPr>
          <w:i/>
          <w:color w:val="000000" w:themeColor="text1"/>
          <w:szCs w:val="22"/>
        </w:rPr>
        <w:sym w:font="Symbol" w:char="F068"/>
      </w:r>
      <w:r w:rsidRPr="005162CA">
        <w:rPr>
          <w:iCs/>
          <w:color w:val="000000" w:themeColor="text1"/>
          <w:szCs w:val="22"/>
          <w:vertAlign w:val="subscript"/>
        </w:rPr>
        <w:t xml:space="preserve">CHE </w:t>
      </w:r>
      <w:r w:rsidRPr="005162CA">
        <w:rPr>
          <w:color w:val="000000" w:themeColor="text1"/>
          <w:szCs w:val="22"/>
        </w:rPr>
        <w:t xml:space="preserve">on metals. Since the free energy cost of the first and third step intersect at around </w:t>
      </w:r>
      <w:r>
        <w:rPr>
          <w:color w:val="000000" w:themeColor="text1"/>
          <w:szCs w:val="22"/>
        </w:rPr>
        <w:t>1.8</w:t>
      </w:r>
      <w:r w:rsidRPr="005162CA">
        <w:rPr>
          <w:color w:val="000000" w:themeColor="text1"/>
          <w:szCs w:val="22"/>
        </w:rPr>
        <w:t xml:space="preserve"> </w:t>
      </w:r>
      <w:r>
        <w:rPr>
          <w:color w:val="000000" w:themeColor="text1"/>
          <w:szCs w:val="22"/>
        </w:rPr>
        <w:t>e</w:t>
      </w:r>
      <w:r w:rsidRPr="005162CA">
        <w:rPr>
          <w:color w:val="000000" w:themeColor="text1"/>
          <w:szCs w:val="22"/>
        </w:rPr>
        <w:t xml:space="preserve">V </w:t>
      </w:r>
      <w:r>
        <w:rPr>
          <w:color w:val="000000" w:themeColor="text1"/>
          <w:szCs w:val="22"/>
        </w:rPr>
        <w:t xml:space="preserve">(see </w:t>
      </w:r>
      <w:r>
        <w:rPr>
          <w:color w:val="000000" w:themeColor="text1"/>
          <w:szCs w:val="22"/>
        </w:rPr>
        <w:fldChar w:fldCharType="begin"/>
      </w:r>
      <w:r>
        <w:rPr>
          <w:color w:val="000000" w:themeColor="text1"/>
          <w:szCs w:val="22"/>
        </w:rPr>
        <w:instrText xml:space="preserve"> REF _Ref159512581 \h </w:instrText>
      </w:r>
      <w:r>
        <w:rPr>
          <w:color w:val="000000" w:themeColor="text1"/>
          <w:szCs w:val="22"/>
        </w:rPr>
      </w:r>
      <w:r>
        <w:rPr>
          <w:color w:val="000000" w:themeColor="text1"/>
          <w:szCs w:val="22"/>
        </w:rPr>
        <w:fldChar w:fldCharType="separate"/>
      </w:r>
      <w:r w:rsidR="003255C0" w:rsidRPr="0098295F">
        <w:rPr>
          <w:b/>
          <w:bCs/>
        </w:rPr>
        <w:t xml:space="preserve">Figure </w:t>
      </w:r>
      <w:r w:rsidR="003255C0">
        <w:rPr>
          <w:b/>
          <w:bCs/>
          <w:noProof/>
        </w:rPr>
        <w:t>12</w:t>
      </w:r>
      <w:r>
        <w:rPr>
          <w:color w:val="000000" w:themeColor="text1"/>
          <w:szCs w:val="22"/>
        </w:rPr>
        <w:fldChar w:fldCharType="end"/>
      </w:r>
      <w:r w:rsidRPr="005162CA">
        <w:rPr>
          <w:b/>
          <w:bCs/>
          <w:color w:val="000000" w:themeColor="text1"/>
          <w:szCs w:val="22"/>
        </w:rPr>
        <w:t>a</w:t>
      </w:r>
      <w:r>
        <w:rPr>
          <w:color w:val="000000" w:themeColor="text1"/>
          <w:szCs w:val="22"/>
        </w:rPr>
        <w:t xml:space="preserve">), </w:t>
      </w:r>
      <w:r w:rsidRPr="005162CA">
        <w:rPr>
          <w:color w:val="000000" w:themeColor="text1"/>
          <w:szCs w:val="22"/>
        </w:rPr>
        <w:t>while the free energy difference for each PCET step in the ideal catalyst is 1.23 eV, the minimum overpotential possible when the observed scaling relationships hold is then min(</w:t>
      </w:r>
      <w:r w:rsidRPr="005162CA">
        <w:rPr>
          <w:i/>
          <w:color w:val="000000" w:themeColor="text1"/>
          <w:szCs w:val="22"/>
        </w:rPr>
        <w:sym w:font="Symbol" w:char="F068"/>
      </w:r>
      <w:r w:rsidRPr="005162CA">
        <w:rPr>
          <w:iCs/>
          <w:color w:val="000000" w:themeColor="text1"/>
          <w:szCs w:val="22"/>
          <w:vertAlign w:val="subscript"/>
        </w:rPr>
        <w:t>CHE</w:t>
      </w:r>
      <w:r w:rsidRPr="005162CA">
        <w:rPr>
          <w:color w:val="000000" w:themeColor="text1"/>
          <w:szCs w:val="22"/>
        </w:rPr>
        <w:t xml:space="preserve"> ) ~ (</w:t>
      </w:r>
      <w:r>
        <w:rPr>
          <w:color w:val="000000" w:themeColor="text1"/>
          <w:szCs w:val="22"/>
        </w:rPr>
        <w:t>1.8</w:t>
      </w:r>
      <w:r w:rsidRPr="005162CA">
        <w:rPr>
          <w:color w:val="000000" w:themeColor="text1"/>
          <w:szCs w:val="22"/>
        </w:rPr>
        <w:t>-1.23 eV)/</w:t>
      </w:r>
      <w:r w:rsidRPr="005162CA">
        <w:rPr>
          <w:i/>
          <w:iCs/>
          <w:color w:val="000000" w:themeColor="text1"/>
          <w:szCs w:val="22"/>
        </w:rPr>
        <w:t>e</w:t>
      </w:r>
      <w:r w:rsidRPr="005162CA">
        <w:rPr>
          <w:color w:val="000000" w:themeColor="text1"/>
          <w:szCs w:val="22"/>
        </w:rPr>
        <w:t xml:space="preserve"> = 0.</w:t>
      </w:r>
      <w:r>
        <w:rPr>
          <w:color w:val="000000" w:themeColor="text1"/>
          <w:szCs w:val="22"/>
        </w:rPr>
        <w:t>5</w:t>
      </w:r>
      <w:r w:rsidRPr="005162CA">
        <w:rPr>
          <w:color w:val="000000" w:themeColor="text1"/>
          <w:szCs w:val="22"/>
        </w:rPr>
        <w:t>7 V.</w:t>
      </w:r>
    </w:p>
    <w:p w14:paraId="372E552B" w14:textId="3AD098AA" w:rsidR="00E37E91" w:rsidRPr="00EC6E98" w:rsidRDefault="00CB564F" w:rsidP="00E37E91">
      <w:pPr>
        <w:rPr>
          <w:color w:val="000000" w:themeColor="text1"/>
          <w:szCs w:val="22"/>
        </w:rPr>
      </w:pPr>
      <w:r w:rsidRPr="00CB564F">
        <w:rPr>
          <w:color w:val="000000" w:themeColor="text1"/>
          <w:szCs w:val="22"/>
        </w:rPr>
        <w:t>Thus, the predicted overpotential is determined by the adsorption energy of *O and is constrained to a minimum value of ~0.</w:t>
      </w:r>
      <w:r>
        <w:rPr>
          <w:color w:val="000000" w:themeColor="text1"/>
          <w:szCs w:val="22"/>
        </w:rPr>
        <w:t>5</w:t>
      </w:r>
      <w:r w:rsidRPr="00CB564F">
        <w:rPr>
          <w:color w:val="000000" w:themeColor="text1"/>
          <w:szCs w:val="22"/>
        </w:rPr>
        <w:t xml:space="preserve">7 V. This gives rise to a volcano plot when the OER activity (defined as the negative of </w:t>
      </w:r>
      <w:r w:rsidRPr="00CB564F">
        <w:rPr>
          <w:i/>
          <w:color w:val="000000" w:themeColor="text1"/>
          <w:szCs w:val="22"/>
        </w:rPr>
        <w:sym w:font="Symbol" w:char="F068"/>
      </w:r>
      <w:r w:rsidRPr="00CB564F">
        <w:rPr>
          <w:iCs/>
          <w:color w:val="000000" w:themeColor="text1"/>
          <w:szCs w:val="22"/>
          <w:vertAlign w:val="subscript"/>
        </w:rPr>
        <w:t>CHE</w:t>
      </w:r>
      <w:r w:rsidRPr="00CB564F">
        <w:rPr>
          <w:color w:val="000000" w:themeColor="text1"/>
          <w:szCs w:val="22"/>
        </w:rPr>
        <w:t xml:space="preserve"> or, </w:t>
      </w:r>
      <w:r w:rsidR="00E37E91" w:rsidRPr="00EC6E98">
        <w:rPr>
          <w:color w:val="000000" w:themeColor="text1"/>
          <w:szCs w:val="22"/>
        </w:rPr>
        <w:t xml:space="preserve">which Ref. </w:t>
      </w:r>
      <w:r w:rsidR="00E37E91">
        <w:rPr>
          <w:color w:val="000000" w:themeColor="text1"/>
          <w:szCs w:val="22"/>
        </w:rPr>
        <w:fldChar w:fldCharType="begin"/>
      </w:r>
      <w:r w:rsidR="00FC5BEB">
        <w:rPr>
          <w:color w:val="000000" w:themeColor="text1"/>
          <w:szCs w:val="22"/>
        </w:rPr>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rsidR="00E37E91">
        <w:rPr>
          <w:color w:val="000000" w:themeColor="text1"/>
          <w:szCs w:val="22"/>
        </w:rPr>
        <w:fldChar w:fldCharType="separate"/>
      </w:r>
      <w:r w:rsidR="00FC5BEB" w:rsidRPr="00FC5BEB">
        <w:rPr>
          <w:noProof/>
          <w:color w:val="000000" w:themeColor="text1"/>
          <w:szCs w:val="22"/>
          <w:vertAlign w:val="superscript"/>
        </w:rPr>
        <w:t>87</w:t>
      </w:r>
      <w:r w:rsidR="00E37E91">
        <w:rPr>
          <w:color w:val="000000" w:themeColor="text1"/>
          <w:szCs w:val="22"/>
        </w:rPr>
        <w:fldChar w:fldCharType="end"/>
      </w:r>
      <w:r w:rsidR="00E37E91">
        <w:rPr>
          <w:color w:val="000000" w:themeColor="text1"/>
          <w:szCs w:val="22"/>
        </w:rPr>
        <w:t xml:space="preserve"> </w:t>
      </w:r>
      <w:r w:rsidR="00E37E91" w:rsidRPr="00EC6E98">
        <w:rPr>
          <w:color w:val="000000" w:themeColor="text1"/>
          <w:szCs w:val="22"/>
        </w:rPr>
        <w:t>refers to as -</w:t>
      </w:r>
      <w:r w:rsidR="00E37E91" w:rsidRPr="00EC6E98">
        <w:rPr>
          <w:color w:val="000000" w:themeColor="text1"/>
          <w:szCs w:val="22"/>
        </w:rPr>
        <w:sym w:font="Symbol" w:char="F044"/>
      </w:r>
      <w:proofErr w:type="spellStart"/>
      <w:r w:rsidR="00E37E91" w:rsidRPr="00EC6E98">
        <w:rPr>
          <w:i/>
          <w:iCs/>
          <w:color w:val="000000" w:themeColor="text1"/>
          <w:szCs w:val="22"/>
        </w:rPr>
        <w:t>G</w:t>
      </w:r>
      <w:r w:rsidR="00E37E91" w:rsidRPr="00EC6E98">
        <w:rPr>
          <w:color w:val="000000" w:themeColor="text1"/>
          <w:szCs w:val="22"/>
          <w:vertAlign w:val="subscript"/>
        </w:rPr>
        <w:t>activat</w:t>
      </w:r>
      <w:r w:rsidR="000231C1">
        <w:rPr>
          <w:color w:val="000000" w:themeColor="text1"/>
          <w:szCs w:val="22"/>
          <w:vertAlign w:val="subscript"/>
        </w:rPr>
        <w:t>i</w:t>
      </w:r>
      <w:r w:rsidR="00E37E91" w:rsidRPr="00EC6E98">
        <w:rPr>
          <w:color w:val="000000" w:themeColor="text1"/>
          <w:szCs w:val="22"/>
          <w:vertAlign w:val="subscript"/>
        </w:rPr>
        <w:t>on</w:t>
      </w:r>
      <w:proofErr w:type="spellEnd"/>
      <w:r w:rsidR="00E37E91" w:rsidRPr="00EC6E98">
        <w:rPr>
          <w:color w:val="000000" w:themeColor="text1"/>
          <w:szCs w:val="22"/>
        </w:rPr>
        <w:t xml:space="preserve"> though this should not be confused with an activation free energy) is plotted against the computed oxygen adsorption energy,</w:t>
      </w:r>
      <w:r w:rsidR="000849A5">
        <w:rPr>
          <w:color w:val="000000" w:themeColor="text1"/>
          <w:szCs w:val="22"/>
        </w:rPr>
        <w:t xml:space="preserve"> </w:t>
      </w:r>
      <w:r w:rsidR="000849A5">
        <w:rPr>
          <w:color w:val="000000" w:themeColor="text1"/>
          <w:szCs w:val="22"/>
        </w:rPr>
        <w:fldChar w:fldCharType="begin"/>
      </w:r>
      <w:r w:rsidR="000849A5">
        <w:rPr>
          <w:color w:val="000000" w:themeColor="text1"/>
          <w:szCs w:val="22"/>
        </w:rPr>
        <w:instrText xml:space="preserve"> REF _Ref159512581 \h </w:instrText>
      </w:r>
      <w:r w:rsidR="000849A5">
        <w:rPr>
          <w:color w:val="000000" w:themeColor="text1"/>
          <w:szCs w:val="22"/>
        </w:rPr>
      </w:r>
      <w:r w:rsidR="000849A5">
        <w:rPr>
          <w:color w:val="000000" w:themeColor="text1"/>
          <w:szCs w:val="22"/>
        </w:rPr>
        <w:fldChar w:fldCharType="separate"/>
      </w:r>
      <w:r w:rsidR="003255C0" w:rsidRPr="0098295F">
        <w:rPr>
          <w:b/>
          <w:bCs/>
        </w:rPr>
        <w:t xml:space="preserve">Figure </w:t>
      </w:r>
      <w:r w:rsidR="003255C0">
        <w:rPr>
          <w:b/>
          <w:bCs/>
          <w:noProof/>
        </w:rPr>
        <w:t>12</w:t>
      </w:r>
      <w:r w:rsidR="000849A5">
        <w:rPr>
          <w:color w:val="000000" w:themeColor="text1"/>
          <w:szCs w:val="22"/>
        </w:rPr>
        <w:fldChar w:fldCharType="end"/>
      </w:r>
      <w:r w:rsidRPr="00CB564F">
        <w:rPr>
          <w:b/>
          <w:bCs/>
          <w:color w:val="000000" w:themeColor="text1"/>
          <w:szCs w:val="22"/>
        </w:rPr>
        <w:t>a</w:t>
      </w:r>
      <w:r w:rsidR="000849A5">
        <w:rPr>
          <w:color w:val="000000" w:themeColor="text1"/>
          <w:szCs w:val="22"/>
        </w:rPr>
        <w:t xml:space="preserve">. </w:t>
      </w:r>
      <w:r w:rsidRPr="00CB564F">
        <w:rPr>
          <w:color w:val="000000" w:themeColor="text1"/>
          <w:szCs w:val="22"/>
        </w:rPr>
        <w:t>The OER activity of different metals is then predicted to be constrained to fall on the blue volcano curve shown in</w:t>
      </w:r>
      <w:r w:rsidR="000849A5">
        <w:rPr>
          <w:color w:val="000000" w:themeColor="text1"/>
          <w:szCs w:val="22"/>
        </w:rPr>
        <w:t xml:space="preserve"> </w:t>
      </w:r>
      <w:r w:rsidR="000849A5">
        <w:rPr>
          <w:color w:val="000000" w:themeColor="text1"/>
          <w:szCs w:val="22"/>
        </w:rPr>
        <w:fldChar w:fldCharType="begin"/>
      </w:r>
      <w:r w:rsidR="000849A5">
        <w:rPr>
          <w:color w:val="000000" w:themeColor="text1"/>
          <w:szCs w:val="22"/>
        </w:rPr>
        <w:instrText xml:space="preserve"> REF _Ref159512581 \h </w:instrText>
      </w:r>
      <w:r w:rsidR="000849A5">
        <w:rPr>
          <w:color w:val="000000" w:themeColor="text1"/>
          <w:szCs w:val="22"/>
        </w:rPr>
      </w:r>
      <w:r w:rsidR="000849A5">
        <w:rPr>
          <w:color w:val="000000" w:themeColor="text1"/>
          <w:szCs w:val="22"/>
        </w:rPr>
        <w:fldChar w:fldCharType="separate"/>
      </w:r>
      <w:r w:rsidR="003255C0" w:rsidRPr="0098295F">
        <w:rPr>
          <w:b/>
          <w:bCs/>
        </w:rPr>
        <w:t xml:space="preserve">Figure </w:t>
      </w:r>
      <w:r w:rsidR="003255C0">
        <w:rPr>
          <w:b/>
          <w:bCs/>
          <w:noProof/>
        </w:rPr>
        <w:t>12</w:t>
      </w:r>
      <w:r w:rsidR="000849A5">
        <w:rPr>
          <w:color w:val="000000" w:themeColor="text1"/>
          <w:szCs w:val="22"/>
        </w:rPr>
        <w:fldChar w:fldCharType="end"/>
      </w:r>
      <w:r w:rsidRPr="00CB564F">
        <w:rPr>
          <w:b/>
          <w:bCs/>
          <w:color w:val="000000" w:themeColor="text1"/>
          <w:szCs w:val="22"/>
        </w:rPr>
        <w:t>a</w:t>
      </w:r>
      <w:r w:rsidR="000849A5">
        <w:rPr>
          <w:color w:val="000000" w:themeColor="text1"/>
          <w:szCs w:val="22"/>
        </w:rPr>
        <w:t>.</w:t>
      </w:r>
      <w:r w:rsidR="00E37E91" w:rsidRPr="00EC6E98">
        <w:rPr>
          <w:color w:val="000000" w:themeColor="text1"/>
          <w:szCs w:val="22"/>
        </w:rPr>
        <w:t xml:space="preserve"> </w:t>
      </w:r>
      <w:r w:rsidR="0098295F">
        <w:rPr>
          <w:color w:val="000000" w:themeColor="text1"/>
          <w:szCs w:val="22"/>
        </w:rPr>
        <w:fldChar w:fldCharType="begin"/>
      </w:r>
      <w:r w:rsidR="0098295F">
        <w:rPr>
          <w:color w:val="000000" w:themeColor="text1"/>
          <w:szCs w:val="22"/>
        </w:rPr>
        <w:instrText xml:space="preserve"> REF _Ref159512581 \h </w:instrText>
      </w:r>
      <w:r w:rsidR="0098295F">
        <w:rPr>
          <w:color w:val="000000" w:themeColor="text1"/>
          <w:szCs w:val="22"/>
        </w:rPr>
      </w:r>
      <w:r w:rsidR="0098295F">
        <w:rPr>
          <w:color w:val="000000" w:themeColor="text1"/>
          <w:szCs w:val="22"/>
        </w:rPr>
        <w:fldChar w:fldCharType="separate"/>
      </w:r>
      <w:r w:rsidR="003255C0" w:rsidRPr="0098295F">
        <w:rPr>
          <w:b/>
          <w:bCs/>
        </w:rPr>
        <w:t xml:space="preserve">Figure </w:t>
      </w:r>
      <w:r w:rsidR="003255C0">
        <w:rPr>
          <w:b/>
          <w:bCs/>
          <w:noProof/>
        </w:rPr>
        <w:t>12</w:t>
      </w:r>
      <w:r w:rsidR="0098295F">
        <w:rPr>
          <w:color w:val="000000" w:themeColor="text1"/>
          <w:szCs w:val="22"/>
        </w:rPr>
        <w:fldChar w:fldCharType="end"/>
      </w:r>
      <w:r w:rsidRPr="00CB564F">
        <w:rPr>
          <w:b/>
          <w:bCs/>
          <w:color w:val="000000" w:themeColor="text1"/>
          <w:szCs w:val="22"/>
        </w:rPr>
        <w:t>b</w:t>
      </w:r>
      <w:r w:rsidR="00E37E91">
        <w:rPr>
          <w:color w:val="000000" w:themeColor="text1"/>
          <w:szCs w:val="22"/>
        </w:rPr>
        <w:t xml:space="preserve"> </w:t>
      </w:r>
      <w:r w:rsidRPr="00CB564F">
        <w:rPr>
          <w:color w:val="000000" w:themeColor="text1"/>
          <w:szCs w:val="22"/>
        </w:rPr>
        <w:t>shows a similar plot, extracted from Ref.</w:t>
      </w:r>
      <w:r>
        <w:rPr>
          <w:color w:val="000000" w:themeColor="text1"/>
          <w:szCs w:val="22"/>
        </w:rPr>
        <w:fldChar w:fldCharType="begin"/>
      </w:r>
      <w:r w:rsidR="00FC5BEB">
        <w:rPr>
          <w:color w:val="000000" w:themeColor="text1"/>
          <w:szCs w:val="22"/>
        </w:rPr>
        <w:instrText xml:space="preserve"> ADDIN EN.CITE &lt;EndNote&gt;&lt;Cite&gt;&lt;Author&gt;Rossmeisl&lt;/Author&gt;&lt;Year&gt;2007&lt;/Year&gt;&lt;RecNum&gt;86&lt;/RecNum&gt;&lt;DisplayText&gt;&lt;style face="superscript"&gt;88&lt;/style&gt;&lt;/DisplayText&gt;&lt;record&gt;&lt;rec-number&gt;86&lt;/rec-number&gt;&lt;foreign-keys&gt;&lt;key app="EN" db-id="2xex0erf4eexr4e2dpbxpdd829xttesxxxdr" timestamp="1715075296"&gt;86&lt;/key&gt;&lt;/foreign-keys&gt;&lt;ref-type name="Journal Article"&gt;17&lt;/ref-type&gt;&lt;contributors&gt;&lt;authors&gt;&lt;author&gt;Rossmeisl, J.&lt;/author&gt;&lt;author&gt;Qu, Z. W.&lt;/author&gt;&lt;author&gt;Zhu, H.&lt;/author&gt;&lt;author&gt;Kroes, G. J.&lt;/author&gt;&lt;author&gt;Nørskov, J. K.&lt;/author&gt;&lt;/authors&gt;&lt;/contributors&gt;&lt;titles&gt;&lt;title&gt;Electrolysis of water on oxide surfaces&lt;/title&gt;&lt;secondary-title&gt;Journal of Electroanalytical Chemistry&lt;/secondary-title&gt;&lt;/titles&gt;&lt;periodical&gt;&lt;full-title&gt;Journal of Electroanalytical Chemistry&lt;/full-title&gt;&lt;abbr-1&gt;J. Electroanal. Chem.&lt;/abbr-1&gt;&lt;abbr-2&gt;J Electroanal Chem&lt;/abbr-2&gt;&lt;/periodical&gt;&lt;pages&gt;83-89&lt;/pages&gt;&lt;volume&gt;607&lt;/volume&gt;&lt;number&gt;1&lt;/number&gt;&lt;keywords&gt;&lt;keyword&gt;Electrolysis&lt;/keyword&gt;&lt;keyword&gt;Oxide surfaces&lt;/keyword&gt;&lt;keyword&gt;Density functional theory&lt;/keyword&gt;&lt;keyword&gt;Linear relations&lt;/keyword&gt;&lt;/keywords&gt;&lt;dates&gt;&lt;year&gt;2007&lt;/year&gt;&lt;pub-dates&gt;&lt;date&gt;2007/09/01/&lt;/date&gt;&lt;/pub-dates&gt;&lt;/dates&gt;&lt;isbn&gt;1572-6657&lt;/isbn&gt;&lt;urls&gt;&lt;related-urls&gt;&lt;url&gt;https://www.sciencedirect.com/science/article/pii/S0022072806006371&lt;/url&gt;&lt;/related-urls&gt;&lt;/urls&gt;&lt;electronic-resource-num&gt;https://doi.org/10.1016/j.jelechem.2006.11.008&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88</w:t>
      </w:r>
      <w:r>
        <w:rPr>
          <w:color w:val="000000" w:themeColor="text1"/>
          <w:szCs w:val="22"/>
        </w:rPr>
        <w:fldChar w:fldCharType="end"/>
      </w:r>
      <w:r w:rsidRPr="00CB564F">
        <w:rPr>
          <w:color w:val="000000" w:themeColor="text1"/>
          <w:szCs w:val="22"/>
        </w:rPr>
        <w:t>, apparently based on the very same data used in</w:t>
      </w:r>
      <w:r>
        <w:rPr>
          <w:color w:val="000000" w:themeColor="text1"/>
          <w:szCs w:val="22"/>
        </w:rPr>
        <w:t xml:space="preserve"> </w:t>
      </w:r>
      <w:r>
        <w:rPr>
          <w:color w:val="000000" w:themeColor="text1"/>
          <w:szCs w:val="22"/>
        </w:rPr>
        <w:fldChar w:fldCharType="begin"/>
      </w:r>
      <w:r>
        <w:rPr>
          <w:color w:val="000000" w:themeColor="text1"/>
          <w:szCs w:val="22"/>
        </w:rPr>
        <w:instrText xml:space="preserve"> REF _Ref159512581 \h </w:instrText>
      </w:r>
      <w:r>
        <w:rPr>
          <w:color w:val="000000" w:themeColor="text1"/>
          <w:szCs w:val="22"/>
        </w:rPr>
      </w:r>
      <w:r>
        <w:rPr>
          <w:color w:val="000000" w:themeColor="text1"/>
          <w:szCs w:val="22"/>
        </w:rPr>
        <w:fldChar w:fldCharType="separate"/>
      </w:r>
      <w:r w:rsidR="003255C0" w:rsidRPr="0098295F">
        <w:rPr>
          <w:b/>
          <w:bCs/>
        </w:rPr>
        <w:t xml:space="preserve">Figure </w:t>
      </w:r>
      <w:r w:rsidR="003255C0">
        <w:rPr>
          <w:b/>
          <w:bCs/>
          <w:noProof/>
        </w:rPr>
        <w:t>12</w:t>
      </w:r>
      <w:r>
        <w:rPr>
          <w:color w:val="000000" w:themeColor="text1"/>
          <w:szCs w:val="22"/>
        </w:rPr>
        <w:fldChar w:fldCharType="end"/>
      </w:r>
      <w:r w:rsidRPr="00CB564F">
        <w:rPr>
          <w:b/>
          <w:bCs/>
          <w:color w:val="000000" w:themeColor="text1"/>
          <w:szCs w:val="22"/>
        </w:rPr>
        <w:t>a</w:t>
      </w:r>
      <w:r>
        <w:rPr>
          <w:color w:val="000000" w:themeColor="text1"/>
          <w:szCs w:val="22"/>
        </w:rPr>
        <w:t xml:space="preserve">. </w:t>
      </w:r>
      <w:r w:rsidRPr="00CB564F">
        <w:rPr>
          <w:color w:val="000000" w:themeColor="text1"/>
          <w:szCs w:val="22"/>
        </w:rPr>
        <w:t xml:space="preserve">Notice, however, that in this case the free energy cost of the first and second step appear in the opposite order with respect to panel </w:t>
      </w:r>
      <w:r w:rsidRPr="00CB564F">
        <w:rPr>
          <w:b/>
          <w:bCs/>
          <w:color w:val="000000" w:themeColor="text1"/>
          <w:szCs w:val="22"/>
        </w:rPr>
        <w:t>a</w:t>
      </w:r>
      <w:r w:rsidRPr="00CB564F">
        <w:rPr>
          <w:color w:val="000000" w:themeColor="text1"/>
          <w:szCs w:val="22"/>
        </w:rPr>
        <w:t>. Therefore, according to Ref</w:t>
      </w:r>
      <w:r>
        <w:rPr>
          <w:color w:val="000000" w:themeColor="text1"/>
          <w:szCs w:val="22"/>
        </w:rPr>
        <w:fldChar w:fldCharType="begin"/>
      </w:r>
      <w:r w:rsidR="00FC5BEB">
        <w:rPr>
          <w:color w:val="000000" w:themeColor="text1"/>
          <w:szCs w:val="22"/>
        </w:rPr>
        <w:instrText xml:space="preserve"> ADDIN EN.CITE &lt;EndNote&gt;&lt;Cite&gt;&lt;Author&gt;Rossmeisl&lt;/Author&gt;&lt;Year&gt;2007&lt;/Year&gt;&lt;RecNum&gt;86&lt;/RecNum&gt;&lt;DisplayText&gt;&lt;style face="superscript"&gt;88&lt;/style&gt;&lt;/DisplayText&gt;&lt;record&gt;&lt;rec-number&gt;86&lt;/rec-number&gt;&lt;foreign-keys&gt;&lt;key app="EN" db-id="2xex0erf4eexr4e2dpbxpdd829xttesxxxdr" timestamp="1715075296"&gt;86&lt;/key&gt;&lt;/foreign-keys&gt;&lt;ref-type name="Journal Article"&gt;17&lt;/ref-type&gt;&lt;contributors&gt;&lt;authors&gt;&lt;author&gt;Rossmeisl, J.&lt;/author&gt;&lt;author&gt;Qu, Z. W.&lt;/author&gt;&lt;author&gt;Zhu, H.&lt;/author&gt;&lt;author&gt;Kroes, G. J.&lt;/author&gt;&lt;author&gt;Nørskov, J. K.&lt;/author&gt;&lt;/authors&gt;&lt;/contributors&gt;&lt;titles&gt;&lt;title&gt;Electrolysis of water on oxide surfaces&lt;/title&gt;&lt;secondary-title&gt;Journal of Electroanalytical Chemistry&lt;/secondary-title&gt;&lt;/titles&gt;&lt;periodical&gt;&lt;full-title&gt;Journal of Electroanalytical Chemistry&lt;/full-title&gt;&lt;abbr-1&gt;J. Electroanal. Chem.&lt;/abbr-1&gt;&lt;abbr-2&gt;J Electroanal Chem&lt;/abbr-2&gt;&lt;/periodical&gt;&lt;pages&gt;83-89&lt;/pages&gt;&lt;volume&gt;607&lt;/volume&gt;&lt;number&gt;1&lt;/number&gt;&lt;keywords&gt;&lt;keyword&gt;Electrolysis&lt;/keyword&gt;&lt;keyword&gt;Oxide surfaces&lt;/keyword&gt;&lt;keyword&gt;Density functional theory&lt;/keyword&gt;&lt;keyword&gt;Linear relations&lt;/keyword&gt;&lt;/keywords&gt;&lt;dates&gt;&lt;year&gt;2007&lt;/year&gt;&lt;pub-dates&gt;&lt;date&gt;2007/09/01/&lt;/date&gt;&lt;/pub-dates&gt;&lt;/dates&gt;&lt;isbn&gt;1572-6657&lt;/isbn&gt;&lt;urls&gt;&lt;related-urls&gt;&lt;url&gt;https://www.sciencedirect.com/science/article/pii/S0022072806006371&lt;/url&gt;&lt;/related-urls&gt;&lt;/urls&gt;&lt;electronic-resource-num&gt;https://doi.org/10.1016/j.jelechem.2006.11.008&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88</w:t>
      </w:r>
      <w:r>
        <w:rPr>
          <w:color w:val="000000" w:themeColor="text1"/>
          <w:szCs w:val="22"/>
        </w:rPr>
        <w:fldChar w:fldCharType="end"/>
      </w:r>
      <w:r w:rsidRPr="00CB564F">
        <w:rPr>
          <w:color w:val="000000" w:themeColor="text1"/>
          <w:szCs w:val="22"/>
        </w:rPr>
        <w:t>, when oxygen is bound weakly, the second, rather than the first, step is the PDS. Apart from this discrepancy, while one may consider that these scaling relationships were identified on (111) surfaces and are expected to differ for different surface terminations, a change in local adsorption site will only impact the offset (</w:t>
      </w:r>
      <w:r w:rsidRPr="00B25882">
        <w:rPr>
          <w:i/>
          <w:iCs/>
          <w:color w:val="000000" w:themeColor="text1"/>
          <w:szCs w:val="22"/>
        </w:rPr>
        <w:sym w:font="Symbol" w:char="F078"/>
      </w:r>
      <w:r w:rsidRPr="00CB564F">
        <w:rPr>
          <w:color w:val="000000" w:themeColor="text1"/>
          <w:szCs w:val="22"/>
        </w:rPr>
        <w:t>) in the scaling relationships,</w:t>
      </w:r>
      <w:r>
        <w:rPr>
          <w:color w:val="000000" w:themeColor="text1"/>
          <w:szCs w:val="22"/>
        </w:rPr>
        <w:t xml:space="preserve"> </w:t>
      </w:r>
      <w:r w:rsidR="00430A30" w:rsidRPr="004B35B6">
        <w:rPr>
          <w:color w:val="000000" w:themeColor="text1"/>
          <w:szCs w:val="22"/>
        </w:rPr>
        <w:fldChar w:fldCharType="begin"/>
      </w:r>
      <w:r w:rsidR="00430A30" w:rsidRPr="004B35B6">
        <w:rPr>
          <w:color w:val="000000" w:themeColor="text1"/>
          <w:szCs w:val="22"/>
        </w:rPr>
        <w:instrText xml:space="preserve"> REF _Ref159510641 \h </w:instrText>
      </w:r>
      <w:r w:rsidR="004B35B6">
        <w:rPr>
          <w:color w:val="000000" w:themeColor="text1"/>
          <w:szCs w:val="22"/>
        </w:rPr>
        <w:instrText xml:space="preserve"> \* MERGEFORMAT </w:instrText>
      </w:r>
      <w:r w:rsidR="00430A30" w:rsidRPr="004B35B6">
        <w:rPr>
          <w:color w:val="000000" w:themeColor="text1"/>
          <w:szCs w:val="22"/>
        </w:rPr>
      </w:r>
      <w:r w:rsidR="00430A30" w:rsidRPr="004B35B6">
        <w:rPr>
          <w:color w:val="000000" w:themeColor="text1"/>
          <w:szCs w:val="22"/>
        </w:rPr>
        <w:fldChar w:fldCharType="separate"/>
      </w:r>
      <w:r w:rsidR="003255C0" w:rsidRPr="00245F0C">
        <w:rPr>
          <w:szCs w:val="22"/>
        </w:rPr>
        <w:t xml:space="preserve">Equation </w:t>
      </w:r>
      <w:r w:rsidR="003255C0" w:rsidRPr="00245F0C">
        <w:rPr>
          <w:noProof/>
          <w:szCs w:val="22"/>
        </w:rPr>
        <w:t>44</w:t>
      </w:r>
      <w:r w:rsidR="00430A30" w:rsidRPr="004B35B6">
        <w:rPr>
          <w:color w:val="000000" w:themeColor="text1"/>
          <w:szCs w:val="22"/>
        </w:rPr>
        <w:fldChar w:fldCharType="end"/>
      </w:r>
      <w:r w:rsidR="00E37E91" w:rsidRPr="00EC6E98">
        <w:rPr>
          <w:color w:val="000000" w:themeColor="text1"/>
          <w:szCs w:val="22"/>
        </w:rPr>
        <w:t>. Such changes are expected to impact all species in an identical manner</w:t>
      </w:r>
      <w:r w:rsidR="00E37E91">
        <w:rPr>
          <w:color w:val="000000" w:themeColor="text1"/>
          <w:szCs w:val="22"/>
          <w:shd w:val="clear" w:color="auto" w:fill="FFFFFF"/>
        </w:rPr>
        <w:fldChar w:fldCharType="begin"/>
      </w:r>
      <w:r w:rsidR="00FC5BEB">
        <w:rPr>
          <w:color w:val="000000" w:themeColor="text1"/>
          <w:szCs w:val="22"/>
          <w:shd w:val="clear" w:color="auto" w:fill="FFFFFF"/>
        </w:rPr>
        <w:instrText xml:space="preserve"> ADDIN EN.CITE &lt;EndNote&gt;&lt;Cite&gt;&lt;Author&gt;Abild-Pedersen&lt;/Author&gt;&lt;Year&gt;2007&lt;/Year&gt;&lt;RecNum&gt;179&lt;/RecNum&gt;&lt;DisplayText&gt;&lt;style face="superscript"&gt;181&lt;/style&gt;&lt;/DisplayText&gt;&lt;record&gt;&lt;rec-number&gt;179&lt;/rec-number&gt;&lt;foreign-keys&gt;&lt;key app="EN" db-id="2xex0erf4eexr4e2dpbxpdd829xttesxxxdr" timestamp="1715075296"&gt;179&lt;/key&gt;&lt;/foreign-keys&gt;&lt;ref-type name="Journal Article"&gt;17&lt;/ref-type&gt;&lt;contributors&gt;&lt;authors&gt;&lt;author&gt;Abild-Pedersen, F.&lt;/author&gt;&lt;author&gt;Greeley, J.&lt;/author&gt;&lt;author&gt;Studt, F.&lt;/author&gt;&lt;author&gt;Rossmeisl, J.&lt;/author&gt;&lt;author&gt;Munter, T. R.&lt;/author&gt;&lt;author&gt;Moses, P. G.&lt;/author&gt;&lt;author&gt;Skúlason, E.&lt;/author&gt;&lt;author&gt;Bligaard, T.&lt;/author&gt;&lt;author&gt;Nørskov, J. K.&lt;/author&gt;&lt;/authors&gt;&lt;/contributors&gt;&lt;titles&gt;&lt;title&gt;Scaling Properties of Adsorption Energies for Hydrogen-Containing Molecules on Transition-Metal Surfaces&lt;/title&gt;&lt;secondary-title&gt;Physical Review Letters&lt;/secondary-title&gt;&lt;/titles&gt;&lt;periodical&gt;&lt;full-title&gt;Physical Review Letters&lt;/full-title&gt;&lt;abbr-1&gt;Phys. Rev. Lett.&lt;/abbr-1&gt;&lt;abbr-2&gt;Phys Rev Lett&lt;/abbr-2&gt;&lt;/periodical&gt;&lt;pages&gt;016105&lt;/pages&gt;&lt;volume&gt;99&lt;/volume&gt;&lt;number&gt;1&lt;/number&gt;&lt;dates&gt;&lt;year&gt;2007&lt;/year&gt;&lt;pub-dates&gt;&lt;date&gt;07/06/&lt;/date&gt;&lt;/pub-dates&gt;&lt;/dates&gt;&lt;publisher&gt;American Physical Society&lt;/publisher&gt;&lt;urls&gt;&lt;related-urls&gt;&lt;url&gt;https://link.aps.org/doi/10.1103/PhysRevLett.99.016105&lt;/url&gt;&lt;/related-urls&gt;&lt;/urls&gt;&lt;electronic-resource-num&gt;10.1103/PhysRevLett.99.016105&lt;/electronic-resource-num&gt;&lt;/record&gt;&lt;/Cite&gt;&lt;/EndNote&gt;</w:instrText>
      </w:r>
      <w:r w:rsidR="00E37E91">
        <w:rPr>
          <w:color w:val="000000" w:themeColor="text1"/>
          <w:szCs w:val="22"/>
          <w:shd w:val="clear" w:color="auto" w:fill="FFFFFF"/>
        </w:rPr>
        <w:fldChar w:fldCharType="separate"/>
      </w:r>
      <w:r w:rsidR="00FC5BEB" w:rsidRPr="00FC5BEB">
        <w:rPr>
          <w:noProof/>
          <w:color w:val="000000" w:themeColor="text1"/>
          <w:szCs w:val="22"/>
          <w:shd w:val="clear" w:color="auto" w:fill="FFFFFF"/>
          <w:vertAlign w:val="superscript"/>
        </w:rPr>
        <w:t>181</w:t>
      </w:r>
      <w:r w:rsidR="00E37E91">
        <w:rPr>
          <w:color w:val="000000" w:themeColor="text1"/>
          <w:szCs w:val="22"/>
          <w:shd w:val="clear" w:color="auto" w:fill="FFFFFF"/>
        </w:rPr>
        <w:fldChar w:fldCharType="end"/>
      </w:r>
      <w:r w:rsidR="00E37E91" w:rsidRPr="00EC6E98">
        <w:rPr>
          <w:color w:val="000000" w:themeColor="text1"/>
          <w:szCs w:val="22"/>
        </w:rPr>
        <w:t>, which would not alter the predictions in</w:t>
      </w:r>
      <w:r w:rsidR="000849A5">
        <w:rPr>
          <w:color w:val="000000" w:themeColor="text1"/>
          <w:szCs w:val="22"/>
        </w:rPr>
        <w:t xml:space="preserve"> </w:t>
      </w:r>
      <w:r w:rsidR="000849A5">
        <w:rPr>
          <w:color w:val="000000" w:themeColor="text1"/>
          <w:szCs w:val="22"/>
        </w:rPr>
        <w:fldChar w:fldCharType="begin"/>
      </w:r>
      <w:r w:rsidR="000849A5">
        <w:rPr>
          <w:color w:val="000000" w:themeColor="text1"/>
          <w:szCs w:val="22"/>
        </w:rPr>
        <w:instrText xml:space="preserve"> REF _Ref159512581 \h </w:instrText>
      </w:r>
      <w:r w:rsidR="000849A5">
        <w:rPr>
          <w:color w:val="000000" w:themeColor="text1"/>
          <w:szCs w:val="22"/>
        </w:rPr>
      </w:r>
      <w:r w:rsidR="000849A5">
        <w:rPr>
          <w:color w:val="000000" w:themeColor="text1"/>
          <w:szCs w:val="22"/>
        </w:rPr>
        <w:fldChar w:fldCharType="separate"/>
      </w:r>
      <w:r w:rsidR="003255C0" w:rsidRPr="0098295F">
        <w:rPr>
          <w:b/>
          <w:bCs/>
        </w:rPr>
        <w:t xml:space="preserve">Figure </w:t>
      </w:r>
      <w:r w:rsidR="003255C0">
        <w:rPr>
          <w:b/>
          <w:bCs/>
          <w:noProof/>
        </w:rPr>
        <w:t>12</w:t>
      </w:r>
      <w:r w:rsidR="000849A5">
        <w:rPr>
          <w:color w:val="000000" w:themeColor="text1"/>
          <w:szCs w:val="22"/>
        </w:rPr>
        <w:fldChar w:fldCharType="end"/>
      </w:r>
      <w:r w:rsidR="000849A5">
        <w:rPr>
          <w:color w:val="000000" w:themeColor="text1"/>
          <w:szCs w:val="22"/>
        </w:rPr>
        <w:t xml:space="preserve">. </w:t>
      </w:r>
      <w:r w:rsidR="00E37E91" w:rsidRPr="00EC6E98">
        <w:rPr>
          <w:color w:val="000000" w:themeColor="text1"/>
          <w:szCs w:val="22"/>
        </w:rPr>
        <w:t>And while catalysts are now known to show facet dependent OER activity</w:t>
      </w:r>
      <w:r w:rsidR="00E37E91">
        <w:rPr>
          <w:color w:val="000000" w:themeColor="text1"/>
          <w:szCs w:val="22"/>
        </w:rPr>
        <w:fldChar w:fldCharType="begin"/>
      </w:r>
      <w:r w:rsidR="00FC5BEB">
        <w:rPr>
          <w:color w:val="000000" w:themeColor="text1"/>
          <w:szCs w:val="22"/>
        </w:rPr>
        <w:instrText xml:space="preserve"> ADDIN EN.CITE &lt;EndNote&gt;&lt;Cite&gt;&lt;Author&gt;Stoerzinger&lt;/Author&gt;&lt;Year&gt;2014&lt;/Year&gt;&lt;RecNum&gt;184&lt;/RecNum&gt;&lt;DisplayText&gt;&lt;style face="superscript"&gt;186&lt;/style&gt;&lt;/DisplayText&gt;&lt;record&gt;&lt;rec-number&gt;184&lt;/rec-number&gt;&lt;foreign-keys&gt;&lt;key app="EN" db-id="2xex0erf4eexr4e2dpbxpdd829xttesxxxdr" timestamp="1715075296"&gt;184&lt;/key&gt;&lt;/foreign-keys&gt;&lt;ref-type name="Journal Article"&gt;17&lt;/ref-type&gt;&lt;contributors&gt;&lt;authors&gt;&lt;author&gt;Stoerzinger, Kelsey A.&lt;/author&gt;&lt;author&gt;Qiao, Liang&lt;/author&gt;&lt;author&gt;Biegalski, Michael D.&lt;/author&gt;&lt;author&gt;Shao-Horn, Yang&lt;/author&gt;&lt;/authors&gt;&lt;/contributors&gt;&lt;titles&gt;&lt;title&gt;Orientation-Dependent Oxygen Evolution Activities of Rutile IrO2 and RuO2&lt;/title&gt;&lt;secondary-title&gt;J. Phys. Chem. Lett.&lt;/secondary-title&gt;&lt;/titles&gt;&lt;periodical&gt;&lt;full-title&gt;J. Phys. Chem. Lett.&lt;/full-title&gt;&lt;/periodical&gt;&lt;pages&gt;1636-1641&lt;/pages&gt;&lt;volume&gt;5&lt;/volume&gt;&lt;number&gt;10&lt;/number&gt;&lt;dates&gt;&lt;year&gt;2014&lt;/year&gt;&lt;pub-dates&gt;&lt;date&gt;2014/05/15&lt;/date&gt;&lt;/pub-dates&gt;&lt;/dates&gt;&lt;publisher&gt;American Chemical Society&lt;/publisher&gt;&lt;urls&gt;&lt;related-urls&gt;&lt;url&gt;https://doi.org/10.1021/jz500610u&lt;/url&gt;&lt;/related-urls&gt;&lt;/urls&gt;&lt;electronic-resource-num&gt;10.1021/jz500610u&lt;/electronic-resource-num&gt;&lt;/record&gt;&lt;/Cite&gt;&lt;/EndNote&gt;</w:instrText>
      </w:r>
      <w:r w:rsidR="00E37E91">
        <w:rPr>
          <w:color w:val="000000" w:themeColor="text1"/>
          <w:szCs w:val="22"/>
        </w:rPr>
        <w:fldChar w:fldCharType="separate"/>
      </w:r>
      <w:r w:rsidR="00FC5BEB" w:rsidRPr="00FC5BEB">
        <w:rPr>
          <w:noProof/>
          <w:color w:val="000000" w:themeColor="text1"/>
          <w:szCs w:val="22"/>
          <w:vertAlign w:val="superscript"/>
        </w:rPr>
        <w:t>186</w:t>
      </w:r>
      <w:r w:rsidR="00E37E91">
        <w:rPr>
          <w:color w:val="000000" w:themeColor="text1"/>
          <w:szCs w:val="22"/>
        </w:rPr>
        <w:fldChar w:fldCharType="end"/>
      </w:r>
      <w:r w:rsidR="00E37E91">
        <w:rPr>
          <w:color w:val="000000" w:themeColor="text1"/>
          <w:szCs w:val="22"/>
        </w:rPr>
        <w:t>,</w:t>
      </w:r>
      <w:r w:rsidR="00E37E91" w:rsidRPr="00EC6E98">
        <w:rPr>
          <w:color w:val="000000" w:themeColor="text1"/>
          <w:szCs w:val="22"/>
        </w:rPr>
        <w:t xml:space="preserve"> the picture presented in</w:t>
      </w:r>
      <w:r w:rsidR="000849A5">
        <w:rPr>
          <w:color w:val="000000" w:themeColor="text1"/>
          <w:szCs w:val="22"/>
        </w:rPr>
        <w:t xml:space="preserve"> </w:t>
      </w:r>
      <w:r w:rsidR="000849A5">
        <w:rPr>
          <w:color w:val="000000" w:themeColor="text1"/>
          <w:szCs w:val="22"/>
        </w:rPr>
        <w:fldChar w:fldCharType="begin"/>
      </w:r>
      <w:r w:rsidR="000849A5">
        <w:rPr>
          <w:color w:val="000000" w:themeColor="text1"/>
          <w:szCs w:val="22"/>
        </w:rPr>
        <w:instrText xml:space="preserve"> REF _Ref159512581 \h </w:instrText>
      </w:r>
      <w:r w:rsidR="000849A5">
        <w:rPr>
          <w:color w:val="000000" w:themeColor="text1"/>
          <w:szCs w:val="22"/>
        </w:rPr>
      </w:r>
      <w:r w:rsidR="000849A5">
        <w:rPr>
          <w:color w:val="000000" w:themeColor="text1"/>
          <w:szCs w:val="22"/>
        </w:rPr>
        <w:fldChar w:fldCharType="separate"/>
      </w:r>
      <w:r w:rsidR="003255C0" w:rsidRPr="0098295F">
        <w:rPr>
          <w:b/>
          <w:bCs/>
        </w:rPr>
        <w:t xml:space="preserve">Figure </w:t>
      </w:r>
      <w:r w:rsidR="003255C0">
        <w:rPr>
          <w:b/>
          <w:bCs/>
          <w:noProof/>
        </w:rPr>
        <w:t>12</w:t>
      </w:r>
      <w:r w:rsidR="000849A5">
        <w:rPr>
          <w:color w:val="000000" w:themeColor="text1"/>
          <w:szCs w:val="22"/>
        </w:rPr>
        <w:fldChar w:fldCharType="end"/>
      </w:r>
      <w:r w:rsidR="000849A5">
        <w:rPr>
          <w:color w:val="000000" w:themeColor="text1"/>
          <w:szCs w:val="22"/>
        </w:rPr>
        <w:t xml:space="preserve"> </w:t>
      </w:r>
      <w:r w:rsidR="00E37E91" w:rsidRPr="00EC6E98">
        <w:rPr>
          <w:color w:val="000000" w:themeColor="text1"/>
          <w:szCs w:val="22"/>
        </w:rPr>
        <w:t>has had far reaching impacts on our understanding of the OER.</w:t>
      </w:r>
    </w:p>
    <w:p w14:paraId="078623D9" w14:textId="34164B0E" w:rsidR="00E37E91" w:rsidRPr="00EC6E98" w:rsidRDefault="005162CA" w:rsidP="00E37E91">
      <w:pPr>
        <w:jc w:val="center"/>
        <w:rPr>
          <w:color w:val="000000" w:themeColor="text1"/>
          <w:szCs w:val="22"/>
        </w:rPr>
      </w:pPr>
      <w:r>
        <w:rPr>
          <w:noProof/>
          <w:color w:val="000000" w:themeColor="text1"/>
          <w:szCs w:val="22"/>
          <w14:ligatures w14:val="standardContextual"/>
        </w:rPr>
        <w:lastRenderedPageBreak/>
        <w:drawing>
          <wp:inline distT="0" distB="0" distL="0" distR="0" wp14:anchorId="564A2E2D" wp14:editId="219657C2">
            <wp:extent cx="5731510" cy="243014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Rossmeisl_2005_2007_exp_big.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731510" cy="2430145"/>
                    </a:xfrm>
                    <a:prstGeom prst="rect">
                      <a:avLst/>
                    </a:prstGeom>
                  </pic:spPr>
                </pic:pic>
              </a:graphicData>
            </a:graphic>
          </wp:inline>
        </w:drawing>
      </w:r>
    </w:p>
    <w:p w14:paraId="0A5E25D0" w14:textId="6A333483" w:rsidR="0020572A" w:rsidRPr="0020572A" w:rsidRDefault="0098295F" w:rsidP="0020572A">
      <w:pPr>
        <w:pStyle w:val="Caption"/>
        <w:rPr>
          <w:szCs w:val="20"/>
        </w:rPr>
      </w:pPr>
      <w:bookmarkStart w:id="82" w:name="_Ref159512581"/>
      <w:bookmarkStart w:id="83" w:name="_Ref159512202"/>
      <w:r w:rsidRPr="0098295F">
        <w:rPr>
          <w:b/>
          <w:bCs w:val="0"/>
          <w:sz w:val="22"/>
        </w:rPr>
        <w:t xml:space="preserve">Figure </w:t>
      </w:r>
      <w:r w:rsidRPr="0098295F">
        <w:rPr>
          <w:b/>
          <w:bCs w:val="0"/>
          <w:sz w:val="22"/>
        </w:rPr>
        <w:fldChar w:fldCharType="begin"/>
      </w:r>
      <w:r w:rsidRPr="0098295F">
        <w:rPr>
          <w:b/>
          <w:bCs w:val="0"/>
          <w:sz w:val="22"/>
        </w:rPr>
        <w:instrText xml:space="preserve"> SEQ Figure \* ARABIC </w:instrText>
      </w:r>
      <w:r w:rsidRPr="0098295F">
        <w:rPr>
          <w:b/>
          <w:bCs w:val="0"/>
          <w:sz w:val="22"/>
        </w:rPr>
        <w:fldChar w:fldCharType="separate"/>
      </w:r>
      <w:r w:rsidR="003255C0">
        <w:rPr>
          <w:b/>
          <w:bCs w:val="0"/>
          <w:noProof/>
          <w:sz w:val="22"/>
        </w:rPr>
        <w:t>12</w:t>
      </w:r>
      <w:r w:rsidRPr="0098295F">
        <w:rPr>
          <w:b/>
          <w:bCs w:val="0"/>
          <w:sz w:val="22"/>
        </w:rPr>
        <w:fldChar w:fldCharType="end"/>
      </w:r>
      <w:bookmarkEnd w:id="82"/>
      <w:r w:rsidR="00E37E91" w:rsidRPr="00EC6E98">
        <w:rPr>
          <w:b/>
          <w:sz w:val="22"/>
        </w:rPr>
        <w:t xml:space="preserve"> </w:t>
      </w:r>
      <w:r w:rsidR="005162CA" w:rsidRPr="005162CA">
        <w:rPr>
          <w:szCs w:val="20"/>
          <w:lang w:val="en-US"/>
        </w:rPr>
        <w:t xml:space="preserve">Thermodynamic contribution to the free energy barriers for the OER on metals computed from the linear scaling relationships, </w:t>
      </w:r>
      <w:r w:rsidR="005162CA" w:rsidRPr="005162CA">
        <w:rPr>
          <w:i/>
          <w:iCs/>
          <w:szCs w:val="20"/>
          <w:lang w:val="en-US"/>
        </w:rPr>
        <w:t>E</w:t>
      </w:r>
      <w:r w:rsidR="005162CA" w:rsidRPr="005162CA">
        <w:rPr>
          <w:szCs w:val="20"/>
          <w:vertAlign w:val="subscript"/>
          <w:lang w:val="en-US"/>
        </w:rPr>
        <w:t>*OH</w:t>
      </w:r>
      <w:r w:rsidR="005162CA" w:rsidRPr="005162CA">
        <w:rPr>
          <w:szCs w:val="20"/>
          <w:lang w:val="en-US"/>
        </w:rPr>
        <w:t>(</w:t>
      </w:r>
      <w:r w:rsidR="005162CA" w:rsidRPr="005162CA">
        <w:rPr>
          <w:i/>
          <w:iCs/>
          <w:szCs w:val="20"/>
          <w:lang w:val="en-US"/>
        </w:rPr>
        <w:t>E</w:t>
      </w:r>
      <w:r w:rsidR="005162CA" w:rsidRPr="005162CA">
        <w:rPr>
          <w:szCs w:val="20"/>
          <w:vertAlign w:val="subscript"/>
          <w:lang w:val="en-US"/>
        </w:rPr>
        <w:t>*O</w:t>
      </w:r>
      <w:r w:rsidR="005162CA" w:rsidRPr="005162CA">
        <w:rPr>
          <w:szCs w:val="20"/>
          <w:lang w:val="en-US"/>
        </w:rPr>
        <w:t xml:space="preserve">) and </w:t>
      </w:r>
      <w:r w:rsidR="005162CA" w:rsidRPr="005162CA">
        <w:rPr>
          <w:i/>
          <w:iCs/>
          <w:szCs w:val="20"/>
          <w:lang w:val="en-US"/>
        </w:rPr>
        <w:t>E</w:t>
      </w:r>
      <w:r w:rsidR="005162CA" w:rsidRPr="005162CA">
        <w:rPr>
          <w:szCs w:val="20"/>
          <w:vertAlign w:val="subscript"/>
          <w:lang w:val="en-US"/>
        </w:rPr>
        <w:t>*OOH</w:t>
      </w:r>
      <w:r w:rsidR="005162CA" w:rsidRPr="005162CA">
        <w:rPr>
          <w:szCs w:val="20"/>
          <w:lang w:val="en-US"/>
        </w:rPr>
        <w:t>(</w:t>
      </w:r>
      <w:r w:rsidR="005162CA" w:rsidRPr="005162CA">
        <w:rPr>
          <w:i/>
          <w:iCs/>
          <w:szCs w:val="20"/>
          <w:lang w:val="en-US"/>
        </w:rPr>
        <w:t>E</w:t>
      </w:r>
      <w:r w:rsidR="005162CA" w:rsidRPr="005162CA">
        <w:rPr>
          <w:szCs w:val="20"/>
          <w:vertAlign w:val="subscript"/>
          <w:lang w:val="en-US"/>
        </w:rPr>
        <w:t>*O</w:t>
      </w:r>
      <w:r w:rsidR="005162CA" w:rsidRPr="005162CA">
        <w:rPr>
          <w:szCs w:val="20"/>
          <w:lang w:val="en-US"/>
        </w:rPr>
        <w:t xml:space="preserve">).  Panel (a) is reproduced with permission </w:t>
      </w:r>
      <w:r w:rsidR="000757AA" w:rsidRPr="004A6FE9">
        <w:rPr>
          <w:szCs w:val="20"/>
        </w:rPr>
        <w:t>from Ref.</w:t>
      </w:r>
      <w:r w:rsidR="00E37E91" w:rsidRPr="004A6FE9">
        <w:rPr>
          <w:szCs w:val="20"/>
        </w:rPr>
        <w:t xml:space="preserve"> </w:t>
      </w:r>
      <w:r w:rsidR="00E37E91" w:rsidRPr="004A6FE9">
        <w:rPr>
          <w:szCs w:val="20"/>
        </w:rPr>
        <w:fldChar w:fldCharType="begin"/>
      </w:r>
      <w:r w:rsidR="00FC5BEB">
        <w:rPr>
          <w:szCs w:val="20"/>
        </w:rPr>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rsidR="00E37E91" w:rsidRPr="004A6FE9">
        <w:rPr>
          <w:szCs w:val="20"/>
        </w:rPr>
        <w:fldChar w:fldCharType="separate"/>
      </w:r>
      <w:r w:rsidR="00FC5BEB" w:rsidRPr="00FC5BEB">
        <w:rPr>
          <w:noProof/>
          <w:szCs w:val="20"/>
          <w:vertAlign w:val="superscript"/>
        </w:rPr>
        <w:t>87</w:t>
      </w:r>
      <w:r w:rsidR="00E37E91" w:rsidRPr="004A6FE9">
        <w:rPr>
          <w:szCs w:val="20"/>
        </w:rPr>
        <w:fldChar w:fldCharType="end"/>
      </w:r>
      <w:bookmarkEnd w:id="83"/>
      <w:r w:rsidR="0020572A">
        <w:rPr>
          <w:szCs w:val="20"/>
        </w:rPr>
        <w:t xml:space="preserve"> </w:t>
      </w:r>
      <w:r w:rsidR="0020572A" w:rsidRPr="0020572A">
        <w:rPr>
          <w:szCs w:val="20"/>
          <w:lang w:val="en-US"/>
        </w:rPr>
        <w:t>Copyright 2005 Elsevier.</w:t>
      </w:r>
      <w:r w:rsidR="005162CA">
        <w:rPr>
          <w:szCs w:val="20"/>
        </w:rPr>
        <w:t xml:space="preserve"> </w:t>
      </w:r>
      <w:r w:rsidR="005162CA" w:rsidRPr="005162CA">
        <w:rPr>
          <w:szCs w:val="20"/>
          <w:lang w:val="en-US"/>
        </w:rPr>
        <w:t>Panel (b) is reproduced with permission from</w:t>
      </w:r>
      <w:r w:rsidR="005162CA">
        <w:rPr>
          <w:szCs w:val="20"/>
          <w:lang w:val="en-US"/>
        </w:rPr>
        <w:t xml:space="preserve"> Ref.</w:t>
      </w:r>
      <w:r w:rsidR="005162CA">
        <w:rPr>
          <w:szCs w:val="20"/>
          <w:lang w:val="en-US"/>
        </w:rPr>
        <w:fldChar w:fldCharType="begin"/>
      </w:r>
      <w:r w:rsidR="00FC5BEB">
        <w:rPr>
          <w:szCs w:val="20"/>
          <w:lang w:val="en-US"/>
        </w:rPr>
        <w:instrText xml:space="preserve"> ADDIN EN.CITE &lt;EndNote&gt;&lt;Cite&gt;&lt;Author&gt;Rossmeisl&lt;/Author&gt;&lt;Year&gt;2007&lt;/Year&gt;&lt;RecNum&gt;86&lt;/RecNum&gt;&lt;DisplayText&gt;&lt;style face="superscript"&gt;88&lt;/style&gt;&lt;/DisplayText&gt;&lt;record&gt;&lt;rec-number&gt;86&lt;/rec-number&gt;&lt;foreign-keys&gt;&lt;key app="EN" db-id="2xex0erf4eexr4e2dpbxpdd829xttesxxxdr" timestamp="1715075296"&gt;86&lt;/key&gt;&lt;/foreign-keys&gt;&lt;ref-type name="Journal Article"&gt;17&lt;/ref-type&gt;&lt;contributors&gt;&lt;authors&gt;&lt;author&gt;Rossmeisl, J.&lt;/author&gt;&lt;author&gt;Qu, Z. W.&lt;/author&gt;&lt;author&gt;Zhu, H.&lt;/author&gt;&lt;author&gt;Kroes, G. J.&lt;/author&gt;&lt;author&gt;Nørskov, J. K.&lt;/author&gt;&lt;/authors&gt;&lt;/contributors&gt;&lt;titles&gt;&lt;title&gt;Electrolysis of water on oxide surfaces&lt;/title&gt;&lt;secondary-title&gt;Journal of Electroanalytical Chemistry&lt;/secondary-title&gt;&lt;/titles&gt;&lt;periodical&gt;&lt;full-title&gt;Journal of Electroanalytical Chemistry&lt;/full-title&gt;&lt;abbr-1&gt;J. Electroanal. Chem.&lt;/abbr-1&gt;&lt;abbr-2&gt;J Electroanal Chem&lt;/abbr-2&gt;&lt;/periodical&gt;&lt;pages&gt;83-89&lt;/pages&gt;&lt;volume&gt;607&lt;/volume&gt;&lt;number&gt;1&lt;/number&gt;&lt;keywords&gt;&lt;keyword&gt;Electrolysis&lt;/keyword&gt;&lt;keyword&gt;Oxide surfaces&lt;/keyword&gt;&lt;keyword&gt;Density functional theory&lt;/keyword&gt;&lt;keyword&gt;Linear relations&lt;/keyword&gt;&lt;/keywords&gt;&lt;dates&gt;&lt;year&gt;2007&lt;/year&gt;&lt;pub-dates&gt;&lt;date&gt;2007/09/01/&lt;/date&gt;&lt;/pub-dates&gt;&lt;/dates&gt;&lt;isbn&gt;1572-6657&lt;/isbn&gt;&lt;urls&gt;&lt;related-urls&gt;&lt;url&gt;https://www.sciencedirect.com/science/article/pii/S0022072806006371&lt;/url&gt;&lt;/related-urls&gt;&lt;/urls&gt;&lt;electronic-resource-num&gt;https://doi.org/10.1016/j.jelechem.2006.11.008&lt;/electronic-resource-num&gt;&lt;/record&gt;&lt;/Cite&gt;&lt;/EndNote&gt;</w:instrText>
      </w:r>
      <w:r w:rsidR="005162CA">
        <w:rPr>
          <w:szCs w:val="20"/>
          <w:lang w:val="en-US"/>
        </w:rPr>
        <w:fldChar w:fldCharType="separate"/>
      </w:r>
      <w:r w:rsidR="00FC5BEB" w:rsidRPr="00FC5BEB">
        <w:rPr>
          <w:noProof/>
          <w:szCs w:val="20"/>
          <w:vertAlign w:val="superscript"/>
          <w:lang w:val="en-US"/>
        </w:rPr>
        <w:t>88</w:t>
      </w:r>
      <w:r w:rsidR="005162CA">
        <w:rPr>
          <w:szCs w:val="20"/>
          <w:lang w:val="en-US"/>
        </w:rPr>
        <w:fldChar w:fldCharType="end"/>
      </w:r>
      <w:r w:rsidR="0020572A">
        <w:rPr>
          <w:szCs w:val="20"/>
          <w:lang w:val="en-US"/>
        </w:rPr>
        <w:t xml:space="preserve"> </w:t>
      </w:r>
      <w:r w:rsidR="0020572A" w:rsidRPr="0020572A">
        <w:rPr>
          <w:szCs w:val="20"/>
        </w:rPr>
        <w:t>Copyright 200</w:t>
      </w:r>
      <w:r w:rsidR="0020572A">
        <w:rPr>
          <w:szCs w:val="20"/>
        </w:rPr>
        <w:t>7</w:t>
      </w:r>
      <w:r w:rsidR="0020572A" w:rsidRPr="0020572A">
        <w:rPr>
          <w:szCs w:val="20"/>
        </w:rPr>
        <w:t xml:space="preserve"> Elsevier.</w:t>
      </w:r>
    </w:p>
    <w:p w14:paraId="4019EB69" w14:textId="58DD49E5" w:rsidR="00E37E91" w:rsidRPr="00704C0E" w:rsidRDefault="00E37E91" w:rsidP="0098295F">
      <w:pPr>
        <w:pStyle w:val="Caption"/>
        <w:rPr>
          <w:szCs w:val="20"/>
          <w:lang w:val="en-US"/>
        </w:rPr>
      </w:pPr>
    </w:p>
    <w:p w14:paraId="3D690219" w14:textId="77777777" w:rsidR="00E37E91" w:rsidRPr="00EC6E98" w:rsidRDefault="00E37E91" w:rsidP="00E37E91">
      <w:pPr>
        <w:rPr>
          <w:color w:val="000000" w:themeColor="text1"/>
          <w:szCs w:val="22"/>
        </w:rPr>
      </w:pPr>
      <w:r w:rsidRPr="00EC6E98">
        <w:rPr>
          <w:color w:val="000000" w:themeColor="text1"/>
          <w:szCs w:val="22"/>
        </w:rPr>
        <w:tab/>
      </w:r>
    </w:p>
    <w:p w14:paraId="00824297" w14:textId="0981ADE3" w:rsidR="00E37E91" w:rsidRPr="00EC6E98" w:rsidRDefault="00E37E91" w:rsidP="00E37E91">
      <w:pPr>
        <w:ind w:firstLine="720"/>
        <w:rPr>
          <w:color w:val="000000" w:themeColor="text1"/>
          <w:szCs w:val="22"/>
        </w:rPr>
      </w:pPr>
      <w:r w:rsidRPr="00EC6E98">
        <w:rPr>
          <w:color w:val="000000" w:themeColor="text1"/>
          <w:szCs w:val="22"/>
        </w:rPr>
        <w:t xml:space="preserve">Applying the CHE to the OER on metal surfaces in Ref. </w:t>
      </w:r>
      <w:r>
        <w:rPr>
          <w:color w:val="000000" w:themeColor="text1"/>
          <w:szCs w:val="22"/>
        </w:rPr>
        <w:fldChar w:fldCharType="begin"/>
      </w:r>
      <w:r w:rsidR="00FC5BEB">
        <w:rPr>
          <w:color w:val="000000" w:themeColor="text1"/>
          <w:szCs w:val="22"/>
        </w:rPr>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87</w:t>
      </w:r>
      <w:r>
        <w:rPr>
          <w:color w:val="000000" w:themeColor="text1"/>
          <w:szCs w:val="22"/>
        </w:rPr>
        <w:fldChar w:fldCharType="end"/>
      </w:r>
      <w:r>
        <w:rPr>
          <w:color w:val="000000" w:themeColor="text1"/>
          <w:szCs w:val="22"/>
        </w:rPr>
        <w:t xml:space="preserve"> </w:t>
      </w:r>
      <w:r w:rsidRPr="00EC6E98">
        <w:rPr>
          <w:color w:val="000000" w:themeColor="text1"/>
          <w:szCs w:val="22"/>
        </w:rPr>
        <w:t xml:space="preserve">led to several significant findings and set the way the CHE model would be used in future studies that continue to this day: </w:t>
      </w:r>
    </w:p>
    <w:p w14:paraId="2041559A" w14:textId="77777777" w:rsidR="00E37E91" w:rsidRPr="00EC6E98" w:rsidRDefault="00E37E91" w:rsidP="00E37E91">
      <w:pPr>
        <w:pStyle w:val="ListParagraph"/>
        <w:numPr>
          <w:ilvl w:val="0"/>
          <w:numId w:val="12"/>
        </w:numPr>
        <w:rPr>
          <w:color w:val="000000" w:themeColor="text1"/>
          <w:szCs w:val="22"/>
        </w:rPr>
      </w:pPr>
      <w:r w:rsidRPr="00EC6E98">
        <w:rPr>
          <w:color w:val="000000" w:themeColor="text1"/>
          <w:szCs w:val="22"/>
        </w:rPr>
        <w:t>It showed how DFT adsorption energies could be used to compute the thermodynamic contribution to reaction barriers for the OER in acidic or alkaline conditions.</w:t>
      </w:r>
    </w:p>
    <w:p w14:paraId="057DB803" w14:textId="47112DCA" w:rsidR="00E37E91" w:rsidRPr="00EC6E98" w:rsidRDefault="00E37E91" w:rsidP="00E37E91">
      <w:pPr>
        <w:pStyle w:val="ListParagraph"/>
        <w:numPr>
          <w:ilvl w:val="0"/>
          <w:numId w:val="12"/>
        </w:numPr>
        <w:rPr>
          <w:color w:val="000000" w:themeColor="text1"/>
          <w:szCs w:val="22"/>
        </w:rPr>
      </w:pPr>
      <w:r w:rsidRPr="00EC6E98">
        <w:rPr>
          <w:color w:val="000000" w:themeColor="text1"/>
          <w:szCs w:val="22"/>
        </w:rPr>
        <w:t xml:space="preserve">The authors popularized </w:t>
      </w:r>
      <w:proofErr w:type="spellStart"/>
      <w:r w:rsidRPr="00EC6E98">
        <w:rPr>
          <w:color w:val="000000" w:themeColor="text1"/>
          <w:szCs w:val="22"/>
        </w:rPr>
        <w:t>Kobussen’s</w:t>
      </w:r>
      <w:proofErr w:type="spellEnd"/>
      <w:r w:rsidR="00D40B06">
        <w:rPr>
          <w:color w:val="000000" w:themeColor="text1"/>
          <w:szCs w:val="22"/>
        </w:rPr>
        <w:t xml:space="preserve"> path</w:t>
      </w:r>
      <w:r w:rsidRPr="00EC6E98">
        <w:rPr>
          <w:color w:val="000000" w:themeColor="text1"/>
          <w:szCs w:val="22"/>
        </w:rPr>
        <w:t>, or the nucleophilic attack mechanism</w:t>
      </w:r>
      <w:r w:rsidR="00D40B06">
        <w:rPr>
          <w:color w:val="000000" w:themeColor="text1"/>
          <w:szCs w:val="22"/>
        </w:rPr>
        <w:t>,</w:t>
      </w:r>
      <w:r w:rsidRPr="00EC6E98">
        <w:rPr>
          <w:color w:val="000000" w:themeColor="text1"/>
          <w:szCs w:val="22"/>
        </w:rPr>
        <w:t xml:space="preserve"> wherein the O-O bond is formed through the reaction of aqueous hydroxide or water with adsorbed oxygen rather than direct coupling of adsorbed oxygen/hydroxide.</w:t>
      </w:r>
    </w:p>
    <w:p w14:paraId="4308F982" w14:textId="77777777" w:rsidR="00E37E91" w:rsidRPr="00EC6E98" w:rsidRDefault="00E37E91" w:rsidP="00E37E91">
      <w:pPr>
        <w:pStyle w:val="ListParagraph"/>
        <w:numPr>
          <w:ilvl w:val="0"/>
          <w:numId w:val="12"/>
        </w:numPr>
        <w:rPr>
          <w:color w:val="000000" w:themeColor="text1"/>
          <w:szCs w:val="22"/>
        </w:rPr>
      </w:pPr>
      <w:r w:rsidRPr="00EC6E98">
        <w:rPr>
          <w:color w:val="000000" w:themeColor="text1"/>
          <w:szCs w:val="22"/>
        </w:rPr>
        <w:t>The effect of electric fields on the computed adsorption energies were argued to be small and thus can be neglected, which remains true for most studies.</w:t>
      </w:r>
    </w:p>
    <w:p w14:paraId="4A58CB14" w14:textId="77777777" w:rsidR="00E37E91" w:rsidRPr="00EC6E98" w:rsidRDefault="00E37E91" w:rsidP="00E37E91">
      <w:pPr>
        <w:pStyle w:val="ListParagraph"/>
        <w:numPr>
          <w:ilvl w:val="0"/>
          <w:numId w:val="12"/>
        </w:numPr>
        <w:rPr>
          <w:color w:val="000000" w:themeColor="text1"/>
          <w:szCs w:val="22"/>
        </w:rPr>
      </w:pPr>
      <w:r w:rsidRPr="00EC6E98">
        <w:rPr>
          <w:color w:val="000000" w:themeColor="text1"/>
          <w:szCs w:val="22"/>
        </w:rPr>
        <w:t>Explicit solvent stabilization effects were shown to be large for polar adsorbates on metal surfaces.</w:t>
      </w:r>
    </w:p>
    <w:p w14:paraId="4B738E24" w14:textId="77777777" w:rsidR="00E37E91" w:rsidRPr="00EC6E98" w:rsidRDefault="00E37E91" w:rsidP="00E37E91">
      <w:pPr>
        <w:pStyle w:val="ListParagraph"/>
        <w:numPr>
          <w:ilvl w:val="0"/>
          <w:numId w:val="12"/>
        </w:numPr>
        <w:rPr>
          <w:color w:val="000000" w:themeColor="text1"/>
          <w:szCs w:val="22"/>
        </w:rPr>
      </w:pPr>
      <w:r w:rsidRPr="00EC6E98">
        <w:rPr>
          <w:color w:val="000000" w:themeColor="text1"/>
          <w:szCs w:val="22"/>
        </w:rPr>
        <w:t>Oxygen coverage was shown to have a significant impact on reaction energetics, making the correct choice of active surface phase critical</w:t>
      </w:r>
      <w:r w:rsidRPr="001241CC">
        <w:rPr>
          <w:color w:val="000000" w:themeColor="text1"/>
          <w:szCs w:val="22"/>
        </w:rPr>
        <w:t>, though this is often overlooked</w:t>
      </w:r>
      <w:r w:rsidRPr="00EC6E98">
        <w:rPr>
          <w:color w:val="000000" w:themeColor="text1"/>
          <w:szCs w:val="22"/>
        </w:rPr>
        <w:t>.</w:t>
      </w:r>
    </w:p>
    <w:p w14:paraId="2B20C6AF" w14:textId="77777777" w:rsidR="00E37E91" w:rsidRPr="00EC6E98" w:rsidRDefault="00E37E91" w:rsidP="00E37E91">
      <w:pPr>
        <w:pStyle w:val="ListParagraph"/>
        <w:numPr>
          <w:ilvl w:val="0"/>
          <w:numId w:val="12"/>
        </w:numPr>
        <w:rPr>
          <w:color w:val="000000" w:themeColor="text1"/>
          <w:szCs w:val="22"/>
        </w:rPr>
      </w:pPr>
      <w:r w:rsidRPr="00EC6E98">
        <w:rPr>
          <w:color w:val="000000" w:themeColor="text1"/>
          <w:szCs w:val="22"/>
        </w:rPr>
        <w:t>The PDS can be determined as the potential required to make all steps downhill in free energy.</w:t>
      </w:r>
    </w:p>
    <w:p w14:paraId="2372E59E" w14:textId="77777777" w:rsidR="00E37E91" w:rsidRPr="00EC6E98" w:rsidRDefault="00E37E91" w:rsidP="00E37E91">
      <w:pPr>
        <w:pStyle w:val="ListParagraph"/>
        <w:numPr>
          <w:ilvl w:val="0"/>
          <w:numId w:val="12"/>
        </w:numPr>
        <w:rPr>
          <w:color w:val="000000" w:themeColor="text1"/>
          <w:szCs w:val="22"/>
        </w:rPr>
      </w:pPr>
      <w:r w:rsidRPr="00EC6E98">
        <w:rPr>
          <w:color w:val="000000" w:themeColor="text1"/>
          <w:szCs w:val="22"/>
        </w:rPr>
        <w:t>The magnitude of the PDS can be predicted using a set of simple linear energy scaling relationships, which place limits on catalytic performance.</w:t>
      </w:r>
    </w:p>
    <w:p w14:paraId="09DFA12A" w14:textId="5D2F7637" w:rsidR="00E37E91" w:rsidRPr="00EC6E98" w:rsidRDefault="00E37E91" w:rsidP="00E37E91">
      <w:pPr>
        <w:pStyle w:val="ListParagraph"/>
        <w:numPr>
          <w:ilvl w:val="0"/>
          <w:numId w:val="12"/>
        </w:numPr>
        <w:rPr>
          <w:color w:val="000000" w:themeColor="text1"/>
          <w:szCs w:val="22"/>
        </w:rPr>
      </w:pPr>
      <w:r w:rsidRPr="00EC6E98">
        <w:rPr>
          <w:color w:val="000000" w:themeColor="text1"/>
          <w:szCs w:val="22"/>
        </w:rPr>
        <w:t>The optimal metal has an OER overpotential of ~0.</w:t>
      </w:r>
      <w:r w:rsidR="005162CA">
        <w:rPr>
          <w:color w:val="000000" w:themeColor="text1"/>
          <w:szCs w:val="22"/>
        </w:rPr>
        <w:t>5</w:t>
      </w:r>
      <w:r w:rsidRPr="00EC6E98">
        <w:rPr>
          <w:color w:val="000000" w:themeColor="text1"/>
          <w:szCs w:val="22"/>
        </w:rPr>
        <w:t>-0.</w:t>
      </w:r>
      <w:r w:rsidR="005162CA">
        <w:rPr>
          <w:color w:val="000000" w:themeColor="text1"/>
          <w:szCs w:val="22"/>
        </w:rPr>
        <w:t>6</w:t>
      </w:r>
      <w:r w:rsidRPr="00EC6E98">
        <w:rPr>
          <w:color w:val="000000" w:themeColor="text1"/>
          <w:szCs w:val="22"/>
        </w:rPr>
        <w:t xml:space="preserve"> V.</w:t>
      </w:r>
    </w:p>
    <w:p w14:paraId="633675AA" w14:textId="77777777" w:rsidR="00E37E91" w:rsidRDefault="00E37E91" w:rsidP="00E37E91">
      <w:pPr>
        <w:rPr>
          <w:color w:val="000000" w:themeColor="text1"/>
          <w:szCs w:val="22"/>
        </w:rPr>
      </w:pPr>
    </w:p>
    <w:p w14:paraId="3B4CD772" w14:textId="7B884450" w:rsidR="00E37E91" w:rsidRPr="00793F1B" w:rsidRDefault="00E37E91" w:rsidP="00E37E91">
      <w:pPr>
        <w:ind w:firstLine="720"/>
        <w:rPr>
          <w:color w:val="000000" w:themeColor="text1"/>
          <w:szCs w:val="22"/>
        </w:rPr>
      </w:pPr>
      <w:r w:rsidRPr="00793F1B">
        <w:rPr>
          <w:color w:val="000000" w:themeColor="text1"/>
          <w:szCs w:val="22"/>
        </w:rPr>
        <w:t xml:space="preserve">Although this theoretical treatment by </w:t>
      </w:r>
      <w:proofErr w:type="spellStart"/>
      <w:r w:rsidRPr="00793F1B">
        <w:rPr>
          <w:color w:val="000000" w:themeColor="text1"/>
          <w:szCs w:val="22"/>
        </w:rPr>
        <w:t>Rossmeisl</w:t>
      </w:r>
      <w:proofErr w:type="spellEnd"/>
      <w:r w:rsidRPr="00793F1B">
        <w:rPr>
          <w:color w:val="000000" w:themeColor="text1"/>
          <w:szCs w:val="22"/>
        </w:rPr>
        <w:t xml:space="preserve"> et al. </w:t>
      </w:r>
      <w:r w:rsidRPr="00793F1B">
        <w:rPr>
          <w:color w:val="000000" w:themeColor="text1"/>
          <w:szCs w:val="22"/>
        </w:rPr>
        <w:fldChar w:fldCharType="begin"/>
      </w:r>
      <w:r w:rsidR="00FC5BEB">
        <w:rPr>
          <w:color w:val="000000" w:themeColor="text1"/>
          <w:szCs w:val="22"/>
        </w:rPr>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rsidRPr="00793F1B">
        <w:rPr>
          <w:color w:val="000000" w:themeColor="text1"/>
          <w:szCs w:val="22"/>
        </w:rPr>
        <w:fldChar w:fldCharType="separate"/>
      </w:r>
      <w:r w:rsidR="00FC5BEB" w:rsidRPr="00FC5BEB">
        <w:rPr>
          <w:noProof/>
          <w:color w:val="000000" w:themeColor="text1"/>
          <w:szCs w:val="22"/>
          <w:vertAlign w:val="superscript"/>
        </w:rPr>
        <w:t>87</w:t>
      </w:r>
      <w:r w:rsidRPr="00793F1B">
        <w:rPr>
          <w:color w:val="000000" w:themeColor="text1"/>
          <w:szCs w:val="22"/>
        </w:rPr>
        <w:fldChar w:fldCharType="end"/>
      </w:r>
      <w:r w:rsidRPr="00793F1B">
        <w:rPr>
          <w:color w:val="000000" w:themeColor="text1"/>
          <w:szCs w:val="22"/>
        </w:rPr>
        <w:t xml:space="preserve"> was very influential, and deservedly so, we should approach the above discussion as a thought exercise and as a guide to what is yet to come, rather than taking the results literally. We point out now a number of issues that will be of importance to our later considerations, but this should not be understood as harsh criticism of a milestone publication, rather a look </w:t>
      </w:r>
      <w:r w:rsidR="00D40B06">
        <w:rPr>
          <w:color w:val="000000" w:themeColor="text1"/>
          <w:szCs w:val="22"/>
        </w:rPr>
        <w:t xml:space="preserve">at </w:t>
      </w:r>
      <w:r w:rsidRPr="00793F1B">
        <w:rPr>
          <w:color w:val="000000" w:themeColor="text1"/>
          <w:szCs w:val="22"/>
        </w:rPr>
        <w:t>the work in hindsight.</w:t>
      </w:r>
    </w:p>
    <w:p w14:paraId="0DF1FE58" w14:textId="77777777" w:rsidR="00E37E91" w:rsidRPr="00F97CA3" w:rsidRDefault="00E37E91" w:rsidP="00E37E91">
      <w:pPr>
        <w:ind w:firstLine="720"/>
        <w:rPr>
          <w:color w:val="FF0000"/>
          <w:szCs w:val="22"/>
        </w:rPr>
      </w:pPr>
    </w:p>
    <w:p w14:paraId="17B725DA" w14:textId="07DA3473" w:rsidR="00E37E91" w:rsidRPr="00793F1B" w:rsidRDefault="00E37E91" w:rsidP="00E37E91">
      <w:pPr>
        <w:ind w:firstLine="720"/>
        <w:rPr>
          <w:color w:val="000000" w:themeColor="text1"/>
          <w:szCs w:val="22"/>
        </w:rPr>
      </w:pPr>
      <w:r w:rsidRPr="00793F1B">
        <w:rPr>
          <w:color w:val="000000" w:themeColor="text1"/>
          <w:szCs w:val="22"/>
        </w:rPr>
        <w:t xml:space="preserve">As we mentioned above, the authors explored the stabilizing effect of adsorbed *O. The predicted binding energy range of *O on the </w:t>
      </w:r>
      <w:proofErr w:type="gramStart"/>
      <w:r w:rsidRPr="00793F1B">
        <w:rPr>
          <w:color w:val="000000" w:themeColor="text1"/>
          <w:szCs w:val="22"/>
        </w:rPr>
        <w:t>Pt(</w:t>
      </w:r>
      <w:proofErr w:type="gramEnd"/>
      <w:r w:rsidRPr="00793F1B">
        <w:rPr>
          <w:color w:val="000000" w:themeColor="text1"/>
          <w:szCs w:val="22"/>
        </w:rPr>
        <w:t>111) surface was approximately +1.6 and +3.6 eV depending on the coverage of pre-adsorbed *O: 5/6 ML pre-adsorbed O coverage in the 3×2 surface unit cell employed by the authors weakened *O adsorption by 2 eV as compared to the clean surface. Experimental estimates of Gland et al.</w:t>
      </w:r>
      <w:r w:rsidRPr="00793F1B">
        <w:rPr>
          <w:color w:val="000000" w:themeColor="text1"/>
          <w:szCs w:val="22"/>
        </w:rPr>
        <w:fldChar w:fldCharType="begin"/>
      </w:r>
      <w:r w:rsidR="00FC5BEB">
        <w:rPr>
          <w:color w:val="000000" w:themeColor="text1"/>
          <w:szCs w:val="22"/>
        </w:rPr>
        <w:instrText xml:space="preserve"> ADDIN EN.CITE &lt;EndNote&gt;&lt;Cite&gt;&lt;Author&gt;Gland&lt;/Author&gt;&lt;Year&gt;1980&lt;/Year&gt;&lt;RecNum&gt;185&lt;/RecNum&gt;&lt;DisplayText&gt;&lt;style face="superscript"&gt;187&lt;/style&gt;&lt;/DisplayText&gt;&lt;record&gt;&lt;rec-number&gt;185&lt;/rec-number&gt;&lt;foreign-keys&gt;&lt;key app="EN" db-id="2xex0erf4eexr4e2dpbxpdd829xttesxxxdr" timestamp="1715075296"&gt;185&lt;/key&gt;&lt;/foreign-keys&gt;&lt;ref-type name="Journal Article"&gt;17&lt;/ref-type&gt;&lt;contributors&gt;&lt;authors&gt;&lt;author&gt;Gland, John L.&lt;/author&gt;&lt;author&gt;Sexton, Brett A.&lt;/author&gt;&lt;author&gt;Fisher, Galen B.&lt;/author&gt;&lt;/authors&gt;&lt;/contributors&gt;&lt;titles&gt;&lt;title&gt;Oxygen interactions with the Pt(111) surface&lt;/title&gt;&lt;secondary-title&gt;Surface Science&lt;/secondary-title&gt;&lt;/titles&gt;&lt;periodical&gt;&lt;full-title&gt;Surface Science&lt;/full-title&gt;&lt;abbr-1&gt;Surf. Sci.&lt;/abbr-1&gt;&lt;abbr-2&gt;Surf Sci&lt;/abbr-2&gt;&lt;/periodical&gt;&lt;pages&gt;587-602&lt;/pages&gt;&lt;volume&gt;95&lt;/volume&gt;&lt;number&gt;2&lt;/number&gt;&lt;dates&gt;&lt;year&gt;1980&lt;/year&gt;&lt;pub-dates&gt;&lt;date&gt;1980/05/02/&lt;/date&gt;&lt;/pub-dates&gt;&lt;/dates&gt;&lt;isbn&gt;0039-6028&lt;/isbn&gt;&lt;urls&gt;&lt;related-urls&gt;&lt;url&gt;https://www.sciencedirect.com/science/article/pii/0039602880901971&lt;/url&gt;&lt;/related-urls&gt;&lt;/urls&gt;&lt;electronic-resource-num&gt;https://doi.org/10.1016/0039-6028(80)90197-1&lt;/electronic-resource-num&gt;&lt;/record&gt;&lt;/Cite&gt;&lt;/EndNote&gt;</w:instrText>
      </w:r>
      <w:r w:rsidRPr="00793F1B">
        <w:rPr>
          <w:color w:val="000000" w:themeColor="text1"/>
          <w:szCs w:val="22"/>
        </w:rPr>
        <w:fldChar w:fldCharType="separate"/>
      </w:r>
      <w:r w:rsidR="00FC5BEB" w:rsidRPr="00FC5BEB">
        <w:rPr>
          <w:noProof/>
          <w:color w:val="000000" w:themeColor="text1"/>
          <w:szCs w:val="22"/>
          <w:vertAlign w:val="superscript"/>
        </w:rPr>
        <w:t>187</w:t>
      </w:r>
      <w:r w:rsidRPr="00793F1B">
        <w:rPr>
          <w:color w:val="000000" w:themeColor="text1"/>
          <w:szCs w:val="22"/>
        </w:rPr>
        <w:fldChar w:fldCharType="end"/>
      </w:r>
      <w:r w:rsidRPr="00793F1B">
        <w:rPr>
          <w:color w:val="000000" w:themeColor="text1"/>
          <w:szCs w:val="22"/>
        </w:rPr>
        <w:t xml:space="preserve"> suggest a heat of desorption of atomic oxygen changing between 5.2 eV and 2.1 eV in a similar coverage range. Thus, while the prediction is not exceptionally </w:t>
      </w:r>
      <w:r w:rsidRPr="00793F1B">
        <w:rPr>
          <w:color w:val="000000" w:themeColor="text1"/>
          <w:szCs w:val="22"/>
        </w:rPr>
        <w:lastRenderedPageBreak/>
        <w:t xml:space="preserve">accurate, it is reasonably close to experiment. Based on the linear scaling relation, a change of 2 eV in the *O binding can give rise to approximately 1 V change in the thermodynamic overpotential, when not crossing the top of the volcano. But to put this in context, in experiments, the difference between a great and very bad OER catalyst is as perhaps 0.5 V, hence such calculations </w:t>
      </w:r>
      <w:r>
        <w:rPr>
          <w:color w:val="000000" w:themeColor="text1"/>
          <w:szCs w:val="22"/>
        </w:rPr>
        <w:t>ap</w:t>
      </w:r>
      <w:r w:rsidRPr="00793F1B">
        <w:rPr>
          <w:color w:val="000000" w:themeColor="text1"/>
          <w:szCs w:val="22"/>
        </w:rPr>
        <w:t>pear to be of limited value.</w:t>
      </w:r>
    </w:p>
    <w:p w14:paraId="6833D24B" w14:textId="77777777" w:rsidR="00E37E91" w:rsidRPr="00F97CA3" w:rsidRDefault="00E37E91" w:rsidP="00E37E91">
      <w:pPr>
        <w:rPr>
          <w:color w:val="FF0000"/>
          <w:szCs w:val="22"/>
        </w:rPr>
      </w:pPr>
    </w:p>
    <w:p w14:paraId="271766A2" w14:textId="6708A047" w:rsidR="00E37E91" w:rsidRPr="00793F1B" w:rsidRDefault="00E37E91" w:rsidP="00E37E91">
      <w:pPr>
        <w:ind w:firstLine="720"/>
        <w:rPr>
          <w:color w:val="000000" w:themeColor="text1"/>
          <w:szCs w:val="22"/>
        </w:rPr>
      </w:pPr>
      <w:r w:rsidRPr="00793F1B">
        <w:rPr>
          <w:color w:val="000000" w:themeColor="text1"/>
          <w:szCs w:val="22"/>
        </w:rPr>
        <w:t xml:space="preserve">Now, let us consider in detail what happened during *O stabilization. It was reasonable to assume the presence of *O on the </w:t>
      </w:r>
      <w:proofErr w:type="gramStart"/>
      <w:r w:rsidRPr="00793F1B">
        <w:rPr>
          <w:color w:val="000000" w:themeColor="text1"/>
          <w:szCs w:val="22"/>
        </w:rPr>
        <w:t>Pt(</w:t>
      </w:r>
      <w:proofErr w:type="gramEnd"/>
      <w:r w:rsidRPr="00793F1B">
        <w:rPr>
          <w:color w:val="000000" w:themeColor="text1"/>
          <w:szCs w:val="22"/>
        </w:rPr>
        <w:t xml:space="preserve">111) since it can be formed without a thermodynamic contribution </w:t>
      </w:r>
      <w:r w:rsidR="00B11007">
        <w:rPr>
          <w:color w:val="000000" w:themeColor="text1"/>
          <w:szCs w:val="22"/>
        </w:rPr>
        <w:t xml:space="preserve">to </w:t>
      </w:r>
      <w:r w:rsidRPr="00793F1B">
        <w:rPr>
          <w:color w:val="000000" w:themeColor="text1"/>
          <w:szCs w:val="22"/>
        </w:rPr>
        <w:t xml:space="preserve">the free energy barrier at 1.23 V, see </w:t>
      </w:r>
      <w:r w:rsidR="0098295F">
        <w:rPr>
          <w:color w:val="000000" w:themeColor="text1"/>
          <w:szCs w:val="22"/>
        </w:rPr>
        <w:fldChar w:fldCharType="begin"/>
      </w:r>
      <w:r w:rsidR="0098295F">
        <w:rPr>
          <w:color w:val="000000" w:themeColor="text1"/>
          <w:szCs w:val="22"/>
        </w:rPr>
        <w:instrText xml:space="preserve"> REF _Ref159512497 \h </w:instrText>
      </w:r>
      <w:r w:rsidR="0098295F">
        <w:rPr>
          <w:color w:val="000000" w:themeColor="text1"/>
          <w:szCs w:val="22"/>
        </w:rPr>
      </w:r>
      <w:r w:rsidR="0098295F">
        <w:rPr>
          <w:color w:val="000000" w:themeColor="text1"/>
          <w:szCs w:val="22"/>
        </w:rPr>
        <w:fldChar w:fldCharType="separate"/>
      </w:r>
      <w:r w:rsidR="003255C0" w:rsidRPr="00430A30">
        <w:rPr>
          <w:b/>
          <w:bCs/>
        </w:rPr>
        <w:t xml:space="preserve">Figure </w:t>
      </w:r>
      <w:r w:rsidR="003255C0">
        <w:rPr>
          <w:b/>
          <w:bCs/>
          <w:noProof/>
        </w:rPr>
        <w:t>11</w:t>
      </w:r>
      <w:r w:rsidR="0098295F">
        <w:rPr>
          <w:color w:val="000000" w:themeColor="text1"/>
          <w:szCs w:val="22"/>
        </w:rPr>
        <w:fldChar w:fldCharType="end"/>
      </w:r>
      <w:r w:rsidRPr="00793F1B">
        <w:rPr>
          <w:color w:val="000000" w:themeColor="text1"/>
          <w:szCs w:val="22"/>
        </w:rPr>
        <w:t xml:space="preserve">. At 2/3 ML *O, the authors of Ref. </w:t>
      </w:r>
      <w:r w:rsidRPr="00793F1B">
        <w:rPr>
          <w:color w:val="000000" w:themeColor="text1"/>
          <w:szCs w:val="22"/>
        </w:rPr>
        <w:fldChar w:fldCharType="begin"/>
      </w:r>
      <w:r w:rsidR="00FC5BEB">
        <w:rPr>
          <w:color w:val="000000" w:themeColor="text1"/>
          <w:szCs w:val="22"/>
        </w:rPr>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rsidRPr="00793F1B">
        <w:rPr>
          <w:color w:val="000000" w:themeColor="text1"/>
          <w:szCs w:val="22"/>
        </w:rPr>
        <w:fldChar w:fldCharType="separate"/>
      </w:r>
      <w:r w:rsidR="00FC5BEB" w:rsidRPr="00FC5BEB">
        <w:rPr>
          <w:noProof/>
          <w:color w:val="000000" w:themeColor="text1"/>
          <w:szCs w:val="22"/>
          <w:vertAlign w:val="superscript"/>
        </w:rPr>
        <w:t>87</w:t>
      </w:r>
      <w:r w:rsidRPr="00793F1B">
        <w:rPr>
          <w:color w:val="000000" w:themeColor="text1"/>
          <w:szCs w:val="22"/>
        </w:rPr>
        <w:fldChar w:fldCharType="end"/>
      </w:r>
      <w:r w:rsidRPr="00793F1B">
        <w:rPr>
          <w:color w:val="000000" w:themeColor="text1"/>
          <w:szCs w:val="22"/>
        </w:rPr>
        <w:t xml:space="preserve"> found a reduction of the potential required to make all steps downhill, from 2.55 V to 1.90 V. But at this level of *O coverage not only has the magnitude of the thermodynamic overpotential changed but also the potential limiting step, changing from step 3 (*OOH formation) to step 1 (*OH formation). Notice, this raises the problem that now the surface is water covered as all steps after step 1 are downhill, and within this simplistic model, there should not be a buildup of any significant coverage of intermediate species on the surface. That is, the argument becomes circular, and we cannot </w:t>
      </w:r>
      <w:r w:rsidR="00840D5F">
        <w:rPr>
          <w:i/>
          <w:iCs/>
          <w:color w:val="000000" w:themeColor="text1"/>
          <w:szCs w:val="22"/>
        </w:rPr>
        <w:t>a priori</w:t>
      </w:r>
      <w:r w:rsidRPr="00793F1B">
        <w:rPr>
          <w:color w:val="000000" w:themeColor="text1"/>
          <w:szCs w:val="22"/>
        </w:rPr>
        <w:t xml:space="preserve"> assume any *O coverage. In another words, *O coverage will drive the reaction towards the extinction of *O but the empty surface is also not stable and wants to build up *O again. And the cycle continues.</w:t>
      </w:r>
      <w:r w:rsidR="006743A6">
        <w:rPr>
          <w:color w:val="000000" w:themeColor="text1"/>
          <w:szCs w:val="22"/>
        </w:rPr>
        <w:t xml:space="preserve"> </w:t>
      </w:r>
      <w:r w:rsidR="006743A6">
        <w:rPr>
          <w:color w:val="000000" w:themeColor="text1"/>
          <w:szCs w:val="22"/>
          <w:lang w:val="en-GB"/>
        </w:rPr>
        <w:t xml:space="preserve">Clearly, </w:t>
      </w:r>
      <w:r w:rsidR="003C1A89">
        <w:rPr>
          <w:color w:val="000000" w:themeColor="text1"/>
          <w:szCs w:val="22"/>
        </w:rPr>
        <w:t>t</w:t>
      </w:r>
      <w:r w:rsidR="003C1A89" w:rsidRPr="003C1A89">
        <w:rPr>
          <w:color w:val="000000" w:themeColor="text1"/>
          <w:szCs w:val="22"/>
        </w:rPr>
        <w:t xml:space="preserve">he root of the problem is that the coverages predicted by a model and the coverages used to compute the energetics of the model must be self-consistent. This will be further elaborated upon in the context of microkinetic models in Section </w:t>
      </w:r>
      <w:r w:rsidR="00C80B22">
        <w:rPr>
          <w:color w:val="000000" w:themeColor="text1"/>
          <w:szCs w:val="22"/>
        </w:rPr>
        <w:fldChar w:fldCharType="begin"/>
      </w:r>
      <w:r w:rsidR="00C80B22">
        <w:rPr>
          <w:color w:val="000000" w:themeColor="text1"/>
          <w:szCs w:val="22"/>
        </w:rPr>
        <w:instrText xml:space="preserve"> REF _Ref159882582 \r \h </w:instrText>
      </w:r>
      <w:r w:rsidR="00C80B22">
        <w:rPr>
          <w:color w:val="000000" w:themeColor="text1"/>
          <w:szCs w:val="22"/>
        </w:rPr>
      </w:r>
      <w:r w:rsidR="00C80B22">
        <w:rPr>
          <w:color w:val="000000" w:themeColor="text1"/>
          <w:szCs w:val="22"/>
        </w:rPr>
        <w:fldChar w:fldCharType="separate"/>
      </w:r>
      <w:r w:rsidR="003255C0">
        <w:rPr>
          <w:color w:val="000000" w:themeColor="text1"/>
          <w:szCs w:val="22"/>
        </w:rPr>
        <w:t>7</w:t>
      </w:r>
      <w:r w:rsidR="00C80B22">
        <w:rPr>
          <w:color w:val="000000" w:themeColor="text1"/>
          <w:szCs w:val="22"/>
        </w:rPr>
        <w:fldChar w:fldCharType="end"/>
      </w:r>
      <w:r w:rsidR="003C1A89" w:rsidRPr="003C1A89">
        <w:rPr>
          <w:color w:val="000000" w:themeColor="text1"/>
          <w:szCs w:val="22"/>
        </w:rPr>
        <w:t>.</w:t>
      </w:r>
    </w:p>
    <w:p w14:paraId="47C91118" w14:textId="77777777" w:rsidR="00E37E91" w:rsidRPr="00F97CA3" w:rsidRDefault="00E37E91" w:rsidP="00E37E91">
      <w:pPr>
        <w:rPr>
          <w:color w:val="FF0000"/>
          <w:szCs w:val="22"/>
        </w:rPr>
      </w:pPr>
    </w:p>
    <w:p w14:paraId="07A1A10F" w14:textId="430A58D8" w:rsidR="00E37E91" w:rsidRPr="00B94AD7" w:rsidRDefault="00E37E91" w:rsidP="00E37E91">
      <w:pPr>
        <w:ind w:firstLine="720"/>
        <w:rPr>
          <w:color w:val="000000" w:themeColor="text1"/>
          <w:szCs w:val="22"/>
        </w:rPr>
      </w:pPr>
      <w:r w:rsidRPr="00B94AD7">
        <w:rPr>
          <w:color w:val="000000" w:themeColor="text1"/>
          <w:szCs w:val="22"/>
        </w:rPr>
        <w:t>Along the same line of adsorbate build up, the authors themselves point out that it is possible that the bulk of the metals also start oxidizing under potentials relevant for the OER. This additional pathway, with changing bulk and surface structure of the investigated metals</w:t>
      </w:r>
      <w:r w:rsidR="00C32B91">
        <w:rPr>
          <w:color w:val="000000" w:themeColor="text1"/>
          <w:szCs w:val="22"/>
        </w:rPr>
        <w:t>,</w:t>
      </w:r>
      <w:r w:rsidRPr="00B94AD7">
        <w:rPr>
          <w:color w:val="000000" w:themeColor="text1"/>
          <w:szCs w:val="22"/>
        </w:rPr>
        <w:t xml:space="preserve"> </w:t>
      </w:r>
      <w:r w:rsidR="00C32B91">
        <w:rPr>
          <w:color w:val="000000" w:themeColor="text1"/>
          <w:szCs w:val="22"/>
        </w:rPr>
        <w:t>was</w:t>
      </w:r>
      <w:r w:rsidR="00C32B91" w:rsidRPr="00B94AD7">
        <w:rPr>
          <w:color w:val="000000" w:themeColor="text1"/>
          <w:szCs w:val="22"/>
        </w:rPr>
        <w:t xml:space="preserve"> </w:t>
      </w:r>
      <w:r w:rsidRPr="00B94AD7">
        <w:rPr>
          <w:color w:val="000000" w:themeColor="text1"/>
          <w:szCs w:val="22"/>
        </w:rPr>
        <w:t xml:space="preserve">not included in the model presented in Ref. </w:t>
      </w:r>
      <w:r w:rsidRPr="00B94AD7">
        <w:rPr>
          <w:color w:val="000000" w:themeColor="text1"/>
          <w:szCs w:val="22"/>
        </w:rPr>
        <w:fldChar w:fldCharType="begin"/>
      </w:r>
      <w:r w:rsidR="00FC5BEB">
        <w:rPr>
          <w:color w:val="000000" w:themeColor="text1"/>
          <w:szCs w:val="22"/>
        </w:rPr>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rsidRPr="00B94AD7">
        <w:rPr>
          <w:color w:val="000000" w:themeColor="text1"/>
          <w:szCs w:val="22"/>
        </w:rPr>
        <w:fldChar w:fldCharType="separate"/>
      </w:r>
      <w:r w:rsidR="00FC5BEB" w:rsidRPr="00FC5BEB">
        <w:rPr>
          <w:noProof/>
          <w:color w:val="000000" w:themeColor="text1"/>
          <w:szCs w:val="22"/>
          <w:vertAlign w:val="superscript"/>
        </w:rPr>
        <w:t>87</w:t>
      </w:r>
      <w:r w:rsidRPr="00B94AD7">
        <w:rPr>
          <w:color w:val="000000" w:themeColor="text1"/>
          <w:szCs w:val="22"/>
        </w:rPr>
        <w:fldChar w:fldCharType="end"/>
      </w:r>
      <w:r w:rsidRPr="00B94AD7">
        <w:rPr>
          <w:color w:val="000000" w:themeColor="text1"/>
          <w:szCs w:val="22"/>
        </w:rPr>
        <w:t>. As pointed out by Gileadi</w:t>
      </w:r>
      <w:r w:rsidRPr="00B94AD7">
        <w:rPr>
          <w:color w:val="000000" w:themeColor="text1"/>
          <w:szCs w:val="22"/>
        </w:rPr>
        <w:fldChar w:fldCharType="begin"/>
      </w:r>
      <w:r w:rsidR="00FC5BEB">
        <w:rPr>
          <w:color w:val="000000" w:themeColor="text1"/>
          <w:szCs w:val="22"/>
        </w:rPr>
        <w:instrText xml:space="preserve"> ADDIN EN.CITE &lt;EndNote&gt;&lt;Cite&gt;&lt;Author&gt;Gileadi&lt;/Author&gt;&lt;Year&gt;2011&lt;/Year&gt;&lt;RecNum&gt;186&lt;/RecNum&gt;&lt;DisplayText&gt;&lt;style face="superscript"&gt;188&lt;/style&gt;&lt;/DisplayText&gt;&lt;record&gt;&lt;rec-number&gt;186&lt;/rec-number&gt;&lt;foreign-keys&gt;&lt;key app="EN" db-id="2xex0erf4eexr4e2dpbxpdd829xttesxxxdr" timestamp="1715075296"&gt;186&lt;/key&gt;&lt;/foreign-keys&gt;&lt;ref-type name="Journal Article"&gt;17&lt;/ref-type&gt;&lt;contributors&gt;&lt;authors&gt;&lt;author&gt;Gileadi, E.&lt;/author&gt;&lt;/authors&gt;&lt;/contributors&gt;&lt;titles&gt;&lt;title&gt;Problems in interfacial electrochemistry that have been swept under the carpet&lt;/title&gt;&lt;secondary-title&gt;Journal of Solid State Electrochemistry&lt;/secondary-title&gt;&lt;/titles&gt;&lt;periodical&gt;&lt;full-title&gt;Journal of Solid State Electrochemistry&lt;/full-title&gt;&lt;abbr-1&gt;J. Solid State Electrochem.&lt;/abbr-1&gt;&lt;abbr-2&gt;J Solid State Electrochem&lt;/abbr-2&gt;&lt;/periodical&gt;&lt;pages&gt;1359-1371&lt;/pages&gt;&lt;volume&gt;15&lt;/volume&gt;&lt;number&gt;7&lt;/number&gt;&lt;dates&gt;&lt;year&gt;2011&lt;/year&gt;&lt;pub-dates&gt;&lt;date&gt;2011/07/01&lt;/date&gt;&lt;/pub-dates&gt;&lt;/dates&gt;&lt;isbn&gt;1433-0768&lt;/isbn&gt;&lt;urls&gt;&lt;related-urls&gt;&lt;url&gt;https://doi.org/10.1007/s10008-011-1344-5&lt;/url&gt;&lt;/related-urls&gt;&lt;/urls&gt;&lt;electronic-resource-num&gt;10.1007/s10008-011-1344-5&lt;/electronic-resource-num&gt;&lt;/record&gt;&lt;/Cite&gt;&lt;/EndNote&gt;</w:instrText>
      </w:r>
      <w:r w:rsidRPr="00B94AD7">
        <w:rPr>
          <w:color w:val="000000" w:themeColor="text1"/>
          <w:szCs w:val="22"/>
        </w:rPr>
        <w:fldChar w:fldCharType="separate"/>
      </w:r>
      <w:r w:rsidR="00FC5BEB" w:rsidRPr="00FC5BEB">
        <w:rPr>
          <w:noProof/>
          <w:color w:val="000000" w:themeColor="text1"/>
          <w:szCs w:val="22"/>
          <w:vertAlign w:val="superscript"/>
        </w:rPr>
        <w:t>188</w:t>
      </w:r>
      <w:r w:rsidRPr="00B94AD7">
        <w:rPr>
          <w:color w:val="000000" w:themeColor="text1"/>
          <w:szCs w:val="22"/>
        </w:rPr>
        <w:fldChar w:fldCharType="end"/>
      </w:r>
      <w:r w:rsidRPr="00B94AD7">
        <w:rPr>
          <w:color w:val="000000" w:themeColor="text1"/>
          <w:szCs w:val="22"/>
        </w:rPr>
        <w:t xml:space="preserve"> in a thought-provoking review of some selected “problems in interfacial electrochemistry that have been swept under the carpet”, the oxygen evolution reaction has never been experimentally studied or observed on </w:t>
      </w:r>
      <w:proofErr w:type="spellStart"/>
      <w:r w:rsidRPr="00B94AD7">
        <w:rPr>
          <w:color w:val="000000" w:themeColor="text1"/>
          <w:szCs w:val="22"/>
        </w:rPr>
        <w:t>bare</w:t>
      </w:r>
      <w:proofErr w:type="spellEnd"/>
      <w:r w:rsidRPr="00B94AD7">
        <w:rPr>
          <w:color w:val="000000" w:themeColor="text1"/>
          <w:szCs w:val="22"/>
        </w:rPr>
        <w:t xml:space="preserve"> metals. By the time the potential is positive enough to afford the OER, any metal surface will always be covered with an oxide layer. Most of the time, even the bulk of the metals will be transformed into an oxide or oxyhydroxide phase. Transition metals, without a filled d band are typically oxidized on their surface already under standard conditions. Under OER conditions these metals form bulk oxide and oxyhydroxide phases. Even noble metals, like Pt</w:t>
      </w:r>
      <w:r w:rsidRPr="00B94AD7">
        <w:rPr>
          <w:color w:val="000000" w:themeColor="text1"/>
          <w:szCs w:val="22"/>
        </w:rPr>
        <w:fldChar w:fldCharType="begin">
          <w:fldData xml:space="preserve">PEVuZE5vdGU+PENpdGU+PEF1dGhvcj5MYWl0aW5lbjwvQXV0aG9yPjxZZWFyPjE5NjA8L1llYXI+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</w:fldData>
        </w:fldChar>
      </w:r>
      <w:r w:rsidR="00FC5BEB">
        <w:rPr>
          <w:color w:val="000000" w:themeColor="text1"/>
          <w:szCs w:val="22"/>
        </w:rPr>
        <w:instrText xml:space="preserve"> ADDIN EN.CITE </w:instrText>
      </w:r>
      <w:r w:rsidR="00FC5BEB">
        <w:rPr>
          <w:color w:val="000000" w:themeColor="text1"/>
          <w:szCs w:val="22"/>
        </w:rPr>
        <w:fldChar w:fldCharType="begin">
          <w:fldData xml:space="preserve">PEVuZE5vdGU+PENpdGU+PEF1dGhvcj5MYWl0aW5lbjwvQXV0aG9yPjxZZWFyPjE5NjA8L1llYXI+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</w:fldData>
        </w:fldChar>
      </w:r>
      <w:r w:rsidR="00FC5BEB">
        <w:rPr>
          <w:color w:val="000000" w:themeColor="text1"/>
          <w:szCs w:val="22"/>
        </w:rPr>
        <w:instrText xml:space="preserve"> ADDIN EN.CITE.DATA </w:instrText>
      </w:r>
      <w:r w:rsidR="00FC5BEB">
        <w:rPr>
          <w:color w:val="000000" w:themeColor="text1"/>
          <w:szCs w:val="22"/>
        </w:rPr>
      </w:r>
      <w:r w:rsidR="00FC5BEB">
        <w:rPr>
          <w:color w:val="000000" w:themeColor="text1"/>
          <w:szCs w:val="22"/>
        </w:rPr>
        <w:fldChar w:fldCharType="end"/>
      </w:r>
      <w:r w:rsidRPr="00B94AD7">
        <w:rPr>
          <w:color w:val="000000" w:themeColor="text1"/>
          <w:szCs w:val="22"/>
        </w:rPr>
      </w:r>
      <w:r w:rsidRPr="00B94AD7">
        <w:rPr>
          <w:color w:val="000000" w:themeColor="text1"/>
          <w:szCs w:val="22"/>
        </w:rPr>
        <w:fldChar w:fldCharType="separate"/>
      </w:r>
      <w:r w:rsidR="00FC5BEB" w:rsidRPr="00FC5BEB">
        <w:rPr>
          <w:noProof/>
          <w:color w:val="000000" w:themeColor="text1"/>
          <w:szCs w:val="22"/>
          <w:vertAlign w:val="superscript"/>
        </w:rPr>
        <w:t>189-191</w:t>
      </w:r>
      <w:r w:rsidRPr="00B94AD7">
        <w:rPr>
          <w:color w:val="000000" w:themeColor="text1"/>
          <w:szCs w:val="22"/>
        </w:rPr>
        <w:fldChar w:fldCharType="end"/>
      </w:r>
      <w:r w:rsidRPr="00B94AD7">
        <w:rPr>
          <w:color w:val="000000" w:themeColor="text1"/>
          <w:szCs w:val="22"/>
        </w:rPr>
        <w:t xml:space="preserve"> or Au</w:t>
      </w:r>
      <w:r w:rsidRPr="00B94AD7">
        <w:rPr>
          <w:color w:val="000000" w:themeColor="text1"/>
          <w:szCs w:val="22"/>
        </w:rPr>
        <w:fldChar w:fldCharType="begin">
          <w:fldData xml:space="preserve">PEVuZE5vdGU+PENpdGU+PEF1dGhvcj5EaWF6LU1vcmFsZXM8L0F1dGhvcj48WWVhcj4yMDEzPC9Z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==
</w:fldData>
        </w:fldChar>
      </w:r>
      <w:r w:rsidR="00FC5BEB">
        <w:rPr>
          <w:color w:val="000000" w:themeColor="text1"/>
          <w:szCs w:val="22"/>
        </w:rPr>
        <w:instrText xml:space="preserve"> ADDIN EN.CITE </w:instrText>
      </w:r>
      <w:r w:rsidR="00FC5BEB">
        <w:rPr>
          <w:color w:val="000000" w:themeColor="text1"/>
          <w:szCs w:val="22"/>
        </w:rPr>
        <w:fldChar w:fldCharType="begin">
          <w:fldData xml:space="preserve">PEVuZE5vdGU+PENpdGU+PEF1dGhvcj5EaWF6LU1vcmFsZXM8L0F1dGhvcj48WWVhcj4yMDEzPC9Z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==
</w:fldData>
        </w:fldChar>
      </w:r>
      <w:r w:rsidR="00FC5BEB">
        <w:rPr>
          <w:color w:val="000000" w:themeColor="text1"/>
          <w:szCs w:val="22"/>
        </w:rPr>
        <w:instrText xml:space="preserve"> ADDIN EN.CITE.DATA </w:instrText>
      </w:r>
      <w:r w:rsidR="00FC5BEB">
        <w:rPr>
          <w:color w:val="000000" w:themeColor="text1"/>
          <w:szCs w:val="22"/>
        </w:rPr>
      </w:r>
      <w:r w:rsidR="00FC5BEB">
        <w:rPr>
          <w:color w:val="000000" w:themeColor="text1"/>
          <w:szCs w:val="22"/>
        </w:rPr>
        <w:fldChar w:fldCharType="end"/>
      </w:r>
      <w:r w:rsidRPr="00B94AD7">
        <w:rPr>
          <w:color w:val="000000" w:themeColor="text1"/>
          <w:szCs w:val="22"/>
        </w:rPr>
      </w:r>
      <w:r w:rsidRPr="00B94AD7">
        <w:rPr>
          <w:color w:val="000000" w:themeColor="text1"/>
          <w:szCs w:val="22"/>
        </w:rPr>
        <w:fldChar w:fldCharType="separate"/>
      </w:r>
      <w:r w:rsidR="00FC5BEB" w:rsidRPr="00FC5BEB">
        <w:rPr>
          <w:noProof/>
          <w:color w:val="000000" w:themeColor="text1"/>
          <w:szCs w:val="22"/>
          <w:vertAlign w:val="superscript"/>
        </w:rPr>
        <w:t>192, 193</w:t>
      </w:r>
      <w:r w:rsidRPr="00B94AD7">
        <w:rPr>
          <w:color w:val="000000" w:themeColor="text1"/>
          <w:szCs w:val="22"/>
        </w:rPr>
        <w:fldChar w:fldCharType="end"/>
      </w:r>
      <w:r w:rsidRPr="00B94AD7">
        <w:rPr>
          <w:color w:val="000000" w:themeColor="text1"/>
          <w:szCs w:val="22"/>
        </w:rPr>
        <w:t xml:space="preserve"> form oxides once they split water and produce O</w:t>
      </w:r>
      <w:r w:rsidRPr="00B94AD7">
        <w:rPr>
          <w:color w:val="000000" w:themeColor="text1"/>
          <w:szCs w:val="22"/>
          <w:vertAlign w:val="subscript"/>
        </w:rPr>
        <w:t>2</w:t>
      </w:r>
      <w:r w:rsidRPr="00B94AD7">
        <w:rPr>
          <w:color w:val="000000" w:themeColor="text1"/>
          <w:szCs w:val="22"/>
        </w:rPr>
        <w:t xml:space="preserve">. One can intuitively understand that if modifying the oxygen coverage on Pt between zero and 5/6 ML gives rise to 2 eV shift in </w:t>
      </w:r>
      <w:r w:rsidRPr="00B94AD7">
        <w:rPr>
          <w:i/>
          <w:iCs/>
          <w:color w:val="000000" w:themeColor="text1"/>
          <w:szCs w:val="22"/>
        </w:rPr>
        <w:t>E</w:t>
      </w:r>
      <w:r w:rsidRPr="00B94AD7">
        <w:rPr>
          <w:color w:val="000000" w:themeColor="text1"/>
          <w:szCs w:val="22"/>
          <w:vertAlign w:val="subscript"/>
        </w:rPr>
        <w:t>*O</w:t>
      </w:r>
      <w:r w:rsidRPr="00B94AD7">
        <w:rPr>
          <w:color w:val="000000" w:themeColor="text1"/>
          <w:szCs w:val="22"/>
        </w:rPr>
        <w:t>, the transformation of a metal to an oxide can induce the same or an even larger effect. As this phase transition undoubtedly makes a huge impact on the local geometric and electronic structure of the surface, estimating the outcome of an electrocatalytic process on an oxide by using (oxygen covered) metals is not a proper strategy. We can illustrate this with some numbers. Calle-Vallejo et al.</w:t>
      </w:r>
      <w:r w:rsidRPr="00B94AD7">
        <w:rPr>
          <w:color w:val="000000" w:themeColor="text1"/>
          <w:szCs w:val="22"/>
        </w:rPr>
        <w:fldChar w:fldCharType="begin"/>
      </w:r>
      <w:r w:rsidR="00FC5BEB">
        <w:rPr>
          <w:color w:val="000000" w:themeColor="text1"/>
          <w:szCs w:val="22"/>
        </w:rPr>
        <w:instrText xml:space="preserve"> ADDIN EN.CITE &lt;EndNote&gt;&lt;Cite&gt;&lt;Author&gt;Calle-Vallejo&lt;/Author&gt;&lt;Year&gt;2013&lt;/Year&gt;&lt;RecNum&gt;192&lt;/RecNum&gt;&lt;DisplayText&gt;&lt;style face="superscript"&gt;194&lt;/style&gt;&lt;/DisplayText&gt;&lt;record&gt;&lt;rec-number&gt;192&lt;/rec-number&gt;&lt;foreign-keys&gt;&lt;key app="EN" db-id="2xex0erf4eexr4e2dpbxpdd829xttesxxxdr" timestamp="1715075296"&gt;192&lt;/key&gt;&lt;/foreign-keys&gt;&lt;ref-type name="Journal Article"&gt;17&lt;/ref-type&gt;&lt;contributors&gt;&lt;authors&gt;&lt;author&gt;Calle-Vallejo, Federico&lt;/author&gt;&lt;author&gt;Inoglu, Nilay G.&lt;/author&gt;&lt;author&gt;Su, Hai-Yan&lt;/author&gt;&lt;author&gt;Martínez, José I.&lt;/author&gt;&lt;author&gt;Man, Isabela C.&lt;/author&gt;&lt;author&gt;Koper, Marc T. M.&lt;/author&gt;&lt;author&gt;Kitchin, John R.&lt;/author&gt;&lt;author&gt;Rossmeisl, Jan&lt;/author&gt;&lt;/authors&gt;&lt;/contributors&gt;&lt;titles&gt;&lt;title&gt;Number of outer electrons as descriptor for adsorption processes on transition metals and their oxides&lt;/title&gt;&lt;secondary-title&gt;Chem. Sci.&lt;/secondary-title&gt;&lt;/titles&gt;&lt;periodical&gt;&lt;full-title&gt;Chem. Sci.&lt;/full-title&gt;&lt;/periodical&gt;&lt;pages&gt;1245-1249&lt;/pages&gt;&lt;volume&gt;4&lt;/volume&gt;&lt;number&gt;3&lt;/number&gt;&lt;dates&gt;&lt;year&gt;2013&lt;/year&gt;&lt;/dates&gt;&lt;publisher&gt;The Royal Society of Chemistry&lt;/publisher&gt;&lt;isbn&gt;2041-6520&lt;/isbn&gt;&lt;work-type&gt;10.1039/C2SC21601A&lt;/work-type&gt;&lt;urls&gt;&lt;related-urls&gt;&lt;url&gt;http://dx.doi.org/10.1039/C2SC21601A&lt;/url&gt;&lt;/related-urls&gt;&lt;/urls&gt;&lt;electronic-resource-num&gt;10.1039/C2SC21601A&lt;/electronic-resource-num&gt;&lt;/record&gt;&lt;/Cite&gt;&lt;/EndNote&gt;</w:instrText>
      </w:r>
      <w:r w:rsidRPr="00B94AD7">
        <w:rPr>
          <w:color w:val="000000" w:themeColor="text1"/>
          <w:szCs w:val="22"/>
        </w:rPr>
        <w:fldChar w:fldCharType="separate"/>
      </w:r>
      <w:r w:rsidR="00FC5BEB" w:rsidRPr="00FC5BEB">
        <w:rPr>
          <w:noProof/>
          <w:color w:val="000000" w:themeColor="text1"/>
          <w:szCs w:val="22"/>
          <w:vertAlign w:val="superscript"/>
        </w:rPr>
        <w:t>194</w:t>
      </w:r>
      <w:r w:rsidRPr="00B94AD7">
        <w:rPr>
          <w:color w:val="000000" w:themeColor="text1"/>
          <w:szCs w:val="22"/>
        </w:rPr>
        <w:fldChar w:fldCharType="end"/>
      </w:r>
      <w:r w:rsidRPr="00B94AD7">
        <w:rPr>
          <w:color w:val="000000" w:themeColor="text1"/>
          <w:szCs w:val="22"/>
        </w:rPr>
        <w:t xml:space="preserve"> calculated the change of the binding strengths of OER intermediate as the metals form various formal oxidation state oxides or perovskites. By way of an example, on nickel, </w:t>
      </w:r>
      <w:r w:rsidRPr="00B94AD7">
        <w:rPr>
          <w:i/>
          <w:iCs/>
          <w:color w:val="000000" w:themeColor="text1"/>
          <w:szCs w:val="22"/>
        </w:rPr>
        <w:t>E</w:t>
      </w:r>
      <w:r w:rsidRPr="00B94AD7">
        <w:rPr>
          <w:color w:val="000000" w:themeColor="text1"/>
          <w:szCs w:val="22"/>
          <w:vertAlign w:val="subscript"/>
        </w:rPr>
        <w:t>*O</w:t>
      </w:r>
      <w:r w:rsidRPr="00B94AD7">
        <w:rPr>
          <w:color w:val="000000" w:themeColor="text1"/>
          <w:szCs w:val="22"/>
        </w:rPr>
        <w:t xml:space="preserve"> changed almost 2 eV to 3 eV when instead of the metal, its monoxide, or a </w:t>
      </w:r>
      <w:r>
        <w:rPr>
          <w:color w:val="000000" w:themeColor="text1"/>
          <w:szCs w:val="22"/>
        </w:rPr>
        <w:t>III</w:t>
      </w:r>
      <w:r w:rsidRPr="00B94AD7">
        <w:rPr>
          <w:color w:val="000000" w:themeColor="text1"/>
          <w:szCs w:val="22"/>
        </w:rPr>
        <w:t xml:space="preserve">+ oxidation state perovskite, was considered, respectively. As we will see later, </w:t>
      </w:r>
      <w:proofErr w:type="spellStart"/>
      <w:r w:rsidRPr="00B94AD7">
        <w:rPr>
          <w:color w:val="000000" w:themeColor="text1"/>
          <w:szCs w:val="22"/>
        </w:rPr>
        <w:t>NiOOH</w:t>
      </w:r>
      <w:proofErr w:type="spellEnd"/>
      <w:r w:rsidRPr="00B94AD7">
        <w:rPr>
          <w:color w:val="000000" w:themeColor="text1"/>
          <w:szCs w:val="22"/>
        </w:rPr>
        <w:t xml:space="preserve"> is the active OER form of nickel, so we can expect a close to 3 eV weakening of *O binding with respect to metallic Ni; but also, the actual surface structure will play a role</w:t>
      </w:r>
      <w:r>
        <w:rPr>
          <w:color w:val="000000" w:themeColor="text1"/>
          <w:szCs w:val="22"/>
        </w:rPr>
        <w:fldChar w:fldCharType="begin"/>
      </w:r>
      <w:r w:rsidR="00FC5BEB">
        <w:rPr>
          <w:color w:val="000000" w:themeColor="text1"/>
          <w:szCs w:val="22"/>
        </w:rPr>
        <w:instrText xml:space="preserve"> ADDIN EN.CITE &lt;EndNote&gt;&lt;Cite&gt;&lt;Author&gt;Koper&lt;/Author&gt;&lt;Year&gt;2011&lt;/Year&gt;&lt;RecNum&gt;193&lt;/RecNum&gt;&lt;DisplayText&gt;&lt;style face="superscript"&gt;195&lt;/style&gt;&lt;/DisplayText&gt;&lt;record&gt;&lt;rec-number&gt;193&lt;/rec-number&gt;&lt;foreign-keys&gt;&lt;key app="EN" db-id="2xex0erf4eexr4e2dpbxpdd829xttesxxxdr" timestamp="1715075296"&gt;193&lt;/key&gt;&lt;/foreign-keys&gt;&lt;ref-type name="Journal Article"&gt;17&lt;/ref-type&gt;&lt;contributors&gt;&lt;authors&gt;&lt;author&gt;Koper, Marc T. M.&lt;/author&gt;&lt;/authors&gt;&lt;/contributors&gt;&lt;titles&gt;&lt;title&gt;Structure sensitivity and nanoscale effects in electrocatalysis&lt;/title&gt;&lt;secondary-title&gt;Nanoscale&lt;/secondary-title&gt;&lt;/titles&gt;&lt;pages&gt;2054-2073&lt;/pages&gt;&lt;volume&gt;3&lt;/volume&gt;&lt;number&gt;5&lt;/number&gt;&lt;dates&gt;&lt;year&gt;2011&lt;/year&gt;&lt;/dates&gt;&lt;publisher&gt;The Royal Society of Chemistry&lt;/publisher&gt;&lt;isbn&gt;2040-3364&lt;/isbn&gt;&lt;work-type&gt;10.1039/C0NR00857E&lt;/work-type&gt;&lt;urls&gt;&lt;related-urls&gt;&lt;url&gt;http://dx.doi.org/10.1039/C0NR00857E&lt;/url&gt;&lt;/related-urls&gt;&lt;/urls&gt;&lt;electronic-resource-num&gt;10.1039/C0NR00857E&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195</w:t>
      </w:r>
      <w:r>
        <w:rPr>
          <w:color w:val="000000" w:themeColor="text1"/>
          <w:szCs w:val="22"/>
        </w:rPr>
        <w:fldChar w:fldCharType="end"/>
      </w:r>
      <w:r w:rsidRPr="00B94AD7">
        <w:rPr>
          <w:color w:val="000000" w:themeColor="text1"/>
          <w:szCs w:val="22"/>
        </w:rPr>
        <w:t xml:space="preserve">. With this, we say goodbye to metals for now and move to oxides. In the next section </w:t>
      </w:r>
      <w:r w:rsidR="00C80B22">
        <w:rPr>
          <w:color w:val="000000" w:themeColor="text1"/>
          <w:szCs w:val="22"/>
        </w:rPr>
        <w:fldChar w:fldCharType="begin"/>
      </w:r>
      <w:r w:rsidR="00C80B22">
        <w:rPr>
          <w:color w:val="000000" w:themeColor="text1"/>
          <w:szCs w:val="22"/>
        </w:rPr>
        <w:instrText xml:space="preserve"> REF _Ref159882609 \r \h </w:instrText>
      </w:r>
      <w:r w:rsidR="00C80B22">
        <w:rPr>
          <w:color w:val="000000" w:themeColor="text1"/>
          <w:szCs w:val="22"/>
        </w:rPr>
      </w:r>
      <w:r w:rsidR="00C80B22">
        <w:rPr>
          <w:color w:val="000000" w:themeColor="text1"/>
          <w:szCs w:val="22"/>
        </w:rPr>
        <w:fldChar w:fldCharType="separate"/>
      </w:r>
      <w:r w:rsidR="003255C0">
        <w:rPr>
          <w:color w:val="000000" w:themeColor="text1"/>
          <w:szCs w:val="22"/>
        </w:rPr>
        <w:t>3.2.2</w:t>
      </w:r>
      <w:r w:rsidR="00C80B22">
        <w:rPr>
          <w:color w:val="000000" w:themeColor="text1"/>
          <w:szCs w:val="22"/>
        </w:rPr>
        <w:fldChar w:fldCharType="end"/>
      </w:r>
      <w:r w:rsidR="00C80B22">
        <w:rPr>
          <w:color w:val="000000" w:themeColor="text1"/>
          <w:szCs w:val="22"/>
        </w:rPr>
        <w:t xml:space="preserve"> </w:t>
      </w:r>
      <w:r w:rsidRPr="00B94AD7">
        <w:rPr>
          <w:color w:val="000000" w:themeColor="text1"/>
          <w:szCs w:val="22"/>
        </w:rPr>
        <w:t xml:space="preserve">we will explore how oxides can be implemented in the CHE model and </w:t>
      </w:r>
      <w:proofErr w:type="gramStart"/>
      <w:r w:rsidRPr="00B94AD7">
        <w:rPr>
          <w:color w:val="000000" w:themeColor="text1"/>
          <w:szCs w:val="22"/>
        </w:rPr>
        <w:t>whether or not</w:t>
      </w:r>
      <w:proofErr w:type="gramEnd"/>
      <w:r w:rsidRPr="00B94AD7">
        <w:rPr>
          <w:color w:val="000000" w:themeColor="text1"/>
          <w:szCs w:val="22"/>
        </w:rPr>
        <w:t xml:space="preserve"> doing so solves some of </w:t>
      </w:r>
      <w:r w:rsidR="00C32B91">
        <w:rPr>
          <w:color w:val="000000" w:themeColor="text1"/>
          <w:szCs w:val="22"/>
        </w:rPr>
        <w:t xml:space="preserve">the </w:t>
      </w:r>
      <w:r w:rsidRPr="00B94AD7">
        <w:rPr>
          <w:color w:val="000000" w:themeColor="text1"/>
          <w:szCs w:val="22"/>
        </w:rPr>
        <w:t xml:space="preserve">problems we faced up to now. </w:t>
      </w:r>
    </w:p>
    <w:p w14:paraId="5EAC8008" w14:textId="77777777" w:rsidR="00E37E91" w:rsidRPr="00EC6E98" w:rsidRDefault="00E37E91" w:rsidP="00E37E91">
      <w:pPr>
        <w:rPr>
          <w:color w:val="000000" w:themeColor="text1"/>
          <w:szCs w:val="22"/>
        </w:rPr>
      </w:pPr>
    </w:p>
    <w:p w14:paraId="137860C2" w14:textId="54F53DCF" w:rsidR="00F5313D" w:rsidRPr="00EC6E98" w:rsidRDefault="00577291" w:rsidP="00577291">
      <w:pPr>
        <w:pStyle w:val="Heading4"/>
      </w:pPr>
      <w:r>
        <w:t xml:space="preserve"> </w:t>
      </w:r>
      <w:bookmarkStart w:id="84" w:name="_Ref159882609"/>
      <w:bookmarkStart w:id="85" w:name="_Toc166441736"/>
      <w:r w:rsidR="00F5313D" w:rsidRPr="00EC6E98">
        <w:t>CHE model of the OER on rutile-type oxides</w:t>
      </w:r>
      <w:bookmarkEnd w:id="84"/>
      <w:bookmarkEnd w:id="85"/>
      <w:r w:rsidR="00F5313D" w:rsidRPr="00EC6E98">
        <w:t xml:space="preserve"> </w:t>
      </w:r>
    </w:p>
    <w:p w14:paraId="559C837F" w14:textId="77777777" w:rsidR="00F5313D" w:rsidRDefault="00F5313D" w:rsidP="00F5313D">
      <w:pPr>
        <w:ind w:firstLine="720"/>
        <w:rPr>
          <w:iCs/>
          <w:color w:val="000000" w:themeColor="text1"/>
          <w:szCs w:val="22"/>
          <w:shd w:val="clear" w:color="auto" w:fill="FFFFFF"/>
        </w:rPr>
      </w:pPr>
    </w:p>
    <w:p w14:paraId="79068CEA" w14:textId="656E2F93" w:rsidR="00F5313D" w:rsidRPr="00EC6E98" w:rsidRDefault="00F5313D" w:rsidP="004A6FE9">
      <w:pPr>
        <w:ind w:firstLine="720"/>
        <w:rPr>
          <w:color w:val="000000" w:themeColor="text1"/>
          <w:szCs w:val="22"/>
        </w:rPr>
      </w:pPr>
      <w:r w:rsidRPr="00EC6E98">
        <w:rPr>
          <w:iCs/>
          <w:color w:val="000000" w:themeColor="text1"/>
          <w:szCs w:val="22"/>
          <w:shd w:val="clear" w:color="auto" w:fill="FFFFFF"/>
        </w:rPr>
        <w:t xml:space="preserve">While the first application of the CHE model to metal surfaces </w:t>
      </w:r>
      <w:r>
        <w:rPr>
          <w:color w:val="000000" w:themeColor="text1"/>
          <w:szCs w:val="22"/>
        </w:rPr>
        <w:fldChar w:fldCharType="begin"/>
      </w:r>
      <w:r w:rsidR="00FC5BEB">
        <w:rPr>
          <w:color w:val="000000" w:themeColor="text1"/>
          <w:szCs w:val="22"/>
        </w:rPr>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87</w:t>
      </w:r>
      <w:r>
        <w:rPr>
          <w:color w:val="000000" w:themeColor="text1"/>
          <w:szCs w:val="22"/>
        </w:rPr>
        <w:fldChar w:fldCharType="end"/>
      </w:r>
      <w:r>
        <w:rPr>
          <w:color w:val="000000" w:themeColor="text1"/>
          <w:szCs w:val="22"/>
        </w:rPr>
        <w:t xml:space="preserve"> </w:t>
      </w:r>
      <w:r w:rsidRPr="00EC6E98">
        <w:rPr>
          <w:color w:val="000000" w:themeColor="text1"/>
          <w:szCs w:val="22"/>
        </w:rPr>
        <w:t>made significant contributions that still shape both our knowledge of the OER and means of modeling it, the application of the CHE to the OER on rutile-type oxides had arguably an even larger impact</w:t>
      </w:r>
      <w:r>
        <w:rPr>
          <w:color w:val="000000" w:themeColor="text1"/>
          <w:szCs w:val="22"/>
        </w:rPr>
        <w:fldChar w:fldCharType="begin"/>
      </w:r>
      <w:r w:rsidR="00FC5BEB">
        <w:rPr>
          <w:color w:val="000000" w:themeColor="text1"/>
          <w:szCs w:val="22"/>
        </w:rPr>
        <w:instrText xml:space="preserve"> ADDIN EN.CITE &lt;EndNote&gt;&lt;Cite&gt;&lt;Author&gt;Rossmeisl&lt;/Author&gt;&lt;Year&gt;2007&lt;/Year&gt;&lt;RecNum&gt;86&lt;/RecNum&gt;&lt;DisplayText&gt;&lt;style face="superscript"&gt;88&lt;/style&gt;&lt;/DisplayText&gt;&lt;record&gt;&lt;rec-number&gt;86&lt;/rec-number&gt;&lt;foreign-keys&gt;&lt;key app="EN" db-id="2xex0erf4eexr4e2dpbxpdd829xttesxxxdr" timestamp="1715075296"&gt;86&lt;/key&gt;&lt;/foreign-keys&gt;&lt;ref-type name="Journal Article"&gt;17&lt;/ref-type&gt;&lt;contributors&gt;&lt;authors&gt;&lt;author&gt;Rossmeisl, J.&lt;/author&gt;&lt;author&gt;Qu, Z. W.&lt;/author&gt;&lt;author&gt;Zhu, H.&lt;/author&gt;&lt;author&gt;Kroes, G. J.&lt;/author&gt;&lt;author&gt;Nørskov, J. K.&lt;/author&gt;&lt;/authors&gt;&lt;/contributors&gt;&lt;titles&gt;&lt;title&gt;Electrolysis of water on oxide surfaces&lt;/title&gt;&lt;secondary-title&gt;Journal of Electroanalytical Chemistry&lt;/secondary-title&gt;&lt;/titles&gt;&lt;periodical&gt;&lt;full-title&gt;Journal of Electroanalytical Chemistry&lt;/full-title&gt;&lt;abbr-1&gt;J. Electroanal. Chem.&lt;/abbr-1&gt;&lt;abbr-2&gt;J Electroanal Chem&lt;/abbr-2&gt;&lt;/periodical&gt;&lt;pages&gt;83-89&lt;/pages&gt;&lt;volume&gt;607&lt;/volume&gt;&lt;number&gt;1&lt;/number&gt;&lt;keywords&gt;&lt;keyword&gt;Electrolysis&lt;/keyword&gt;&lt;keyword&gt;Oxide surfaces&lt;/keyword&gt;&lt;keyword&gt;Density functional theory&lt;/keyword&gt;&lt;keyword&gt;Linear relations&lt;/keyword&gt;&lt;/keywords&gt;&lt;dates&gt;&lt;year&gt;2007&lt;/year&gt;&lt;pub-dates&gt;&lt;date&gt;2007/09/01/&lt;/date&gt;&lt;/pub-dates&gt;&lt;/dates&gt;&lt;isbn&gt;1572-6657&lt;/isbn&gt;&lt;urls&gt;&lt;related-urls&gt;&lt;url&gt;https://www.sciencedirect.com/science/article/pii/S0022072806006371&lt;/url&gt;&lt;/related-urls&gt;&lt;/urls&gt;&lt;electronic-resource-num&gt;https://doi.org/10.1016/j.jelechem.2006.11.008&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88</w:t>
      </w:r>
      <w:r>
        <w:rPr>
          <w:color w:val="000000" w:themeColor="text1"/>
          <w:szCs w:val="22"/>
        </w:rPr>
        <w:fldChar w:fldCharType="end"/>
      </w:r>
      <w:r>
        <w:rPr>
          <w:color w:val="000000" w:themeColor="text1"/>
          <w:szCs w:val="22"/>
        </w:rPr>
        <w:t>.</w:t>
      </w:r>
      <w:r w:rsidRPr="00EC6E98">
        <w:rPr>
          <w:color w:val="000000" w:themeColor="text1"/>
          <w:szCs w:val="22"/>
        </w:rPr>
        <w:t xml:space="preserve"> In Ref.</w:t>
      </w:r>
      <w:r>
        <w:rPr>
          <w:color w:val="000000" w:themeColor="text1"/>
          <w:szCs w:val="22"/>
        </w:rPr>
        <w:t xml:space="preserve"> </w:t>
      </w:r>
      <w:r>
        <w:rPr>
          <w:color w:val="000000" w:themeColor="text1"/>
          <w:szCs w:val="22"/>
        </w:rPr>
        <w:fldChar w:fldCharType="begin"/>
      </w:r>
      <w:r w:rsidR="00FC5BEB">
        <w:rPr>
          <w:color w:val="000000" w:themeColor="text1"/>
          <w:szCs w:val="22"/>
        </w:rPr>
        <w:instrText xml:space="preserve"> ADDIN EN.CITE &lt;EndNote&gt;&lt;Cite&gt;&lt;Author&gt;Rossmeisl&lt;/Author&gt;&lt;Year&gt;2007&lt;/Year&gt;&lt;RecNum&gt;86&lt;/RecNum&gt;&lt;DisplayText&gt;&lt;style face="superscript"&gt;88&lt;/style&gt;&lt;/DisplayText&gt;&lt;record&gt;&lt;rec-number&gt;86&lt;/rec-number&gt;&lt;foreign-keys&gt;&lt;key app="EN" db-id="2xex0erf4eexr4e2dpbxpdd829xttesxxxdr" timestamp="1715075296"&gt;86&lt;/key&gt;&lt;/foreign-keys&gt;&lt;ref-type name="Journal Article"&gt;17&lt;/ref-type&gt;&lt;contributors&gt;&lt;authors&gt;&lt;author&gt;Rossmeisl, J.&lt;/author&gt;&lt;author&gt;Qu, Z. W.&lt;/author&gt;&lt;author&gt;Zhu, H.&lt;/author&gt;&lt;author&gt;Kroes, G. J.&lt;/author&gt;&lt;author&gt;Nørskov, J. K.&lt;/author&gt;&lt;/authors&gt;&lt;/contributors&gt;&lt;titles&gt;&lt;title&gt;Electrolysis of water on oxide surfaces&lt;/title&gt;&lt;secondary-title&gt;Journal of Electroanalytical Chemistry&lt;/secondary-title&gt;&lt;/titles&gt;&lt;periodical&gt;&lt;full-title&gt;Journal of Electroanalytical Chemistry&lt;/full-title&gt;&lt;abbr-1&gt;J. Electroanal. Chem.&lt;/abbr-1&gt;&lt;abbr-2&gt;J Electroanal Chem&lt;/abbr-2&gt;&lt;/periodical&gt;&lt;pages&gt;83-89&lt;/pages&gt;&lt;volume&gt;607&lt;/volume&gt;&lt;number&gt;1&lt;/number&gt;&lt;keywords&gt;&lt;keyword&gt;Electrolysis&lt;/keyword&gt;&lt;keyword&gt;Oxide surfaces&lt;/keyword&gt;&lt;keyword&gt;Density functional theory&lt;/keyword&gt;&lt;keyword&gt;Linear relations&lt;/keyword&gt;&lt;/keywords&gt;&lt;dates&gt;&lt;year&gt;2007&lt;/year&gt;&lt;pub-dates&gt;&lt;date&gt;2007/09/01/&lt;/date&gt;&lt;/pub-dates&gt;&lt;/dates&gt;&lt;isbn&gt;1572-6657&lt;/isbn&gt;&lt;urls&gt;&lt;related-urls&gt;&lt;url&gt;https://www.sciencedirect.com/science/article/pii/S0022072806006371&lt;/url&gt;&lt;/related-urls&gt;&lt;/urls&gt;&lt;electronic-resource-num&gt;https://doi.org/10.1016/j.jelechem.2006.11.008&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88</w:t>
      </w:r>
      <w:r>
        <w:rPr>
          <w:color w:val="000000" w:themeColor="text1"/>
          <w:szCs w:val="22"/>
        </w:rPr>
        <w:fldChar w:fldCharType="end"/>
      </w:r>
      <w:r w:rsidRPr="00EC6E98">
        <w:rPr>
          <w:color w:val="000000" w:themeColor="text1"/>
          <w:szCs w:val="22"/>
        </w:rPr>
        <w:t xml:space="preserve"> the authors studied the energetics of the OER over a series of rutile-type oxides by applying the same CHE approach and assumptions as were used in Ref. </w:t>
      </w:r>
      <w:r>
        <w:rPr>
          <w:color w:val="000000" w:themeColor="text1"/>
          <w:szCs w:val="22"/>
        </w:rPr>
        <w:fldChar w:fldCharType="begin"/>
      </w:r>
      <w:r w:rsidR="00FC5BEB">
        <w:rPr>
          <w:color w:val="000000" w:themeColor="text1"/>
          <w:szCs w:val="22"/>
        </w:rPr>
        <w:instrText xml:space="preserve"> ADDIN EN.CITE &lt;EndNote&gt;&lt;Cite&gt;&lt;Author&gt;Rossmeisl&lt;/Author&gt;&lt;Year&gt;2007&lt;/Year&gt;&lt;RecNum&gt;86&lt;/RecNum&gt;&lt;DisplayText&gt;&lt;style face="superscript"&gt;88&lt;/style&gt;&lt;/DisplayText&gt;&lt;record&gt;&lt;rec-number&gt;86&lt;/rec-number&gt;&lt;foreign-keys&gt;&lt;key app="EN" db-id="2xex0erf4eexr4e2dpbxpdd829xttesxxxdr" timestamp="1715075296"&gt;86&lt;/key&gt;&lt;/foreign-keys&gt;&lt;ref-type name="Journal Article"&gt;17&lt;/ref-type&gt;&lt;contributors&gt;&lt;authors&gt;&lt;author&gt;Rossmeisl, J.&lt;/author&gt;&lt;author&gt;Qu, Z. W.&lt;/author&gt;&lt;author&gt;Zhu, H.&lt;/author&gt;&lt;author&gt;Kroes, G. J.&lt;/author&gt;&lt;author&gt;Nørskov, J. K.&lt;/author&gt;&lt;/authors&gt;&lt;/contributors&gt;&lt;titles&gt;&lt;title&gt;Electrolysis of water on oxide surfaces&lt;/title&gt;&lt;secondary-title&gt;Journal of Electroanalytical Chemistry&lt;/secondary-title&gt;&lt;/titles&gt;&lt;periodical&gt;&lt;full-title&gt;Journal of Electroanalytical Chemistry&lt;/full-title&gt;&lt;abbr-1&gt;J. Electroanal. Chem.&lt;/abbr-1&gt;&lt;abbr-2&gt;J Electroanal Chem&lt;/abbr-2&gt;&lt;/periodical&gt;&lt;pages&gt;83-89&lt;/pages&gt;&lt;volume&gt;607&lt;/volume&gt;&lt;number&gt;1&lt;/number&gt;&lt;keywords&gt;&lt;keyword&gt;Electrolysis&lt;/keyword&gt;&lt;keyword&gt;Oxide surfaces&lt;/keyword&gt;&lt;keyword&gt;Density functional theory&lt;/keyword&gt;&lt;keyword&gt;Linear relations&lt;/keyword&gt;&lt;/keywords&gt;&lt;dates&gt;&lt;year&gt;2007&lt;/year&gt;&lt;pub-dates&gt;&lt;date&gt;2007/09/01/&lt;/date&gt;&lt;/pub-dates&gt;&lt;/dates&gt;&lt;isbn&gt;1572-6657&lt;/isbn&gt;&lt;urls&gt;&lt;related-urls&gt;&lt;url&gt;https://www.sciencedirect.com/science/article/pii/S0022072806006371&lt;/url&gt;&lt;/related-urls&gt;&lt;/urls&gt;&lt;electronic-resource-num&gt;https://doi.org/10.1016/j.jelechem.2006.11.008&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88</w:t>
      </w:r>
      <w:r>
        <w:rPr>
          <w:color w:val="000000" w:themeColor="text1"/>
          <w:szCs w:val="22"/>
        </w:rPr>
        <w:fldChar w:fldCharType="end"/>
      </w:r>
      <w:r w:rsidR="007C5D34">
        <w:rPr>
          <w:color w:val="000000" w:themeColor="text1"/>
          <w:szCs w:val="22"/>
        </w:rPr>
        <w:t xml:space="preserve"> </w:t>
      </w:r>
      <w:r w:rsidRPr="00EC6E98">
        <w:rPr>
          <w:color w:val="000000" w:themeColor="text1"/>
          <w:szCs w:val="22"/>
        </w:rPr>
        <w:t xml:space="preserve">To do so the authors began by computing the </w:t>
      </w:r>
      <w:r w:rsidRPr="00EC6E98">
        <w:rPr>
          <w:iCs/>
          <w:color w:val="000000" w:themeColor="text1"/>
          <w:szCs w:val="22"/>
        </w:rPr>
        <w:t xml:space="preserve">(pH, </w:t>
      </w:r>
      <w:r w:rsidRPr="00EC6E98">
        <w:rPr>
          <w:i/>
          <w:color w:val="000000" w:themeColor="text1"/>
          <w:szCs w:val="22"/>
        </w:rPr>
        <w:t>U</w:t>
      </w:r>
      <w:r w:rsidRPr="00EC6E98">
        <w:rPr>
          <w:iCs/>
          <w:color w:val="000000" w:themeColor="text1"/>
          <w:szCs w:val="22"/>
        </w:rPr>
        <w:t xml:space="preserve">) </w:t>
      </w:r>
      <w:r w:rsidRPr="00EC6E98">
        <w:rPr>
          <w:color w:val="000000" w:themeColor="text1"/>
          <w:szCs w:val="22"/>
        </w:rPr>
        <w:t xml:space="preserve">surface </w:t>
      </w:r>
      <w:r w:rsidRPr="00EC6E98">
        <w:rPr>
          <w:iCs/>
          <w:color w:val="000000" w:themeColor="text1"/>
          <w:szCs w:val="22"/>
        </w:rPr>
        <w:t>phase diagram of RuO</w:t>
      </w:r>
      <w:r w:rsidRPr="00EC6E98">
        <w:rPr>
          <w:iCs/>
          <w:color w:val="000000" w:themeColor="text1"/>
          <w:szCs w:val="22"/>
          <w:vertAlign w:val="subscript"/>
        </w:rPr>
        <w:t>2</w:t>
      </w:r>
      <w:r w:rsidRPr="00EC6E98">
        <w:rPr>
          <w:iCs/>
          <w:color w:val="000000" w:themeColor="text1"/>
          <w:szCs w:val="22"/>
        </w:rPr>
        <w:t xml:space="preserve">(110) by considering that the CUS, or </w:t>
      </w:r>
      <w:r w:rsidRPr="00EC6E98">
        <w:rPr>
          <w:color w:val="000000" w:themeColor="text1"/>
          <w:szCs w:val="22"/>
        </w:rPr>
        <w:sym w:font="Symbol" w:char="F06D"/>
      </w:r>
      <w:r w:rsidRPr="00EC6E98">
        <w:rPr>
          <w:color w:val="000000" w:themeColor="text1"/>
          <w:szCs w:val="22"/>
          <w:vertAlign w:val="subscript"/>
        </w:rPr>
        <w:t>1</w:t>
      </w:r>
      <w:r w:rsidRPr="00EC6E98">
        <w:rPr>
          <w:color w:val="000000" w:themeColor="text1"/>
          <w:szCs w:val="22"/>
        </w:rPr>
        <w:t xml:space="preserve">-O(H) </w:t>
      </w:r>
      <w:r w:rsidRPr="00EC6E98">
        <w:rPr>
          <w:color w:val="000000" w:themeColor="text1"/>
          <w:szCs w:val="22"/>
        </w:rPr>
        <w:lastRenderedPageBreak/>
        <w:t xml:space="preserve">site, </w:t>
      </w:r>
      <w:r w:rsidRPr="00EC6E98">
        <w:rPr>
          <w:iCs/>
          <w:color w:val="000000" w:themeColor="text1"/>
          <w:szCs w:val="22"/>
        </w:rPr>
        <w:t>and bridge sites could be populated with O or OH, much like was shown for the (</w:t>
      </w:r>
      <w:proofErr w:type="spellStart"/>
      <w:r w:rsidRPr="00EC6E98">
        <w:rPr>
          <w:i/>
          <w:color w:val="000000" w:themeColor="text1"/>
          <w:szCs w:val="22"/>
        </w:rPr>
        <w:t>p</w:t>
      </w:r>
      <w:r w:rsidRPr="00EC6E98">
        <w:rPr>
          <w:iCs/>
          <w:color w:val="000000" w:themeColor="text1"/>
          <w:szCs w:val="22"/>
        </w:rPr>
        <w:t>,</w:t>
      </w:r>
      <w:r w:rsidRPr="00EC6E98">
        <w:rPr>
          <w:i/>
          <w:color w:val="000000" w:themeColor="text1"/>
          <w:szCs w:val="22"/>
        </w:rPr>
        <w:t>T</w:t>
      </w:r>
      <w:proofErr w:type="spellEnd"/>
      <w:r w:rsidRPr="00EC6E98">
        <w:rPr>
          <w:iCs/>
          <w:color w:val="000000" w:themeColor="text1"/>
          <w:szCs w:val="22"/>
        </w:rPr>
        <w:t xml:space="preserve">) surface phase diagram shown in </w:t>
      </w:r>
      <w:r w:rsidR="001A79BA">
        <w:rPr>
          <w:iCs/>
          <w:color w:val="000000" w:themeColor="text1"/>
          <w:szCs w:val="22"/>
        </w:rPr>
        <w:fldChar w:fldCharType="begin"/>
      </w:r>
      <w:r w:rsidR="001A79BA">
        <w:rPr>
          <w:iCs/>
          <w:color w:val="000000" w:themeColor="text1"/>
          <w:szCs w:val="22"/>
        </w:rPr>
        <w:instrText xml:space="preserve"> REF _Ref159509607 \h </w:instrText>
      </w:r>
      <w:r w:rsidR="001A79BA">
        <w:rPr>
          <w:iCs/>
          <w:color w:val="000000" w:themeColor="text1"/>
          <w:szCs w:val="22"/>
        </w:rPr>
      </w:r>
      <w:r w:rsidR="001A79BA">
        <w:rPr>
          <w:iCs/>
          <w:color w:val="000000" w:themeColor="text1"/>
          <w:szCs w:val="22"/>
        </w:rPr>
        <w:fldChar w:fldCharType="separate"/>
      </w:r>
      <w:r w:rsidR="003255C0" w:rsidRPr="00912480">
        <w:rPr>
          <w:b/>
          <w:bCs/>
        </w:rPr>
        <w:t xml:space="preserve">Figure </w:t>
      </w:r>
      <w:r w:rsidR="003255C0">
        <w:rPr>
          <w:b/>
          <w:bCs/>
          <w:noProof/>
        </w:rPr>
        <w:t>9</w:t>
      </w:r>
      <w:r w:rsidR="001A79BA">
        <w:rPr>
          <w:iCs/>
          <w:color w:val="000000" w:themeColor="text1"/>
          <w:szCs w:val="22"/>
        </w:rPr>
        <w:fldChar w:fldCharType="end"/>
      </w:r>
      <w:r w:rsidRPr="00EC6E98">
        <w:rPr>
          <w:iCs/>
          <w:color w:val="000000" w:themeColor="text1"/>
          <w:szCs w:val="22"/>
        </w:rPr>
        <w:t xml:space="preserve">. In the electrochemical reaction, however, the potential oxidizes the surface by stabilizing the electron liberated upon oxidation; that is stabilizing </w:t>
      </w:r>
      <m:oMath>
        <m:d>
          <m:dPr>
            <m:ctrlPr>
              <w:rPr>
                <w:rFonts w:ascii="Cambria Math" w:eastAsiaTheme="minorHAnsi" w:hAnsi="Cambria Math"/>
                <w:i/>
                <w:iCs/>
                <w:color w:val="000000" w:themeColor="text1"/>
                <w:szCs w:val="22"/>
                <w:shd w:val="clear" w:color="auto" w:fill="FFFFFF"/>
              </w:rPr>
            </m:ctrlPr>
          </m:dPr>
          <m:e>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μ</m:t>
                </m:r>
              </m:e>
              <m:sub>
                <m:r>
                  <m:rPr>
                    <m:sty m:val="p"/>
                  </m:rPr>
                  <w:rPr>
                    <w:rFonts w:ascii="Cambria Math" w:hAnsi="Cambria Math"/>
                    <w:color w:val="000000" w:themeColor="text1"/>
                    <w:szCs w:val="22"/>
                    <w:shd w:val="clear" w:color="auto" w:fill="FFFFFF"/>
                  </w:rPr>
                  <m:t>H+</m:t>
                </m:r>
              </m:sub>
            </m:sSub>
            <m:r>
              <w:rPr>
                <w:rFonts w:ascii="Cambria Math" w:hAnsi="Cambria Math"/>
                <w:color w:val="000000" w:themeColor="text1"/>
                <w:szCs w:val="22"/>
                <w:shd w:val="clear" w:color="auto" w:fill="FFFFFF"/>
              </w:rPr>
              <m:t>+</m:t>
            </m:r>
            <m:sSub>
              <m:sSubPr>
                <m:ctrlPr>
                  <w:rPr>
                    <w:rFonts w:ascii="Cambria Math" w:eastAsiaTheme="minorHAnsi" w:hAnsi="Cambria Math"/>
                    <w:i/>
                    <w:iCs/>
                    <w:color w:val="000000" w:themeColor="text1"/>
                    <w:szCs w:val="22"/>
                    <w:shd w:val="clear" w:color="auto" w:fill="FFFFFF"/>
                  </w:rPr>
                </m:ctrlPr>
              </m:sSubPr>
              <m:e>
                <m:r>
                  <w:rPr>
                    <w:rFonts w:ascii="Cambria Math" w:hAnsi="Cambria Math"/>
                    <w:color w:val="000000" w:themeColor="text1"/>
                    <w:szCs w:val="22"/>
                    <w:shd w:val="clear" w:color="auto" w:fill="FFFFFF"/>
                  </w:rPr>
                  <m:t>μ</m:t>
                </m:r>
              </m:e>
              <m:sub>
                <m:r>
                  <m:rPr>
                    <m:sty m:val="p"/>
                  </m:rPr>
                  <w:rPr>
                    <w:rFonts w:ascii="Cambria Math" w:hAnsi="Cambria Math"/>
                    <w:color w:val="000000" w:themeColor="text1"/>
                    <w:szCs w:val="22"/>
                    <w:shd w:val="clear" w:color="auto" w:fill="FFFFFF"/>
                  </w:rPr>
                  <m:t>e</m:t>
                </m:r>
                <m:r>
                  <w:rPr>
                    <w:rFonts w:ascii="Cambria Math" w:hAnsi="Cambria Math"/>
                    <w:color w:val="000000" w:themeColor="text1"/>
                    <w:szCs w:val="22"/>
                    <w:shd w:val="clear" w:color="auto" w:fill="FFFFFF"/>
                  </w:rPr>
                  <m:t>-</m:t>
                </m:r>
              </m:sub>
            </m:sSub>
          </m:e>
        </m:d>
      </m:oMath>
      <w:r w:rsidRPr="00EC6E98">
        <w:rPr>
          <w:iCs/>
          <w:color w:val="000000" w:themeColor="text1"/>
          <w:szCs w:val="22"/>
          <w:shd w:val="clear" w:color="auto" w:fill="FFFFFF"/>
        </w:rPr>
        <w:t xml:space="preserve"> in the CHE model. The authors of Ref.</w:t>
      </w:r>
      <w:r>
        <w:rPr>
          <w:iCs/>
          <w:color w:val="000000" w:themeColor="text1"/>
          <w:szCs w:val="22"/>
          <w:shd w:val="clear" w:color="auto" w:fill="FFFFFF"/>
        </w:rPr>
        <w:t xml:space="preserve"> </w:t>
      </w:r>
      <w:r>
        <w:rPr>
          <w:iCs/>
          <w:color w:val="000000" w:themeColor="text1"/>
          <w:szCs w:val="22"/>
          <w:shd w:val="clear" w:color="auto" w:fill="FFFFFF"/>
        </w:rPr>
        <w:fldChar w:fldCharType="begin"/>
      </w:r>
      <w:r w:rsidR="00FC5BEB">
        <w:rPr>
          <w:iCs/>
          <w:color w:val="000000" w:themeColor="text1"/>
          <w:szCs w:val="22"/>
          <w:shd w:val="clear" w:color="auto" w:fill="FFFFFF"/>
        </w:rPr>
        <w:instrText xml:space="preserve"> ADDIN EN.CITE &lt;EndNote&gt;&lt;Cite&gt;&lt;Author&gt;Rossmeisl&lt;/Author&gt;&lt;Year&gt;2007&lt;/Year&gt;&lt;RecNum&gt;86&lt;/RecNum&gt;&lt;DisplayText&gt;&lt;style face="superscript"&gt;88&lt;/style&gt;&lt;/DisplayText&gt;&lt;record&gt;&lt;rec-number&gt;86&lt;/rec-number&gt;&lt;foreign-keys&gt;&lt;key app="EN" db-id="2xex0erf4eexr4e2dpbxpdd829xttesxxxdr" timestamp="1715075296"&gt;86&lt;/key&gt;&lt;/foreign-keys&gt;&lt;ref-type name="Journal Article"&gt;17&lt;/ref-type&gt;&lt;contributors&gt;&lt;authors&gt;&lt;author&gt;Rossmeisl, J.&lt;/author&gt;&lt;author&gt;Qu, Z. W.&lt;/author&gt;&lt;author&gt;Zhu, H.&lt;/author&gt;&lt;author&gt;Kroes, G. J.&lt;/author&gt;&lt;author&gt;Nørskov, J. K.&lt;/author&gt;&lt;/authors&gt;&lt;/contributors&gt;&lt;titles&gt;&lt;title&gt;Electrolysis of water on oxide surfaces&lt;/title&gt;&lt;secondary-title&gt;Journal of Electroanalytical Chemistry&lt;/secondary-title&gt;&lt;/titles&gt;&lt;periodical&gt;&lt;full-title&gt;Journal of Electroanalytical Chemistry&lt;/full-title&gt;&lt;abbr-1&gt;J. Electroanal. Chem.&lt;/abbr-1&gt;&lt;abbr-2&gt;J Electroanal Chem&lt;/abbr-2&gt;&lt;/periodical&gt;&lt;pages&gt;83-89&lt;/pages&gt;&lt;volume&gt;607&lt;/volume&gt;&lt;number&gt;1&lt;/number&gt;&lt;keywords&gt;&lt;keyword&gt;Electrolysis&lt;/keyword&gt;&lt;keyword&gt;Oxide surfaces&lt;/keyword&gt;&lt;keyword&gt;Density functional theory&lt;/keyword&gt;&lt;keyword&gt;Linear relations&lt;/keyword&gt;&lt;/keywords&gt;&lt;dates&gt;&lt;year&gt;2007&lt;/year&gt;&lt;pub-dates&gt;&lt;date&gt;2007/09/01/&lt;/date&gt;&lt;/pub-dates&gt;&lt;/dates&gt;&lt;isbn&gt;1572-6657&lt;/isbn&gt;&lt;urls&gt;&lt;related-urls&gt;&lt;url&gt;https://www.sciencedirect.com/science/article/pii/S0022072806006371&lt;/url&gt;&lt;/related-urls&gt;&lt;/urls&gt;&lt;electronic-resource-num&gt;https://doi.org/10.1016/j.jelechem.2006.11.008&lt;/electronic-resource-num&gt;&lt;/record&gt;&lt;/Cite&gt;&lt;/EndNote&gt;</w:instrText>
      </w:r>
      <w:r>
        <w:rPr>
          <w:iCs/>
          <w:color w:val="000000" w:themeColor="text1"/>
          <w:szCs w:val="22"/>
          <w:shd w:val="clear" w:color="auto" w:fill="FFFFFF"/>
        </w:rPr>
        <w:fldChar w:fldCharType="separate"/>
      </w:r>
      <w:r w:rsidR="00FC5BEB" w:rsidRPr="00FC5BEB">
        <w:rPr>
          <w:iCs/>
          <w:noProof/>
          <w:color w:val="000000" w:themeColor="text1"/>
          <w:szCs w:val="22"/>
          <w:shd w:val="clear" w:color="auto" w:fill="FFFFFF"/>
          <w:vertAlign w:val="superscript"/>
        </w:rPr>
        <w:t>88</w:t>
      </w:r>
      <w:r>
        <w:rPr>
          <w:iCs/>
          <w:color w:val="000000" w:themeColor="text1"/>
          <w:szCs w:val="22"/>
          <w:shd w:val="clear" w:color="auto" w:fill="FFFFFF"/>
        </w:rPr>
        <w:fldChar w:fldCharType="end"/>
      </w:r>
      <w:r w:rsidRPr="00EC6E98">
        <w:rPr>
          <w:iCs/>
          <w:color w:val="000000" w:themeColor="text1"/>
          <w:szCs w:val="22"/>
          <w:shd w:val="clear" w:color="auto" w:fill="FFFFFF"/>
        </w:rPr>
        <w:t xml:space="preserve"> </w:t>
      </w:r>
      <w:r w:rsidRPr="00EC6E98">
        <w:rPr>
          <w:color w:val="000000" w:themeColor="text1"/>
          <w:szCs w:val="22"/>
        </w:rPr>
        <w:t>found the RuO</w:t>
      </w:r>
      <w:r w:rsidRPr="00EC6E98">
        <w:rPr>
          <w:color w:val="000000" w:themeColor="text1"/>
          <w:szCs w:val="22"/>
          <w:vertAlign w:val="subscript"/>
        </w:rPr>
        <w:t>2</w:t>
      </w:r>
      <w:r w:rsidRPr="00EC6E98">
        <w:rPr>
          <w:color w:val="000000" w:themeColor="text1"/>
          <w:szCs w:val="22"/>
        </w:rPr>
        <w:t xml:space="preserve"> (110) surface is oxidized above 1.4 V when the DFT simulations were performed in vacuum. By checking the effect of explicit solvation with five water molecules, the authors argued solvation effects can be ignored on oxides because they found energy changes of less than 0.05 eV, an observation the community took to be generally true across all oxides. The authors then assumed the OER takes place via the nucleophilic attack mechanism and modeled it under acidic conditions </w:t>
      </w:r>
      <w:r w:rsidRPr="004B35B6">
        <w:rPr>
          <w:color w:val="000000" w:themeColor="text1"/>
          <w:szCs w:val="22"/>
        </w:rPr>
        <w:t xml:space="preserve">using </w:t>
      </w:r>
      <w:r w:rsidRPr="004B35B6">
        <w:rPr>
          <w:color w:val="000000" w:themeColor="text1"/>
          <w:szCs w:val="22"/>
        </w:rPr>
        <w:fldChar w:fldCharType="begin"/>
      </w:r>
      <w:r w:rsidRPr="004B35B6">
        <w:rPr>
          <w:color w:val="000000" w:themeColor="text1"/>
          <w:szCs w:val="22"/>
        </w:rPr>
        <w:instrText xml:space="preserve"> REF _Ref159510668 \h </w:instrText>
      </w:r>
      <w:r w:rsidR="004B35B6">
        <w:rPr>
          <w:color w:val="000000" w:themeColor="text1"/>
          <w:szCs w:val="22"/>
        </w:rPr>
        <w:instrText xml:space="preserve"> \* MERGEFORMAT </w:instrText>
      </w:r>
      <w:r w:rsidRPr="004B35B6">
        <w:rPr>
          <w:color w:val="000000" w:themeColor="text1"/>
          <w:szCs w:val="22"/>
        </w:rPr>
      </w:r>
      <w:r w:rsidRPr="004B35B6">
        <w:rPr>
          <w:color w:val="000000" w:themeColor="text1"/>
          <w:szCs w:val="22"/>
        </w:rPr>
        <w:fldChar w:fldCharType="separate"/>
      </w:r>
      <w:r w:rsidR="003255C0" w:rsidRPr="00245F0C">
        <w:rPr>
          <w:szCs w:val="22"/>
        </w:rPr>
        <w:t xml:space="preserve">Equation </w:t>
      </w:r>
      <w:r w:rsidR="003255C0" w:rsidRPr="00245F0C">
        <w:rPr>
          <w:noProof/>
          <w:szCs w:val="22"/>
        </w:rPr>
        <w:t>38</w:t>
      </w:r>
      <w:r w:rsidRPr="004B35B6">
        <w:rPr>
          <w:color w:val="000000" w:themeColor="text1"/>
          <w:szCs w:val="22"/>
        </w:rPr>
        <w:fldChar w:fldCharType="end"/>
      </w:r>
      <w:r w:rsidRPr="004B35B6">
        <w:rPr>
          <w:color w:val="000000" w:themeColor="text1"/>
          <w:szCs w:val="22"/>
        </w:rPr>
        <w:t>-41</w:t>
      </w:r>
      <w:r w:rsidRPr="00EC6E98">
        <w:rPr>
          <w:color w:val="000000" w:themeColor="text1"/>
          <w:szCs w:val="22"/>
        </w:rPr>
        <w:t xml:space="preserve">, where only the CUS, </w:t>
      </w:r>
      <w:r w:rsidRPr="00EC6E98">
        <w:rPr>
          <w:iCs/>
          <w:color w:val="000000" w:themeColor="text1"/>
          <w:szCs w:val="22"/>
        </w:rPr>
        <w:t xml:space="preserve">or </w:t>
      </w:r>
      <w:r w:rsidRPr="00EC6E98">
        <w:rPr>
          <w:color w:val="000000" w:themeColor="text1"/>
          <w:szCs w:val="22"/>
        </w:rPr>
        <w:sym w:font="Symbol" w:char="F06D"/>
      </w:r>
      <w:r w:rsidRPr="00EC6E98">
        <w:rPr>
          <w:color w:val="000000" w:themeColor="text1"/>
          <w:szCs w:val="22"/>
          <w:vertAlign w:val="subscript"/>
        </w:rPr>
        <w:t>1</w:t>
      </w:r>
      <w:r w:rsidRPr="00EC6E98">
        <w:rPr>
          <w:color w:val="000000" w:themeColor="text1"/>
          <w:szCs w:val="22"/>
        </w:rPr>
        <w:t xml:space="preserve">-O(H), site participates directly in the reaction, see </w:t>
      </w:r>
      <w:r w:rsidR="001A79BA">
        <w:rPr>
          <w:color w:val="000000" w:themeColor="text1"/>
          <w:szCs w:val="22"/>
        </w:rPr>
        <w:fldChar w:fldCharType="begin"/>
      </w:r>
      <w:r w:rsidR="001A79BA">
        <w:rPr>
          <w:color w:val="000000" w:themeColor="text1"/>
          <w:szCs w:val="22"/>
        </w:rPr>
        <w:instrText xml:space="preserve"> REF _Ref159514885 \h </w:instrText>
      </w:r>
      <w:r w:rsidR="001A79BA">
        <w:rPr>
          <w:color w:val="000000" w:themeColor="text1"/>
          <w:szCs w:val="22"/>
        </w:rPr>
      </w:r>
      <w:r w:rsidR="001A79BA">
        <w:rPr>
          <w:color w:val="000000" w:themeColor="text1"/>
          <w:szCs w:val="22"/>
        </w:rPr>
        <w:fldChar w:fldCharType="separate"/>
      </w:r>
      <w:r w:rsidR="003255C0" w:rsidRPr="001A79BA">
        <w:rPr>
          <w:b/>
          <w:bCs/>
        </w:rPr>
        <w:t xml:space="preserve">Figure </w:t>
      </w:r>
      <w:r w:rsidR="003255C0">
        <w:rPr>
          <w:b/>
          <w:bCs/>
          <w:noProof/>
        </w:rPr>
        <w:t>13</w:t>
      </w:r>
      <w:r w:rsidR="001A79BA">
        <w:rPr>
          <w:color w:val="000000" w:themeColor="text1"/>
          <w:szCs w:val="22"/>
        </w:rPr>
        <w:fldChar w:fldCharType="end"/>
      </w:r>
      <w:r w:rsidRPr="00EC6E98">
        <w:rPr>
          <w:color w:val="000000" w:themeColor="text1"/>
          <w:szCs w:val="22"/>
        </w:rPr>
        <w:t xml:space="preserve">. This results in </w:t>
      </w:r>
      <w:r>
        <w:rPr>
          <w:color w:val="000000" w:themeColor="text1"/>
          <w:szCs w:val="22"/>
        </w:rPr>
        <w:t>*OOH</w:t>
      </w:r>
      <w:r w:rsidRPr="00EC6E98">
        <w:rPr>
          <w:color w:val="000000" w:themeColor="text1"/>
          <w:szCs w:val="22"/>
        </w:rPr>
        <w:t xml:space="preserve"> formation being the PDS, which requires a potential of 1.60 V, giving </w:t>
      </w:r>
      <w:r w:rsidRPr="00EC6E98">
        <w:rPr>
          <w:i/>
          <w:color w:val="000000" w:themeColor="text1"/>
          <w:szCs w:val="22"/>
        </w:rPr>
        <w:sym w:font="Symbol" w:char="F068"/>
      </w:r>
      <w:r w:rsidRPr="00EC6E98">
        <w:rPr>
          <w:iCs/>
          <w:color w:val="000000" w:themeColor="text1"/>
          <w:szCs w:val="22"/>
          <w:vertAlign w:val="subscript"/>
        </w:rPr>
        <w:t>CHE</w:t>
      </w:r>
      <w:r w:rsidRPr="00EC6E98">
        <w:rPr>
          <w:color w:val="000000" w:themeColor="text1"/>
          <w:szCs w:val="22"/>
        </w:rPr>
        <w:t xml:space="preserve"> = 0.37 V, a </w:t>
      </w:r>
      <w:r>
        <w:rPr>
          <w:color w:val="000000" w:themeColor="text1"/>
          <w:szCs w:val="22"/>
        </w:rPr>
        <w:t>modest</w:t>
      </w:r>
      <w:r w:rsidRPr="00EC6E98">
        <w:rPr>
          <w:color w:val="000000" w:themeColor="text1"/>
          <w:szCs w:val="22"/>
        </w:rPr>
        <w:t xml:space="preserve"> discrepancy with the 0.1-0.2 V seen in experiment</w:t>
      </w:r>
      <w:r>
        <w:rPr>
          <w:color w:val="000000" w:themeColor="text1"/>
          <w:szCs w:val="22"/>
          <w:shd w:val="clear" w:color="auto" w:fill="FFFFFF"/>
        </w:rPr>
        <w:fldChar w:fldCharType="begin">
          <w:fldData xml:space="preserve">PEVuZE5vdGU+PENpdGU+PEF1dGhvcj5HYWxpenppb2xpPC9BdXRob3I+PFllYXI+MTk3NDwvWWVh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</w:fldData>
        </w:fldChar>
      </w:r>
      <w:r w:rsidR="00FC5BEB">
        <w:rPr>
          <w:color w:val="000000" w:themeColor="text1"/>
          <w:szCs w:val="22"/>
          <w:shd w:val="clear" w:color="auto" w:fill="FFFFFF"/>
        </w:rPr>
        <w:instrText xml:space="preserve"> ADDIN EN.CITE </w:instrText>
      </w:r>
      <w:r w:rsidR="00FC5BEB">
        <w:rPr>
          <w:color w:val="000000" w:themeColor="text1"/>
          <w:szCs w:val="22"/>
          <w:shd w:val="clear" w:color="auto" w:fill="FFFFFF"/>
        </w:rPr>
        <w:fldChar w:fldCharType="begin">
          <w:fldData xml:space="preserve">PEVuZE5vdGU+PENpdGU+PEF1dGhvcj5HYWxpenppb2xpPC9BdXRob3I+PFllYXI+MTk3NDwvWWVh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</w:fldData>
        </w:fldChar>
      </w:r>
      <w:r w:rsidR="00FC5BEB">
        <w:rPr>
          <w:color w:val="000000" w:themeColor="text1"/>
          <w:szCs w:val="22"/>
          <w:shd w:val="clear" w:color="auto" w:fill="FFFFFF"/>
        </w:rPr>
        <w:instrText xml:space="preserve"> ADDIN EN.CITE.DATA </w:instrText>
      </w:r>
      <w:r w:rsidR="00FC5BEB">
        <w:rPr>
          <w:color w:val="000000" w:themeColor="text1"/>
          <w:szCs w:val="22"/>
          <w:shd w:val="clear" w:color="auto" w:fill="FFFFFF"/>
        </w:rPr>
      </w:r>
      <w:r w:rsidR="00FC5BEB">
        <w:rPr>
          <w:color w:val="000000" w:themeColor="text1"/>
          <w:szCs w:val="22"/>
          <w:shd w:val="clear" w:color="auto" w:fill="FFFFFF"/>
        </w:rPr>
        <w:fldChar w:fldCharType="end"/>
      </w:r>
      <w:r>
        <w:rPr>
          <w:color w:val="000000" w:themeColor="text1"/>
          <w:szCs w:val="22"/>
          <w:shd w:val="clear" w:color="auto" w:fill="FFFFFF"/>
        </w:rPr>
      </w:r>
      <w:r>
        <w:rPr>
          <w:color w:val="000000" w:themeColor="text1"/>
          <w:szCs w:val="22"/>
          <w:shd w:val="clear" w:color="auto" w:fill="FFFFFF"/>
        </w:rPr>
        <w:fldChar w:fldCharType="separate"/>
      </w:r>
      <w:r w:rsidR="00FC5BEB" w:rsidRPr="00FC5BEB">
        <w:rPr>
          <w:noProof/>
          <w:color w:val="000000" w:themeColor="text1"/>
          <w:szCs w:val="22"/>
          <w:shd w:val="clear" w:color="auto" w:fill="FFFFFF"/>
          <w:vertAlign w:val="superscript"/>
        </w:rPr>
        <w:t>196, 197</w:t>
      </w:r>
      <w:r>
        <w:rPr>
          <w:color w:val="000000" w:themeColor="text1"/>
          <w:szCs w:val="22"/>
          <w:shd w:val="clear" w:color="auto" w:fill="FFFFFF"/>
        </w:rPr>
        <w:fldChar w:fldCharType="end"/>
      </w:r>
      <w:r w:rsidRPr="00EC6E98">
        <w:rPr>
          <w:color w:val="000000" w:themeColor="text1"/>
          <w:szCs w:val="22"/>
        </w:rPr>
        <w:t xml:space="preserve"> </w:t>
      </w:r>
      <w:r>
        <w:rPr>
          <w:color w:val="000000" w:themeColor="text1"/>
          <w:szCs w:val="22"/>
          <w:shd w:val="clear" w:color="auto" w:fill="FFFFFF"/>
        </w:rPr>
        <w:fldChar w:fldCharType="begin"/>
      </w:r>
      <w:r w:rsidR="00FC5BEB">
        <w:rPr>
          <w:color w:val="000000" w:themeColor="text1"/>
          <w:szCs w:val="22"/>
          <w:shd w:val="clear" w:color="auto" w:fill="FFFFFF"/>
        </w:rPr>
        <w:instrText xml:space="preserve"> ADDIN EN.CITE &lt;EndNote&gt;&lt;Cite&gt;&lt;Author&gt;Matsumoto&lt;/Author&gt;&lt;Year&gt;1986&lt;/Year&gt;&lt;RecNum&gt;137&lt;/RecNum&gt;&lt;DisplayText&gt;&lt;style face="superscript"&gt;139&lt;/style&gt;&lt;/DisplayText&gt;&lt;record&gt;&lt;rec-number&gt;137&lt;/rec-number&gt;&lt;foreign-keys&gt;&lt;key app="EN" db-id="2xex0erf4eexr4e2dpbxpdd829xttesxxxdr" timestamp="1715075296"&gt;137&lt;/key&gt;&lt;/foreign-keys&gt;&lt;ref-type name="Journal Article"&gt;17&lt;/ref-type&gt;&lt;contributors&gt;&lt;authors&gt;&lt;author&gt;Matsumoto, Y.&lt;/author&gt;&lt;author&gt;Sato, E.&lt;/author&gt;&lt;/authors&gt;&lt;/contributors&gt;&lt;titles&gt;&lt;title&gt;Electrocatalytic properties of transition metal oxides for oxygen evolution reaction&lt;/title&gt;&lt;secondary-title&gt;Materials Chemistry and Physics&lt;/secondary-title&gt;&lt;/titles&gt;&lt;periodical&gt;&lt;full-title&gt;Materials Chemistry and Physics&lt;/full-title&gt;&lt;abbr-1&gt;Mater. Chem. Phys.&lt;/abbr-1&gt;&lt;abbr-2&gt;Mater Chem Phys&lt;/abbr-2&gt;&lt;/periodical&gt;&lt;pages&gt;397-426&lt;/pages&gt;&lt;volume&gt;14&lt;/volume&gt;&lt;number&gt;5&lt;/number&gt;&lt;dates&gt;&lt;year&gt;1986&lt;/year&gt;&lt;pub-dates&gt;&lt;date&gt;1986/05/01/&lt;/date&gt;&lt;/pub-dates&gt;&lt;/dates&gt;&lt;isbn&gt;0254-0584&lt;/isbn&gt;&lt;urls&gt;&lt;related-urls&gt;&lt;url&gt;https://www.sciencedirect.com/science/article/pii/0254058486900453&lt;/url&gt;&lt;/related-urls&gt;&lt;/urls&gt;&lt;electronic-resource-num&gt;https://doi.org/10.1016/0254-0584(86)90045-3&lt;/electronic-resource-num&gt;&lt;/record&gt;&lt;/Cite&gt;&lt;/EndNote&gt;</w:instrText>
      </w:r>
      <w:r>
        <w:rPr>
          <w:color w:val="000000" w:themeColor="text1"/>
          <w:szCs w:val="22"/>
          <w:shd w:val="clear" w:color="auto" w:fill="FFFFFF"/>
        </w:rPr>
        <w:fldChar w:fldCharType="separate"/>
      </w:r>
      <w:r w:rsidR="00FC5BEB" w:rsidRPr="00FC5BEB">
        <w:rPr>
          <w:noProof/>
          <w:color w:val="000000" w:themeColor="text1"/>
          <w:szCs w:val="22"/>
          <w:shd w:val="clear" w:color="auto" w:fill="FFFFFF"/>
          <w:vertAlign w:val="superscript"/>
        </w:rPr>
        <w:t>139</w:t>
      </w:r>
      <w:r>
        <w:rPr>
          <w:color w:val="000000" w:themeColor="text1"/>
          <w:szCs w:val="22"/>
          <w:shd w:val="clear" w:color="auto" w:fill="FFFFFF"/>
        </w:rPr>
        <w:fldChar w:fldCharType="end"/>
      </w:r>
      <w:r w:rsidRPr="00EC6E98">
        <w:rPr>
          <w:color w:val="000000" w:themeColor="text1"/>
          <w:szCs w:val="22"/>
          <w:shd w:val="clear" w:color="auto" w:fill="FFFFFF"/>
        </w:rPr>
        <w:t xml:space="preserve"> that has been the subject of discussion</w:t>
      </w:r>
      <w:r>
        <w:rPr>
          <w:szCs w:val="22"/>
        </w:rPr>
        <w:fldChar w:fldCharType="begin">
          <w:fldData xml:space="preserve">PEVuZE5vdGU+PENpdGU+PEF1dGhvcj5EaXZhbmlzPC9BdXRob3I+PFllYXI+MjAyMTwvWWVhcj48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</w:fldData>
        </w:fldChar>
      </w:r>
      <w:r w:rsidR="00FC5BEB">
        <w:rPr>
          <w:szCs w:val="22"/>
        </w:rPr>
        <w:instrText xml:space="preserve"> ADDIN EN.CITE </w:instrText>
      </w:r>
      <w:r w:rsidR="00FC5BEB">
        <w:rPr>
          <w:szCs w:val="22"/>
        </w:rPr>
        <w:fldChar w:fldCharType="begin">
          <w:fldData xml:space="preserve">PEVuZE5vdGU+PENpdGU+PEF1dGhvcj5EaXZhbmlzPC9BdXRob3I+PFllYXI+MjAyMTwvWWVhcj48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</w:fldData>
        </w:fldChar>
      </w:r>
      <w:r w:rsidR="00FC5BEB">
        <w:rPr>
          <w:szCs w:val="22"/>
        </w:rPr>
        <w:instrText xml:space="preserve"> ADDIN EN.CITE.DATA </w:instrText>
      </w:r>
      <w:r w:rsidR="00FC5BEB">
        <w:rPr>
          <w:szCs w:val="22"/>
        </w:rPr>
      </w:r>
      <w:r w:rsidR="00FC5BEB">
        <w:rPr>
          <w:szCs w:val="22"/>
        </w:rPr>
        <w:fldChar w:fldCharType="end"/>
      </w:r>
      <w:r>
        <w:rPr>
          <w:szCs w:val="22"/>
        </w:rPr>
      </w:r>
      <w:r>
        <w:rPr>
          <w:szCs w:val="22"/>
        </w:rPr>
        <w:fldChar w:fldCharType="separate"/>
      </w:r>
      <w:r w:rsidR="00FC5BEB" w:rsidRPr="00FC5BEB">
        <w:rPr>
          <w:noProof/>
          <w:szCs w:val="22"/>
          <w:vertAlign w:val="superscript"/>
        </w:rPr>
        <w:t>198, 199</w:t>
      </w:r>
      <w:r>
        <w:rPr>
          <w:szCs w:val="22"/>
        </w:rPr>
        <w:fldChar w:fldCharType="end"/>
      </w:r>
      <w:r>
        <w:rPr>
          <w:szCs w:val="22"/>
        </w:rPr>
        <w:t xml:space="preserve">. </w:t>
      </w:r>
      <w:r w:rsidRPr="00EC6E98">
        <w:rPr>
          <w:color w:val="000000" w:themeColor="text1"/>
          <w:szCs w:val="22"/>
          <w:shd w:val="clear" w:color="auto" w:fill="FFFFFF"/>
        </w:rPr>
        <w:t xml:space="preserve">The agreement between theory and experiment becomes worse if the </w:t>
      </w:r>
      <w:r>
        <w:rPr>
          <w:color w:val="000000" w:themeColor="text1"/>
          <w:szCs w:val="22"/>
          <w:shd w:val="clear" w:color="auto" w:fill="FFFFFF"/>
        </w:rPr>
        <w:t>*OH</w:t>
      </w:r>
      <w:r w:rsidRPr="00EC6E98">
        <w:rPr>
          <w:color w:val="000000" w:themeColor="text1"/>
          <w:szCs w:val="22"/>
          <w:shd w:val="clear" w:color="auto" w:fill="FFFFFF"/>
        </w:rPr>
        <w:t xml:space="preserve"> covered surface is employed rather than an </w:t>
      </w:r>
      <w:r>
        <w:rPr>
          <w:color w:val="000000" w:themeColor="text1"/>
          <w:szCs w:val="22"/>
          <w:shd w:val="clear" w:color="auto" w:fill="FFFFFF"/>
        </w:rPr>
        <w:t>*O</w:t>
      </w:r>
      <w:r w:rsidRPr="00EC6E98">
        <w:rPr>
          <w:color w:val="000000" w:themeColor="text1"/>
          <w:szCs w:val="22"/>
          <w:shd w:val="clear" w:color="auto" w:fill="FFFFFF"/>
        </w:rPr>
        <w:t xml:space="preserve"> covered surface. In the case of the protonated surface </w:t>
      </w:r>
      <w:r w:rsidRPr="00EC6E98">
        <w:rPr>
          <w:i/>
          <w:color w:val="000000" w:themeColor="text1"/>
          <w:szCs w:val="22"/>
        </w:rPr>
        <w:sym w:font="Symbol" w:char="F068"/>
      </w:r>
      <w:r w:rsidRPr="00EC6E98">
        <w:rPr>
          <w:iCs/>
          <w:color w:val="000000" w:themeColor="text1"/>
          <w:szCs w:val="22"/>
          <w:vertAlign w:val="subscript"/>
        </w:rPr>
        <w:t>CHE</w:t>
      </w:r>
      <w:r w:rsidRPr="00EC6E98">
        <w:rPr>
          <w:iCs/>
          <w:color w:val="000000" w:themeColor="text1"/>
          <w:szCs w:val="22"/>
        </w:rPr>
        <w:t>=0.5 V,</w:t>
      </w:r>
      <w:r w:rsidRPr="00EC6E98">
        <w:rPr>
          <w:color w:val="000000" w:themeColor="text1"/>
          <w:szCs w:val="22"/>
          <w:shd w:val="clear" w:color="auto" w:fill="FFFFFF"/>
        </w:rPr>
        <w:t xml:space="preserve"> which again demonstrates the importance of identifying the correct surface phase.</w:t>
      </w:r>
      <w:r w:rsidRPr="00EC6E98">
        <w:rPr>
          <w:color w:val="000000" w:themeColor="text1"/>
          <w:szCs w:val="22"/>
          <w:shd w:val="clear" w:color="auto" w:fill="FFFFFF"/>
        </w:rPr>
        <w:tab/>
        <w:t xml:space="preserve"> </w:t>
      </w:r>
    </w:p>
    <w:p w14:paraId="0B58E1BB" w14:textId="5F7CFCD3" w:rsidR="00F5313D" w:rsidRPr="00EC6E98" w:rsidRDefault="004F5F82" w:rsidP="00F5313D">
      <w:pPr>
        <w:rPr>
          <w:color w:val="000000" w:themeColor="text1"/>
          <w:szCs w:val="22"/>
        </w:rPr>
      </w:pPr>
      <w:r w:rsidRPr="004F5F82">
        <w:rPr>
          <w:noProof/>
          <w:color w:val="000000" w:themeColor="text1"/>
          <w:szCs w:val="22"/>
        </w:rPr>
        <w:drawing>
          <wp:inline distT="0" distB="0" distL="0" distR="0" wp14:anchorId="78AC34A4" wp14:editId="4F5B28FD">
            <wp:extent cx="5731510" cy="810260"/>
            <wp:effectExtent l="0" t="0" r="0" b="2540"/>
            <wp:docPr id="199197883" name="Picture 1"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197883" name="Picture 1" descr="Shape&#10;&#10;Description automatically generated with medium confidence"/>
                    <pic:cNvPicPr/>
                  </pic:nvPicPr>
                  <pic:blipFill>
                    <a:blip r:embed="rId23"/>
                    <a:stretch>
                      <a:fillRect/>
                    </a:stretch>
                  </pic:blipFill>
                  <pic:spPr>
                    <a:xfrm>
                      <a:off x="0" y="0"/>
                      <a:ext cx="5731510" cy="810260"/>
                    </a:xfrm>
                    <a:prstGeom prst="rect">
                      <a:avLst/>
                    </a:prstGeom>
                  </pic:spPr>
                </pic:pic>
              </a:graphicData>
            </a:graphic>
          </wp:inline>
        </w:drawing>
      </w:r>
    </w:p>
    <w:p w14:paraId="6BD87E0D" w14:textId="32C7FEEC" w:rsidR="00F5313D" w:rsidRPr="004A6FE9" w:rsidRDefault="001A79BA" w:rsidP="004A6FE9">
      <w:pPr>
        <w:pStyle w:val="Caption"/>
        <w:spacing w:after="0"/>
        <w:rPr>
          <w:szCs w:val="20"/>
        </w:rPr>
      </w:pPr>
      <w:bookmarkStart w:id="86" w:name="_Ref159514885"/>
      <w:r w:rsidRPr="001A79BA">
        <w:rPr>
          <w:b/>
          <w:bCs w:val="0"/>
          <w:sz w:val="22"/>
        </w:rPr>
        <w:t xml:space="preserve">Figure </w:t>
      </w:r>
      <w:r w:rsidRPr="001A79BA">
        <w:rPr>
          <w:b/>
          <w:bCs w:val="0"/>
          <w:sz w:val="22"/>
        </w:rPr>
        <w:fldChar w:fldCharType="begin"/>
      </w:r>
      <w:r w:rsidRPr="001A79BA">
        <w:rPr>
          <w:b/>
          <w:bCs w:val="0"/>
          <w:sz w:val="22"/>
        </w:rPr>
        <w:instrText xml:space="preserve"> SEQ Figure \* ARABIC </w:instrText>
      </w:r>
      <w:r w:rsidRPr="001A79BA">
        <w:rPr>
          <w:b/>
          <w:bCs w:val="0"/>
          <w:sz w:val="22"/>
        </w:rPr>
        <w:fldChar w:fldCharType="separate"/>
      </w:r>
      <w:r w:rsidR="003255C0">
        <w:rPr>
          <w:b/>
          <w:bCs w:val="0"/>
          <w:noProof/>
          <w:sz w:val="22"/>
        </w:rPr>
        <w:t>13</w:t>
      </w:r>
      <w:r w:rsidRPr="001A79BA">
        <w:rPr>
          <w:b/>
          <w:bCs w:val="0"/>
          <w:sz w:val="22"/>
        </w:rPr>
        <w:fldChar w:fldCharType="end"/>
      </w:r>
      <w:bookmarkEnd w:id="86"/>
      <w:r w:rsidR="00F5313D" w:rsidRPr="00EC6E98">
        <w:rPr>
          <w:b/>
          <w:sz w:val="22"/>
        </w:rPr>
        <w:t xml:space="preserve"> </w:t>
      </w:r>
      <w:r w:rsidR="004F5F82">
        <w:rPr>
          <w:szCs w:val="20"/>
        </w:rPr>
        <w:t>Schematic for</w:t>
      </w:r>
      <w:r w:rsidR="00F5313D" w:rsidRPr="004A6FE9">
        <w:rPr>
          <w:szCs w:val="20"/>
        </w:rPr>
        <w:t xml:space="preserve"> </w:t>
      </w:r>
      <w:r w:rsidR="004F5F82">
        <w:rPr>
          <w:szCs w:val="20"/>
        </w:rPr>
        <w:t xml:space="preserve">the </w:t>
      </w:r>
      <w:r w:rsidR="00F5313D" w:rsidRPr="004A6FE9">
        <w:rPr>
          <w:szCs w:val="20"/>
        </w:rPr>
        <w:t xml:space="preserve">nucleophilic attack OER mechanism taking place on the CUS site of </w:t>
      </w:r>
      <w:r w:rsidR="00F5313D" w:rsidRPr="008C565B">
        <w:rPr>
          <w:szCs w:val="20"/>
        </w:rPr>
        <w:t>RuO</w:t>
      </w:r>
      <w:r w:rsidR="00F5313D" w:rsidRPr="008C565B">
        <w:rPr>
          <w:szCs w:val="20"/>
          <w:vertAlign w:val="subscript"/>
        </w:rPr>
        <w:t>2</w:t>
      </w:r>
      <w:r w:rsidR="00F5313D" w:rsidRPr="008C565B">
        <w:rPr>
          <w:szCs w:val="20"/>
        </w:rPr>
        <w:t>(110). The reaction steps correspond to those in</w:t>
      </w:r>
      <w:r w:rsidR="008C565B" w:rsidRPr="008C565B">
        <w:rPr>
          <w:szCs w:val="20"/>
        </w:rPr>
        <w:t xml:space="preserve"> </w:t>
      </w:r>
      <w:r w:rsidR="008C565B" w:rsidRPr="008C565B">
        <w:rPr>
          <w:szCs w:val="20"/>
        </w:rPr>
        <w:fldChar w:fldCharType="begin"/>
      </w:r>
      <w:r w:rsidR="008C565B" w:rsidRPr="008C565B">
        <w:rPr>
          <w:szCs w:val="20"/>
        </w:rPr>
        <w:instrText xml:space="preserve"> REF _Ref159510668 \h </w:instrText>
      </w:r>
      <w:r w:rsidR="008C565B">
        <w:rPr>
          <w:szCs w:val="20"/>
        </w:rPr>
        <w:instrText xml:space="preserve"> \* MERGEFORMAT </w:instrText>
      </w:r>
      <w:r w:rsidR="008C565B" w:rsidRPr="008C565B">
        <w:rPr>
          <w:szCs w:val="20"/>
        </w:rPr>
      </w:r>
      <w:r w:rsidR="008C565B" w:rsidRPr="008C565B">
        <w:rPr>
          <w:szCs w:val="20"/>
        </w:rPr>
        <w:fldChar w:fldCharType="separate"/>
      </w:r>
      <w:r w:rsidR="003255C0" w:rsidRPr="00B026CA">
        <w:rPr>
          <w:szCs w:val="20"/>
        </w:rPr>
        <w:t xml:space="preserve">Equation </w:t>
      </w:r>
      <w:r w:rsidR="003255C0">
        <w:rPr>
          <w:noProof/>
          <w:szCs w:val="20"/>
        </w:rPr>
        <w:t>38</w:t>
      </w:r>
      <w:r w:rsidR="008C565B" w:rsidRPr="008C565B">
        <w:rPr>
          <w:szCs w:val="20"/>
        </w:rPr>
        <w:fldChar w:fldCharType="end"/>
      </w:r>
      <w:r w:rsidR="008C565B" w:rsidRPr="008C565B">
        <w:rPr>
          <w:szCs w:val="20"/>
        </w:rPr>
        <w:t>-41</w:t>
      </w:r>
      <w:r w:rsidR="00F5313D" w:rsidRPr="008C565B">
        <w:rPr>
          <w:szCs w:val="20"/>
        </w:rPr>
        <w:t xml:space="preserve">. O atoms are red, Ru are </w:t>
      </w:r>
      <w:r w:rsidR="008C565B" w:rsidRPr="008C565B">
        <w:rPr>
          <w:szCs w:val="20"/>
        </w:rPr>
        <w:t>blue</w:t>
      </w:r>
      <w:r w:rsidR="00F5313D" w:rsidRPr="008C565B">
        <w:rPr>
          <w:szCs w:val="20"/>
        </w:rPr>
        <w:t xml:space="preserve">, and H </w:t>
      </w:r>
      <w:proofErr w:type="gramStart"/>
      <w:r w:rsidR="00F5313D" w:rsidRPr="008C565B">
        <w:rPr>
          <w:szCs w:val="20"/>
        </w:rPr>
        <w:t>are</w:t>
      </w:r>
      <w:proofErr w:type="gramEnd"/>
      <w:r w:rsidR="00F5313D" w:rsidRPr="008C565B">
        <w:rPr>
          <w:szCs w:val="20"/>
        </w:rPr>
        <w:t xml:space="preserve"> cyan. </w:t>
      </w:r>
    </w:p>
    <w:p w14:paraId="28033F98" w14:textId="77777777" w:rsidR="0028037F" w:rsidRDefault="0028037F" w:rsidP="0028037F">
      <w:pPr>
        <w:rPr>
          <w:color w:val="000000" w:themeColor="text1"/>
          <w:szCs w:val="22"/>
        </w:rPr>
      </w:pPr>
      <w:r w:rsidRPr="00EC6E98">
        <w:rPr>
          <w:color w:val="000000" w:themeColor="text1"/>
          <w:szCs w:val="22"/>
        </w:rPr>
        <w:tab/>
      </w:r>
    </w:p>
    <w:p w14:paraId="20CA6863" w14:textId="239A0DE0" w:rsidR="0028037F" w:rsidRPr="00EC6E98" w:rsidRDefault="0028037F" w:rsidP="0028037F">
      <w:pPr>
        <w:ind w:firstLine="720"/>
        <w:rPr>
          <w:color w:val="000000" w:themeColor="text1"/>
          <w:szCs w:val="22"/>
        </w:rPr>
      </w:pPr>
      <w:r w:rsidRPr="00EC6E98">
        <w:rPr>
          <w:color w:val="000000" w:themeColor="text1"/>
          <w:szCs w:val="22"/>
        </w:rPr>
        <w:t>The preceding analysis was extended to rutile-type IrO</w:t>
      </w:r>
      <w:r w:rsidRPr="00EC6E98">
        <w:rPr>
          <w:color w:val="000000" w:themeColor="text1"/>
          <w:szCs w:val="22"/>
          <w:vertAlign w:val="subscript"/>
        </w:rPr>
        <w:t>2</w:t>
      </w:r>
      <w:r w:rsidRPr="00EC6E98">
        <w:rPr>
          <w:color w:val="000000" w:themeColor="text1"/>
          <w:szCs w:val="22"/>
        </w:rPr>
        <w:t xml:space="preserve"> and TiO</w:t>
      </w:r>
      <w:r w:rsidRPr="00EC6E98">
        <w:rPr>
          <w:color w:val="000000" w:themeColor="text1"/>
          <w:szCs w:val="22"/>
          <w:vertAlign w:val="subscript"/>
        </w:rPr>
        <w:t>2</w:t>
      </w:r>
      <w:r w:rsidRPr="00EC6E98">
        <w:rPr>
          <w:color w:val="000000" w:themeColor="text1"/>
          <w:szCs w:val="22"/>
        </w:rPr>
        <w:t xml:space="preserve">. </w:t>
      </w:r>
      <w:r>
        <w:rPr>
          <w:color w:val="000000" w:themeColor="text1"/>
          <w:szCs w:val="22"/>
        </w:rPr>
        <w:t>*OOH</w:t>
      </w:r>
      <w:r w:rsidRPr="00EC6E98">
        <w:rPr>
          <w:color w:val="000000" w:themeColor="text1"/>
          <w:szCs w:val="22"/>
        </w:rPr>
        <w:t xml:space="preserve"> formation was found to be the PDS on IrO</w:t>
      </w:r>
      <w:r w:rsidRPr="00EC6E98">
        <w:rPr>
          <w:color w:val="000000" w:themeColor="text1"/>
          <w:szCs w:val="22"/>
          <w:vertAlign w:val="subscript"/>
        </w:rPr>
        <w:t>2</w:t>
      </w:r>
      <w:r w:rsidRPr="00EC6E98">
        <w:rPr>
          <w:color w:val="000000" w:themeColor="text1"/>
          <w:szCs w:val="22"/>
        </w:rPr>
        <w:t xml:space="preserve">. </w:t>
      </w:r>
      <w:r>
        <w:rPr>
          <w:color w:val="000000" w:themeColor="text1"/>
          <w:szCs w:val="22"/>
        </w:rPr>
        <w:t>*O</w:t>
      </w:r>
      <w:r w:rsidRPr="00EC6E98">
        <w:rPr>
          <w:color w:val="000000" w:themeColor="text1"/>
          <w:szCs w:val="22"/>
        </w:rPr>
        <w:t xml:space="preserve"> formation was found to be the PDS on TiO</w:t>
      </w:r>
      <w:r w:rsidRPr="00EC6E98">
        <w:rPr>
          <w:color w:val="000000" w:themeColor="text1"/>
          <w:szCs w:val="22"/>
          <w:vertAlign w:val="subscript"/>
        </w:rPr>
        <w:t>2</w:t>
      </w:r>
      <w:r w:rsidRPr="00EC6E98">
        <w:rPr>
          <w:color w:val="000000" w:themeColor="text1"/>
          <w:szCs w:val="22"/>
        </w:rPr>
        <w:t>. The values of</w:t>
      </w:r>
      <w:r w:rsidRPr="00EC6E98">
        <w:rPr>
          <w:i/>
          <w:color w:val="000000" w:themeColor="text1"/>
          <w:szCs w:val="22"/>
        </w:rPr>
        <w:sym w:font="Symbol" w:char="F068"/>
      </w:r>
      <w:r w:rsidRPr="00EC6E98">
        <w:rPr>
          <w:iCs/>
          <w:color w:val="000000" w:themeColor="text1"/>
          <w:szCs w:val="22"/>
          <w:vertAlign w:val="subscript"/>
        </w:rPr>
        <w:t>CHE</w:t>
      </w:r>
      <w:r w:rsidRPr="00EC6E98">
        <w:rPr>
          <w:color w:val="000000" w:themeColor="text1"/>
          <w:szCs w:val="22"/>
        </w:rPr>
        <w:t xml:space="preserve"> over IrO</w:t>
      </w:r>
      <w:r w:rsidRPr="00EC6E98">
        <w:rPr>
          <w:color w:val="000000" w:themeColor="text1"/>
          <w:szCs w:val="22"/>
          <w:vertAlign w:val="subscript"/>
        </w:rPr>
        <w:t>2</w:t>
      </w:r>
      <w:r w:rsidRPr="00EC6E98">
        <w:rPr>
          <w:color w:val="000000" w:themeColor="text1"/>
          <w:szCs w:val="22"/>
        </w:rPr>
        <w:t xml:space="preserve"> and TiO</w:t>
      </w:r>
      <w:r w:rsidRPr="00EC6E98">
        <w:rPr>
          <w:color w:val="000000" w:themeColor="text1"/>
          <w:szCs w:val="22"/>
          <w:vertAlign w:val="subscript"/>
        </w:rPr>
        <w:t>2</w:t>
      </w:r>
      <w:r w:rsidRPr="00EC6E98">
        <w:rPr>
          <w:color w:val="000000" w:themeColor="text1"/>
          <w:szCs w:val="22"/>
        </w:rPr>
        <w:t xml:space="preserve"> were given as 0.56 V and 1.18 V, respectively </w:t>
      </w:r>
      <w:r>
        <w:rPr>
          <w:color w:val="000000" w:themeColor="text1"/>
          <w:szCs w:val="22"/>
        </w:rPr>
        <w:fldChar w:fldCharType="begin"/>
      </w:r>
      <w:r w:rsidR="00FC5BEB">
        <w:rPr>
          <w:color w:val="000000" w:themeColor="text1"/>
          <w:szCs w:val="22"/>
        </w:rPr>
        <w:instrText xml:space="preserve"> ADDIN EN.CITE &lt;EndNote&gt;&lt;Cite&gt;&lt;Author&gt;Rossmeisl&lt;/Author&gt;&lt;Year&gt;2007&lt;/Year&gt;&lt;RecNum&gt;86&lt;/RecNum&gt;&lt;DisplayText&gt;&lt;style face="superscript"&gt;88&lt;/style&gt;&lt;/DisplayText&gt;&lt;record&gt;&lt;rec-number&gt;86&lt;/rec-number&gt;&lt;foreign-keys&gt;&lt;key app="EN" db-id="2xex0erf4eexr4e2dpbxpdd829xttesxxxdr" timestamp="1715075296"&gt;86&lt;/key&gt;&lt;/foreign-keys&gt;&lt;ref-type name="Journal Article"&gt;17&lt;/ref-type&gt;&lt;contributors&gt;&lt;authors&gt;&lt;author&gt;Rossmeisl, J.&lt;/author&gt;&lt;author&gt;Qu, Z. W.&lt;/author&gt;&lt;author&gt;Zhu, H.&lt;/author&gt;&lt;author&gt;Kroes, G. J.&lt;/author&gt;&lt;author&gt;Nørskov, J. K.&lt;/author&gt;&lt;/authors&gt;&lt;/contributors&gt;&lt;titles&gt;&lt;title&gt;Electrolysis of water on oxide surfaces&lt;/title&gt;&lt;secondary-title&gt;Journal of Electroanalytical Chemistry&lt;/secondary-title&gt;&lt;/titles&gt;&lt;periodical&gt;&lt;full-title&gt;Journal of Electroanalytical Chemistry&lt;/full-title&gt;&lt;abbr-1&gt;J. Electroanal. Chem.&lt;/abbr-1&gt;&lt;abbr-2&gt;J Electroanal Chem&lt;/abbr-2&gt;&lt;/periodical&gt;&lt;pages&gt;83-89&lt;/pages&gt;&lt;volume&gt;607&lt;/volume&gt;&lt;number&gt;1&lt;/number&gt;&lt;keywords&gt;&lt;keyword&gt;Electrolysis&lt;/keyword&gt;&lt;keyword&gt;Oxide surfaces&lt;/keyword&gt;&lt;keyword&gt;Density functional theory&lt;/keyword&gt;&lt;keyword&gt;Linear relations&lt;/keyword&gt;&lt;/keywords&gt;&lt;dates&gt;&lt;year&gt;2007&lt;/year&gt;&lt;pub-dates&gt;&lt;date&gt;2007/09/01/&lt;/date&gt;&lt;/pub-dates&gt;&lt;/dates&gt;&lt;isbn&gt;1572-6657&lt;/isbn&gt;&lt;urls&gt;&lt;related-urls&gt;&lt;url&gt;https://www.sciencedirect.com/science/article/pii/S0022072806006371&lt;/url&gt;&lt;/related-urls&gt;&lt;/urls&gt;&lt;electronic-resource-num&gt;https://doi.org/10.1016/j.jelechem.2006.11.008&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88</w:t>
      </w:r>
      <w:r>
        <w:rPr>
          <w:color w:val="000000" w:themeColor="text1"/>
          <w:szCs w:val="22"/>
        </w:rPr>
        <w:fldChar w:fldCharType="end"/>
      </w:r>
      <w:r>
        <w:rPr>
          <w:color w:val="000000" w:themeColor="text1"/>
          <w:szCs w:val="22"/>
        </w:rPr>
        <w:t>.</w:t>
      </w:r>
      <w:r w:rsidRPr="00EC6E98">
        <w:rPr>
          <w:color w:val="000000" w:themeColor="text1"/>
          <w:szCs w:val="22"/>
        </w:rPr>
        <w:t xml:space="preserve"> Like for RuO</w:t>
      </w:r>
      <w:r w:rsidRPr="00EC6E98">
        <w:rPr>
          <w:color w:val="000000" w:themeColor="text1"/>
          <w:szCs w:val="22"/>
          <w:vertAlign w:val="subscript"/>
        </w:rPr>
        <w:t>2</w:t>
      </w:r>
      <w:r w:rsidRPr="00EC6E98">
        <w:rPr>
          <w:color w:val="000000" w:themeColor="text1"/>
          <w:szCs w:val="22"/>
        </w:rPr>
        <w:t xml:space="preserve"> (110), the computed value of </w:t>
      </w:r>
      <w:r w:rsidRPr="00EC6E98">
        <w:rPr>
          <w:i/>
          <w:color w:val="000000" w:themeColor="text1"/>
          <w:szCs w:val="22"/>
        </w:rPr>
        <w:sym w:font="Symbol" w:char="F068"/>
      </w:r>
      <w:r w:rsidRPr="00EC6E98">
        <w:rPr>
          <w:iCs/>
          <w:color w:val="000000" w:themeColor="text1"/>
          <w:szCs w:val="22"/>
          <w:vertAlign w:val="subscript"/>
        </w:rPr>
        <w:t>CHE</w:t>
      </w:r>
      <w:r w:rsidRPr="00EC6E98">
        <w:rPr>
          <w:color w:val="000000" w:themeColor="text1"/>
          <w:szCs w:val="22"/>
        </w:rPr>
        <w:t xml:space="preserve"> over IrO</w:t>
      </w:r>
      <w:r w:rsidRPr="00EC6E98">
        <w:rPr>
          <w:color w:val="000000" w:themeColor="text1"/>
          <w:szCs w:val="22"/>
          <w:vertAlign w:val="subscript"/>
        </w:rPr>
        <w:t>2</w:t>
      </w:r>
      <w:r w:rsidRPr="00EC6E98">
        <w:rPr>
          <w:color w:val="000000" w:themeColor="text1"/>
          <w:szCs w:val="22"/>
        </w:rPr>
        <w:t xml:space="preserve"> (110) is also more than 200 mV higher than experiment</w:t>
      </w:r>
      <w:r>
        <w:rPr>
          <w:color w:val="000000" w:themeColor="text1"/>
          <w:szCs w:val="22"/>
        </w:rPr>
        <w:fldChar w:fldCharType="begin"/>
      </w:r>
      <w:r w:rsidR="00FC5BEB">
        <w:rPr>
          <w:color w:val="000000" w:themeColor="text1"/>
          <w:szCs w:val="22"/>
        </w:rPr>
        <w:instrText xml:space="preserve"> ADDIN EN.CITE &lt;EndNote&gt;&lt;Cite&gt;&lt;Author&gt;Kuo&lt;/Author&gt;&lt;Year&gt;2017&lt;/Year&gt;&lt;RecNum&gt;124&lt;/RecNum&gt;&lt;DisplayText&gt;&lt;style face="superscript"&gt;126&lt;/style&gt;&lt;/DisplayText&gt;&lt;record&gt;&lt;rec-number&gt;124&lt;/rec-number&gt;&lt;foreign-keys&gt;&lt;key app="EN" db-id="2xex0erf4eexr4e2dpbxpdd829xttesxxxdr" timestamp="1715075296"&gt;124&lt;/key&gt;&lt;/foreign-keys&gt;&lt;ref-type name="Journal Article"&gt;17&lt;/ref-type&gt;&lt;contributors&gt;&lt;authors&gt;&lt;author&gt;Kuo, Ding-Yuan&lt;/author&gt;&lt;author&gt;Kawasaki, Jason K.&lt;/author&gt;&lt;author&gt;Nelson, Jocienne N.&lt;/author&gt;&lt;author&gt;Kloppenburg, Jan&lt;/author&gt;&lt;author&gt;Hautier, Geoffroy&lt;/author&gt;&lt;author&gt;Shen, Kyle M.&lt;/author&gt;&lt;author&gt;Schlom, Darrell G.&lt;/author&gt;&lt;author&gt;Suntivich, Jin&lt;/author&gt;&lt;/authors&gt;&lt;/contributors&gt;&lt;titles&gt;&lt;title&gt;Influence of Surface Adsorption on the Oxygen Evolution Reaction on IrO2(110)&lt;/title&gt;&lt;secondary-title&gt;Journal of the American Chemical Society&lt;/secondary-title&gt;&lt;/titles&gt;&lt;periodical&gt;&lt;full-title&gt;Journal of the American Chemical Society&lt;/full-title&gt;&lt;abbr-1&gt;J. Am. Chem. Soc.&lt;/abbr-1&gt;&lt;abbr-2&gt;J Am Chem Soc&lt;/abbr-2&gt;&lt;/periodical&gt;&lt;pages&gt;3473-3479&lt;/pages&gt;&lt;volume&gt;139&lt;/volume&gt;&lt;number&gt;9&lt;/number&gt;&lt;dates&gt;&lt;year&gt;2017&lt;/year&gt;&lt;pub-dates&gt;&lt;date&gt;2017/03/08&lt;/date&gt;&lt;/pub-dates&gt;&lt;/dates&gt;&lt;publisher&gt;American Chemical Society&lt;/publisher&gt;&lt;isbn&gt;0002-7863&lt;/isbn&gt;&lt;urls&gt;&lt;related-urls&gt;&lt;url&gt;https://doi.org/10.1021/jacs.6b11932&lt;/url&gt;&lt;/related-urls&gt;&lt;/urls&gt;&lt;electronic-resource-num&gt;10.1021/jacs.6b11932&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126</w:t>
      </w:r>
      <w:r>
        <w:rPr>
          <w:color w:val="000000" w:themeColor="text1"/>
          <w:szCs w:val="22"/>
        </w:rPr>
        <w:fldChar w:fldCharType="end"/>
      </w:r>
      <w:r>
        <w:rPr>
          <w:color w:val="000000" w:themeColor="text1"/>
          <w:szCs w:val="22"/>
        </w:rPr>
        <w:t>.</w:t>
      </w:r>
      <w:r w:rsidRPr="00EC6E98">
        <w:rPr>
          <w:color w:val="000000" w:themeColor="text1"/>
          <w:szCs w:val="22"/>
        </w:rPr>
        <w:t xml:space="preserve"> </w:t>
      </w:r>
      <w:r w:rsidRPr="00EC6E98">
        <w:rPr>
          <w:szCs w:val="22"/>
        </w:rPr>
        <w:t xml:space="preserve"> However, unlike the case of RuO</w:t>
      </w:r>
      <w:r w:rsidRPr="00EC6E98">
        <w:rPr>
          <w:szCs w:val="22"/>
          <w:vertAlign w:val="subscript"/>
        </w:rPr>
        <w:t>2</w:t>
      </w:r>
      <w:r w:rsidRPr="00EC6E98">
        <w:rPr>
          <w:szCs w:val="22"/>
        </w:rPr>
        <w:t xml:space="preserve"> (110)</w:t>
      </w:r>
      <w:r>
        <w:rPr>
          <w:szCs w:val="22"/>
        </w:rPr>
        <w:t xml:space="preserve">, where overpotentials significantly higher than experiment have been reported from CHE calculations </w:t>
      </w:r>
      <w:r>
        <w:rPr>
          <w:szCs w:val="22"/>
        </w:rPr>
        <w:fldChar w:fldCharType="begin">
          <w:fldData xml:space="preserve">PEVuZE5vdGU+PENpdGU+PEF1dGhvcj5CcmlxdWV0PC9BdXRob3I+PFllYXI+MjAxNzwvWWVhcj48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</w:fldData>
        </w:fldChar>
      </w:r>
      <w:r w:rsidR="00FC5BEB">
        <w:rPr>
          <w:szCs w:val="22"/>
        </w:rPr>
        <w:instrText xml:space="preserve"> ADDIN EN.CITE </w:instrText>
      </w:r>
      <w:r w:rsidR="00FC5BEB">
        <w:rPr>
          <w:szCs w:val="22"/>
        </w:rPr>
        <w:fldChar w:fldCharType="begin">
          <w:fldData xml:space="preserve">PEVuZE5vdGU+PENpdGU+PEF1dGhvcj5CcmlxdWV0PC9BdXRob3I+PFllYXI+MjAxNzwvWWVhcj48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</w:fldData>
        </w:fldChar>
      </w:r>
      <w:r w:rsidR="00FC5BEB">
        <w:rPr>
          <w:szCs w:val="22"/>
        </w:rPr>
        <w:instrText xml:space="preserve"> ADDIN EN.CITE.DATA </w:instrText>
      </w:r>
      <w:r w:rsidR="00FC5BEB">
        <w:rPr>
          <w:szCs w:val="22"/>
        </w:rPr>
      </w:r>
      <w:r w:rsidR="00FC5BEB">
        <w:rPr>
          <w:szCs w:val="22"/>
        </w:rPr>
        <w:fldChar w:fldCharType="end"/>
      </w:r>
      <w:r>
        <w:rPr>
          <w:szCs w:val="22"/>
        </w:rPr>
      </w:r>
      <w:r>
        <w:rPr>
          <w:szCs w:val="22"/>
        </w:rPr>
        <w:fldChar w:fldCharType="separate"/>
      </w:r>
      <w:r w:rsidR="00FC5BEB" w:rsidRPr="00FC5BEB">
        <w:rPr>
          <w:noProof/>
          <w:szCs w:val="22"/>
          <w:vertAlign w:val="superscript"/>
        </w:rPr>
        <w:t>198, 199</w:t>
      </w:r>
      <w:r>
        <w:rPr>
          <w:szCs w:val="22"/>
        </w:rPr>
        <w:fldChar w:fldCharType="end"/>
      </w:r>
      <w:r w:rsidRPr="00EC6E98">
        <w:rPr>
          <w:szCs w:val="22"/>
        </w:rPr>
        <w:t>, computational predictions for IrO</w:t>
      </w:r>
      <w:r w:rsidRPr="00EC6E98">
        <w:rPr>
          <w:szCs w:val="22"/>
          <w:vertAlign w:val="subscript"/>
        </w:rPr>
        <w:t>2</w:t>
      </w:r>
      <w:r w:rsidRPr="00EC6E98">
        <w:rPr>
          <w:szCs w:val="22"/>
        </w:rPr>
        <w:t xml:space="preserve"> (110) are argued to be in line with experiment </w:t>
      </w:r>
      <w:r>
        <w:fldChar w:fldCharType="begin"/>
      </w:r>
      <w:r w:rsidR="00FC5BEB">
        <w:instrText xml:space="preserve"> ADDIN EN.CITE &lt;EndNote&gt;&lt;Cite&gt;&lt;Author&gt;Briquet&lt;/Author&gt;&lt;Year&gt;2017&lt;/Year&gt;&lt;RecNum&gt;197&lt;/RecNum&gt;&lt;DisplayText&gt;&lt;style face="superscript"&gt;199&lt;/style&gt;&lt;/DisplayText&gt;&lt;record&gt;&lt;rec-number&gt;197&lt;/rec-number&gt;&lt;foreign-keys&gt;&lt;key app="EN" db-id="2xex0erf4eexr4e2dpbxpdd829xttesxxxdr" timestamp="1715075296"&gt;197&lt;/key&gt;&lt;/foreign-keys&gt;&lt;ref-type name="Journal Article"&gt;17&lt;/ref-type&gt;&lt;contributors&gt;&lt;authors&gt;&lt;author&gt;Briquet, Ludovic G. V.&lt;/author&gt;&lt;author&gt;Sarwar, Misbah&lt;/author&gt;&lt;author&gt;Mugo, Jane&lt;/author&gt;&lt;author&gt;Jones, Glenn&lt;/author&gt;&lt;author&gt;Calle-Vallejo, Federico&lt;/author&gt;&lt;/authors&gt;&lt;/contributors&gt;&lt;titles&gt;&lt;title&gt;A New Type of Scaling Relations to Assess the Accuracy of Computational Predictions of Catalytic Activities Applied to the Oxygen Evolution Reaction&lt;/title&gt;&lt;secondary-title&gt;ChemCatChem&lt;/secondary-title&gt;&lt;/titles&gt;&lt;pages&gt;1261-1268&lt;/pages&gt;&lt;volume&gt;9&lt;/volume&gt;&lt;number&gt;7&lt;/number&gt;&lt;dates&gt;&lt;year&gt;2017&lt;/year&gt;&lt;/dates&gt;&lt;isbn&gt;1867-3880&lt;/isbn&gt;&lt;urls&gt;&lt;related-urls&gt;&lt;url&gt;https://chemistry-europe.onlinelibrary.wiley.com/doi/abs/10.1002/cctc.201601662&lt;/url&gt;&lt;/related-urls&gt;&lt;/urls&gt;&lt;electronic-resource-num&gt;https://doi.org/10.1002/cctc.201601662&lt;/electronic-resource-num&gt;&lt;/record&gt;&lt;/Cite&gt;&lt;/EndNote&gt;</w:instrText>
      </w:r>
      <w:r>
        <w:fldChar w:fldCharType="separate"/>
      </w:r>
      <w:r w:rsidR="00FC5BEB" w:rsidRPr="00FC5BEB">
        <w:rPr>
          <w:noProof/>
          <w:vertAlign w:val="superscript"/>
        </w:rPr>
        <w:t>199</w:t>
      </w:r>
      <w:r>
        <w:fldChar w:fldCharType="end"/>
      </w:r>
      <w:r w:rsidR="006743A6" w:rsidRPr="006743A6">
        <w:rPr>
          <w:iCs/>
          <w:color w:val="000000" w:themeColor="text1"/>
          <w:szCs w:val="22"/>
          <w:vertAlign w:val="superscript"/>
        </w:rPr>
        <w:t>,</w:t>
      </w:r>
      <w:r>
        <w:rPr>
          <w:color w:val="000000" w:themeColor="text1"/>
          <w:szCs w:val="22"/>
        </w:rPr>
        <w:fldChar w:fldCharType="begin"/>
      </w:r>
      <w:r w:rsidR="00FC5BEB">
        <w:rPr>
          <w:color w:val="000000" w:themeColor="text1"/>
          <w:szCs w:val="22"/>
        </w:rPr>
        <w:instrText xml:space="preserve"> ADDIN EN.CITE &lt;EndNote&gt;&lt;Cite&gt;&lt;Author&gt;Divanis&lt;/Author&gt;&lt;Year&gt;2021&lt;/Year&gt;&lt;RecNum&gt;196&lt;/RecNum&gt;&lt;DisplayText&gt;&lt;style face="superscript"&gt;198&lt;/style&gt;&lt;/DisplayText&gt;&lt;record&gt;&lt;rec-number&gt;196&lt;/rec-number&gt;&lt;foreign-keys&gt;&lt;key app="EN" db-id="2xex0erf4eexr4e2dpbxpdd829xttesxxxdr" timestamp="1715075296"&gt;196&lt;/key&gt;&lt;/foreign-keys&gt;&lt;ref-type name="Journal Article"&gt;17&lt;/ref-type&gt;&lt;contributors&gt;&lt;authors&gt;&lt;author&gt;Divanis, Spyridon&lt;/author&gt;&lt;author&gt;Frandsen, Adrian Malthe&lt;/author&gt;&lt;author&gt;Kutlusoy, Tugce&lt;/author&gt;&lt;author&gt;Rossmeisl, Jan&lt;/author&gt;&lt;/authors&gt;&lt;/contributors&gt;&lt;titles&gt;&lt;title&gt;Lifting the discrepancy between experimental results and the theoretical predictions for the catalytic activity of RuO2(110) towards oxygen evolution reaction&lt;/title&gt;&lt;secondary-title&gt;Physical Chemistry Chemical Physics&lt;/secondary-title&gt;&lt;/titles&gt;&lt;periodical&gt;&lt;full-title&gt;Physical Chemistry Chemical Physics&lt;/full-title&gt;&lt;abbr-1&gt;Phys. Chem. Chem. Phys.&lt;/abbr-1&gt;&lt;abbr-2&gt;Phys Chem Chem Phys&lt;/abbr-2&gt;&lt;/periodical&gt;&lt;pages&gt;19141-19145&lt;/pages&gt;&lt;volume&gt;23&lt;/volume&gt;&lt;number&gt;35&lt;/number&gt;&lt;dates&gt;&lt;year&gt;2021&lt;/year&gt;&lt;/dates&gt;&lt;publisher&gt;The Royal Society of Chemistry&lt;/publisher&gt;&lt;isbn&gt;1463-9076&lt;/isbn&gt;&lt;work-type&gt;10.1039/D1CP02999A&lt;/work-type&gt;&lt;urls&gt;&lt;related-urls&gt;&lt;url&gt;http://dx.doi.org/10.1039/D1CP02999A&lt;/url&gt;&lt;/related-urls&gt;&lt;/urls&gt;&lt;electronic-resource-num&gt;10.1039/D1CP02999A&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198</w:t>
      </w:r>
      <w:r>
        <w:rPr>
          <w:color w:val="000000" w:themeColor="text1"/>
          <w:szCs w:val="22"/>
        </w:rPr>
        <w:fldChar w:fldCharType="end"/>
      </w:r>
      <w:r>
        <w:rPr>
          <w:color w:val="000000" w:themeColor="text1"/>
          <w:szCs w:val="22"/>
        </w:rPr>
        <w:t>.</w:t>
      </w:r>
    </w:p>
    <w:p w14:paraId="6B689E9F" w14:textId="77777777" w:rsidR="00F5313D" w:rsidRPr="00EC6E98" w:rsidRDefault="00F5313D" w:rsidP="00F5313D">
      <w:pPr>
        <w:rPr>
          <w:color w:val="000000" w:themeColor="text1"/>
          <w:szCs w:val="22"/>
        </w:rPr>
      </w:pPr>
    </w:p>
    <w:p w14:paraId="279A3B2A" w14:textId="77777777" w:rsidR="00F5313D" w:rsidRPr="00EC6E98" w:rsidRDefault="00F5313D" w:rsidP="00F5313D">
      <w:pPr>
        <w:jc w:val="center"/>
        <w:rPr>
          <w:color w:val="000000" w:themeColor="text1"/>
          <w:szCs w:val="22"/>
        </w:rPr>
      </w:pPr>
      <w:r w:rsidRPr="00EC6E98">
        <w:rPr>
          <w:noProof/>
          <w:color w:val="000000" w:themeColor="text1"/>
          <w:szCs w:val="22"/>
        </w:rPr>
        <w:drawing>
          <wp:inline distT="0" distB="0" distL="0" distR="0" wp14:anchorId="648F3607" wp14:editId="66A728EB">
            <wp:extent cx="4344035" cy="2451100"/>
            <wp:effectExtent l="0" t="0" r="0" b="0"/>
            <wp:docPr id="11650331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033166" name=""/>
                    <pic:cNvPicPr/>
                  </pic:nvPicPr>
                  <pic:blipFill rotWithShape="1">
                    <a:blip r:embed="rId24"/>
                    <a:srcRect t="6869" b="1696"/>
                    <a:stretch/>
                  </pic:blipFill>
                  <pic:spPr bwMode="auto">
                    <a:xfrm>
                      <a:off x="0" y="0"/>
                      <a:ext cx="4367349" cy="2464255"/>
                    </a:xfrm>
                    <a:prstGeom prst="rect">
                      <a:avLst/>
                    </a:prstGeom>
                    <a:ln>
                      <a:noFill/>
                    </a:ln>
                    <a:extLst>
                      <a:ext uri="{53640926-AAD7-44D8-BBD7-CCE9431645EC}">
                        <a14:shadowObscured xmlns:a14="http://schemas.microsoft.com/office/drawing/2010/main"/>
                      </a:ext>
                    </a:extLst>
                  </pic:spPr>
                </pic:pic>
              </a:graphicData>
            </a:graphic>
          </wp:inline>
        </w:drawing>
      </w:r>
    </w:p>
    <w:p w14:paraId="5249C875" w14:textId="0644CF73" w:rsidR="00F5313D" w:rsidRPr="007D21AB" w:rsidRDefault="001A79BA" w:rsidP="007D21AB">
      <w:pPr>
        <w:pStyle w:val="Caption"/>
        <w:rPr>
          <w:szCs w:val="20"/>
        </w:rPr>
      </w:pPr>
      <w:bookmarkStart w:id="87" w:name="_Ref159515104"/>
      <w:r w:rsidRPr="001A79BA">
        <w:rPr>
          <w:b/>
          <w:bCs w:val="0"/>
          <w:sz w:val="22"/>
        </w:rPr>
        <w:t xml:space="preserve">Figure </w:t>
      </w:r>
      <w:r w:rsidRPr="001A79BA">
        <w:rPr>
          <w:b/>
          <w:bCs w:val="0"/>
          <w:sz w:val="22"/>
        </w:rPr>
        <w:fldChar w:fldCharType="begin"/>
      </w:r>
      <w:r w:rsidRPr="001A79BA">
        <w:rPr>
          <w:b/>
          <w:bCs w:val="0"/>
          <w:sz w:val="22"/>
        </w:rPr>
        <w:instrText xml:space="preserve"> SEQ Figure \* ARABIC </w:instrText>
      </w:r>
      <w:r w:rsidRPr="001A79BA">
        <w:rPr>
          <w:b/>
          <w:bCs w:val="0"/>
          <w:sz w:val="22"/>
        </w:rPr>
        <w:fldChar w:fldCharType="separate"/>
      </w:r>
      <w:r w:rsidR="003255C0">
        <w:rPr>
          <w:b/>
          <w:bCs w:val="0"/>
          <w:noProof/>
          <w:sz w:val="22"/>
        </w:rPr>
        <w:t>14</w:t>
      </w:r>
      <w:r w:rsidRPr="001A79BA">
        <w:rPr>
          <w:b/>
          <w:bCs w:val="0"/>
          <w:sz w:val="22"/>
        </w:rPr>
        <w:fldChar w:fldCharType="end"/>
      </w:r>
      <w:bookmarkEnd w:id="87"/>
      <w:r w:rsidR="00F5313D" w:rsidRPr="00EC6E98">
        <w:rPr>
          <w:b/>
          <w:sz w:val="22"/>
        </w:rPr>
        <w:t xml:space="preserve"> </w:t>
      </w:r>
      <w:r w:rsidR="00F5313D" w:rsidRPr="004A6FE9">
        <w:rPr>
          <w:szCs w:val="20"/>
        </w:rPr>
        <w:t>Free energy diagram for the intermediates in the OER along the single-site nucleophilic attack reaction coordinate on the fully oxidized RuO</w:t>
      </w:r>
      <w:r w:rsidR="00F5313D" w:rsidRPr="004A6FE9">
        <w:rPr>
          <w:szCs w:val="20"/>
          <w:vertAlign w:val="subscript"/>
        </w:rPr>
        <w:t>2</w:t>
      </w:r>
      <w:r w:rsidR="00F5313D" w:rsidRPr="004A6FE9">
        <w:rPr>
          <w:szCs w:val="20"/>
        </w:rPr>
        <w:t xml:space="preserve">(110) surface computed using the CHE. The figure is </w:t>
      </w:r>
      <w:r w:rsidR="00E6199D">
        <w:rPr>
          <w:szCs w:val="20"/>
        </w:rPr>
        <w:t>r</w:t>
      </w:r>
      <w:r w:rsidR="000757AA" w:rsidRPr="004A6FE9">
        <w:rPr>
          <w:szCs w:val="20"/>
        </w:rPr>
        <w:t>eproduced with permission from Ref.</w:t>
      </w:r>
      <w:r w:rsidR="00F5313D" w:rsidRPr="004A6FE9">
        <w:rPr>
          <w:szCs w:val="20"/>
        </w:rPr>
        <w:t xml:space="preserve"> </w:t>
      </w:r>
      <w:r w:rsidR="00F5313D" w:rsidRPr="004A6FE9">
        <w:rPr>
          <w:szCs w:val="20"/>
        </w:rPr>
        <w:fldChar w:fldCharType="begin"/>
      </w:r>
      <w:r w:rsidR="00FC5BEB">
        <w:rPr>
          <w:szCs w:val="20"/>
        </w:rPr>
        <w:instrText xml:space="preserve"> ADDIN EN.CITE &lt;EndNote&gt;&lt;Cite&gt;&lt;Author&gt;Rossmeisl&lt;/Author&gt;&lt;Year&gt;2007&lt;/Year&gt;&lt;RecNum&gt;86&lt;/RecNum&gt;&lt;DisplayText&gt;&lt;style face="superscript"&gt;88&lt;/style&gt;&lt;/DisplayText&gt;&lt;record&gt;&lt;rec-number&gt;86&lt;/rec-number&gt;&lt;foreign-keys&gt;&lt;key app="EN" db-id="2xex0erf4eexr4e2dpbxpdd829xttesxxxdr" timestamp="1715075296"&gt;86&lt;/key&gt;&lt;/foreign-keys&gt;&lt;ref-type name="Journal Article"&gt;17&lt;/ref-type&gt;&lt;contributors&gt;&lt;authors&gt;&lt;author&gt;Rossmeisl, J.&lt;/author&gt;&lt;author&gt;Qu, Z. W.&lt;/author&gt;&lt;author&gt;Zhu, H.&lt;/author&gt;&lt;author&gt;Kroes, G. J.&lt;/author&gt;&lt;author&gt;Nørskov, J. K.&lt;/author&gt;&lt;/authors&gt;&lt;/contributors&gt;&lt;titles&gt;&lt;title&gt;Electrolysis of water on oxide surfaces&lt;/title&gt;&lt;secondary-title&gt;Journal of Electroanalytical Chemistry&lt;/secondary-title&gt;&lt;/titles&gt;&lt;periodical&gt;&lt;full-title&gt;Journal of Electroanalytical Chemistry&lt;/full-title&gt;&lt;abbr-1&gt;J. Electroanal. Chem.&lt;/abbr-1&gt;&lt;abbr-2&gt;J Electroanal Chem&lt;/abbr-2&gt;&lt;/periodical&gt;&lt;pages&gt;83-89&lt;/pages&gt;&lt;volume&gt;607&lt;/volume&gt;&lt;number&gt;1&lt;/number&gt;&lt;keywords&gt;&lt;keyword&gt;Electrolysis&lt;/keyword&gt;&lt;keyword&gt;Oxide surfaces&lt;/keyword&gt;&lt;keyword&gt;Density functional theory&lt;/keyword&gt;&lt;keyword&gt;Linear relations&lt;/keyword&gt;&lt;/keywords&gt;&lt;dates&gt;&lt;year&gt;2007&lt;/year&gt;&lt;pub-dates&gt;&lt;date&gt;2007/09/01/&lt;/date&gt;&lt;/pub-dates&gt;&lt;/dates&gt;&lt;isbn&gt;1572-6657&lt;/isbn&gt;&lt;urls&gt;&lt;related-urls&gt;&lt;url&gt;https://www.sciencedirect.com/science/article/pii/S0022072806006371&lt;/url&gt;&lt;/related-urls&gt;&lt;/urls&gt;&lt;electronic-resource-num&gt;https://doi.org/10.1016/j.jelechem.2006.11.008&lt;/electronic-resource-num&gt;&lt;/record&gt;&lt;/Cite&gt;&lt;/EndNote&gt;</w:instrText>
      </w:r>
      <w:r w:rsidR="00F5313D" w:rsidRPr="004A6FE9">
        <w:rPr>
          <w:szCs w:val="20"/>
        </w:rPr>
        <w:fldChar w:fldCharType="separate"/>
      </w:r>
      <w:r w:rsidR="00FC5BEB" w:rsidRPr="00FC5BEB">
        <w:rPr>
          <w:noProof/>
          <w:szCs w:val="20"/>
          <w:vertAlign w:val="superscript"/>
        </w:rPr>
        <w:t>88</w:t>
      </w:r>
      <w:r w:rsidR="00F5313D" w:rsidRPr="004A6FE9">
        <w:rPr>
          <w:szCs w:val="20"/>
        </w:rPr>
        <w:fldChar w:fldCharType="end"/>
      </w:r>
      <w:r w:rsidR="00F5313D" w:rsidRPr="004A6FE9">
        <w:rPr>
          <w:szCs w:val="20"/>
        </w:rPr>
        <w:t>.</w:t>
      </w:r>
      <w:r w:rsidR="007E4953">
        <w:rPr>
          <w:szCs w:val="20"/>
        </w:rPr>
        <w:t xml:space="preserve"> </w:t>
      </w:r>
      <w:r w:rsidR="007E4953" w:rsidRPr="007E4953">
        <w:rPr>
          <w:szCs w:val="20"/>
          <w:lang w:val="en-US"/>
        </w:rPr>
        <w:t>Copyright 2007 Elsevier.</w:t>
      </w:r>
    </w:p>
    <w:p w14:paraId="739C088B" w14:textId="39F87D47" w:rsidR="00F5313D" w:rsidRPr="00EC6E98" w:rsidRDefault="00F5313D" w:rsidP="00F5313D">
      <w:pPr>
        <w:rPr>
          <w:color w:val="000000" w:themeColor="text1"/>
          <w:szCs w:val="22"/>
        </w:rPr>
      </w:pPr>
      <w:r w:rsidRPr="00EC6E98">
        <w:rPr>
          <w:color w:val="000000" w:themeColor="text1"/>
          <w:szCs w:val="22"/>
        </w:rPr>
        <w:tab/>
        <w:t>As with metallic surfaces, linear energy scaling relationships were also found on the rutile-type oxides</w:t>
      </w:r>
      <w:r>
        <w:rPr>
          <w:color w:val="000000" w:themeColor="text1"/>
          <w:szCs w:val="22"/>
        </w:rPr>
        <w:fldChar w:fldCharType="begin"/>
      </w:r>
      <w:r w:rsidR="00FC5BEB">
        <w:rPr>
          <w:color w:val="000000" w:themeColor="text1"/>
          <w:szCs w:val="22"/>
        </w:rPr>
        <w:instrText xml:space="preserve"> ADDIN EN.CITE &lt;EndNote&gt;&lt;Cite&gt;&lt;Author&gt;Rossmeisl&lt;/Author&gt;&lt;Year&gt;2007&lt;/Year&gt;&lt;RecNum&gt;86&lt;/RecNum&gt;&lt;DisplayText&gt;&lt;style face="superscript"&gt;88&lt;/style&gt;&lt;/DisplayText&gt;&lt;record&gt;&lt;rec-number&gt;86&lt;/rec-number&gt;&lt;foreign-keys&gt;&lt;key app="EN" db-id="2xex0erf4eexr4e2dpbxpdd829xttesxxxdr" timestamp="1715075296"&gt;86&lt;/key&gt;&lt;/foreign-keys&gt;&lt;ref-type name="Journal Article"&gt;17&lt;/ref-type&gt;&lt;contributors&gt;&lt;authors&gt;&lt;author&gt;Rossmeisl, J.&lt;/author&gt;&lt;author&gt;Qu, Z. W.&lt;/author&gt;&lt;author&gt;Zhu, H.&lt;/author&gt;&lt;author&gt;Kroes, G. J.&lt;/author&gt;&lt;author&gt;Nørskov, J. K.&lt;/author&gt;&lt;/authors&gt;&lt;/contributors&gt;&lt;titles&gt;&lt;title&gt;Electrolysis of water on oxide surfaces&lt;/title&gt;&lt;secondary-title&gt;Journal of Electroanalytical Chemistry&lt;/secondary-title&gt;&lt;/titles&gt;&lt;periodical&gt;&lt;full-title&gt;Journal of Electroanalytical Chemistry&lt;/full-title&gt;&lt;abbr-1&gt;J. Electroanal. Chem.&lt;/abbr-1&gt;&lt;abbr-2&gt;J Electroanal Chem&lt;/abbr-2&gt;&lt;/periodical&gt;&lt;pages&gt;83-89&lt;/pages&gt;&lt;volume&gt;607&lt;/volume&gt;&lt;number&gt;1&lt;/number&gt;&lt;keywords&gt;&lt;keyword&gt;Electrolysis&lt;/keyword&gt;&lt;keyword&gt;Oxide surfaces&lt;/keyword&gt;&lt;keyword&gt;Density functional theory&lt;/keyword&gt;&lt;keyword&gt;Linear relations&lt;/keyword&gt;&lt;/keywords&gt;&lt;dates&gt;&lt;year&gt;2007&lt;/year&gt;&lt;pub-dates&gt;&lt;date&gt;2007/09/01/&lt;/date&gt;&lt;/pub-dates&gt;&lt;/dates&gt;&lt;isbn&gt;1572-6657&lt;/isbn&gt;&lt;urls&gt;&lt;related-urls&gt;&lt;url&gt;https://www.sciencedirect.com/science/article/pii/S0022072806006371&lt;/url&gt;&lt;/related-urls&gt;&lt;/urls&gt;&lt;electronic-resource-num&gt;https://doi.org/10.1016/j.jelechem.2006.11.008&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88</w:t>
      </w:r>
      <w:r>
        <w:rPr>
          <w:color w:val="000000" w:themeColor="text1"/>
          <w:szCs w:val="22"/>
        </w:rPr>
        <w:fldChar w:fldCharType="end"/>
      </w:r>
      <w:r>
        <w:rPr>
          <w:color w:val="000000" w:themeColor="text1"/>
          <w:szCs w:val="22"/>
        </w:rPr>
        <w:t>.</w:t>
      </w:r>
      <w:r w:rsidRPr="00EC6E98">
        <w:rPr>
          <w:color w:val="000000" w:themeColor="text1"/>
          <w:szCs w:val="22"/>
        </w:rPr>
        <w:t xml:space="preserve"> These can be summarized in terms of the oxygen adsorption energy as follows: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1985"/>
        <w:gridCol w:w="4964"/>
        <w:gridCol w:w="2077"/>
      </w:tblGrid>
      <w:tr w:rsidR="00F5313D" w:rsidRPr="001A79BA" w14:paraId="4019D3F2" w14:textId="77777777" w:rsidTr="006A2F78">
        <w:tc>
          <w:tcPr>
            <w:tcW w:w="1985" w:type="dxa"/>
            <w:vAlign w:val="center"/>
          </w:tcPr>
          <w:p w14:paraId="019B0A0A" w14:textId="77777777" w:rsidR="00F5313D" w:rsidRPr="001A79BA" w:rsidRDefault="00F5313D" w:rsidP="003F12A9">
            <w:pPr>
              <w:jc w:val="right"/>
              <w:rPr>
                <w:bCs/>
                <w:sz w:val="20"/>
                <w:szCs w:val="20"/>
              </w:rPr>
            </w:pPr>
          </w:p>
        </w:tc>
        <w:tc>
          <w:tcPr>
            <w:tcW w:w="4964" w:type="dxa"/>
            <w:vAlign w:val="center"/>
          </w:tcPr>
          <w:p w14:paraId="33DCE4B2" w14:textId="2A0BA65F" w:rsidR="00F5313D" w:rsidRPr="006A2F78" w:rsidRDefault="00F5313D" w:rsidP="003F12A9">
            <w:pPr>
              <w:spacing w:before="60" w:after="60"/>
              <w:jc w:val="right"/>
              <w:rPr>
                <w:bCs/>
                <w:sz w:val="20"/>
                <w:szCs w:val="20"/>
              </w:rPr>
            </w:pPr>
            <m:oMathPara>
              <m:oMathParaPr>
                <m:jc m:val="left"/>
              </m:oMathParaPr>
              <m:oMath>
                <m:r>
                  <m:rPr>
                    <m:sty m:val="p"/>
                  </m:rPr>
                  <w:rPr>
                    <w:rFonts w:ascii="Cambria Math" w:hAnsi="Cambria Math"/>
                    <w:color w:val="000000" w:themeColor="text1"/>
                    <w:sz w:val="20"/>
                    <w:szCs w:val="20"/>
                  </w:rPr>
                  <m:t xml:space="preserve">2 </m:t>
                </m:r>
                <m:sSub>
                  <m:sSubPr>
                    <m:ctrlPr>
                      <w:rPr>
                        <w:rFonts w:ascii="Cambria Math" w:eastAsiaTheme="minorHAnsi" w:hAnsi="Cambria Math"/>
                        <w:iCs/>
                        <w:color w:val="000000" w:themeColor="text1"/>
                        <w:sz w:val="20"/>
                        <w:szCs w:val="20"/>
                      </w:rPr>
                    </m:ctrlPr>
                  </m:sSubPr>
                  <m:e>
                    <m:r>
                      <m:rPr>
                        <m:sty m:val="p"/>
                      </m:rPr>
                      <w:rPr>
                        <w:rFonts w:ascii="Cambria Math" w:hAnsi="Cambria Math"/>
                        <w:color w:val="000000" w:themeColor="text1"/>
                        <w:sz w:val="20"/>
                        <w:szCs w:val="20"/>
                      </w:rPr>
                      <m:t>H</m:t>
                    </m:r>
                  </m:e>
                  <m:sub>
                    <m:r>
                      <m:rPr>
                        <m:sty m:val="p"/>
                      </m:rPr>
                      <w:rPr>
                        <w:rFonts w:ascii="Cambria Math" w:hAnsi="Cambria Math"/>
                        <w:color w:val="000000" w:themeColor="text1"/>
                        <w:sz w:val="20"/>
                        <w:szCs w:val="20"/>
                      </w:rPr>
                      <m:t>2</m:t>
                    </m:r>
                  </m:sub>
                </m:sSub>
                <m:r>
                  <m:rPr>
                    <m:sty m:val="p"/>
                  </m:rPr>
                  <w:rPr>
                    <w:rFonts w:ascii="Cambria Math" w:hAnsi="Cambria Math"/>
                    <w:color w:val="000000" w:themeColor="text1"/>
                    <w:sz w:val="20"/>
                    <w:szCs w:val="20"/>
                  </w:rPr>
                  <m:t>O→</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HO</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b>
                  <m:sSubPr>
                    <m:ctrlPr>
                      <w:rPr>
                        <w:rFonts w:ascii="Cambria Math" w:eastAsiaTheme="minorHAnsi" w:hAnsi="Cambria Math"/>
                        <w:iCs/>
                        <w:color w:val="000000" w:themeColor="text1"/>
                        <w:sz w:val="20"/>
                        <w:szCs w:val="20"/>
                      </w:rPr>
                    </m:ctrlPr>
                  </m:sSubPr>
                  <m:e>
                    <m:r>
                      <m:rPr>
                        <m:sty m:val="p"/>
                      </m:rPr>
                      <w:rPr>
                        <w:rFonts w:ascii="Cambria Math" w:hAnsi="Cambria Math"/>
                        <w:color w:val="000000" w:themeColor="text1"/>
                        <w:sz w:val="20"/>
                        <w:szCs w:val="20"/>
                      </w:rPr>
                      <m:t>H</m:t>
                    </m:r>
                  </m:e>
                  <m:sub>
                    <m:r>
                      <m:rPr>
                        <m:sty m:val="p"/>
                      </m:rPr>
                      <w:rPr>
                        <w:rFonts w:ascii="Cambria Math" w:hAnsi="Cambria Math"/>
                        <w:color w:val="000000" w:themeColor="text1"/>
                        <w:sz w:val="20"/>
                        <w:szCs w:val="20"/>
                      </w:rPr>
                      <m:t>2</m:t>
                    </m:r>
                  </m:sub>
                </m:sSub>
                <m:r>
                  <m:rPr>
                    <m:sty m:val="p"/>
                  </m:rPr>
                  <w:rPr>
                    <w:rFonts w:ascii="Cambria Math" w:hAnsi="Cambria Math"/>
                    <w:color w:val="000000" w:themeColor="text1"/>
                    <w:sz w:val="20"/>
                    <w:szCs w:val="20"/>
                  </w:rPr>
                  <m:t>O+</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e</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H</m:t>
                    </m:r>
                  </m:e>
                  <m:sup>
                    <m:r>
                      <m:rPr>
                        <m:sty m:val="p"/>
                      </m:rPr>
                      <w:rPr>
                        <w:rFonts w:ascii="Cambria Math" w:hAnsi="Cambria Math"/>
                        <w:color w:val="000000" w:themeColor="text1"/>
                        <w:sz w:val="20"/>
                        <w:szCs w:val="20"/>
                      </w:rPr>
                      <m:t>+</m:t>
                    </m:r>
                  </m:sup>
                </m:sSup>
              </m:oMath>
            </m:oMathPara>
          </w:p>
        </w:tc>
        <w:tc>
          <w:tcPr>
            <w:tcW w:w="2077" w:type="dxa"/>
            <w:vAlign w:val="center"/>
          </w:tcPr>
          <w:p w14:paraId="3C3E60F1" w14:textId="20DEE22E" w:rsidR="00F5313D" w:rsidRPr="001A79BA" w:rsidRDefault="00F5313D" w:rsidP="003F12A9">
            <w:pPr>
              <w:keepNext/>
              <w:jc w:val="right"/>
              <w:rPr>
                <w:bCs/>
                <w:sz w:val="20"/>
                <w:szCs w:val="20"/>
              </w:rPr>
            </w:pPr>
            <w:r w:rsidRPr="001A79BA">
              <w:rPr>
                <w:sz w:val="20"/>
                <w:szCs w:val="20"/>
              </w:rPr>
              <w:t xml:space="preserve">Equation </w:t>
            </w:r>
            <w:r w:rsidRPr="001A79BA">
              <w:rPr>
                <w:sz w:val="20"/>
                <w:szCs w:val="20"/>
              </w:rPr>
              <w:fldChar w:fldCharType="begin"/>
            </w:r>
            <w:r w:rsidRPr="001A79BA">
              <w:rPr>
                <w:sz w:val="20"/>
                <w:szCs w:val="20"/>
              </w:rPr>
              <w:instrText xml:space="preserve"> SEQ Equation \* ARABIC </w:instrText>
            </w:r>
            <w:r w:rsidRPr="001A79BA">
              <w:rPr>
                <w:sz w:val="20"/>
                <w:szCs w:val="20"/>
              </w:rPr>
              <w:fldChar w:fldCharType="separate"/>
            </w:r>
            <w:r w:rsidR="003255C0">
              <w:rPr>
                <w:noProof/>
                <w:sz w:val="20"/>
                <w:szCs w:val="20"/>
              </w:rPr>
              <w:t>52</w:t>
            </w:r>
            <w:r w:rsidRPr="001A79BA">
              <w:rPr>
                <w:sz w:val="20"/>
                <w:szCs w:val="20"/>
              </w:rPr>
              <w:fldChar w:fldCharType="end"/>
            </w:r>
          </w:p>
        </w:tc>
      </w:tr>
      <w:tr w:rsidR="00F5313D" w:rsidRPr="001A79BA" w14:paraId="5605987A" w14:textId="77777777" w:rsidTr="006A2F78">
        <w:tblPrEx>
          <w:tblCellMar>
            <w:top w:w="0" w:type="dxa"/>
            <w:bottom w:w="0" w:type="dxa"/>
          </w:tblCellMar>
        </w:tblPrEx>
        <w:tc>
          <w:tcPr>
            <w:tcW w:w="1985" w:type="dxa"/>
            <w:vAlign w:val="center"/>
          </w:tcPr>
          <w:p w14:paraId="7673A517" w14:textId="77777777" w:rsidR="00F5313D" w:rsidRPr="001A79BA" w:rsidRDefault="00F5313D" w:rsidP="003F12A9">
            <w:pPr>
              <w:jc w:val="right"/>
              <w:rPr>
                <w:bCs/>
                <w:sz w:val="20"/>
                <w:szCs w:val="20"/>
              </w:rPr>
            </w:pPr>
          </w:p>
        </w:tc>
        <w:tc>
          <w:tcPr>
            <w:tcW w:w="4964" w:type="dxa"/>
            <w:vAlign w:val="center"/>
          </w:tcPr>
          <w:p w14:paraId="4D914CA1" w14:textId="47DD2F7F" w:rsidR="00F5313D" w:rsidRPr="006A2F78" w:rsidRDefault="00F5313D" w:rsidP="003F12A9">
            <w:pPr>
              <w:spacing w:before="60" w:after="60"/>
              <w:jc w:val="right"/>
              <w:rPr>
                <w:bCs/>
                <w:sz w:val="20"/>
                <w:szCs w:val="20"/>
              </w:rPr>
            </w:pPr>
            <m:oMathPara>
              <m:oMathParaPr>
                <m:jc m:val="left"/>
              </m:oMathParaPr>
              <m:oMath>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w:rPr>
                        <w:rFonts w:ascii="Cambria Math" w:hAnsi="Cambria Math"/>
                        <w:color w:val="000000" w:themeColor="text1"/>
                        <w:sz w:val="20"/>
                        <w:szCs w:val="20"/>
                      </w:rPr>
                      <m:t>1</m:t>
                    </m:r>
                  </m:sub>
                </m:sSub>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m:rPr>
                        <m:sty m:val="p"/>
                      </m:rPr>
                      <w:rPr>
                        <w:rFonts w:ascii="Cambria Math" w:hAnsi="Cambria Math"/>
                        <w:color w:val="000000" w:themeColor="text1"/>
                        <w:sz w:val="20"/>
                        <w:szCs w:val="20"/>
                      </w:rPr>
                      <m:t>OH</m:t>
                    </m:r>
                  </m:sub>
                </m:sSub>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m:rPr>
                        <m:sty m:val="p"/>
                      </m:rPr>
                      <w:rPr>
                        <w:rFonts w:ascii="Cambria Math" w:hAnsi="Cambria Math"/>
                        <w:color w:val="000000" w:themeColor="text1"/>
                        <w:sz w:val="20"/>
                        <w:szCs w:val="20"/>
                      </w:rPr>
                      <m:t>H2O</m:t>
                    </m:r>
                  </m:sub>
                </m:sSub>
              </m:oMath>
            </m:oMathPara>
          </w:p>
        </w:tc>
        <w:tc>
          <w:tcPr>
            <w:tcW w:w="2077" w:type="dxa"/>
            <w:vAlign w:val="center"/>
          </w:tcPr>
          <w:p w14:paraId="5A359E45" w14:textId="64009221" w:rsidR="00F5313D" w:rsidRPr="001A79BA" w:rsidRDefault="00F5313D" w:rsidP="003F12A9">
            <w:pPr>
              <w:keepNext/>
              <w:jc w:val="right"/>
              <w:rPr>
                <w:bCs/>
                <w:sz w:val="20"/>
                <w:szCs w:val="20"/>
              </w:rPr>
            </w:pPr>
            <w:r w:rsidRPr="001A79BA">
              <w:rPr>
                <w:sz w:val="20"/>
                <w:szCs w:val="20"/>
              </w:rPr>
              <w:t xml:space="preserve">Equation </w:t>
            </w:r>
            <w:r w:rsidRPr="001A79BA">
              <w:rPr>
                <w:sz w:val="20"/>
                <w:szCs w:val="20"/>
              </w:rPr>
              <w:fldChar w:fldCharType="begin"/>
            </w:r>
            <w:r w:rsidRPr="001A79BA">
              <w:rPr>
                <w:sz w:val="20"/>
                <w:szCs w:val="20"/>
              </w:rPr>
              <w:instrText xml:space="preserve"> SEQ Equation \* ARABIC </w:instrText>
            </w:r>
            <w:r w:rsidRPr="001A79BA">
              <w:rPr>
                <w:sz w:val="20"/>
                <w:szCs w:val="20"/>
              </w:rPr>
              <w:fldChar w:fldCharType="separate"/>
            </w:r>
            <w:r w:rsidR="003255C0">
              <w:rPr>
                <w:noProof/>
                <w:sz w:val="20"/>
                <w:szCs w:val="20"/>
              </w:rPr>
              <w:t>53</w:t>
            </w:r>
            <w:r w:rsidRPr="001A79BA">
              <w:rPr>
                <w:sz w:val="20"/>
                <w:szCs w:val="20"/>
              </w:rPr>
              <w:fldChar w:fldCharType="end"/>
            </w:r>
          </w:p>
        </w:tc>
      </w:tr>
      <w:tr w:rsidR="00F5313D" w:rsidRPr="001A79BA" w14:paraId="36CD84DB" w14:textId="77777777" w:rsidTr="006A2F78">
        <w:tblPrEx>
          <w:tblCellMar>
            <w:top w:w="0" w:type="dxa"/>
            <w:bottom w:w="0" w:type="dxa"/>
          </w:tblCellMar>
        </w:tblPrEx>
        <w:tc>
          <w:tcPr>
            <w:tcW w:w="1985" w:type="dxa"/>
            <w:vAlign w:val="center"/>
          </w:tcPr>
          <w:p w14:paraId="2FB7713D" w14:textId="77777777" w:rsidR="00F5313D" w:rsidRPr="001A79BA" w:rsidRDefault="00F5313D" w:rsidP="003F12A9">
            <w:pPr>
              <w:jc w:val="right"/>
              <w:rPr>
                <w:bCs/>
                <w:sz w:val="20"/>
                <w:szCs w:val="20"/>
              </w:rPr>
            </w:pPr>
          </w:p>
        </w:tc>
        <w:tc>
          <w:tcPr>
            <w:tcW w:w="4964" w:type="dxa"/>
            <w:vAlign w:val="center"/>
          </w:tcPr>
          <w:p w14:paraId="2B8000BC" w14:textId="0A3860A2" w:rsidR="00F5313D" w:rsidRPr="006A2F78" w:rsidRDefault="00F5313D" w:rsidP="003F12A9">
            <w:pPr>
              <w:spacing w:before="60" w:after="60"/>
              <w:jc w:val="right"/>
              <w:rPr>
                <w:bCs/>
                <w:sz w:val="20"/>
                <w:szCs w:val="20"/>
              </w:rPr>
            </w:pPr>
            <m:oMathPara>
              <m:oMathParaPr>
                <m:jc m:val="left"/>
              </m:oMathParaPr>
              <m:oMath>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E</m:t>
                    </m:r>
                  </m:e>
                  <m:sub>
                    <m:r>
                      <m:rPr>
                        <m:sty m:val="p"/>
                      </m:rPr>
                      <w:rPr>
                        <w:rFonts w:ascii="Cambria Math" w:hAnsi="Cambria Math"/>
                        <w:color w:val="000000" w:themeColor="text1"/>
                        <w:sz w:val="20"/>
                        <w:szCs w:val="20"/>
                      </w:rPr>
                      <m:t>OH</m:t>
                    </m:r>
                  </m:sub>
                </m:sSub>
                <m:r>
                  <w:rPr>
                    <w:rFonts w:ascii="Cambria Math" w:hAnsi="Cambria Math"/>
                    <w:color w:val="000000" w:themeColor="text1"/>
                    <w:sz w:val="20"/>
                    <w:szCs w:val="20"/>
                  </w:rPr>
                  <m:t xml:space="preserve">+0.35 </m:t>
                </m:r>
                <m:r>
                  <m:rPr>
                    <m:sty m:val="p"/>
                  </m:rPr>
                  <w:rPr>
                    <w:rFonts w:ascii="Cambria Math" w:hAnsi="Cambria Math"/>
                    <w:color w:val="000000" w:themeColor="text1"/>
                    <w:sz w:val="20"/>
                    <w:szCs w:val="20"/>
                  </w:rPr>
                  <m:t>eV</m:t>
                </m:r>
                <m:r>
                  <w:rPr>
                    <w:rFonts w:ascii="Cambria Math" w:hAnsi="Cambria Math"/>
                    <w:color w:val="000000" w:themeColor="text1"/>
                    <w:sz w:val="20"/>
                    <w:szCs w:val="20"/>
                  </w:rPr>
                  <m:t>-eU</m:t>
                </m:r>
              </m:oMath>
            </m:oMathPara>
          </w:p>
        </w:tc>
        <w:tc>
          <w:tcPr>
            <w:tcW w:w="2077" w:type="dxa"/>
            <w:vAlign w:val="center"/>
          </w:tcPr>
          <w:p w14:paraId="68A90263" w14:textId="3D88D5D0" w:rsidR="00F5313D" w:rsidRPr="001A79BA" w:rsidRDefault="00F5313D" w:rsidP="003F12A9">
            <w:pPr>
              <w:keepNext/>
              <w:jc w:val="right"/>
              <w:rPr>
                <w:bCs/>
                <w:sz w:val="20"/>
                <w:szCs w:val="20"/>
              </w:rPr>
            </w:pPr>
            <w:r w:rsidRPr="001A79BA">
              <w:rPr>
                <w:sz w:val="20"/>
                <w:szCs w:val="20"/>
              </w:rPr>
              <w:t xml:space="preserve">Equation </w:t>
            </w:r>
            <w:r w:rsidRPr="001A79BA">
              <w:rPr>
                <w:sz w:val="20"/>
                <w:szCs w:val="20"/>
              </w:rPr>
              <w:fldChar w:fldCharType="begin"/>
            </w:r>
            <w:r w:rsidRPr="001A79BA">
              <w:rPr>
                <w:sz w:val="20"/>
                <w:szCs w:val="20"/>
              </w:rPr>
              <w:instrText xml:space="preserve"> SEQ Equation \* ARABIC </w:instrText>
            </w:r>
            <w:r w:rsidRPr="001A79BA">
              <w:rPr>
                <w:sz w:val="20"/>
                <w:szCs w:val="20"/>
              </w:rPr>
              <w:fldChar w:fldCharType="separate"/>
            </w:r>
            <w:r w:rsidR="003255C0">
              <w:rPr>
                <w:noProof/>
                <w:sz w:val="20"/>
                <w:szCs w:val="20"/>
              </w:rPr>
              <w:t>54</w:t>
            </w:r>
            <w:r w:rsidRPr="001A79BA">
              <w:rPr>
                <w:sz w:val="20"/>
                <w:szCs w:val="20"/>
              </w:rPr>
              <w:fldChar w:fldCharType="end"/>
            </w:r>
          </w:p>
        </w:tc>
      </w:tr>
      <w:tr w:rsidR="00F5313D" w:rsidRPr="001A79BA" w14:paraId="4D294629" w14:textId="77777777" w:rsidTr="006A2F78">
        <w:tblPrEx>
          <w:tblCellMar>
            <w:top w:w="0" w:type="dxa"/>
            <w:bottom w:w="0" w:type="dxa"/>
          </w:tblCellMar>
        </w:tblPrEx>
        <w:tc>
          <w:tcPr>
            <w:tcW w:w="1985" w:type="dxa"/>
            <w:vAlign w:val="center"/>
          </w:tcPr>
          <w:p w14:paraId="056E86D3" w14:textId="77777777" w:rsidR="00F5313D" w:rsidRPr="001A79BA" w:rsidRDefault="00F5313D" w:rsidP="003F12A9">
            <w:pPr>
              <w:jc w:val="right"/>
              <w:rPr>
                <w:bCs/>
                <w:sz w:val="20"/>
                <w:szCs w:val="20"/>
              </w:rPr>
            </w:pPr>
          </w:p>
        </w:tc>
        <w:tc>
          <w:tcPr>
            <w:tcW w:w="4964" w:type="dxa"/>
            <w:vAlign w:val="center"/>
          </w:tcPr>
          <w:p w14:paraId="7C370824" w14:textId="07E29661" w:rsidR="00F5313D" w:rsidRPr="006A2F78" w:rsidRDefault="00F5313D" w:rsidP="003F12A9">
            <w:pPr>
              <w:spacing w:before="60" w:after="60"/>
              <w:jc w:val="right"/>
              <w:rPr>
                <w:bCs/>
                <w:sz w:val="20"/>
                <w:szCs w:val="20"/>
              </w:rPr>
            </w:pPr>
            <m:oMathPara>
              <m:oMathParaPr>
                <m:jc m:val="left"/>
              </m:oMathParaPr>
              <m:oMath>
                <m:r>
                  <w:rPr>
                    <w:rFonts w:ascii="Cambria Math" w:hAnsi="Cambria Math"/>
                    <w:color w:val="000000" w:themeColor="text1"/>
                    <w:sz w:val="20"/>
                    <w:szCs w:val="20"/>
                  </w:rPr>
                  <m:t>=0.61∆</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E</m:t>
                    </m:r>
                  </m:e>
                  <m:sub>
                    <m:r>
                      <m:rPr>
                        <m:sty m:val="p"/>
                      </m:rPr>
                      <w:rPr>
                        <w:rFonts w:ascii="Cambria Math" w:hAnsi="Cambria Math"/>
                        <w:color w:val="000000" w:themeColor="text1"/>
                        <w:sz w:val="20"/>
                        <w:szCs w:val="20"/>
                      </w:rPr>
                      <m:t>O</m:t>
                    </m:r>
                  </m:sub>
                </m:sSub>
                <m:r>
                  <w:rPr>
                    <w:rFonts w:ascii="Cambria Math" w:hAnsi="Cambria Math"/>
                    <w:color w:val="000000" w:themeColor="text1"/>
                    <w:sz w:val="20"/>
                    <w:szCs w:val="20"/>
                  </w:rPr>
                  <m:t xml:space="preserve">-0.55 </m:t>
                </m:r>
                <m:r>
                  <m:rPr>
                    <m:sty m:val="p"/>
                  </m:rPr>
                  <w:rPr>
                    <w:rFonts w:ascii="Cambria Math" w:hAnsi="Cambria Math"/>
                    <w:color w:val="000000" w:themeColor="text1"/>
                    <w:sz w:val="20"/>
                    <w:szCs w:val="20"/>
                  </w:rPr>
                  <m:t>eV</m:t>
                </m:r>
                <m:r>
                  <w:rPr>
                    <w:rFonts w:ascii="Cambria Math" w:hAnsi="Cambria Math"/>
                    <w:color w:val="000000" w:themeColor="text1"/>
                    <w:sz w:val="20"/>
                    <w:szCs w:val="20"/>
                  </w:rPr>
                  <m:t>-eU</m:t>
                </m:r>
              </m:oMath>
            </m:oMathPara>
          </w:p>
        </w:tc>
        <w:tc>
          <w:tcPr>
            <w:tcW w:w="2077" w:type="dxa"/>
            <w:vAlign w:val="center"/>
          </w:tcPr>
          <w:p w14:paraId="664055D2" w14:textId="24F32F81" w:rsidR="00F5313D" w:rsidRPr="001A79BA" w:rsidRDefault="00F5313D" w:rsidP="003F12A9">
            <w:pPr>
              <w:keepNext/>
              <w:jc w:val="right"/>
              <w:rPr>
                <w:bCs/>
                <w:sz w:val="20"/>
                <w:szCs w:val="20"/>
              </w:rPr>
            </w:pPr>
            <w:r w:rsidRPr="001A79BA">
              <w:rPr>
                <w:sz w:val="20"/>
                <w:szCs w:val="20"/>
              </w:rPr>
              <w:t xml:space="preserve">Equation </w:t>
            </w:r>
            <w:r w:rsidRPr="001A79BA">
              <w:rPr>
                <w:sz w:val="20"/>
                <w:szCs w:val="20"/>
              </w:rPr>
              <w:fldChar w:fldCharType="begin"/>
            </w:r>
            <w:r w:rsidRPr="001A79BA">
              <w:rPr>
                <w:sz w:val="20"/>
                <w:szCs w:val="20"/>
              </w:rPr>
              <w:instrText xml:space="preserve"> SEQ Equation \* ARABIC </w:instrText>
            </w:r>
            <w:r w:rsidRPr="001A79BA">
              <w:rPr>
                <w:sz w:val="20"/>
                <w:szCs w:val="20"/>
              </w:rPr>
              <w:fldChar w:fldCharType="separate"/>
            </w:r>
            <w:r w:rsidR="003255C0">
              <w:rPr>
                <w:noProof/>
                <w:sz w:val="20"/>
                <w:szCs w:val="20"/>
              </w:rPr>
              <w:t>55</w:t>
            </w:r>
            <w:r w:rsidRPr="001A79BA">
              <w:rPr>
                <w:sz w:val="20"/>
                <w:szCs w:val="20"/>
              </w:rPr>
              <w:fldChar w:fldCharType="end"/>
            </w:r>
          </w:p>
        </w:tc>
      </w:tr>
      <w:tr w:rsidR="00EE423E" w:rsidRPr="001A79BA" w14:paraId="2649E12F" w14:textId="77777777" w:rsidTr="006A2F78">
        <w:tc>
          <w:tcPr>
            <w:tcW w:w="1985" w:type="dxa"/>
            <w:vAlign w:val="center"/>
          </w:tcPr>
          <w:p w14:paraId="50FED03C" w14:textId="77777777" w:rsidR="003F12A9" w:rsidRPr="001A79BA" w:rsidRDefault="003F12A9" w:rsidP="00E45E28">
            <w:pPr>
              <w:rPr>
                <w:bCs/>
                <w:sz w:val="20"/>
                <w:szCs w:val="20"/>
              </w:rPr>
            </w:pPr>
          </w:p>
          <w:p w14:paraId="7883EFF0" w14:textId="77777777" w:rsidR="003F12A9" w:rsidRPr="001A79BA" w:rsidRDefault="003F12A9" w:rsidP="00E45E28">
            <w:pPr>
              <w:rPr>
                <w:bCs/>
                <w:sz w:val="20"/>
                <w:szCs w:val="20"/>
              </w:rPr>
            </w:pPr>
          </w:p>
        </w:tc>
        <w:tc>
          <w:tcPr>
            <w:tcW w:w="4964" w:type="dxa"/>
            <w:vAlign w:val="center"/>
          </w:tcPr>
          <w:p w14:paraId="7898CD3C" w14:textId="198978B6" w:rsidR="00EE423E" w:rsidRPr="001A79BA" w:rsidRDefault="00EE423E" w:rsidP="003F12A9">
            <w:pPr>
              <w:spacing w:before="60" w:after="60"/>
              <w:jc w:val="right"/>
              <w:rPr>
                <w:bCs/>
                <w:sz w:val="20"/>
                <w:szCs w:val="20"/>
              </w:rPr>
            </w:pPr>
          </w:p>
        </w:tc>
        <w:tc>
          <w:tcPr>
            <w:tcW w:w="2077" w:type="dxa"/>
            <w:vAlign w:val="center"/>
          </w:tcPr>
          <w:p w14:paraId="19066B2A" w14:textId="050A45A2" w:rsidR="00EE423E" w:rsidRPr="001A79BA" w:rsidRDefault="00EE423E" w:rsidP="003F12A9">
            <w:pPr>
              <w:keepNext/>
              <w:jc w:val="right"/>
              <w:rPr>
                <w:bCs/>
                <w:sz w:val="20"/>
                <w:szCs w:val="20"/>
              </w:rPr>
            </w:pPr>
          </w:p>
        </w:tc>
      </w:tr>
      <w:tr w:rsidR="003F12A9" w:rsidRPr="001A79BA" w14:paraId="3B3804B6" w14:textId="77777777" w:rsidTr="006A2F78">
        <w:tc>
          <w:tcPr>
            <w:tcW w:w="1985" w:type="dxa"/>
            <w:vAlign w:val="center"/>
          </w:tcPr>
          <w:p w14:paraId="21FF03F1" w14:textId="77777777" w:rsidR="003F12A9" w:rsidRPr="001A79BA" w:rsidRDefault="003F12A9" w:rsidP="00E45E28">
            <w:pPr>
              <w:rPr>
                <w:bCs/>
                <w:sz w:val="20"/>
                <w:szCs w:val="20"/>
              </w:rPr>
            </w:pPr>
          </w:p>
        </w:tc>
        <w:tc>
          <w:tcPr>
            <w:tcW w:w="4964" w:type="dxa"/>
            <w:vAlign w:val="center"/>
          </w:tcPr>
          <w:p w14:paraId="4F46FFC7" w14:textId="048C375C" w:rsidR="003F12A9" w:rsidRPr="006A2F78" w:rsidRDefault="00000000" w:rsidP="00E45E28">
            <w:pPr>
              <w:spacing w:before="60" w:after="60"/>
              <w:rPr>
                <w:bCs/>
                <w:sz w:val="20"/>
                <w:szCs w:val="20"/>
              </w:rPr>
            </w:pPr>
            <m:oMathPara>
              <m:oMathParaPr>
                <m:jc m:val="left"/>
              </m:oMathParaPr>
              <m:oMath>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HO</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b>
                  <m:sSubPr>
                    <m:ctrlPr>
                      <w:rPr>
                        <w:rFonts w:ascii="Cambria Math" w:eastAsiaTheme="minorHAnsi" w:hAnsi="Cambria Math"/>
                        <w:iCs/>
                        <w:color w:val="000000" w:themeColor="text1"/>
                        <w:sz w:val="20"/>
                        <w:szCs w:val="20"/>
                      </w:rPr>
                    </m:ctrlPr>
                  </m:sSubPr>
                  <m:e>
                    <m:r>
                      <m:rPr>
                        <m:sty m:val="p"/>
                      </m:rPr>
                      <w:rPr>
                        <w:rFonts w:ascii="Cambria Math" w:hAnsi="Cambria Math"/>
                        <w:color w:val="000000" w:themeColor="text1"/>
                        <w:sz w:val="20"/>
                        <w:szCs w:val="20"/>
                      </w:rPr>
                      <m:t>H</m:t>
                    </m:r>
                  </m:e>
                  <m:sub>
                    <m:r>
                      <m:rPr>
                        <m:sty m:val="p"/>
                      </m:rPr>
                      <w:rPr>
                        <w:rFonts w:ascii="Cambria Math" w:hAnsi="Cambria Math"/>
                        <w:color w:val="000000" w:themeColor="text1"/>
                        <w:sz w:val="20"/>
                        <w:szCs w:val="20"/>
                      </w:rPr>
                      <m:t>2</m:t>
                    </m:r>
                  </m:sub>
                </m:sSub>
                <m:r>
                  <m:rPr>
                    <m:sty m:val="p"/>
                  </m:rPr>
                  <w:rPr>
                    <w:rFonts w:ascii="Cambria Math" w:hAnsi="Cambria Math"/>
                    <w:color w:val="000000" w:themeColor="text1"/>
                    <w:sz w:val="20"/>
                    <w:szCs w:val="20"/>
                  </w:rPr>
                  <m:t>O+</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e</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H</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O</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b>
                  <m:sSubPr>
                    <m:ctrlPr>
                      <w:rPr>
                        <w:rFonts w:ascii="Cambria Math" w:eastAsiaTheme="minorHAnsi" w:hAnsi="Cambria Math"/>
                        <w:iCs/>
                        <w:color w:val="000000" w:themeColor="text1"/>
                        <w:sz w:val="20"/>
                        <w:szCs w:val="20"/>
                      </w:rPr>
                    </m:ctrlPr>
                  </m:sSubPr>
                  <m:e>
                    <m:r>
                      <m:rPr>
                        <m:sty m:val="p"/>
                      </m:rPr>
                      <w:rPr>
                        <w:rFonts w:ascii="Cambria Math" w:hAnsi="Cambria Math"/>
                        <w:color w:val="000000" w:themeColor="text1"/>
                        <w:sz w:val="20"/>
                        <w:szCs w:val="20"/>
                      </w:rPr>
                      <m:t>H</m:t>
                    </m:r>
                  </m:e>
                  <m:sub>
                    <m:r>
                      <m:rPr>
                        <m:sty m:val="p"/>
                      </m:rPr>
                      <w:rPr>
                        <w:rFonts w:ascii="Cambria Math" w:hAnsi="Cambria Math"/>
                        <w:color w:val="000000" w:themeColor="text1"/>
                        <w:sz w:val="20"/>
                        <w:szCs w:val="20"/>
                      </w:rPr>
                      <m:t>2</m:t>
                    </m:r>
                  </m:sub>
                </m:sSub>
                <m:r>
                  <m:rPr>
                    <m:sty m:val="p"/>
                  </m:rPr>
                  <w:rPr>
                    <w:rFonts w:ascii="Cambria Math" w:hAnsi="Cambria Math"/>
                    <w:color w:val="000000" w:themeColor="text1"/>
                    <w:sz w:val="20"/>
                    <w:szCs w:val="20"/>
                  </w:rPr>
                  <m:t>O+</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2e</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2H</m:t>
                    </m:r>
                  </m:e>
                  <m:sup>
                    <m:r>
                      <m:rPr>
                        <m:sty m:val="p"/>
                      </m:rPr>
                      <w:rPr>
                        <w:rFonts w:ascii="Cambria Math" w:hAnsi="Cambria Math"/>
                        <w:color w:val="000000" w:themeColor="text1"/>
                        <w:sz w:val="20"/>
                        <w:szCs w:val="20"/>
                      </w:rPr>
                      <m:t>+</m:t>
                    </m:r>
                  </m:sup>
                </m:sSup>
              </m:oMath>
            </m:oMathPara>
          </w:p>
        </w:tc>
        <w:tc>
          <w:tcPr>
            <w:tcW w:w="2077" w:type="dxa"/>
            <w:vAlign w:val="center"/>
          </w:tcPr>
          <w:p w14:paraId="71CF5D37" w14:textId="35C0C39E" w:rsidR="003F12A9" w:rsidRPr="001A79BA" w:rsidRDefault="003F12A9" w:rsidP="00E45E28">
            <w:pPr>
              <w:keepNext/>
              <w:jc w:val="right"/>
              <w:rPr>
                <w:bCs/>
                <w:sz w:val="20"/>
                <w:szCs w:val="20"/>
              </w:rPr>
            </w:pPr>
            <w:r w:rsidRPr="001A79BA">
              <w:rPr>
                <w:sz w:val="20"/>
                <w:szCs w:val="20"/>
              </w:rPr>
              <w:t xml:space="preserve">Equation </w:t>
            </w:r>
            <w:r w:rsidRPr="001A79BA">
              <w:rPr>
                <w:sz w:val="20"/>
                <w:szCs w:val="20"/>
              </w:rPr>
              <w:fldChar w:fldCharType="begin"/>
            </w:r>
            <w:r w:rsidRPr="001A79BA">
              <w:rPr>
                <w:sz w:val="20"/>
                <w:szCs w:val="20"/>
              </w:rPr>
              <w:instrText xml:space="preserve"> SEQ Equation \* ARABIC </w:instrText>
            </w:r>
            <w:r w:rsidRPr="001A79BA">
              <w:rPr>
                <w:sz w:val="20"/>
                <w:szCs w:val="20"/>
              </w:rPr>
              <w:fldChar w:fldCharType="separate"/>
            </w:r>
            <w:r w:rsidR="003255C0">
              <w:rPr>
                <w:noProof/>
                <w:sz w:val="20"/>
                <w:szCs w:val="20"/>
              </w:rPr>
              <w:t>56</w:t>
            </w:r>
            <w:r w:rsidRPr="001A79BA">
              <w:rPr>
                <w:sz w:val="20"/>
                <w:szCs w:val="20"/>
              </w:rPr>
              <w:fldChar w:fldCharType="end"/>
            </w:r>
          </w:p>
        </w:tc>
      </w:tr>
      <w:tr w:rsidR="00EE423E" w:rsidRPr="001A79BA" w14:paraId="01428C08" w14:textId="77777777" w:rsidTr="006A2F78">
        <w:tblPrEx>
          <w:tblCellMar>
            <w:top w:w="0" w:type="dxa"/>
            <w:bottom w:w="0" w:type="dxa"/>
          </w:tblCellMar>
        </w:tblPrEx>
        <w:tc>
          <w:tcPr>
            <w:tcW w:w="1985" w:type="dxa"/>
          </w:tcPr>
          <w:p w14:paraId="52DDCC9A" w14:textId="77777777" w:rsidR="00EE423E" w:rsidRPr="001A79BA" w:rsidRDefault="00EE423E" w:rsidP="00E45E28">
            <w:pPr>
              <w:rPr>
                <w:bCs/>
                <w:sz w:val="20"/>
                <w:szCs w:val="20"/>
              </w:rPr>
            </w:pPr>
          </w:p>
          <w:p w14:paraId="7B508104" w14:textId="77777777" w:rsidR="003F12A9" w:rsidRPr="001A79BA" w:rsidRDefault="003F12A9" w:rsidP="00E45E28">
            <w:pPr>
              <w:rPr>
                <w:bCs/>
                <w:sz w:val="20"/>
                <w:szCs w:val="20"/>
              </w:rPr>
            </w:pPr>
          </w:p>
        </w:tc>
        <w:tc>
          <w:tcPr>
            <w:tcW w:w="4964" w:type="dxa"/>
            <w:vAlign w:val="center"/>
          </w:tcPr>
          <w:p w14:paraId="5A727874" w14:textId="2C91ED03" w:rsidR="00EE423E" w:rsidRPr="006A2F78" w:rsidRDefault="00EE423E" w:rsidP="003F12A9">
            <w:pPr>
              <w:spacing w:before="60" w:after="60"/>
              <w:jc w:val="right"/>
              <w:rPr>
                <w:bCs/>
                <w:sz w:val="20"/>
                <w:szCs w:val="20"/>
              </w:rPr>
            </w:pPr>
            <m:oMathPara>
              <m:oMathParaPr>
                <m:jc m:val="left"/>
              </m:oMathParaPr>
              <m:oMath>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w:rPr>
                        <w:rFonts w:ascii="Cambria Math" w:hAnsi="Cambria Math"/>
                        <w:color w:val="000000" w:themeColor="text1"/>
                        <w:sz w:val="20"/>
                        <w:szCs w:val="20"/>
                      </w:rPr>
                      <m:t>2</m:t>
                    </m:r>
                  </m:sub>
                </m:sSub>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m:rPr>
                        <m:sty m:val="p"/>
                      </m:rPr>
                      <w:rPr>
                        <w:rFonts w:ascii="Cambria Math" w:hAnsi="Cambria Math"/>
                        <w:color w:val="000000" w:themeColor="text1"/>
                        <w:sz w:val="20"/>
                        <w:szCs w:val="20"/>
                      </w:rPr>
                      <m:t>O</m:t>
                    </m:r>
                  </m:sub>
                </m:sSub>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m:rPr>
                        <m:sty m:val="p"/>
                      </m:rPr>
                      <w:rPr>
                        <w:rFonts w:ascii="Cambria Math" w:hAnsi="Cambria Math"/>
                        <w:color w:val="000000" w:themeColor="text1"/>
                        <w:sz w:val="20"/>
                        <w:szCs w:val="20"/>
                      </w:rPr>
                      <m:t>HO</m:t>
                    </m:r>
                  </m:sub>
                </m:sSub>
              </m:oMath>
            </m:oMathPara>
          </w:p>
        </w:tc>
        <w:tc>
          <w:tcPr>
            <w:tcW w:w="2077" w:type="dxa"/>
            <w:vAlign w:val="center"/>
          </w:tcPr>
          <w:p w14:paraId="7483D9AC" w14:textId="0C46F2B4" w:rsidR="00EE423E" w:rsidRPr="001A79BA" w:rsidRDefault="00EE423E" w:rsidP="003F12A9">
            <w:pPr>
              <w:keepNext/>
              <w:jc w:val="right"/>
              <w:rPr>
                <w:bCs/>
                <w:sz w:val="20"/>
                <w:szCs w:val="20"/>
              </w:rPr>
            </w:pPr>
            <w:r w:rsidRPr="001A79BA">
              <w:rPr>
                <w:sz w:val="20"/>
                <w:szCs w:val="20"/>
              </w:rPr>
              <w:t xml:space="preserve">Equation </w:t>
            </w:r>
            <w:r w:rsidRPr="001A79BA">
              <w:rPr>
                <w:sz w:val="20"/>
                <w:szCs w:val="20"/>
              </w:rPr>
              <w:fldChar w:fldCharType="begin"/>
            </w:r>
            <w:r w:rsidRPr="001A79BA">
              <w:rPr>
                <w:sz w:val="20"/>
                <w:szCs w:val="20"/>
              </w:rPr>
              <w:instrText xml:space="preserve"> SEQ Equation \* ARABIC </w:instrText>
            </w:r>
            <w:r w:rsidRPr="001A79BA">
              <w:rPr>
                <w:sz w:val="20"/>
                <w:szCs w:val="20"/>
              </w:rPr>
              <w:fldChar w:fldCharType="separate"/>
            </w:r>
            <w:r w:rsidR="003255C0">
              <w:rPr>
                <w:noProof/>
                <w:sz w:val="20"/>
                <w:szCs w:val="20"/>
              </w:rPr>
              <w:t>57</w:t>
            </w:r>
            <w:r w:rsidRPr="001A79BA">
              <w:rPr>
                <w:sz w:val="20"/>
                <w:szCs w:val="20"/>
              </w:rPr>
              <w:fldChar w:fldCharType="end"/>
            </w:r>
          </w:p>
        </w:tc>
      </w:tr>
      <w:tr w:rsidR="00EE423E" w:rsidRPr="001A79BA" w14:paraId="5AC41159" w14:textId="77777777" w:rsidTr="006A2F78">
        <w:tblPrEx>
          <w:tblCellMar>
            <w:top w:w="0" w:type="dxa"/>
            <w:bottom w:w="0" w:type="dxa"/>
          </w:tblCellMar>
        </w:tblPrEx>
        <w:tc>
          <w:tcPr>
            <w:tcW w:w="1985" w:type="dxa"/>
          </w:tcPr>
          <w:p w14:paraId="7102BBA3" w14:textId="77777777" w:rsidR="00EE423E" w:rsidRPr="001A79BA" w:rsidRDefault="00EE423E" w:rsidP="00E45E28">
            <w:pPr>
              <w:rPr>
                <w:bCs/>
                <w:sz w:val="20"/>
                <w:szCs w:val="20"/>
              </w:rPr>
            </w:pPr>
          </w:p>
        </w:tc>
        <w:tc>
          <w:tcPr>
            <w:tcW w:w="4964" w:type="dxa"/>
            <w:vAlign w:val="center"/>
          </w:tcPr>
          <w:p w14:paraId="10E546EB" w14:textId="4FD385AC" w:rsidR="00EE423E" w:rsidRPr="006A2F78" w:rsidRDefault="00EE423E" w:rsidP="003F12A9">
            <w:pPr>
              <w:spacing w:before="60" w:after="60"/>
              <w:jc w:val="right"/>
              <w:rPr>
                <w:bCs/>
                <w:sz w:val="20"/>
                <w:szCs w:val="20"/>
              </w:rPr>
            </w:pPr>
            <m:oMathPara>
              <m:oMathParaPr>
                <m:jc m:val="left"/>
              </m:oMathParaPr>
              <m:oMath>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E</m:t>
                    </m:r>
                  </m:e>
                  <m:sub>
                    <m:r>
                      <m:rPr>
                        <m:sty m:val="p"/>
                      </m:rPr>
                      <w:rPr>
                        <w:rFonts w:ascii="Cambria Math" w:hAnsi="Cambria Math"/>
                        <w:color w:val="000000" w:themeColor="text1"/>
                        <w:sz w:val="20"/>
                        <w:szCs w:val="20"/>
                      </w:rPr>
                      <m:t>O</m:t>
                    </m:r>
                  </m:sub>
                </m:sSub>
                <m:r>
                  <w:rPr>
                    <w:rFonts w:ascii="Cambria Math" w:hAnsi="Cambria Math"/>
                    <w:color w:val="000000" w:themeColor="text1"/>
                    <w:sz w:val="20"/>
                    <w:szCs w:val="20"/>
                  </w:rPr>
                  <m:t xml:space="preserve">+0.05 </m:t>
                </m:r>
                <m:r>
                  <m:rPr>
                    <m:sty m:val="p"/>
                  </m:rPr>
                  <w:rPr>
                    <w:rFonts w:ascii="Cambria Math" w:hAnsi="Cambria Math"/>
                    <w:color w:val="000000" w:themeColor="text1"/>
                    <w:sz w:val="20"/>
                    <w:szCs w:val="20"/>
                  </w:rPr>
                  <m:t>eV-</m:t>
                </m:r>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E</m:t>
                    </m:r>
                  </m:e>
                  <m:sub>
                    <m:r>
                      <m:rPr>
                        <m:sty m:val="p"/>
                      </m:rPr>
                      <w:rPr>
                        <w:rFonts w:ascii="Cambria Math" w:hAnsi="Cambria Math"/>
                        <w:color w:val="000000" w:themeColor="text1"/>
                        <w:sz w:val="20"/>
                        <w:szCs w:val="20"/>
                      </w:rPr>
                      <m:t>OH</m:t>
                    </m:r>
                  </m:sub>
                </m:sSub>
                <m:r>
                  <w:rPr>
                    <w:rFonts w:ascii="Cambria Math" w:hAnsi="Cambria Math"/>
                    <w:color w:val="000000" w:themeColor="text1"/>
                    <w:sz w:val="20"/>
                    <w:szCs w:val="20"/>
                  </w:rPr>
                  <m:t xml:space="preserve">-0.35 </m:t>
                </m:r>
                <m:r>
                  <m:rPr>
                    <m:sty m:val="p"/>
                  </m:rPr>
                  <w:rPr>
                    <w:rFonts w:ascii="Cambria Math" w:hAnsi="Cambria Math"/>
                    <w:color w:val="000000" w:themeColor="text1"/>
                    <w:sz w:val="20"/>
                    <w:szCs w:val="20"/>
                  </w:rPr>
                  <m:t>eV</m:t>
                </m:r>
                <m:r>
                  <w:rPr>
                    <w:rFonts w:ascii="Cambria Math" w:hAnsi="Cambria Math"/>
                    <w:color w:val="000000" w:themeColor="text1"/>
                    <w:sz w:val="20"/>
                    <w:szCs w:val="20"/>
                  </w:rPr>
                  <m:t>-eU</m:t>
                </m:r>
              </m:oMath>
            </m:oMathPara>
          </w:p>
        </w:tc>
        <w:tc>
          <w:tcPr>
            <w:tcW w:w="2077" w:type="dxa"/>
            <w:vAlign w:val="center"/>
          </w:tcPr>
          <w:p w14:paraId="46DE5733" w14:textId="6A511369" w:rsidR="00EE423E" w:rsidRPr="001A79BA" w:rsidRDefault="00EE423E" w:rsidP="003F12A9">
            <w:pPr>
              <w:keepNext/>
              <w:jc w:val="right"/>
              <w:rPr>
                <w:bCs/>
                <w:sz w:val="20"/>
                <w:szCs w:val="20"/>
              </w:rPr>
            </w:pPr>
            <w:r w:rsidRPr="001A79BA">
              <w:rPr>
                <w:sz w:val="20"/>
                <w:szCs w:val="20"/>
              </w:rPr>
              <w:t xml:space="preserve">Equation </w:t>
            </w:r>
            <w:r w:rsidRPr="001A79BA">
              <w:rPr>
                <w:sz w:val="20"/>
                <w:szCs w:val="20"/>
              </w:rPr>
              <w:fldChar w:fldCharType="begin"/>
            </w:r>
            <w:r w:rsidRPr="001A79BA">
              <w:rPr>
                <w:sz w:val="20"/>
                <w:szCs w:val="20"/>
              </w:rPr>
              <w:instrText xml:space="preserve"> SEQ Equation \* ARABIC </w:instrText>
            </w:r>
            <w:r w:rsidRPr="001A79BA">
              <w:rPr>
                <w:sz w:val="20"/>
                <w:szCs w:val="20"/>
              </w:rPr>
              <w:fldChar w:fldCharType="separate"/>
            </w:r>
            <w:r w:rsidR="003255C0">
              <w:rPr>
                <w:noProof/>
                <w:sz w:val="20"/>
                <w:szCs w:val="20"/>
              </w:rPr>
              <w:t>58</w:t>
            </w:r>
            <w:r w:rsidRPr="001A79BA">
              <w:rPr>
                <w:sz w:val="20"/>
                <w:szCs w:val="20"/>
              </w:rPr>
              <w:fldChar w:fldCharType="end"/>
            </w:r>
          </w:p>
        </w:tc>
      </w:tr>
      <w:tr w:rsidR="00EE423E" w:rsidRPr="001A79BA" w14:paraId="0627D1F6" w14:textId="77777777" w:rsidTr="006A2F78">
        <w:tblPrEx>
          <w:tblCellMar>
            <w:top w:w="0" w:type="dxa"/>
            <w:bottom w:w="0" w:type="dxa"/>
          </w:tblCellMar>
        </w:tblPrEx>
        <w:tc>
          <w:tcPr>
            <w:tcW w:w="1985" w:type="dxa"/>
          </w:tcPr>
          <w:p w14:paraId="2EDA6AA9" w14:textId="77777777" w:rsidR="00EE423E" w:rsidRPr="001A79BA" w:rsidRDefault="00EE423E" w:rsidP="00E45E28">
            <w:pPr>
              <w:rPr>
                <w:bCs/>
                <w:sz w:val="20"/>
                <w:szCs w:val="20"/>
              </w:rPr>
            </w:pPr>
          </w:p>
        </w:tc>
        <w:tc>
          <w:tcPr>
            <w:tcW w:w="4964" w:type="dxa"/>
            <w:vAlign w:val="center"/>
          </w:tcPr>
          <w:p w14:paraId="0C3A9B62" w14:textId="0E09B626" w:rsidR="00EE423E" w:rsidRPr="006A2F78" w:rsidRDefault="00EE423E" w:rsidP="003F12A9">
            <w:pPr>
              <w:spacing w:before="60" w:after="60"/>
              <w:jc w:val="right"/>
              <w:rPr>
                <w:bCs/>
                <w:sz w:val="20"/>
                <w:szCs w:val="20"/>
              </w:rPr>
            </w:pPr>
            <m:oMathPara>
              <m:oMathParaPr>
                <m:jc m:val="left"/>
              </m:oMathParaPr>
              <m:oMath>
                <m:r>
                  <w:rPr>
                    <w:rFonts w:ascii="Cambria Math" w:hAnsi="Cambria Math"/>
                    <w:color w:val="000000" w:themeColor="text1"/>
                    <w:sz w:val="20"/>
                    <w:szCs w:val="20"/>
                  </w:rPr>
                  <m:t>=0.39∆</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E</m:t>
                    </m:r>
                  </m:e>
                  <m:sub>
                    <m:r>
                      <m:rPr>
                        <m:sty m:val="p"/>
                      </m:rPr>
                      <w:rPr>
                        <w:rFonts w:ascii="Cambria Math" w:hAnsi="Cambria Math"/>
                        <w:color w:val="000000" w:themeColor="text1"/>
                        <w:sz w:val="20"/>
                        <w:szCs w:val="20"/>
                      </w:rPr>
                      <m:t>O</m:t>
                    </m:r>
                  </m:sub>
                </m:sSub>
                <m:r>
                  <w:rPr>
                    <w:rFonts w:ascii="Cambria Math" w:hAnsi="Cambria Math"/>
                    <w:color w:val="000000" w:themeColor="text1"/>
                    <w:sz w:val="20"/>
                    <w:szCs w:val="20"/>
                  </w:rPr>
                  <m:t xml:space="preserve">-0.60 </m:t>
                </m:r>
                <m:r>
                  <m:rPr>
                    <m:sty m:val="p"/>
                  </m:rPr>
                  <w:rPr>
                    <w:rFonts w:ascii="Cambria Math" w:hAnsi="Cambria Math"/>
                    <w:color w:val="000000" w:themeColor="text1"/>
                    <w:sz w:val="20"/>
                    <w:szCs w:val="20"/>
                  </w:rPr>
                  <m:t>eV</m:t>
                </m:r>
                <m:r>
                  <w:rPr>
                    <w:rFonts w:ascii="Cambria Math" w:hAnsi="Cambria Math"/>
                    <w:color w:val="000000" w:themeColor="text1"/>
                    <w:sz w:val="20"/>
                    <w:szCs w:val="20"/>
                  </w:rPr>
                  <m:t>-eU</m:t>
                </m:r>
              </m:oMath>
            </m:oMathPara>
          </w:p>
        </w:tc>
        <w:tc>
          <w:tcPr>
            <w:tcW w:w="2077" w:type="dxa"/>
            <w:vAlign w:val="center"/>
          </w:tcPr>
          <w:p w14:paraId="3F67A4BE" w14:textId="70FF4C8A" w:rsidR="00EE423E" w:rsidRPr="001A79BA" w:rsidRDefault="00EE423E" w:rsidP="003F12A9">
            <w:pPr>
              <w:keepNext/>
              <w:jc w:val="right"/>
              <w:rPr>
                <w:bCs/>
                <w:sz w:val="20"/>
                <w:szCs w:val="20"/>
              </w:rPr>
            </w:pPr>
            <w:r w:rsidRPr="001A79BA">
              <w:rPr>
                <w:sz w:val="20"/>
                <w:szCs w:val="20"/>
              </w:rPr>
              <w:t xml:space="preserve">Equation </w:t>
            </w:r>
            <w:r w:rsidRPr="001A79BA">
              <w:rPr>
                <w:sz w:val="20"/>
                <w:szCs w:val="20"/>
              </w:rPr>
              <w:fldChar w:fldCharType="begin"/>
            </w:r>
            <w:r w:rsidRPr="001A79BA">
              <w:rPr>
                <w:sz w:val="20"/>
                <w:szCs w:val="20"/>
              </w:rPr>
              <w:instrText xml:space="preserve"> SEQ Equation \* ARABIC </w:instrText>
            </w:r>
            <w:r w:rsidRPr="001A79BA">
              <w:rPr>
                <w:sz w:val="20"/>
                <w:szCs w:val="20"/>
              </w:rPr>
              <w:fldChar w:fldCharType="separate"/>
            </w:r>
            <w:r w:rsidR="003255C0">
              <w:rPr>
                <w:noProof/>
                <w:sz w:val="20"/>
                <w:szCs w:val="20"/>
              </w:rPr>
              <w:t>59</w:t>
            </w:r>
            <w:r w:rsidRPr="001A79BA">
              <w:rPr>
                <w:sz w:val="20"/>
                <w:szCs w:val="20"/>
              </w:rPr>
              <w:fldChar w:fldCharType="end"/>
            </w:r>
          </w:p>
        </w:tc>
      </w:tr>
    </w:tbl>
    <w:p w14:paraId="0B49B4C5" w14:textId="77777777" w:rsidR="00EE423E" w:rsidRPr="001A79BA" w:rsidRDefault="00EE423E" w:rsidP="00EE423E">
      <w:pPr>
        <w:rPr>
          <w:iCs/>
          <w:color w:val="000000" w:themeColor="text1"/>
          <w:sz w:val="20"/>
          <w:szCs w:val="20"/>
        </w:rPr>
      </w:pPr>
    </w:p>
    <w:p w14:paraId="1591BA75" w14:textId="77777777" w:rsidR="00F5313D" w:rsidRPr="001A79BA" w:rsidRDefault="00F5313D" w:rsidP="00F5313D">
      <w:pPr>
        <w:jc w:val="right"/>
        <w:rPr>
          <w:iCs/>
          <w:color w:val="000000" w:themeColor="text1"/>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1985"/>
        <w:gridCol w:w="4966"/>
        <w:gridCol w:w="2075"/>
      </w:tblGrid>
      <w:tr w:rsidR="00EE423E" w:rsidRPr="001A79BA" w14:paraId="6901083F" w14:textId="77777777" w:rsidTr="006A2F78">
        <w:tc>
          <w:tcPr>
            <w:tcW w:w="1985" w:type="dxa"/>
            <w:vAlign w:val="center"/>
          </w:tcPr>
          <w:p w14:paraId="27AD4A8C" w14:textId="77777777" w:rsidR="00EE423E" w:rsidRPr="001A79BA" w:rsidRDefault="00EE423E" w:rsidP="003F12A9">
            <w:pPr>
              <w:jc w:val="right"/>
              <w:rPr>
                <w:bCs/>
                <w:sz w:val="20"/>
                <w:szCs w:val="20"/>
              </w:rPr>
            </w:pPr>
          </w:p>
        </w:tc>
        <w:tc>
          <w:tcPr>
            <w:tcW w:w="4966" w:type="dxa"/>
            <w:vAlign w:val="center"/>
          </w:tcPr>
          <w:p w14:paraId="3E119CC6" w14:textId="13D650CF" w:rsidR="00EE423E" w:rsidRPr="001A79BA" w:rsidRDefault="00000000" w:rsidP="006A2F78">
            <w:pPr>
              <w:spacing w:before="60" w:after="60"/>
              <w:rPr>
                <w:bCs/>
                <w:sz w:val="20"/>
                <w:szCs w:val="20"/>
              </w:rPr>
            </w:pPr>
            <m:oMath>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O</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b>
                <m:sSubPr>
                  <m:ctrlPr>
                    <w:rPr>
                      <w:rFonts w:ascii="Cambria Math" w:eastAsiaTheme="minorHAnsi" w:hAnsi="Cambria Math"/>
                      <w:iCs/>
                      <w:color w:val="000000" w:themeColor="text1"/>
                      <w:sz w:val="20"/>
                      <w:szCs w:val="20"/>
                    </w:rPr>
                  </m:ctrlPr>
                </m:sSubPr>
                <m:e>
                  <m:r>
                    <m:rPr>
                      <m:sty m:val="p"/>
                    </m:rPr>
                    <w:rPr>
                      <w:rFonts w:ascii="Cambria Math" w:hAnsi="Cambria Math"/>
                      <w:color w:val="000000" w:themeColor="text1"/>
                      <w:sz w:val="20"/>
                      <w:szCs w:val="20"/>
                    </w:rPr>
                    <m:t>H</m:t>
                  </m:r>
                </m:e>
                <m:sub>
                  <m:r>
                    <m:rPr>
                      <m:sty m:val="p"/>
                    </m:rPr>
                    <w:rPr>
                      <w:rFonts w:ascii="Cambria Math" w:hAnsi="Cambria Math"/>
                      <w:color w:val="000000" w:themeColor="text1"/>
                      <w:sz w:val="20"/>
                      <w:szCs w:val="20"/>
                    </w:rPr>
                    <m:t>2</m:t>
                  </m:r>
                </m:sub>
              </m:sSub>
              <m:r>
                <m:rPr>
                  <m:sty m:val="p"/>
                </m:rPr>
                <w:rPr>
                  <w:rFonts w:ascii="Cambria Math" w:hAnsi="Cambria Math"/>
                  <w:color w:val="000000" w:themeColor="text1"/>
                  <w:sz w:val="20"/>
                  <w:szCs w:val="20"/>
                </w:rPr>
                <m:t>O+</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2e</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2H</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HOO</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3e</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3H</m:t>
                  </m:r>
                </m:e>
                <m:sup>
                  <m:r>
                    <m:rPr>
                      <m:sty m:val="p"/>
                    </m:rPr>
                    <w:rPr>
                      <w:rFonts w:ascii="Cambria Math" w:hAnsi="Cambria Math"/>
                      <w:color w:val="000000" w:themeColor="text1"/>
                      <w:sz w:val="20"/>
                      <w:szCs w:val="20"/>
                    </w:rPr>
                    <m:t>+</m:t>
                  </m:r>
                </m:sup>
              </m:sSup>
            </m:oMath>
            <w:r w:rsidR="00EE423E" w:rsidRPr="001A79BA">
              <w:rPr>
                <w:iCs/>
                <w:color w:val="000000" w:themeColor="text1"/>
                <w:sz w:val="20"/>
                <w:szCs w:val="20"/>
              </w:rPr>
              <w:t xml:space="preserve"> </w:t>
            </w:r>
          </w:p>
        </w:tc>
        <w:tc>
          <w:tcPr>
            <w:tcW w:w="2075" w:type="dxa"/>
            <w:vAlign w:val="center"/>
          </w:tcPr>
          <w:p w14:paraId="44B82F72" w14:textId="496C8F01" w:rsidR="00EE423E" w:rsidRPr="001A79BA" w:rsidRDefault="00EE423E" w:rsidP="003F12A9">
            <w:pPr>
              <w:keepNext/>
              <w:jc w:val="right"/>
              <w:rPr>
                <w:bCs/>
                <w:sz w:val="20"/>
                <w:szCs w:val="20"/>
              </w:rPr>
            </w:pPr>
            <w:r w:rsidRPr="001A79BA">
              <w:rPr>
                <w:sz w:val="20"/>
                <w:szCs w:val="20"/>
              </w:rPr>
              <w:t xml:space="preserve">Equation </w:t>
            </w:r>
            <w:r w:rsidRPr="001A79BA">
              <w:rPr>
                <w:sz w:val="20"/>
                <w:szCs w:val="20"/>
              </w:rPr>
              <w:fldChar w:fldCharType="begin"/>
            </w:r>
            <w:r w:rsidRPr="001A79BA">
              <w:rPr>
                <w:sz w:val="20"/>
                <w:szCs w:val="20"/>
              </w:rPr>
              <w:instrText xml:space="preserve"> SEQ Equation \* ARABIC </w:instrText>
            </w:r>
            <w:r w:rsidRPr="001A79BA">
              <w:rPr>
                <w:sz w:val="20"/>
                <w:szCs w:val="20"/>
              </w:rPr>
              <w:fldChar w:fldCharType="separate"/>
            </w:r>
            <w:r w:rsidR="003255C0">
              <w:rPr>
                <w:noProof/>
                <w:sz w:val="20"/>
                <w:szCs w:val="20"/>
              </w:rPr>
              <w:t>60</w:t>
            </w:r>
            <w:r w:rsidRPr="001A79BA">
              <w:rPr>
                <w:sz w:val="20"/>
                <w:szCs w:val="20"/>
              </w:rPr>
              <w:fldChar w:fldCharType="end"/>
            </w:r>
          </w:p>
        </w:tc>
      </w:tr>
      <w:tr w:rsidR="00EE423E" w:rsidRPr="001A79BA" w14:paraId="54F29A48" w14:textId="77777777" w:rsidTr="006A2F78">
        <w:tblPrEx>
          <w:tblCellMar>
            <w:top w:w="0" w:type="dxa"/>
            <w:bottom w:w="0" w:type="dxa"/>
          </w:tblCellMar>
        </w:tblPrEx>
        <w:tc>
          <w:tcPr>
            <w:tcW w:w="1985" w:type="dxa"/>
            <w:vAlign w:val="center"/>
          </w:tcPr>
          <w:p w14:paraId="67A63EF0" w14:textId="77777777" w:rsidR="00EE423E" w:rsidRPr="001A79BA" w:rsidRDefault="00EE423E" w:rsidP="003F12A9">
            <w:pPr>
              <w:jc w:val="right"/>
              <w:rPr>
                <w:bCs/>
                <w:sz w:val="20"/>
                <w:szCs w:val="20"/>
              </w:rPr>
            </w:pPr>
          </w:p>
        </w:tc>
        <w:tc>
          <w:tcPr>
            <w:tcW w:w="4966" w:type="dxa"/>
            <w:vAlign w:val="center"/>
          </w:tcPr>
          <w:p w14:paraId="6FC96629" w14:textId="19565591" w:rsidR="00EE423E" w:rsidRPr="006A2F78" w:rsidRDefault="00EE423E" w:rsidP="006A2F78">
            <w:pPr>
              <w:spacing w:before="60" w:after="60"/>
              <w:jc w:val="both"/>
              <w:rPr>
                <w:bCs/>
                <w:sz w:val="20"/>
                <w:szCs w:val="20"/>
              </w:rPr>
            </w:pPr>
            <m:oMathPara>
              <m:oMathParaPr>
                <m:jc m:val="left"/>
              </m:oMathParaPr>
              <m:oMath>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w:rPr>
                        <w:rFonts w:ascii="Cambria Math" w:hAnsi="Cambria Math"/>
                        <w:color w:val="000000" w:themeColor="text1"/>
                        <w:sz w:val="20"/>
                        <w:szCs w:val="20"/>
                      </w:rPr>
                      <m:t>3</m:t>
                    </m:r>
                  </m:sub>
                </m:sSub>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m:rPr>
                        <m:sty m:val="p"/>
                      </m:rPr>
                      <w:rPr>
                        <w:rFonts w:ascii="Cambria Math" w:hAnsi="Cambria Math"/>
                        <w:color w:val="000000" w:themeColor="text1"/>
                        <w:sz w:val="20"/>
                        <w:szCs w:val="20"/>
                      </w:rPr>
                      <m:t>HOO</m:t>
                    </m:r>
                  </m:sub>
                </m:sSub>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m:rPr>
                        <m:sty m:val="p"/>
                      </m:rPr>
                      <w:rPr>
                        <w:rFonts w:ascii="Cambria Math" w:hAnsi="Cambria Math"/>
                        <w:color w:val="000000" w:themeColor="text1"/>
                        <w:sz w:val="20"/>
                        <w:szCs w:val="20"/>
                      </w:rPr>
                      <m:t>O</m:t>
                    </m:r>
                  </m:sub>
                </m:sSub>
              </m:oMath>
            </m:oMathPara>
          </w:p>
        </w:tc>
        <w:tc>
          <w:tcPr>
            <w:tcW w:w="2075" w:type="dxa"/>
            <w:vAlign w:val="center"/>
          </w:tcPr>
          <w:p w14:paraId="1C611F18" w14:textId="10951AD9" w:rsidR="00EE423E" w:rsidRPr="001A79BA" w:rsidRDefault="00EE423E" w:rsidP="003F12A9">
            <w:pPr>
              <w:keepNext/>
              <w:jc w:val="right"/>
              <w:rPr>
                <w:bCs/>
                <w:sz w:val="20"/>
                <w:szCs w:val="20"/>
              </w:rPr>
            </w:pPr>
            <w:r w:rsidRPr="001A79BA">
              <w:rPr>
                <w:sz w:val="20"/>
                <w:szCs w:val="20"/>
              </w:rPr>
              <w:t xml:space="preserve">Equation </w:t>
            </w:r>
            <w:r w:rsidRPr="001A79BA">
              <w:rPr>
                <w:sz w:val="20"/>
                <w:szCs w:val="20"/>
              </w:rPr>
              <w:fldChar w:fldCharType="begin"/>
            </w:r>
            <w:r w:rsidRPr="001A79BA">
              <w:rPr>
                <w:sz w:val="20"/>
                <w:szCs w:val="20"/>
              </w:rPr>
              <w:instrText xml:space="preserve"> SEQ Equation \* ARABIC </w:instrText>
            </w:r>
            <w:r w:rsidRPr="001A79BA">
              <w:rPr>
                <w:sz w:val="20"/>
                <w:szCs w:val="20"/>
              </w:rPr>
              <w:fldChar w:fldCharType="separate"/>
            </w:r>
            <w:r w:rsidR="003255C0">
              <w:rPr>
                <w:noProof/>
                <w:sz w:val="20"/>
                <w:szCs w:val="20"/>
              </w:rPr>
              <w:t>61</w:t>
            </w:r>
            <w:r w:rsidRPr="001A79BA">
              <w:rPr>
                <w:sz w:val="20"/>
                <w:szCs w:val="20"/>
              </w:rPr>
              <w:fldChar w:fldCharType="end"/>
            </w:r>
          </w:p>
        </w:tc>
      </w:tr>
      <w:tr w:rsidR="00EE423E" w:rsidRPr="001A79BA" w14:paraId="1637B701" w14:textId="77777777" w:rsidTr="006A2F78">
        <w:tblPrEx>
          <w:tblCellMar>
            <w:top w:w="0" w:type="dxa"/>
            <w:bottom w:w="0" w:type="dxa"/>
          </w:tblCellMar>
        </w:tblPrEx>
        <w:tc>
          <w:tcPr>
            <w:tcW w:w="1985" w:type="dxa"/>
            <w:vAlign w:val="center"/>
          </w:tcPr>
          <w:p w14:paraId="7A15AFB1" w14:textId="77777777" w:rsidR="00EE423E" w:rsidRPr="001A79BA" w:rsidRDefault="00EE423E" w:rsidP="003F12A9">
            <w:pPr>
              <w:jc w:val="right"/>
              <w:rPr>
                <w:bCs/>
                <w:sz w:val="20"/>
                <w:szCs w:val="20"/>
              </w:rPr>
            </w:pPr>
          </w:p>
        </w:tc>
        <w:tc>
          <w:tcPr>
            <w:tcW w:w="4966" w:type="dxa"/>
            <w:vAlign w:val="center"/>
          </w:tcPr>
          <w:p w14:paraId="2D021CF4" w14:textId="67979E33" w:rsidR="00EE423E" w:rsidRPr="006A2F78" w:rsidRDefault="00EE423E" w:rsidP="003F12A9">
            <w:pPr>
              <w:spacing w:before="60" w:after="60"/>
              <w:jc w:val="right"/>
              <w:rPr>
                <w:bCs/>
                <w:sz w:val="20"/>
                <w:szCs w:val="20"/>
              </w:rPr>
            </w:pPr>
            <m:oMathPara>
              <m:oMathParaPr>
                <m:jc m:val="left"/>
              </m:oMathParaPr>
              <m:oMath>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E</m:t>
                    </m:r>
                  </m:e>
                  <m:sub>
                    <m:r>
                      <m:rPr>
                        <m:sty m:val="p"/>
                      </m:rPr>
                      <w:rPr>
                        <w:rFonts w:ascii="Cambria Math" w:hAnsi="Cambria Math"/>
                        <w:color w:val="000000" w:themeColor="text1"/>
                        <w:sz w:val="20"/>
                        <w:szCs w:val="20"/>
                      </w:rPr>
                      <m:t>HOO</m:t>
                    </m:r>
                  </m:sub>
                </m:sSub>
                <m:r>
                  <w:rPr>
                    <w:rFonts w:ascii="Cambria Math" w:hAnsi="Cambria Math"/>
                    <w:color w:val="000000" w:themeColor="text1"/>
                    <w:sz w:val="20"/>
                    <w:szCs w:val="20"/>
                  </w:rPr>
                  <m:t xml:space="preserve">+0.40 </m:t>
                </m:r>
                <m:r>
                  <m:rPr>
                    <m:sty m:val="p"/>
                  </m:rPr>
                  <w:rPr>
                    <w:rFonts w:ascii="Cambria Math" w:hAnsi="Cambria Math"/>
                    <w:color w:val="000000" w:themeColor="text1"/>
                    <w:sz w:val="20"/>
                    <w:szCs w:val="20"/>
                  </w:rPr>
                  <m:t>eV-</m:t>
                </m:r>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E</m:t>
                    </m:r>
                  </m:e>
                  <m:sub>
                    <m:r>
                      <m:rPr>
                        <m:sty m:val="p"/>
                      </m:rPr>
                      <w:rPr>
                        <w:rFonts w:ascii="Cambria Math" w:hAnsi="Cambria Math"/>
                        <w:color w:val="000000" w:themeColor="text1"/>
                        <w:sz w:val="20"/>
                        <w:szCs w:val="20"/>
                      </w:rPr>
                      <m:t>O</m:t>
                    </m:r>
                  </m:sub>
                </m:sSub>
                <m:r>
                  <w:rPr>
                    <w:rFonts w:ascii="Cambria Math" w:hAnsi="Cambria Math"/>
                    <w:color w:val="000000" w:themeColor="text1"/>
                    <w:sz w:val="20"/>
                    <w:szCs w:val="20"/>
                  </w:rPr>
                  <m:t xml:space="preserve">-0.05 </m:t>
                </m:r>
                <m:r>
                  <m:rPr>
                    <m:sty m:val="p"/>
                  </m:rPr>
                  <w:rPr>
                    <w:rFonts w:ascii="Cambria Math" w:hAnsi="Cambria Math"/>
                    <w:color w:val="000000" w:themeColor="text1"/>
                    <w:sz w:val="20"/>
                    <w:szCs w:val="20"/>
                  </w:rPr>
                  <m:t>eV</m:t>
                </m:r>
                <m:r>
                  <w:rPr>
                    <w:rFonts w:ascii="Cambria Math" w:hAnsi="Cambria Math"/>
                    <w:color w:val="000000" w:themeColor="text1"/>
                    <w:sz w:val="20"/>
                    <w:szCs w:val="20"/>
                  </w:rPr>
                  <m:t>-eU</m:t>
                </m:r>
              </m:oMath>
            </m:oMathPara>
          </w:p>
        </w:tc>
        <w:tc>
          <w:tcPr>
            <w:tcW w:w="2075" w:type="dxa"/>
            <w:vAlign w:val="center"/>
          </w:tcPr>
          <w:p w14:paraId="451D75A9" w14:textId="27781011" w:rsidR="00EE423E" w:rsidRPr="001A79BA" w:rsidRDefault="00EE423E" w:rsidP="003F12A9">
            <w:pPr>
              <w:keepNext/>
              <w:jc w:val="right"/>
              <w:rPr>
                <w:bCs/>
                <w:sz w:val="20"/>
                <w:szCs w:val="20"/>
              </w:rPr>
            </w:pPr>
            <w:r w:rsidRPr="001A79BA">
              <w:rPr>
                <w:sz w:val="20"/>
                <w:szCs w:val="20"/>
              </w:rPr>
              <w:t xml:space="preserve">Equation </w:t>
            </w:r>
            <w:r w:rsidRPr="001A79BA">
              <w:rPr>
                <w:sz w:val="20"/>
                <w:szCs w:val="20"/>
              </w:rPr>
              <w:fldChar w:fldCharType="begin"/>
            </w:r>
            <w:r w:rsidRPr="001A79BA">
              <w:rPr>
                <w:sz w:val="20"/>
                <w:szCs w:val="20"/>
              </w:rPr>
              <w:instrText xml:space="preserve"> SEQ Equation \* ARABIC </w:instrText>
            </w:r>
            <w:r w:rsidRPr="001A79BA">
              <w:rPr>
                <w:sz w:val="20"/>
                <w:szCs w:val="20"/>
              </w:rPr>
              <w:fldChar w:fldCharType="separate"/>
            </w:r>
            <w:r w:rsidR="003255C0">
              <w:rPr>
                <w:noProof/>
                <w:sz w:val="20"/>
                <w:szCs w:val="20"/>
              </w:rPr>
              <w:t>62</w:t>
            </w:r>
            <w:r w:rsidRPr="001A79BA">
              <w:rPr>
                <w:sz w:val="20"/>
                <w:szCs w:val="20"/>
              </w:rPr>
              <w:fldChar w:fldCharType="end"/>
            </w:r>
          </w:p>
        </w:tc>
      </w:tr>
      <w:tr w:rsidR="00EE423E" w:rsidRPr="001A79BA" w14:paraId="37E61FEE" w14:textId="77777777" w:rsidTr="006A2F78">
        <w:tblPrEx>
          <w:tblCellMar>
            <w:top w:w="0" w:type="dxa"/>
            <w:bottom w:w="0" w:type="dxa"/>
          </w:tblCellMar>
        </w:tblPrEx>
        <w:tc>
          <w:tcPr>
            <w:tcW w:w="1985" w:type="dxa"/>
            <w:vAlign w:val="center"/>
          </w:tcPr>
          <w:p w14:paraId="72745656" w14:textId="77777777" w:rsidR="00EE423E" w:rsidRPr="001A79BA" w:rsidRDefault="00EE423E" w:rsidP="003F12A9">
            <w:pPr>
              <w:jc w:val="right"/>
              <w:rPr>
                <w:bCs/>
                <w:sz w:val="20"/>
                <w:szCs w:val="20"/>
              </w:rPr>
            </w:pPr>
          </w:p>
        </w:tc>
        <w:tc>
          <w:tcPr>
            <w:tcW w:w="4966" w:type="dxa"/>
            <w:vAlign w:val="center"/>
          </w:tcPr>
          <w:p w14:paraId="74210B30" w14:textId="53DABA46" w:rsidR="00EE423E" w:rsidRPr="006A2F78" w:rsidRDefault="00EE423E" w:rsidP="003F12A9">
            <w:pPr>
              <w:spacing w:before="60" w:after="60"/>
              <w:jc w:val="right"/>
              <w:rPr>
                <w:bCs/>
                <w:sz w:val="20"/>
                <w:szCs w:val="20"/>
              </w:rPr>
            </w:pPr>
            <m:oMathPara>
              <m:oMathParaPr>
                <m:jc m:val="left"/>
              </m:oMathParaPr>
              <m:oMath>
                <m:r>
                  <w:rPr>
                    <w:rFonts w:ascii="Cambria Math" w:hAnsi="Cambria Math"/>
                    <w:color w:val="000000" w:themeColor="text1"/>
                    <w:sz w:val="20"/>
                    <w:szCs w:val="20"/>
                  </w:rPr>
                  <m:t>=-0.36∆</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E</m:t>
                    </m:r>
                  </m:e>
                  <m:sub>
                    <m:r>
                      <m:rPr>
                        <m:sty m:val="p"/>
                      </m:rPr>
                      <w:rPr>
                        <w:rFonts w:ascii="Cambria Math" w:hAnsi="Cambria Math"/>
                        <w:color w:val="000000" w:themeColor="text1"/>
                        <w:sz w:val="20"/>
                        <w:szCs w:val="20"/>
                      </w:rPr>
                      <m:t>O</m:t>
                    </m:r>
                  </m:sub>
                </m:sSub>
                <m:r>
                  <w:rPr>
                    <w:rFonts w:ascii="Cambria Math" w:hAnsi="Cambria Math"/>
                    <w:color w:val="000000" w:themeColor="text1"/>
                    <w:sz w:val="20"/>
                    <w:szCs w:val="20"/>
                  </w:rPr>
                  <m:t xml:space="preserve">+2.38 </m:t>
                </m:r>
                <m:r>
                  <m:rPr>
                    <m:sty m:val="p"/>
                  </m:rPr>
                  <w:rPr>
                    <w:rFonts w:ascii="Cambria Math" w:hAnsi="Cambria Math"/>
                    <w:color w:val="000000" w:themeColor="text1"/>
                    <w:sz w:val="20"/>
                    <w:szCs w:val="20"/>
                  </w:rPr>
                  <m:t>eV</m:t>
                </m:r>
                <m:r>
                  <w:rPr>
                    <w:rFonts w:ascii="Cambria Math" w:hAnsi="Cambria Math"/>
                    <w:color w:val="000000" w:themeColor="text1"/>
                    <w:sz w:val="20"/>
                    <w:szCs w:val="20"/>
                  </w:rPr>
                  <m:t>-eU</m:t>
                </m:r>
              </m:oMath>
            </m:oMathPara>
          </w:p>
        </w:tc>
        <w:tc>
          <w:tcPr>
            <w:tcW w:w="2075" w:type="dxa"/>
            <w:vAlign w:val="center"/>
          </w:tcPr>
          <w:p w14:paraId="32B72A7F" w14:textId="03ED3F82" w:rsidR="00EE423E" w:rsidRPr="001A79BA" w:rsidRDefault="00EE423E" w:rsidP="003F12A9">
            <w:pPr>
              <w:keepNext/>
              <w:jc w:val="right"/>
              <w:rPr>
                <w:bCs/>
                <w:sz w:val="20"/>
                <w:szCs w:val="20"/>
              </w:rPr>
            </w:pPr>
            <w:r w:rsidRPr="001A79BA">
              <w:rPr>
                <w:sz w:val="20"/>
                <w:szCs w:val="20"/>
              </w:rPr>
              <w:t xml:space="preserve">Equation </w:t>
            </w:r>
            <w:r w:rsidRPr="001A79BA">
              <w:rPr>
                <w:sz w:val="20"/>
                <w:szCs w:val="20"/>
              </w:rPr>
              <w:fldChar w:fldCharType="begin"/>
            </w:r>
            <w:r w:rsidRPr="001A79BA">
              <w:rPr>
                <w:sz w:val="20"/>
                <w:szCs w:val="20"/>
              </w:rPr>
              <w:instrText xml:space="preserve"> SEQ Equation \* ARABIC </w:instrText>
            </w:r>
            <w:r w:rsidRPr="001A79BA">
              <w:rPr>
                <w:sz w:val="20"/>
                <w:szCs w:val="20"/>
              </w:rPr>
              <w:fldChar w:fldCharType="separate"/>
            </w:r>
            <w:r w:rsidR="003255C0">
              <w:rPr>
                <w:noProof/>
                <w:sz w:val="20"/>
                <w:szCs w:val="20"/>
              </w:rPr>
              <w:t>63</w:t>
            </w:r>
            <w:r w:rsidRPr="001A79BA">
              <w:rPr>
                <w:sz w:val="20"/>
                <w:szCs w:val="20"/>
              </w:rPr>
              <w:fldChar w:fldCharType="end"/>
            </w:r>
          </w:p>
        </w:tc>
      </w:tr>
    </w:tbl>
    <w:p w14:paraId="2CD3BBA7" w14:textId="77777777" w:rsidR="00F5313D" w:rsidRPr="001A79BA" w:rsidRDefault="00F5313D" w:rsidP="00F5313D">
      <w:pPr>
        <w:ind w:firstLine="720"/>
        <w:jc w:val="right"/>
        <w:rPr>
          <w:iCs/>
          <w:color w:val="000000" w:themeColor="text1"/>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1985"/>
        <w:gridCol w:w="4966"/>
        <w:gridCol w:w="2075"/>
      </w:tblGrid>
      <w:tr w:rsidR="00EE423E" w:rsidRPr="001A79BA" w14:paraId="603A3925" w14:textId="77777777" w:rsidTr="006A2F78">
        <w:tc>
          <w:tcPr>
            <w:tcW w:w="1985" w:type="dxa"/>
            <w:vAlign w:val="center"/>
          </w:tcPr>
          <w:p w14:paraId="0EF062C5" w14:textId="77777777" w:rsidR="00EE423E" w:rsidRPr="001A79BA" w:rsidRDefault="00EE423E" w:rsidP="003F12A9">
            <w:pPr>
              <w:jc w:val="right"/>
              <w:rPr>
                <w:bCs/>
                <w:sz w:val="20"/>
                <w:szCs w:val="20"/>
              </w:rPr>
            </w:pPr>
          </w:p>
        </w:tc>
        <w:tc>
          <w:tcPr>
            <w:tcW w:w="4966" w:type="dxa"/>
            <w:vAlign w:val="center"/>
          </w:tcPr>
          <w:p w14:paraId="3709C854" w14:textId="4B940A6E" w:rsidR="00EE423E" w:rsidRPr="001A79BA" w:rsidRDefault="00000000" w:rsidP="006A2F78">
            <w:pPr>
              <w:spacing w:before="60" w:after="60"/>
              <w:rPr>
                <w:bCs/>
                <w:sz w:val="20"/>
                <w:szCs w:val="20"/>
              </w:rPr>
            </w:pPr>
            <m:oMath>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HOO</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3e</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3H</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b>
                <m:sSubPr>
                  <m:ctrlPr>
                    <w:rPr>
                      <w:rFonts w:ascii="Cambria Math" w:eastAsiaTheme="minorHAnsi" w:hAnsi="Cambria Math"/>
                      <w:iCs/>
                      <w:color w:val="000000" w:themeColor="text1"/>
                      <w:sz w:val="20"/>
                      <w:szCs w:val="20"/>
                    </w:rPr>
                  </m:ctrlPr>
                </m:sSubPr>
                <m:e>
                  <m:r>
                    <m:rPr>
                      <m:sty m:val="p"/>
                    </m:rPr>
                    <w:rPr>
                      <w:rFonts w:ascii="Cambria Math" w:hAnsi="Cambria Math"/>
                      <w:color w:val="000000" w:themeColor="text1"/>
                      <w:sz w:val="20"/>
                      <w:szCs w:val="20"/>
                    </w:rPr>
                    <m:t>O</m:t>
                  </m:r>
                </m:e>
                <m:sub>
                  <m:r>
                    <w:rPr>
                      <w:rFonts w:ascii="Cambria Math" w:hAnsi="Cambria Math"/>
                      <w:color w:val="000000" w:themeColor="text1"/>
                      <w:sz w:val="20"/>
                      <w:szCs w:val="20"/>
                    </w:rPr>
                    <m:t>2</m:t>
                  </m:r>
                </m:sub>
              </m:sSub>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4e</m:t>
                  </m:r>
                </m:e>
                <m:sup>
                  <m:r>
                    <m:rPr>
                      <m:sty m:val="p"/>
                    </m:rPr>
                    <w:rPr>
                      <w:rFonts w:ascii="Cambria Math" w:hAnsi="Cambria Math"/>
                      <w:color w:val="000000" w:themeColor="text1"/>
                      <w:sz w:val="20"/>
                      <w:szCs w:val="20"/>
                    </w:rPr>
                    <m:t>-</m:t>
                  </m:r>
                </m:sup>
              </m:sSup>
              <m:r>
                <m:rPr>
                  <m:sty m:val="p"/>
                </m:rPr>
                <w:rPr>
                  <w:rFonts w:ascii="Cambria Math" w:hAnsi="Cambria Math"/>
                  <w:color w:val="000000" w:themeColor="text1"/>
                  <w:sz w:val="20"/>
                  <w:szCs w:val="20"/>
                </w:rPr>
                <m:t>+</m:t>
              </m:r>
              <m:sSup>
                <m:sSupPr>
                  <m:ctrlPr>
                    <w:rPr>
                      <w:rFonts w:ascii="Cambria Math" w:eastAsiaTheme="minorHAnsi" w:hAnsi="Cambria Math"/>
                      <w:iCs/>
                      <w:color w:val="000000" w:themeColor="text1"/>
                      <w:sz w:val="20"/>
                      <w:szCs w:val="20"/>
                    </w:rPr>
                  </m:ctrlPr>
                </m:sSupPr>
                <m:e>
                  <m:r>
                    <m:rPr>
                      <m:sty m:val="p"/>
                    </m:rPr>
                    <w:rPr>
                      <w:rFonts w:ascii="Cambria Math" w:hAnsi="Cambria Math"/>
                      <w:color w:val="000000" w:themeColor="text1"/>
                      <w:sz w:val="20"/>
                      <w:szCs w:val="20"/>
                    </w:rPr>
                    <m:t>4H</m:t>
                  </m:r>
                </m:e>
                <m:sup>
                  <m:r>
                    <m:rPr>
                      <m:sty m:val="p"/>
                    </m:rPr>
                    <w:rPr>
                      <w:rFonts w:ascii="Cambria Math" w:hAnsi="Cambria Math"/>
                      <w:color w:val="000000" w:themeColor="text1"/>
                      <w:sz w:val="20"/>
                      <w:szCs w:val="20"/>
                    </w:rPr>
                    <m:t>+</m:t>
                  </m:r>
                </m:sup>
              </m:sSup>
            </m:oMath>
            <w:r w:rsidR="00EE423E" w:rsidRPr="001A79BA">
              <w:rPr>
                <w:iCs/>
                <w:color w:val="000000" w:themeColor="text1"/>
                <w:sz w:val="20"/>
                <w:szCs w:val="20"/>
              </w:rPr>
              <w:t xml:space="preserve">  </w:t>
            </w:r>
          </w:p>
        </w:tc>
        <w:tc>
          <w:tcPr>
            <w:tcW w:w="2075" w:type="dxa"/>
            <w:vAlign w:val="center"/>
          </w:tcPr>
          <w:p w14:paraId="0D57112A" w14:textId="2BF457CE" w:rsidR="00EE423E" w:rsidRPr="001A79BA" w:rsidRDefault="00EE423E" w:rsidP="003F12A9">
            <w:pPr>
              <w:keepNext/>
              <w:jc w:val="right"/>
              <w:rPr>
                <w:bCs/>
                <w:sz w:val="20"/>
                <w:szCs w:val="20"/>
              </w:rPr>
            </w:pPr>
            <w:r w:rsidRPr="001A79BA">
              <w:rPr>
                <w:sz w:val="20"/>
                <w:szCs w:val="20"/>
              </w:rPr>
              <w:t xml:space="preserve">Equation </w:t>
            </w:r>
            <w:r w:rsidRPr="001A79BA">
              <w:rPr>
                <w:sz w:val="20"/>
                <w:szCs w:val="20"/>
              </w:rPr>
              <w:fldChar w:fldCharType="begin"/>
            </w:r>
            <w:r w:rsidRPr="001A79BA">
              <w:rPr>
                <w:sz w:val="20"/>
                <w:szCs w:val="20"/>
              </w:rPr>
              <w:instrText xml:space="preserve"> SEQ Equation \* ARABIC </w:instrText>
            </w:r>
            <w:r w:rsidRPr="001A79BA">
              <w:rPr>
                <w:sz w:val="20"/>
                <w:szCs w:val="20"/>
              </w:rPr>
              <w:fldChar w:fldCharType="separate"/>
            </w:r>
            <w:r w:rsidR="003255C0">
              <w:rPr>
                <w:noProof/>
                <w:sz w:val="20"/>
                <w:szCs w:val="20"/>
              </w:rPr>
              <w:t>64</w:t>
            </w:r>
            <w:r w:rsidRPr="001A79BA">
              <w:rPr>
                <w:sz w:val="20"/>
                <w:szCs w:val="20"/>
              </w:rPr>
              <w:fldChar w:fldCharType="end"/>
            </w:r>
          </w:p>
        </w:tc>
      </w:tr>
      <w:tr w:rsidR="00EE423E" w:rsidRPr="001A79BA" w14:paraId="2F613E3C" w14:textId="77777777" w:rsidTr="006A2F78">
        <w:tblPrEx>
          <w:tblCellMar>
            <w:top w:w="0" w:type="dxa"/>
            <w:bottom w:w="0" w:type="dxa"/>
          </w:tblCellMar>
        </w:tblPrEx>
        <w:tc>
          <w:tcPr>
            <w:tcW w:w="1985" w:type="dxa"/>
            <w:vAlign w:val="center"/>
          </w:tcPr>
          <w:p w14:paraId="34AF25D2" w14:textId="77777777" w:rsidR="00EE423E" w:rsidRPr="001A79BA" w:rsidRDefault="00EE423E" w:rsidP="003F12A9">
            <w:pPr>
              <w:jc w:val="right"/>
              <w:rPr>
                <w:bCs/>
                <w:sz w:val="20"/>
                <w:szCs w:val="20"/>
              </w:rPr>
            </w:pPr>
          </w:p>
        </w:tc>
        <w:tc>
          <w:tcPr>
            <w:tcW w:w="4966" w:type="dxa"/>
            <w:vAlign w:val="center"/>
          </w:tcPr>
          <w:p w14:paraId="3E4AB9EA" w14:textId="06DEF0E5" w:rsidR="00EE423E" w:rsidRPr="006A2F78" w:rsidRDefault="00EE423E" w:rsidP="003F12A9">
            <w:pPr>
              <w:spacing w:before="60" w:after="60"/>
              <w:jc w:val="right"/>
              <w:rPr>
                <w:bCs/>
                <w:sz w:val="20"/>
                <w:szCs w:val="20"/>
              </w:rPr>
            </w:pPr>
            <m:oMathPara>
              <m:oMathParaPr>
                <m:jc m:val="left"/>
              </m:oMathParaPr>
              <m:oMath>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w:rPr>
                        <w:rFonts w:ascii="Cambria Math" w:hAnsi="Cambria Math"/>
                        <w:color w:val="000000" w:themeColor="text1"/>
                        <w:sz w:val="20"/>
                        <w:szCs w:val="20"/>
                      </w:rPr>
                      <m:t>4</m:t>
                    </m:r>
                  </m:sub>
                </m:sSub>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m:rPr>
                        <m:sty m:val="p"/>
                      </m:rPr>
                      <w:rPr>
                        <w:rFonts w:ascii="Cambria Math" w:hAnsi="Cambria Math"/>
                        <w:color w:val="000000" w:themeColor="text1"/>
                        <w:sz w:val="20"/>
                        <w:szCs w:val="20"/>
                      </w:rPr>
                      <m:t>O2</m:t>
                    </m:r>
                  </m:sub>
                </m:sSub>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m:rPr>
                        <m:sty m:val="p"/>
                      </m:rPr>
                      <w:rPr>
                        <w:rFonts w:ascii="Cambria Math" w:hAnsi="Cambria Math"/>
                        <w:color w:val="000000" w:themeColor="text1"/>
                        <w:sz w:val="20"/>
                        <w:szCs w:val="20"/>
                      </w:rPr>
                      <m:t>HOO</m:t>
                    </m:r>
                  </m:sub>
                </m:sSub>
              </m:oMath>
            </m:oMathPara>
          </w:p>
        </w:tc>
        <w:tc>
          <w:tcPr>
            <w:tcW w:w="2075" w:type="dxa"/>
            <w:vAlign w:val="center"/>
          </w:tcPr>
          <w:p w14:paraId="53CB0A91" w14:textId="3668734F" w:rsidR="00EE423E" w:rsidRPr="001A79BA" w:rsidRDefault="00EE423E" w:rsidP="003F12A9">
            <w:pPr>
              <w:keepNext/>
              <w:jc w:val="right"/>
              <w:rPr>
                <w:bCs/>
                <w:sz w:val="20"/>
                <w:szCs w:val="20"/>
              </w:rPr>
            </w:pPr>
            <w:r w:rsidRPr="001A79BA">
              <w:rPr>
                <w:sz w:val="20"/>
                <w:szCs w:val="20"/>
              </w:rPr>
              <w:t xml:space="preserve">Equation </w:t>
            </w:r>
            <w:r w:rsidRPr="001A79BA">
              <w:rPr>
                <w:sz w:val="20"/>
                <w:szCs w:val="20"/>
              </w:rPr>
              <w:fldChar w:fldCharType="begin"/>
            </w:r>
            <w:r w:rsidRPr="001A79BA">
              <w:rPr>
                <w:sz w:val="20"/>
                <w:szCs w:val="20"/>
              </w:rPr>
              <w:instrText xml:space="preserve"> SEQ Equation \* ARABIC </w:instrText>
            </w:r>
            <w:r w:rsidRPr="001A79BA">
              <w:rPr>
                <w:sz w:val="20"/>
                <w:szCs w:val="20"/>
              </w:rPr>
              <w:fldChar w:fldCharType="separate"/>
            </w:r>
            <w:r w:rsidR="003255C0">
              <w:rPr>
                <w:noProof/>
                <w:sz w:val="20"/>
                <w:szCs w:val="20"/>
              </w:rPr>
              <w:t>65</w:t>
            </w:r>
            <w:r w:rsidRPr="001A79BA">
              <w:rPr>
                <w:sz w:val="20"/>
                <w:szCs w:val="20"/>
              </w:rPr>
              <w:fldChar w:fldCharType="end"/>
            </w:r>
          </w:p>
        </w:tc>
      </w:tr>
      <w:tr w:rsidR="00EE423E" w:rsidRPr="001A79BA" w14:paraId="08D7938C" w14:textId="77777777" w:rsidTr="006A2F78">
        <w:tblPrEx>
          <w:tblCellMar>
            <w:top w:w="0" w:type="dxa"/>
            <w:bottom w:w="0" w:type="dxa"/>
          </w:tblCellMar>
        </w:tblPrEx>
        <w:tc>
          <w:tcPr>
            <w:tcW w:w="1985" w:type="dxa"/>
            <w:vAlign w:val="center"/>
          </w:tcPr>
          <w:p w14:paraId="409D4A4E" w14:textId="77777777" w:rsidR="00EE423E" w:rsidRPr="001A79BA" w:rsidRDefault="00EE423E" w:rsidP="003F12A9">
            <w:pPr>
              <w:jc w:val="right"/>
              <w:rPr>
                <w:bCs/>
                <w:sz w:val="20"/>
                <w:szCs w:val="20"/>
              </w:rPr>
            </w:pPr>
          </w:p>
        </w:tc>
        <w:tc>
          <w:tcPr>
            <w:tcW w:w="4966" w:type="dxa"/>
            <w:vAlign w:val="center"/>
          </w:tcPr>
          <w:p w14:paraId="6D386940" w14:textId="5DC2B4D7" w:rsidR="00EE423E" w:rsidRPr="006A2F78" w:rsidRDefault="00EE423E" w:rsidP="003F12A9">
            <w:pPr>
              <w:spacing w:before="60" w:after="60"/>
              <w:jc w:val="right"/>
              <w:rPr>
                <w:bCs/>
                <w:sz w:val="20"/>
                <w:szCs w:val="20"/>
              </w:rPr>
            </w:pPr>
            <m:oMathPara>
              <m:oMathParaPr>
                <m:jc m:val="left"/>
              </m:oMathParaPr>
              <m:oMath>
                <m:r>
                  <w:rPr>
                    <w:rFonts w:ascii="Cambria Math" w:hAnsi="Cambria Math"/>
                    <w:color w:val="000000" w:themeColor="text1"/>
                    <w:sz w:val="20"/>
                    <w:szCs w:val="20"/>
                  </w:rPr>
                  <m:t xml:space="preserve">=4.92 </m:t>
                </m:r>
                <m:r>
                  <m:rPr>
                    <m:sty m:val="p"/>
                  </m:rPr>
                  <w:rPr>
                    <w:rFonts w:ascii="Cambria Math" w:hAnsi="Cambria Math"/>
                    <w:color w:val="000000" w:themeColor="text1"/>
                    <w:sz w:val="20"/>
                    <w:szCs w:val="20"/>
                  </w:rPr>
                  <m:t>eV-</m:t>
                </m:r>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E</m:t>
                    </m:r>
                  </m:e>
                  <m:sub>
                    <m:r>
                      <m:rPr>
                        <m:sty m:val="p"/>
                      </m:rPr>
                      <w:rPr>
                        <w:rFonts w:ascii="Cambria Math" w:hAnsi="Cambria Math"/>
                        <w:color w:val="000000" w:themeColor="text1"/>
                        <w:sz w:val="20"/>
                        <w:szCs w:val="20"/>
                      </w:rPr>
                      <m:t>HOO</m:t>
                    </m:r>
                  </m:sub>
                </m:sSub>
                <m:r>
                  <w:rPr>
                    <w:rFonts w:ascii="Cambria Math" w:hAnsi="Cambria Math"/>
                    <w:color w:val="000000" w:themeColor="text1"/>
                    <w:sz w:val="20"/>
                    <w:szCs w:val="20"/>
                  </w:rPr>
                  <m:t xml:space="preserve">-0.40 </m:t>
                </m:r>
                <m:r>
                  <m:rPr>
                    <m:sty m:val="p"/>
                  </m:rPr>
                  <w:rPr>
                    <w:rFonts w:ascii="Cambria Math" w:hAnsi="Cambria Math"/>
                    <w:color w:val="000000" w:themeColor="text1"/>
                    <w:sz w:val="20"/>
                    <w:szCs w:val="20"/>
                  </w:rPr>
                  <m:t>eV</m:t>
                </m:r>
                <m:r>
                  <w:rPr>
                    <w:rFonts w:ascii="Cambria Math" w:hAnsi="Cambria Math"/>
                    <w:color w:val="000000" w:themeColor="text1"/>
                    <w:sz w:val="20"/>
                    <w:szCs w:val="20"/>
                  </w:rPr>
                  <m:t>-eU</m:t>
                </m:r>
              </m:oMath>
            </m:oMathPara>
          </w:p>
        </w:tc>
        <w:tc>
          <w:tcPr>
            <w:tcW w:w="2075" w:type="dxa"/>
            <w:vAlign w:val="center"/>
          </w:tcPr>
          <w:p w14:paraId="282AB111" w14:textId="079DEBC0" w:rsidR="00EE423E" w:rsidRPr="001A79BA" w:rsidRDefault="00EE423E" w:rsidP="003F12A9">
            <w:pPr>
              <w:keepNext/>
              <w:jc w:val="right"/>
              <w:rPr>
                <w:bCs/>
                <w:sz w:val="20"/>
                <w:szCs w:val="20"/>
              </w:rPr>
            </w:pPr>
            <w:r w:rsidRPr="001A79BA">
              <w:rPr>
                <w:sz w:val="20"/>
                <w:szCs w:val="20"/>
              </w:rPr>
              <w:t xml:space="preserve">Equation </w:t>
            </w:r>
            <w:r w:rsidRPr="001A79BA">
              <w:rPr>
                <w:sz w:val="20"/>
                <w:szCs w:val="20"/>
              </w:rPr>
              <w:fldChar w:fldCharType="begin"/>
            </w:r>
            <w:r w:rsidRPr="001A79BA">
              <w:rPr>
                <w:sz w:val="20"/>
                <w:szCs w:val="20"/>
              </w:rPr>
              <w:instrText xml:space="preserve"> SEQ Equation \* ARABIC </w:instrText>
            </w:r>
            <w:r w:rsidRPr="001A79BA">
              <w:rPr>
                <w:sz w:val="20"/>
                <w:szCs w:val="20"/>
              </w:rPr>
              <w:fldChar w:fldCharType="separate"/>
            </w:r>
            <w:r w:rsidR="003255C0">
              <w:rPr>
                <w:noProof/>
                <w:sz w:val="20"/>
                <w:szCs w:val="20"/>
              </w:rPr>
              <w:t>66</w:t>
            </w:r>
            <w:r w:rsidRPr="001A79BA">
              <w:rPr>
                <w:sz w:val="20"/>
                <w:szCs w:val="20"/>
              </w:rPr>
              <w:fldChar w:fldCharType="end"/>
            </w:r>
          </w:p>
        </w:tc>
      </w:tr>
      <w:tr w:rsidR="00EE423E" w:rsidRPr="001A79BA" w14:paraId="0412B9FD" w14:textId="77777777" w:rsidTr="006A2F78">
        <w:tblPrEx>
          <w:tblCellMar>
            <w:top w:w="0" w:type="dxa"/>
            <w:bottom w:w="0" w:type="dxa"/>
          </w:tblCellMar>
        </w:tblPrEx>
        <w:tc>
          <w:tcPr>
            <w:tcW w:w="1985" w:type="dxa"/>
            <w:vAlign w:val="center"/>
          </w:tcPr>
          <w:p w14:paraId="51442871" w14:textId="77777777" w:rsidR="00EE423E" w:rsidRPr="001A79BA" w:rsidRDefault="00EE423E" w:rsidP="003F12A9">
            <w:pPr>
              <w:jc w:val="right"/>
              <w:rPr>
                <w:bCs/>
                <w:sz w:val="20"/>
                <w:szCs w:val="20"/>
              </w:rPr>
            </w:pPr>
          </w:p>
        </w:tc>
        <w:tc>
          <w:tcPr>
            <w:tcW w:w="4966" w:type="dxa"/>
            <w:vAlign w:val="center"/>
          </w:tcPr>
          <w:p w14:paraId="3ED054F0" w14:textId="2F6092D7" w:rsidR="00EE423E" w:rsidRPr="006A2F78" w:rsidRDefault="00EE423E" w:rsidP="003F12A9">
            <w:pPr>
              <w:spacing w:before="60" w:after="60"/>
              <w:jc w:val="right"/>
              <w:rPr>
                <w:bCs/>
                <w:sz w:val="20"/>
                <w:szCs w:val="20"/>
              </w:rPr>
            </w:pPr>
            <m:oMathPara>
              <m:oMathParaPr>
                <m:jc m:val="left"/>
              </m:oMathParaPr>
              <m:oMath>
                <m:r>
                  <w:rPr>
                    <w:rFonts w:ascii="Cambria Math" w:hAnsi="Cambria Math"/>
                    <w:color w:val="000000" w:themeColor="text1"/>
                    <w:sz w:val="20"/>
                    <w:szCs w:val="20"/>
                  </w:rPr>
                  <m:t>=-0.64∆</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E</m:t>
                    </m:r>
                  </m:e>
                  <m:sub>
                    <m:r>
                      <m:rPr>
                        <m:sty m:val="p"/>
                      </m:rPr>
                      <w:rPr>
                        <w:rFonts w:ascii="Cambria Math" w:hAnsi="Cambria Math"/>
                        <w:color w:val="000000" w:themeColor="text1"/>
                        <w:sz w:val="20"/>
                        <w:szCs w:val="20"/>
                      </w:rPr>
                      <m:t>O</m:t>
                    </m:r>
                  </m:sub>
                </m:sSub>
                <m:r>
                  <w:rPr>
                    <w:rFonts w:ascii="Cambria Math" w:hAnsi="Cambria Math"/>
                    <w:color w:val="000000" w:themeColor="text1"/>
                    <w:sz w:val="20"/>
                    <w:szCs w:val="20"/>
                  </w:rPr>
                  <m:t xml:space="preserve">+2.49 </m:t>
                </m:r>
                <m:r>
                  <m:rPr>
                    <m:sty m:val="p"/>
                  </m:rPr>
                  <w:rPr>
                    <w:rFonts w:ascii="Cambria Math" w:hAnsi="Cambria Math"/>
                    <w:color w:val="000000" w:themeColor="text1"/>
                    <w:sz w:val="20"/>
                    <w:szCs w:val="20"/>
                  </w:rPr>
                  <m:t>eV</m:t>
                </m:r>
                <m:r>
                  <w:rPr>
                    <w:rFonts w:ascii="Cambria Math" w:hAnsi="Cambria Math"/>
                    <w:color w:val="000000" w:themeColor="text1"/>
                    <w:sz w:val="20"/>
                    <w:szCs w:val="20"/>
                  </w:rPr>
                  <m:t>-eU</m:t>
                </m:r>
              </m:oMath>
            </m:oMathPara>
          </w:p>
        </w:tc>
        <w:tc>
          <w:tcPr>
            <w:tcW w:w="2075" w:type="dxa"/>
            <w:vAlign w:val="center"/>
          </w:tcPr>
          <w:p w14:paraId="59574584" w14:textId="5575314E" w:rsidR="00EE423E" w:rsidRPr="001A79BA" w:rsidRDefault="00EE423E" w:rsidP="003F12A9">
            <w:pPr>
              <w:keepNext/>
              <w:jc w:val="right"/>
              <w:rPr>
                <w:bCs/>
                <w:sz w:val="20"/>
                <w:szCs w:val="20"/>
              </w:rPr>
            </w:pPr>
            <w:r w:rsidRPr="001A79BA">
              <w:rPr>
                <w:sz w:val="20"/>
                <w:szCs w:val="20"/>
              </w:rPr>
              <w:t xml:space="preserve">Equation </w:t>
            </w:r>
            <w:r w:rsidRPr="001A79BA">
              <w:rPr>
                <w:sz w:val="20"/>
                <w:szCs w:val="20"/>
              </w:rPr>
              <w:fldChar w:fldCharType="begin"/>
            </w:r>
            <w:r w:rsidRPr="001A79BA">
              <w:rPr>
                <w:sz w:val="20"/>
                <w:szCs w:val="20"/>
              </w:rPr>
              <w:instrText xml:space="preserve"> SEQ Equation \* ARABIC </w:instrText>
            </w:r>
            <w:r w:rsidRPr="001A79BA">
              <w:rPr>
                <w:sz w:val="20"/>
                <w:szCs w:val="20"/>
              </w:rPr>
              <w:fldChar w:fldCharType="separate"/>
            </w:r>
            <w:r w:rsidR="003255C0">
              <w:rPr>
                <w:noProof/>
                <w:sz w:val="20"/>
                <w:szCs w:val="20"/>
              </w:rPr>
              <w:t>67</w:t>
            </w:r>
            <w:r w:rsidRPr="001A79BA">
              <w:rPr>
                <w:sz w:val="20"/>
                <w:szCs w:val="20"/>
              </w:rPr>
              <w:fldChar w:fldCharType="end"/>
            </w:r>
          </w:p>
        </w:tc>
      </w:tr>
    </w:tbl>
    <w:p w14:paraId="1C59D43D" w14:textId="77777777" w:rsidR="00F5313D" w:rsidRPr="00EC6E98" w:rsidRDefault="00F5313D" w:rsidP="00F5313D">
      <w:pPr>
        <w:rPr>
          <w:color w:val="000000" w:themeColor="text1"/>
          <w:szCs w:val="22"/>
        </w:rPr>
      </w:pPr>
    </w:p>
    <w:p w14:paraId="3D2FDD4A" w14:textId="6C698446" w:rsidR="00F5313D" w:rsidRPr="00EC6E98" w:rsidRDefault="00F5313D" w:rsidP="00F5313D">
      <w:pPr>
        <w:rPr>
          <w:rFonts w:eastAsia="MS Mincho"/>
          <w:color w:val="000000" w:themeColor="text1"/>
          <w:szCs w:val="22"/>
        </w:rPr>
      </w:pPr>
      <w:r w:rsidRPr="00EC6E98">
        <w:rPr>
          <w:color w:val="000000" w:themeColor="text1"/>
          <w:szCs w:val="22"/>
        </w:rPr>
        <w:t xml:space="preserve">When these relationships hold, they both constrain the OER activity and offer a straightforward way to predict </w:t>
      </w:r>
      <w:r>
        <w:rPr>
          <w:color w:val="000000" w:themeColor="text1"/>
          <w:szCs w:val="22"/>
        </w:rPr>
        <w:t>the</w:t>
      </w:r>
      <w:r w:rsidRPr="00EC6E98">
        <w:rPr>
          <w:color w:val="000000" w:themeColor="text1"/>
          <w:szCs w:val="22"/>
        </w:rPr>
        <w:t xml:space="preserve"> activity for a series of catalysts. Again, we refer only to the thermodynamic contribution to the activity defined as </w:t>
      </w:r>
      <w:r w:rsidRPr="00EC6E98">
        <w:rPr>
          <w:i/>
          <w:color w:val="000000" w:themeColor="text1"/>
          <w:szCs w:val="22"/>
        </w:rPr>
        <w:sym w:font="Symbol" w:char="F068"/>
      </w:r>
      <w:r w:rsidRPr="00EC6E98">
        <w:rPr>
          <w:iCs/>
          <w:color w:val="000000" w:themeColor="text1"/>
          <w:szCs w:val="22"/>
          <w:vertAlign w:val="subscript"/>
        </w:rPr>
        <w:t>CHE</w:t>
      </w:r>
      <w:r w:rsidRPr="00EC6E98">
        <w:rPr>
          <w:iCs/>
          <w:color w:val="000000" w:themeColor="text1"/>
          <w:szCs w:val="22"/>
        </w:rPr>
        <w:t xml:space="preserve"> or, equivalently, </w:t>
      </w:r>
      <w:r w:rsidRPr="00EC6E98">
        <w:rPr>
          <w:color w:val="000000" w:themeColor="text1"/>
          <w:szCs w:val="22"/>
        </w:rPr>
        <w:t>-</w:t>
      </w:r>
      <w:r w:rsidRPr="00EC6E98">
        <w:rPr>
          <w:color w:val="000000" w:themeColor="text1"/>
          <w:szCs w:val="22"/>
        </w:rPr>
        <w:sym w:font="Symbol" w:char="F044"/>
      </w:r>
      <w:proofErr w:type="spellStart"/>
      <w:r w:rsidRPr="00EC6E98">
        <w:rPr>
          <w:i/>
          <w:iCs/>
          <w:color w:val="000000" w:themeColor="text1"/>
          <w:szCs w:val="22"/>
        </w:rPr>
        <w:t>G</w:t>
      </w:r>
      <w:r w:rsidRPr="00EC6E98">
        <w:rPr>
          <w:color w:val="000000" w:themeColor="text1"/>
          <w:szCs w:val="22"/>
          <w:vertAlign w:val="subscript"/>
        </w:rPr>
        <w:t>activat</w:t>
      </w:r>
      <w:r w:rsidR="00B25882">
        <w:rPr>
          <w:color w:val="000000" w:themeColor="text1"/>
          <w:szCs w:val="22"/>
          <w:vertAlign w:val="subscript"/>
        </w:rPr>
        <w:t>i</w:t>
      </w:r>
      <w:r w:rsidRPr="00EC6E98">
        <w:rPr>
          <w:color w:val="000000" w:themeColor="text1"/>
          <w:szCs w:val="22"/>
          <w:vertAlign w:val="subscript"/>
        </w:rPr>
        <w:t>on</w:t>
      </w:r>
      <w:proofErr w:type="spellEnd"/>
      <w:r w:rsidRPr="00EC6E98">
        <w:rPr>
          <w:color w:val="000000" w:themeColor="text1"/>
          <w:szCs w:val="22"/>
        </w:rPr>
        <w:t xml:space="preserve">. Such a plot showing the activity as a function of oxygen adsorption energy is shown in </w:t>
      </w:r>
      <w:r w:rsidR="001A79BA">
        <w:rPr>
          <w:iCs/>
          <w:color w:val="000000" w:themeColor="text1"/>
          <w:szCs w:val="22"/>
        </w:rPr>
        <w:fldChar w:fldCharType="begin"/>
      </w:r>
      <w:r w:rsidR="001A79BA">
        <w:rPr>
          <w:color w:val="000000" w:themeColor="text1"/>
          <w:szCs w:val="22"/>
        </w:rPr>
        <w:instrText xml:space="preserve"> REF _Ref159515052 \h </w:instrText>
      </w:r>
      <w:r w:rsidR="001A79BA">
        <w:rPr>
          <w:iCs/>
          <w:color w:val="000000" w:themeColor="text1"/>
          <w:szCs w:val="22"/>
        </w:rPr>
      </w:r>
      <w:r w:rsidR="001A79BA">
        <w:rPr>
          <w:iCs/>
          <w:color w:val="000000" w:themeColor="text1"/>
          <w:szCs w:val="22"/>
        </w:rPr>
        <w:fldChar w:fldCharType="separate"/>
      </w:r>
      <w:r w:rsidR="003255C0" w:rsidRPr="001A79BA">
        <w:rPr>
          <w:b/>
          <w:bCs/>
        </w:rPr>
        <w:t xml:space="preserve">Figure </w:t>
      </w:r>
      <w:r w:rsidR="003255C0">
        <w:rPr>
          <w:b/>
          <w:bCs/>
          <w:noProof/>
        </w:rPr>
        <w:t>15</w:t>
      </w:r>
      <w:r w:rsidR="001A79BA">
        <w:rPr>
          <w:iCs/>
          <w:color w:val="000000" w:themeColor="text1"/>
          <w:szCs w:val="22"/>
        </w:rPr>
        <w:fldChar w:fldCharType="end"/>
      </w:r>
      <w:r w:rsidRPr="00EC6E98">
        <w:rPr>
          <w:iCs/>
          <w:color w:val="000000" w:themeColor="text1"/>
          <w:szCs w:val="22"/>
        </w:rPr>
        <w:t>.</w:t>
      </w:r>
    </w:p>
    <w:p w14:paraId="7049220B" w14:textId="77777777" w:rsidR="00F5313D" w:rsidRPr="00EC6E98" w:rsidRDefault="00F5313D" w:rsidP="00F5313D">
      <w:pPr>
        <w:rPr>
          <w:iCs/>
          <w:color w:val="000000" w:themeColor="text1"/>
          <w:szCs w:val="22"/>
        </w:rPr>
      </w:pPr>
      <w:r w:rsidRPr="00EC6E98">
        <w:rPr>
          <w:iCs/>
          <w:color w:val="000000" w:themeColor="text1"/>
          <w:szCs w:val="22"/>
        </w:rPr>
        <w:tab/>
      </w:r>
    </w:p>
    <w:p w14:paraId="40ABE8BF" w14:textId="5372EF68" w:rsidR="00F5313D" w:rsidRPr="00EC6E98" w:rsidRDefault="00F5313D" w:rsidP="00F5313D">
      <w:pPr>
        <w:ind w:firstLine="720"/>
        <w:rPr>
          <w:iCs/>
          <w:color w:val="000000" w:themeColor="text1"/>
          <w:szCs w:val="22"/>
        </w:rPr>
      </w:pPr>
      <w:r w:rsidRPr="00EC6E98">
        <w:rPr>
          <w:iCs/>
          <w:color w:val="000000" w:themeColor="text1"/>
          <w:szCs w:val="22"/>
        </w:rPr>
        <w:t xml:space="preserve">Inspection of </w:t>
      </w:r>
      <w:r w:rsidR="001A79BA">
        <w:rPr>
          <w:iCs/>
          <w:color w:val="000000" w:themeColor="text1"/>
          <w:szCs w:val="22"/>
        </w:rPr>
        <w:fldChar w:fldCharType="begin"/>
      </w:r>
      <w:r w:rsidR="001A79BA">
        <w:rPr>
          <w:iCs/>
          <w:color w:val="000000" w:themeColor="text1"/>
          <w:szCs w:val="22"/>
        </w:rPr>
        <w:instrText xml:space="preserve"> REF _Ref159515052 \h </w:instrText>
      </w:r>
      <w:r w:rsidR="001A79BA">
        <w:rPr>
          <w:iCs/>
          <w:color w:val="000000" w:themeColor="text1"/>
          <w:szCs w:val="22"/>
        </w:rPr>
      </w:r>
      <w:r w:rsidR="001A79BA">
        <w:rPr>
          <w:iCs/>
          <w:color w:val="000000" w:themeColor="text1"/>
          <w:szCs w:val="22"/>
        </w:rPr>
        <w:fldChar w:fldCharType="separate"/>
      </w:r>
      <w:r w:rsidR="003255C0" w:rsidRPr="001A79BA">
        <w:rPr>
          <w:b/>
          <w:bCs/>
        </w:rPr>
        <w:t xml:space="preserve">Figure </w:t>
      </w:r>
      <w:r w:rsidR="003255C0">
        <w:rPr>
          <w:b/>
          <w:bCs/>
          <w:noProof/>
        </w:rPr>
        <w:t>15</w:t>
      </w:r>
      <w:r w:rsidR="001A79BA">
        <w:rPr>
          <w:iCs/>
          <w:color w:val="000000" w:themeColor="text1"/>
          <w:szCs w:val="22"/>
        </w:rPr>
        <w:fldChar w:fldCharType="end"/>
      </w:r>
      <w:r w:rsidRPr="00EC6E98">
        <w:rPr>
          <w:iCs/>
          <w:color w:val="000000" w:themeColor="text1"/>
          <w:szCs w:val="22"/>
        </w:rPr>
        <w:t xml:space="preserve"> reveals a situation </w:t>
      </w:r>
      <w:proofErr w:type="gramStart"/>
      <w:r w:rsidRPr="00EC6E98">
        <w:rPr>
          <w:iCs/>
          <w:color w:val="000000" w:themeColor="text1"/>
          <w:szCs w:val="22"/>
        </w:rPr>
        <w:t>similar to</w:t>
      </w:r>
      <w:proofErr w:type="gramEnd"/>
      <w:r w:rsidRPr="00EC6E98">
        <w:rPr>
          <w:iCs/>
          <w:color w:val="000000" w:themeColor="text1"/>
          <w:szCs w:val="22"/>
        </w:rPr>
        <w:t xml:space="preserve"> that seen for the metals in </w:t>
      </w:r>
      <w:r w:rsidR="001A79BA">
        <w:rPr>
          <w:iCs/>
          <w:color w:val="000000" w:themeColor="text1"/>
          <w:szCs w:val="22"/>
        </w:rPr>
        <w:fldChar w:fldCharType="begin"/>
      </w:r>
      <w:r w:rsidR="001A79BA">
        <w:rPr>
          <w:iCs/>
          <w:color w:val="000000" w:themeColor="text1"/>
          <w:szCs w:val="22"/>
        </w:rPr>
        <w:instrText xml:space="preserve"> REF _Ref159512581 \h </w:instrText>
      </w:r>
      <w:r w:rsidR="001A79BA">
        <w:rPr>
          <w:iCs/>
          <w:color w:val="000000" w:themeColor="text1"/>
          <w:szCs w:val="22"/>
        </w:rPr>
      </w:r>
      <w:r w:rsidR="001A79BA">
        <w:rPr>
          <w:iCs/>
          <w:color w:val="000000" w:themeColor="text1"/>
          <w:szCs w:val="22"/>
        </w:rPr>
        <w:fldChar w:fldCharType="separate"/>
      </w:r>
      <w:r w:rsidR="003255C0" w:rsidRPr="0098295F">
        <w:rPr>
          <w:b/>
          <w:bCs/>
        </w:rPr>
        <w:t xml:space="preserve">Figure </w:t>
      </w:r>
      <w:r w:rsidR="003255C0">
        <w:rPr>
          <w:b/>
          <w:bCs/>
          <w:noProof/>
        </w:rPr>
        <w:t>12</w:t>
      </w:r>
      <w:r w:rsidR="001A79BA">
        <w:rPr>
          <w:iCs/>
          <w:color w:val="000000" w:themeColor="text1"/>
          <w:szCs w:val="22"/>
        </w:rPr>
        <w:fldChar w:fldCharType="end"/>
      </w:r>
      <w:r w:rsidRPr="00EC6E98">
        <w:rPr>
          <w:iCs/>
          <w:color w:val="000000" w:themeColor="text1"/>
          <w:szCs w:val="22"/>
        </w:rPr>
        <w:t xml:space="preserve">. A volcano curve emerges wherein catalysts that bind oxygen too strongly form </w:t>
      </w:r>
      <w:r>
        <w:rPr>
          <w:iCs/>
          <w:color w:val="000000" w:themeColor="text1"/>
          <w:szCs w:val="22"/>
        </w:rPr>
        <w:t>*OOH</w:t>
      </w:r>
      <w:r w:rsidRPr="00EC6E98">
        <w:rPr>
          <w:iCs/>
          <w:color w:val="000000" w:themeColor="text1"/>
          <w:szCs w:val="22"/>
        </w:rPr>
        <w:t xml:space="preserve"> in the PDS and those that bind oxygen too weakly form </w:t>
      </w:r>
      <w:r>
        <w:rPr>
          <w:iCs/>
          <w:color w:val="000000" w:themeColor="text1"/>
          <w:szCs w:val="22"/>
        </w:rPr>
        <w:t>*O</w:t>
      </w:r>
      <w:r w:rsidRPr="00EC6E98">
        <w:rPr>
          <w:iCs/>
          <w:color w:val="000000" w:themeColor="text1"/>
          <w:szCs w:val="22"/>
        </w:rPr>
        <w:t xml:space="preserve"> in the PDS. </w:t>
      </w:r>
      <w:r>
        <w:rPr>
          <w:iCs/>
          <w:color w:val="000000" w:themeColor="text1"/>
          <w:szCs w:val="22"/>
        </w:rPr>
        <w:t xml:space="preserve">Note, however, that metals that bind oxygen too weakly form *OH in the PDS rather than *O like on the oxides. </w:t>
      </w:r>
      <w:r w:rsidRPr="00EC6E98">
        <w:rPr>
          <w:iCs/>
          <w:color w:val="000000" w:themeColor="text1"/>
          <w:szCs w:val="22"/>
        </w:rPr>
        <w:t>RuO</w:t>
      </w:r>
      <w:r w:rsidRPr="00EC6E98">
        <w:rPr>
          <w:iCs/>
          <w:color w:val="000000" w:themeColor="text1"/>
          <w:szCs w:val="22"/>
          <w:vertAlign w:val="subscript"/>
        </w:rPr>
        <w:t>2</w:t>
      </w:r>
      <w:r w:rsidRPr="00EC6E98">
        <w:rPr>
          <w:iCs/>
          <w:color w:val="000000" w:themeColor="text1"/>
          <w:szCs w:val="22"/>
        </w:rPr>
        <w:t>(110) can be seen to sit near the top of the volcano, suggesting that among catalysts that follow the scaling relationships, RuO</w:t>
      </w:r>
      <w:r w:rsidRPr="00EC6E98">
        <w:rPr>
          <w:iCs/>
          <w:color w:val="000000" w:themeColor="text1"/>
          <w:szCs w:val="22"/>
          <w:vertAlign w:val="subscript"/>
        </w:rPr>
        <w:t>2</w:t>
      </w:r>
      <w:r w:rsidRPr="00EC6E98">
        <w:rPr>
          <w:iCs/>
          <w:color w:val="000000" w:themeColor="text1"/>
          <w:szCs w:val="22"/>
        </w:rPr>
        <w:t xml:space="preserve"> is nearly optimal. </w:t>
      </w:r>
      <w:r>
        <w:rPr>
          <w:iCs/>
          <w:color w:val="000000" w:themeColor="text1"/>
          <w:szCs w:val="22"/>
        </w:rPr>
        <w:t>It is worth noting that this result for RuO</w:t>
      </w:r>
      <w:r w:rsidRPr="00E21C2F">
        <w:rPr>
          <w:iCs/>
          <w:color w:val="000000" w:themeColor="text1"/>
          <w:szCs w:val="22"/>
          <w:vertAlign w:val="subscript"/>
        </w:rPr>
        <w:t>2</w:t>
      </w:r>
      <w:r>
        <w:rPr>
          <w:iCs/>
          <w:color w:val="000000" w:themeColor="text1"/>
          <w:szCs w:val="22"/>
        </w:rPr>
        <w:t xml:space="preserve"> is at odds with others, where RuO</w:t>
      </w:r>
      <w:r w:rsidRPr="00E21C2F">
        <w:rPr>
          <w:iCs/>
          <w:color w:val="000000" w:themeColor="text1"/>
          <w:szCs w:val="22"/>
          <w:vertAlign w:val="subscript"/>
        </w:rPr>
        <w:t>2</w:t>
      </w:r>
      <w:r>
        <w:rPr>
          <w:iCs/>
          <w:color w:val="000000" w:themeColor="text1"/>
          <w:szCs w:val="22"/>
        </w:rPr>
        <w:t xml:space="preserve"> is found to have a significant overpotential </w:t>
      </w:r>
      <w:r>
        <w:rPr>
          <w:iCs/>
          <w:color w:val="000000" w:themeColor="text1"/>
          <w:szCs w:val="22"/>
        </w:rPr>
        <w:fldChar w:fldCharType="begin"/>
      </w:r>
      <w:r w:rsidR="00FC5BEB">
        <w:rPr>
          <w:iCs/>
          <w:color w:val="000000" w:themeColor="text1"/>
          <w:szCs w:val="22"/>
        </w:rPr>
        <w:instrText xml:space="preserve"> ADDIN EN.CITE &lt;EndNote&gt;&lt;Cite&gt;&lt;Author&gt;Briquet&lt;/Author&gt;&lt;Year&gt;2017&lt;/Year&gt;&lt;RecNum&gt;197&lt;/RecNum&gt;&lt;DisplayText&gt;&lt;style face="superscript"&gt;199&lt;/style&gt;&lt;/DisplayText&gt;&lt;record&gt;&lt;rec-number&gt;197&lt;/rec-number&gt;&lt;foreign-keys&gt;&lt;key app="EN" db-id="2xex0erf4eexr4e2dpbxpdd829xttesxxxdr" timestamp="1715075296"&gt;197&lt;/key&gt;&lt;/foreign-keys&gt;&lt;ref-type name="Journal Article"&gt;17&lt;/ref-type&gt;&lt;contributors&gt;&lt;authors&gt;&lt;author&gt;Briquet, Ludovic G. V.&lt;/author&gt;&lt;author&gt;Sarwar, Misbah&lt;/author&gt;&lt;author&gt;Mugo, Jane&lt;/author&gt;&lt;author&gt;Jones, Glenn&lt;/author&gt;&lt;author&gt;Calle-Vallejo, Federico&lt;/author&gt;&lt;/authors&gt;&lt;/contributors&gt;&lt;titles&gt;&lt;title&gt;A New Type of Scaling Relations to Assess the Accuracy of Computational Predictions of Catalytic Activities Applied to the Oxygen Evolution Reaction&lt;/title&gt;&lt;secondary-title&gt;ChemCatChem&lt;/secondary-title&gt;&lt;/titles&gt;&lt;pages&gt;1261-1268&lt;/pages&gt;&lt;volume&gt;9&lt;/volume&gt;&lt;number&gt;7&lt;/number&gt;&lt;dates&gt;&lt;year&gt;2017&lt;/year&gt;&lt;/dates&gt;&lt;isbn&gt;1867-3880&lt;/isbn&gt;&lt;urls&gt;&lt;related-urls&gt;&lt;url&gt;https://chemistry-europe.onlinelibrary.wiley.com/doi/abs/10.1002/cctc.201601662&lt;/url&gt;&lt;/related-urls&gt;&lt;/urls&gt;&lt;electronic-resource-num&gt;https://doi.org/10.1002/cctc.201601662&lt;/electronic-resource-num&gt;&lt;/record&gt;&lt;/Cite&gt;&lt;/EndNote&gt;</w:instrText>
      </w:r>
      <w:r>
        <w:rPr>
          <w:iCs/>
          <w:color w:val="000000" w:themeColor="text1"/>
          <w:szCs w:val="22"/>
        </w:rPr>
        <w:fldChar w:fldCharType="separate"/>
      </w:r>
      <w:r w:rsidR="00FC5BEB" w:rsidRPr="00FC5BEB">
        <w:rPr>
          <w:iCs/>
          <w:noProof/>
          <w:color w:val="000000" w:themeColor="text1"/>
          <w:szCs w:val="22"/>
          <w:vertAlign w:val="superscript"/>
        </w:rPr>
        <w:t>199</w:t>
      </w:r>
      <w:r>
        <w:rPr>
          <w:iCs/>
          <w:color w:val="000000" w:themeColor="text1"/>
          <w:szCs w:val="22"/>
        </w:rPr>
        <w:fldChar w:fldCharType="end"/>
      </w:r>
      <w:r w:rsidRPr="007C5D34">
        <w:rPr>
          <w:iCs/>
          <w:color w:val="000000" w:themeColor="text1"/>
          <w:szCs w:val="22"/>
          <w:vertAlign w:val="superscript"/>
        </w:rPr>
        <w:t>,</w:t>
      </w:r>
      <w:r>
        <w:rPr>
          <w:iCs/>
          <w:color w:val="000000" w:themeColor="text1"/>
          <w:szCs w:val="22"/>
        </w:rPr>
        <w:fldChar w:fldCharType="begin"/>
      </w:r>
      <w:r w:rsidR="00FC5BEB">
        <w:rPr>
          <w:iCs/>
          <w:color w:val="000000" w:themeColor="text1"/>
          <w:szCs w:val="22"/>
        </w:rPr>
        <w:instrText xml:space="preserve"> ADDIN EN.CITE &lt;EndNote&gt;&lt;Cite&gt;&lt;Author&gt;Divanis&lt;/Author&gt;&lt;Year&gt;2021&lt;/Year&gt;&lt;RecNum&gt;196&lt;/RecNum&gt;&lt;DisplayText&gt;&lt;style face="superscript"&gt;198&lt;/style&gt;&lt;/DisplayText&gt;&lt;record&gt;&lt;rec-number&gt;196&lt;/rec-number&gt;&lt;foreign-keys&gt;&lt;key app="EN" db-id="2xex0erf4eexr4e2dpbxpdd829xttesxxxdr" timestamp="1715075296"&gt;196&lt;/key&gt;&lt;/foreign-keys&gt;&lt;ref-type name="Journal Article"&gt;17&lt;/ref-type&gt;&lt;contributors&gt;&lt;authors&gt;&lt;author&gt;Divanis, Spyridon&lt;/author&gt;&lt;author&gt;Frandsen, Adrian Malthe&lt;/author&gt;&lt;author&gt;Kutlusoy, Tugce&lt;/author&gt;&lt;author&gt;Rossmeisl, Jan&lt;/author&gt;&lt;/authors&gt;&lt;/contributors&gt;&lt;titles&gt;&lt;title&gt;Lifting the discrepancy between experimental results and the theoretical predictions for the catalytic activity of RuO2(110) towards oxygen evolution reaction&lt;/title&gt;&lt;secondary-title&gt;Physical Chemistry Chemical Physics&lt;/secondary-title&gt;&lt;/titles&gt;&lt;periodical&gt;&lt;full-title&gt;Physical Chemistry Chemical Physics&lt;/full-title&gt;&lt;abbr-1&gt;Phys. Chem. Chem. Phys.&lt;/abbr-1&gt;&lt;abbr-2&gt;Phys Chem Chem Phys&lt;/abbr-2&gt;&lt;/periodical&gt;&lt;pages&gt;19141-19145&lt;/pages&gt;&lt;volume&gt;23&lt;/volume&gt;&lt;number&gt;35&lt;/number&gt;&lt;dates&gt;&lt;year&gt;2021&lt;/year&gt;&lt;/dates&gt;&lt;publisher&gt;The Royal Society of Chemistry&lt;/publisher&gt;&lt;isbn&gt;1463-9076&lt;/isbn&gt;&lt;work-type&gt;10.1039/D1CP02999A&lt;/work-type&gt;&lt;urls&gt;&lt;related-urls&gt;&lt;url&gt;http://dx.doi.org/10.1039/D1CP02999A&lt;/url&gt;&lt;/related-urls&gt;&lt;/urls&gt;&lt;electronic-resource-num&gt;10.1039/D1CP02999A&lt;/electronic-resource-num&gt;&lt;/record&gt;&lt;/Cite&gt;&lt;/EndNote&gt;</w:instrText>
      </w:r>
      <w:r>
        <w:rPr>
          <w:iCs/>
          <w:color w:val="000000" w:themeColor="text1"/>
          <w:szCs w:val="22"/>
        </w:rPr>
        <w:fldChar w:fldCharType="separate"/>
      </w:r>
      <w:r w:rsidR="00FC5BEB" w:rsidRPr="00FC5BEB">
        <w:rPr>
          <w:iCs/>
          <w:noProof/>
          <w:color w:val="000000" w:themeColor="text1"/>
          <w:szCs w:val="22"/>
          <w:vertAlign w:val="superscript"/>
        </w:rPr>
        <w:t>198</w:t>
      </w:r>
      <w:r>
        <w:rPr>
          <w:iCs/>
          <w:color w:val="000000" w:themeColor="text1"/>
          <w:szCs w:val="22"/>
        </w:rPr>
        <w:fldChar w:fldCharType="end"/>
      </w:r>
      <w:r>
        <w:rPr>
          <w:iCs/>
          <w:color w:val="000000" w:themeColor="text1"/>
          <w:szCs w:val="22"/>
        </w:rPr>
        <w:t xml:space="preserve">. Furthermore, in </w:t>
      </w:r>
      <w:r w:rsidR="001A79BA">
        <w:rPr>
          <w:iCs/>
          <w:color w:val="000000" w:themeColor="text1"/>
          <w:szCs w:val="22"/>
        </w:rPr>
        <w:fldChar w:fldCharType="begin"/>
      </w:r>
      <w:r w:rsidR="001A79BA">
        <w:rPr>
          <w:iCs/>
          <w:color w:val="000000" w:themeColor="text1"/>
          <w:szCs w:val="22"/>
        </w:rPr>
        <w:instrText xml:space="preserve"> REF _Ref159515052 \h </w:instrText>
      </w:r>
      <w:r w:rsidR="001A79BA">
        <w:rPr>
          <w:iCs/>
          <w:color w:val="000000" w:themeColor="text1"/>
          <w:szCs w:val="22"/>
        </w:rPr>
      </w:r>
      <w:r w:rsidR="001A79BA">
        <w:rPr>
          <w:iCs/>
          <w:color w:val="000000" w:themeColor="text1"/>
          <w:szCs w:val="22"/>
        </w:rPr>
        <w:fldChar w:fldCharType="separate"/>
      </w:r>
      <w:r w:rsidR="003255C0" w:rsidRPr="001A79BA">
        <w:rPr>
          <w:b/>
          <w:bCs/>
        </w:rPr>
        <w:t xml:space="preserve">Figure </w:t>
      </w:r>
      <w:r w:rsidR="003255C0">
        <w:rPr>
          <w:b/>
          <w:bCs/>
          <w:noProof/>
        </w:rPr>
        <w:t>15</w:t>
      </w:r>
      <w:r w:rsidR="001A79BA">
        <w:rPr>
          <w:iCs/>
          <w:color w:val="000000" w:themeColor="text1"/>
          <w:szCs w:val="22"/>
        </w:rPr>
        <w:fldChar w:fldCharType="end"/>
      </w:r>
      <w:r w:rsidR="001A79BA">
        <w:rPr>
          <w:iCs/>
          <w:color w:val="000000" w:themeColor="text1"/>
          <w:szCs w:val="22"/>
        </w:rPr>
        <w:t xml:space="preserve"> </w:t>
      </w:r>
      <w:r>
        <w:rPr>
          <w:iCs/>
          <w:color w:val="000000" w:themeColor="text1"/>
          <w:szCs w:val="22"/>
        </w:rPr>
        <w:t>RuO</w:t>
      </w:r>
      <w:r w:rsidRPr="00E21C2F">
        <w:rPr>
          <w:iCs/>
          <w:color w:val="000000" w:themeColor="text1"/>
          <w:szCs w:val="22"/>
          <w:vertAlign w:val="subscript"/>
        </w:rPr>
        <w:t>2</w:t>
      </w:r>
      <w:r>
        <w:rPr>
          <w:iCs/>
          <w:color w:val="000000" w:themeColor="text1"/>
          <w:szCs w:val="22"/>
        </w:rPr>
        <w:t xml:space="preserve"> sits on the </w:t>
      </w:r>
      <w:r w:rsidR="000D53F8">
        <w:rPr>
          <w:iCs/>
          <w:color w:val="000000" w:themeColor="text1"/>
          <w:szCs w:val="22"/>
        </w:rPr>
        <w:t>weak</w:t>
      </w:r>
      <w:r>
        <w:rPr>
          <w:iCs/>
          <w:color w:val="000000" w:themeColor="text1"/>
          <w:szCs w:val="22"/>
        </w:rPr>
        <w:t xml:space="preserve"> binding energy side of the volcano, whereas from </w:t>
      </w:r>
      <w:r w:rsidR="001A79BA">
        <w:rPr>
          <w:iCs/>
          <w:color w:val="000000" w:themeColor="text1"/>
          <w:szCs w:val="22"/>
        </w:rPr>
        <w:fldChar w:fldCharType="begin"/>
      </w:r>
      <w:r w:rsidR="001A79BA">
        <w:rPr>
          <w:iCs/>
          <w:color w:val="000000" w:themeColor="text1"/>
          <w:szCs w:val="22"/>
        </w:rPr>
        <w:instrText xml:space="preserve"> REF _Ref159515104 \h </w:instrText>
      </w:r>
      <w:r w:rsidR="001A79BA">
        <w:rPr>
          <w:iCs/>
          <w:color w:val="000000" w:themeColor="text1"/>
          <w:szCs w:val="22"/>
        </w:rPr>
      </w:r>
      <w:r w:rsidR="001A79BA">
        <w:rPr>
          <w:iCs/>
          <w:color w:val="000000" w:themeColor="text1"/>
          <w:szCs w:val="22"/>
        </w:rPr>
        <w:fldChar w:fldCharType="separate"/>
      </w:r>
      <w:r w:rsidR="003255C0" w:rsidRPr="001A79BA">
        <w:rPr>
          <w:b/>
          <w:bCs/>
        </w:rPr>
        <w:t xml:space="preserve">Figure </w:t>
      </w:r>
      <w:r w:rsidR="003255C0">
        <w:rPr>
          <w:b/>
          <w:bCs/>
          <w:noProof/>
        </w:rPr>
        <w:t>14</w:t>
      </w:r>
      <w:r w:rsidR="001A79BA">
        <w:rPr>
          <w:iCs/>
          <w:color w:val="000000" w:themeColor="text1"/>
          <w:szCs w:val="22"/>
        </w:rPr>
        <w:fldChar w:fldCharType="end"/>
      </w:r>
      <w:r>
        <w:rPr>
          <w:iCs/>
          <w:color w:val="000000" w:themeColor="text1"/>
          <w:szCs w:val="22"/>
        </w:rPr>
        <w:t xml:space="preserve"> the third step is the PDS over RuO</w:t>
      </w:r>
      <w:r w:rsidRPr="00E21C2F">
        <w:rPr>
          <w:iCs/>
          <w:color w:val="000000" w:themeColor="text1"/>
          <w:szCs w:val="22"/>
          <w:vertAlign w:val="subscript"/>
        </w:rPr>
        <w:t>2</w:t>
      </w:r>
      <w:r>
        <w:rPr>
          <w:iCs/>
          <w:color w:val="000000" w:themeColor="text1"/>
          <w:szCs w:val="22"/>
        </w:rPr>
        <w:t>, which would suggest strong oxygen binding. Ignoring these discrepancies for the time being</w:t>
      </w:r>
      <w:r w:rsidRPr="00EC6E98">
        <w:rPr>
          <w:iCs/>
          <w:color w:val="000000" w:themeColor="text1"/>
          <w:szCs w:val="22"/>
        </w:rPr>
        <w:t xml:space="preserve">, the ideal catalyst would have an activity of </w:t>
      </w:r>
      <w:r w:rsidRPr="00EC6E98">
        <w:rPr>
          <w:color w:val="000000" w:themeColor="text1"/>
          <w:szCs w:val="22"/>
        </w:rPr>
        <w:t>-</w:t>
      </w:r>
      <m:oMath>
        <m:r>
          <w:rPr>
            <w:rFonts w:ascii="Cambria Math" w:hAnsi="Cambria Math"/>
            <w:color w:val="000000" w:themeColor="text1"/>
            <w:szCs w:val="22"/>
          </w:rPr>
          <m:t>1.23</m:t>
        </m:r>
      </m:oMath>
      <w:r w:rsidRPr="00EC6E98">
        <w:rPr>
          <w:iCs/>
          <w:color w:val="000000" w:themeColor="text1"/>
          <w:szCs w:val="22"/>
        </w:rPr>
        <w:t xml:space="preserve"> V, or equivalently </w:t>
      </w:r>
      <w:r w:rsidRPr="00EC6E98">
        <w:rPr>
          <w:i/>
          <w:color w:val="000000" w:themeColor="text1"/>
          <w:szCs w:val="22"/>
        </w:rPr>
        <w:sym w:font="Symbol" w:char="F068"/>
      </w:r>
      <w:r w:rsidRPr="00EC6E98">
        <w:rPr>
          <w:iCs/>
          <w:color w:val="000000" w:themeColor="text1"/>
          <w:szCs w:val="22"/>
          <w:vertAlign w:val="subscript"/>
        </w:rPr>
        <w:t>CHE</w:t>
      </w:r>
      <w:r w:rsidRPr="00EC6E98">
        <w:rPr>
          <w:iCs/>
          <w:color w:val="000000" w:themeColor="text1"/>
          <w:szCs w:val="22"/>
        </w:rPr>
        <w:t xml:space="preserve">=0, which is far above the top of the volcano. Thus, like the metallic surfaces shown in </w:t>
      </w:r>
      <w:r w:rsidR="001A79BA">
        <w:rPr>
          <w:iCs/>
          <w:color w:val="000000" w:themeColor="text1"/>
          <w:szCs w:val="22"/>
        </w:rPr>
        <w:fldChar w:fldCharType="begin"/>
      </w:r>
      <w:r w:rsidR="001A79BA">
        <w:rPr>
          <w:iCs/>
          <w:color w:val="000000" w:themeColor="text1"/>
          <w:szCs w:val="22"/>
        </w:rPr>
        <w:instrText xml:space="preserve"> REF _Ref159512581 \h </w:instrText>
      </w:r>
      <w:r w:rsidR="001A79BA">
        <w:rPr>
          <w:iCs/>
          <w:color w:val="000000" w:themeColor="text1"/>
          <w:szCs w:val="22"/>
        </w:rPr>
      </w:r>
      <w:r w:rsidR="001A79BA">
        <w:rPr>
          <w:iCs/>
          <w:color w:val="000000" w:themeColor="text1"/>
          <w:szCs w:val="22"/>
        </w:rPr>
        <w:fldChar w:fldCharType="separate"/>
      </w:r>
      <w:r w:rsidR="003255C0" w:rsidRPr="0098295F">
        <w:rPr>
          <w:b/>
          <w:bCs/>
        </w:rPr>
        <w:t xml:space="preserve">Figure </w:t>
      </w:r>
      <w:r w:rsidR="003255C0">
        <w:rPr>
          <w:b/>
          <w:bCs/>
          <w:noProof/>
        </w:rPr>
        <w:t>12</w:t>
      </w:r>
      <w:r w:rsidR="001A79BA">
        <w:rPr>
          <w:iCs/>
          <w:color w:val="000000" w:themeColor="text1"/>
          <w:szCs w:val="22"/>
        </w:rPr>
        <w:fldChar w:fldCharType="end"/>
      </w:r>
      <w:r w:rsidRPr="00EC6E98">
        <w:rPr>
          <w:iCs/>
          <w:color w:val="000000" w:themeColor="text1"/>
          <w:szCs w:val="22"/>
        </w:rPr>
        <w:t xml:space="preserve">, the CHE predicts that if the OER occurs via a single-site nucleophilic attack mechanism, linear scaling relationships limit the achievable OER activity on rutile-type oxides. As with the metal surfaces, in the case of rutile-type oxides the overpotential floor is again fixed by the energy difference between </w:t>
      </w:r>
      <w:r>
        <w:rPr>
          <w:iCs/>
          <w:color w:val="000000" w:themeColor="text1"/>
          <w:szCs w:val="22"/>
        </w:rPr>
        <w:t>*OH</w:t>
      </w:r>
      <w:r w:rsidRPr="00EC6E98">
        <w:rPr>
          <w:iCs/>
          <w:color w:val="000000" w:themeColor="text1"/>
          <w:szCs w:val="22"/>
        </w:rPr>
        <w:t xml:space="preserve"> and </w:t>
      </w:r>
      <w:r>
        <w:rPr>
          <w:iCs/>
          <w:color w:val="000000" w:themeColor="text1"/>
          <w:szCs w:val="22"/>
        </w:rPr>
        <w:t>*OOH</w:t>
      </w:r>
      <w:r w:rsidRPr="00EC6E98">
        <w:rPr>
          <w:iCs/>
          <w:color w:val="000000" w:themeColor="text1"/>
          <w:szCs w:val="22"/>
        </w:rPr>
        <w:t xml:space="preserve">. For the rutile-type oxides, however, </w:t>
      </w:r>
      <w:r w:rsidRPr="00EC6E98">
        <w:rPr>
          <w:color w:val="000000" w:themeColor="text1"/>
          <w:szCs w:val="22"/>
        </w:rPr>
        <w:sym w:font="Symbol" w:char="F044"/>
      </w:r>
      <w:r w:rsidRPr="00EC6E98">
        <w:rPr>
          <w:i/>
          <w:iCs/>
          <w:color w:val="000000" w:themeColor="text1"/>
          <w:szCs w:val="22"/>
        </w:rPr>
        <w:t>G</w:t>
      </w:r>
      <w:r>
        <w:rPr>
          <w:color w:val="000000" w:themeColor="text1"/>
          <w:szCs w:val="22"/>
          <w:vertAlign w:val="subscript"/>
        </w:rPr>
        <w:t>*OOH</w:t>
      </w:r>
      <w:r w:rsidRPr="00EC6E98">
        <w:rPr>
          <w:color w:val="000000" w:themeColor="text1"/>
          <w:szCs w:val="22"/>
        </w:rPr>
        <w:t xml:space="preserve"> - </w:t>
      </w:r>
      <w:r w:rsidRPr="00EC6E98">
        <w:rPr>
          <w:color w:val="000000" w:themeColor="text1"/>
          <w:szCs w:val="22"/>
        </w:rPr>
        <w:sym w:font="Symbol" w:char="F044"/>
      </w:r>
      <w:r w:rsidRPr="00EC6E98">
        <w:rPr>
          <w:i/>
          <w:iCs/>
          <w:color w:val="000000" w:themeColor="text1"/>
          <w:szCs w:val="22"/>
        </w:rPr>
        <w:t>G</w:t>
      </w:r>
      <w:r>
        <w:rPr>
          <w:color w:val="000000" w:themeColor="text1"/>
          <w:szCs w:val="22"/>
          <w:vertAlign w:val="subscript"/>
        </w:rPr>
        <w:t>*OH</w:t>
      </w:r>
      <w:r w:rsidRPr="00EC6E98">
        <w:rPr>
          <w:color w:val="000000" w:themeColor="text1"/>
          <w:szCs w:val="22"/>
        </w:rPr>
        <w:t xml:space="preserve"> = 3.09 eV, which gives </w:t>
      </w:r>
      <w:proofErr w:type="gramStart"/>
      <w:r w:rsidRPr="00EC6E98">
        <w:rPr>
          <w:color w:val="000000" w:themeColor="text1"/>
          <w:szCs w:val="22"/>
        </w:rPr>
        <w:t>min(</w:t>
      </w:r>
      <w:proofErr w:type="gramEnd"/>
      <w:r w:rsidRPr="00EC6E98">
        <w:rPr>
          <w:i/>
          <w:color w:val="000000" w:themeColor="text1"/>
          <w:szCs w:val="22"/>
        </w:rPr>
        <w:sym w:font="Symbol" w:char="F068"/>
      </w:r>
      <w:r w:rsidRPr="00EC6E98">
        <w:rPr>
          <w:iCs/>
          <w:color w:val="000000" w:themeColor="text1"/>
          <w:szCs w:val="22"/>
          <w:vertAlign w:val="subscript"/>
        </w:rPr>
        <w:t>CHE</w:t>
      </w:r>
      <w:r w:rsidRPr="00EC6E98">
        <w:rPr>
          <w:color w:val="000000" w:themeColor="text1"/>
          <w:szCs w:val="22"/>
        </w:rPr>
        <w:t xml:space="preserve"> )= (3.09-2.46 eV)/2</w:t>
      </w:r>
      <w:r w:rsidRPr="00EC6E98">
        <w:rPr>
          <w:i/>
          <w:iCs/>
          <w:color w:val="000000" w:themeColor="text1"/>
          <w:szCs w:val="22"/>
        </w:rPr>
        <w:t>e</w:t>
      </w:r>
      <w:r w:rsidRPr="00EC6E98">
        <w:rPr>
          <w:color w:val="000000" w:themeColor="text1"/>
          <w:szCs w:val="22"/>
        </w:rPr>
        <w:t xml:space="preserve"> = 315 mV. Thus, a </w:t>
      </w:r>
      <w:r w:rsidR="000231C1">
        <w:rPr>
          <w:color w:val="000000" w:themeColor="text1"/>
          <w:szCs w:val="22"/>
        </w:rPr>
        <w:t>2</w:t>
      </w:r>
      <w:r w:rsidRPr="00EC6E98">
        <w:rPr>
          <w:color w:val="000000" w:themeColor="text1"/>
          <w:szCs w:val="22"/>
        </w:rPr>
        <w:t>00</w:t>
      </w:r>
      <w:r w:rsidR="000231C1">
        <w:rPr>
          <w:color w:val="000000" w:themeColor="text1"/>
          <w:szCs w:val="22"/>
        </w:rPr>
        <w:t>-300</w:t>
      </w:r>
      <w:r w:rsidRPr="00EC6E98">
        <w:rPr>
          <w:color w:val="000000" w:themeColor="text1"/>
          <w:szCs w:val="22"/>
        </w:rPr>
        <w:t xml:space="preserve"> mV lower overpotential is predicted to be achievable on the rutile-type oxides than on the metals. While it should be cautioned that such a single descriptor approach may be insufficient</w:t>
      </w:r>
      <w:r>
        <w:rPr>
          <w:color w:val="000000" w:themeColor="text1"/>
          <w:szCs w:val="22"/>
        </w:rPr>
        <w:fldChar w:fldCharType="begin"/>
      </w:r>
      <w:r w:rsidR="00FC5BEB">
        <w:rPr>
          <w:color w:val="000000" w:themeColor="text1"/>
          <w:szCs w:val="22"/>
        </w:rPr>
        <w:instrText xml:space="preserve"> ADDIN EN.CITE &lt;EndNote&gt;&lt;Cite&gt;&lt;Author&gt;Exner&lt;/Author&gt;&lt;Year&gt;2021&lt;/Year&gt;&lt;RecNum&gt;198&lt;/RecNum&gt;&lt;DisplayText&gt;&lt;style face="superscript"&gt;200&lt;/style&gt;&lt;/DisplayText&gt;&lt;record&gt;&lt;rec-number&gt;198&lt;/rec-number&gt;&lt;foreign-keys&gt;&lt;key app="EN" db-id="2xex0erf4eexr4e2dpbxpdd829xttesxxxdr" timestamp="1715075296"&gt;198&lt;/key&gt;&lt;/foreign-keys&gt;&lt;ref-type name="Journal Article"&gt;17&lt;/ref-type&gt;&lt;contributors&gt;&lt;authors&gt;&lt;author&gt;Exner, Kai S.&lt;/author&gt;&lt;/authors&gt;&lt;/contributors&gt;&lt;titles&gt;&lt;title&gt;Why approximating electrocatalytic activity by a single free‐energy change is insufficient&lt;/title&gt;&lt;secondary-title&gt;Electrochimica Acta&lt;/secondary-title&gt;&lt;/titles&gt;&lt;periodical&gt;&lt;full-title&gt;Electrochimica Acta&lt;/full-title&gt;&lt;abbr-1&gt;Electrochim. Acta&lt;/abbr-1&gt;&lt;abbr-2&gt;Electrochim Acta&lt;/abbr-2&gt;&lt;/periodical&gt;&lt;pages&gt;137975&lt;/pages&gt;&lt;volume&gt;375&lt;/volume&gt;&lt;keywords&gt;&lt;keyword&gt;Electrocatalysis&lt;/keyword&gt;&lt;keyword&gt;Oxygen evolution reaction&lt;/keyword&gt;&lt;keyword&gt;Thermodynamic overpotential&lt;/keyword&gt;&lt;keyword&gt;Electrochemical-step symmetry index&lt;/keyword&gt;&lt;keyword&gt;G(η)&lt;/keyword&gt;&lt;/keywords&gt;&lt;dates&gt;&lt;year&gt;2021&lt;/year&gt;&lt;pub-dates&gt;&lt;date&gt;2021/04/10/&lt;/date&gt;&lt;/pub-dates&gt;&lt;/dates&gt;&lt;isbn&gt;0013-4686&lt;/isbn&gt;&lt;urls&gt;&lt;related-urls&gt;&lt;url&gt;https://www.sciencedirect.com/science/article/pii/S0013468621002656&lt;/url&gt;&lt;/related-urls&gt;&lt;/urls&gt;&lt;electronic-resource-num&gt;https://doi.org/10.1016/j.electacta.2021.137975&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200</w:t>
      </w:r>
      <w:r>
        <w:rPr>
          <w:color w:val="000000" w:themeColor="text1"/>
          <w:szCs w:val="22"/>
        </w:rPr>
        <w:fldChar w:fldCharType="end"/>
      </w:r>
      <w:r>
        <w:rPr>
          <w:color w:val="000000" w:themeColor="text1"/>
          <w:szCs w:val="22"/>
        </w:rPr>
        <w:t>,</w:t>
      </w:r>
      <w:r w:rsidRPr="00EC6E98">
        <w:rPr>
          <w:iCs/>
          <w:color w:val="000000" w:themeColor="text1"/>
          <w:szCs w:val="22"/>
        </w:rPr>
        <w:t xml:space="preserve"> these ideas have helped form the foundation of our mechanistic understanding of the OER, and the CHE has become the most widely used computational model for studying the OER.</w:t>
      </w:r>
    </w:p>
    <w:p w14:paraId="1E0CBEAE" w14:textId="77777777" w:rsidR="00F5313D" w:rsidRPr="00EC6E98" w:rsidRDefault="00F5313D" w:rsidP="00F5313D">
      <w:pPr>
        <w:rPr>
          <w:color w:val="000000" w:themeColor="text1"/>
          <w:szCs w:val="22"/>
        </w:rPr>
      </w:pPr>
    </w:p>
    <w:p w14:paraId="69FBE423" w14:textId="77777777" w:rsidR="00F5313D" w:rsidRPr="00EC6E98" w:rsidRDefault="00F5313D" w:rsidP="00F5313D">
      <w:pPr>
        <w:jc w:val="center"/>
        <w:rPr>
          <w:color w:val="000000" w:themeColor="text1"/>
          <w:szCs w:val="22"/>
        </w:rPr>
      </w:pPr>
      <w:r w:rsidRPr="00EC6E98">
        <w:rPr>
          <w:noProof/>
          <w:color w:val="000000" w:themeColor="text1"/>
          <w:szCs w:val="22"/>
        </w:rPr>
        <w:lastRenderedPageBreak/>
        <w:drawing>
          <wp:inline distT="0" distB="0" distL="0" distR="0" wp14:anchorId="79D7A70B" wp14:editId="613057CA">
            <wp:extent cx="2774731" cy="2646680"/>
            <wp:effectExtent l="0" t="0" r="0" b="0"/>
            <wp:docPr id="1286569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656935" name=""/>
                    <pic:cNvPicPr/>
                  </pic:nvPicPr>
                  <pic:blipFill rotWithShape="1">
                    <a:blip r:embed="rId25"/>
                    <a:srcRect r="53316"/>
                    <a:stretch/>
                  </pic:blipFill>
                  <pic:spPr bwMode="auto">
                    <a:xfrm>
                      <a:off x="0" y="0"/>
                      <a:ext cx="2774731" cy="2646680"/>
                    </a:xfrm>
                    <a:prstGeom prst="rect">
                      <a:avLst/>
                    </a:prstGeom>
                    <a:ln>
                      <a:noFill/>
                    </a:ln>
                    <a:extLst>
                      <a:ext uri="{53640926-AAD7-44D8-BBD7-CCE9431645EC}">
                        <a14:shadowObscured xmlns:a14="http://schemas.microsoft.com/office/drawing/2010/main"/>
                      </a:ext>
                    </a:extLst>
                  </pic:spPr>
                </pic:pic>
              </a:graphicData>
            </a:graphic>
          </wp:inline>
        </w:drawing>
      </w:r>
    </w:p>
    <w:p w14:paraId="7F6C0520" w14:textId="32814B4B" w:rsidR="00F5313D" w:rsidRPr="00EC6E98" w:rsidRDefault="001A79BA" w:rsidP="001A79BA">
      <w:pPr>
        <w:pStyle w:val="Caption"/>
        <w:rPr>
          <w:sz w:val="22"/>
        </w:rPr>
      </w:pPr>
      <w:bookmarkStart w:id="88" w:name="_Ref159515052"/>
      <w:r w:rsidRPr="001A79BA">
        <w:rPr>
          <w:b/>
          <w:bCs w:val="0"/>
          <w:sz w:val="22"/>
        </w:rPr>
        <w:t xml:space="preserve">Figure </w:t>
      </w:r>
      <w:r w:rsidRPr="001A79BA">
        <w:rPr>
          <w:b/>
          <w:bCs w:val="0"/>
          <w:sz w:val="22"/>
        </w:rPr>
        <w:fldChar w:fldCharType="begin"/>
      </w:r>
      <w:r w:rsidRPr="001A79BA">
        <w:rPr>
          <w:b/>
          <w:bCs w:val="0"/>
          <w:sz w:val="22"/>
        </w:rPr>
        <w:instrText xml:space="preserve"> SEQ Figure \* ARABIC </w:instrText>
      </w:r>
      <w:r w:rsidRPr="001A79BA">
        <w:rPr>
          <w:b/>
          <w:bCs w:val="0"/>
          <w:sz w:val="22"/>
        </w:rPr>
        <w:fldChar w:fldCharType="separate"/>
      </w:r>
      <w:r w:rsidR="003255C0">
        <w:rPr>
          <w:b/>
          <w:bCs w:val="0"/>
          <w:noProof/>
          <w:sz w:val="22"/>
        </w:rPr>
        <w:t>15</w:t>
      </w:r>
      <w:r w:rsidRPr="001A79BA">
        <w:rPr>
          <w:b/>
          <w:bCs w:val="0"/>
          <w:sz w:val="22"/>
        </w:rPr>
        <w:fldChar w:fldCharType="end"/>
      </w:r>
      <w:bookmarkEnd w:id="88"/>
      <w:r w:rsidR="00F5313D" w:rsidRPr="00EC6E98">
        <w:rPr>
          <w:b/>
          <w:sz w:val="22"/>
        </w:rPr>
        <w:t xml:space="preserve"> </w:t>
      </w:r>
      <w:r w:rsidR="00F5313D" w:rsidRPr="004A6FE9">
        <w:rPr>
          <w:szCs w:val="20"/>
        </w:rPr>
        <w:t xml:space="preserve">OER activity, defined as </w:t>
      </w:r>
      <m:oMath>
        <m:r>
          <w:rPr>
            <w:rFonts w:ascii="Cambria Math" w:hAnsi="Cambria Math"/>
            <w:szCs w:val="20"/>
          </w:rPr>
          <m:t>-∆G</m:t>
        </m:r>
      </m:oMath>
      <w:r w:rsidR="00F5313D" w:rsidRPr="004A6FE9">
        <w:rPr>
          <w:iCs/>
          <w:szCs w:val="20"/>
        </w:rPr>
        <w:t xml:space="preserve">, as a function oxygen adsorption energy found using the linear free energy relationships, see </w:t>
      </w:r>
      <w:r w:rsidR="00EE423E" w:rsidRPr="004A6FE9">
        <w:rPr>
          <w:iCs/>
          <w:szCs w:val="20"/>
        </w:rPr>
        <w:fldChar w:fldCharType="begin"/>
      </w:r>
      <w:r w:rsidR="00EE423E" w:rsidRPr="004A6FE9">
        <w:rPr>
          <w:iCs/>
          <w:szCs w:val="20"/>
        </w:rPr>
        <w:instrText xml:space="preserve"> REF _Ref159511717 \h </w:instrText>
      </w:r>
      <w:r w:rsidR="004A6FE9">
        <w:rPr>
          <w:iCs/>
          <w:szCs w:val="20"/>
        </w:rPr>
        <w:instrText xml:space="preserve"> \* MERGEFORMAT </w:instrText>
      </w:r>
      <w:r w:rsidR="00EE423E" w:rsidRPr="004A6FE9">
        <w:rPr>
          <w:iCs/>
          <w:szCs w:val="20"/>
        </w:rPr>
      </w:r>
      <w:r w:rsidR="00EE423E" w:rsidRPr="004A6FE9">
        <w:rPr>
          <w:iCs/>
          <w:szCs w:val="20"/>
        </w:rPr>
        <w:fldChar w:fldCharType="separate"/>
      </w:r>
      <w:r w:rsidR="003255C0" w:rsidRPr="00430A30">
        <w:rPr>
          <w:szCs w:val="20"/>
        </w:rPr>
        <w:t xml:space="preserve">Equation </w:t>
      </w:r>
      <w:r w:rsidR="003255C0">
        <w:rPr>
          <w:noProof/>
          <w:szCs w:val="20"/>
        </w:rPr>
        <w:t>48</w:t>
      </w:r>
      <w:r w:rsidR="00EE423E" w:rsidRPr="004A6FE9">
        <w:rPr>
          <w:iCs/>
          <w:szCs w:val="20"/>
        </w:rPr>
        <w:fldChar w:fldCharType="end"/>
      </w:r>
      <w:r w:rsidR="00EE423E" w:rsidRPr="004A6FE9">
        <w:rPr>
          <w:iCs/>
          <w:szCs w:val="20"/>
        </w:rPr>
        <w:t>-51</w:t>
      </w:r>
      <w:r w:rsidR="00F5313D" w:rsidRPr="004A6FE9">
        <w:rPr>
          <w:iCs/>
          <w:szCs w:val="20"/>
        </w:rPr>
        <w:t xml:space="preserve">, for rutile-type oxides. Materials that obey the scaling relationships will fall on the volcano curve (dash-dot line), while the ideal catalyst would fall on the horizontal dashed line at -1.23 eV. </w:t>
      </w:r>
      <w:r w:rsidR="000757AA" w:rsidRPr="004A6FE9">
        <w:rPr>
          <w:iCs/>
          <w:szCs w:val="20"/>
        </w:rPr>
        <w:t>Reproduced with permission from Ref.</w:t>
      </w:r>
      <w:r w:rsidR="00F5313D" w:rsidRPr="004A6FE9">
        <w:rPr>
          <w:szCs w:val="20"/>
        </w:rPr>
        <w:fldChar w:fldCharType="begin"/>
      </w:r>
      <w:r w:rsidR="00FC5BEB">
        <w:rPr>
          <w:szCs w:val="20"/>
        </w:rPr>
        <w:instrText xml:space="preserve"> ADDIN EN.CITE &lt;EndNote&gt;&lt;Cite&gt;&lt;Author&gt;Rossmeisl&lt;/Author&gt;&lt;Year&gt;2007&lt;/Year&gt;&lt;RecNum&gt;86&lt;/RecNum&gt;&lt;DisplayText&gt;&lt;style face="superscript"&gt;88&lt;/style&gt;&lt;/DisplayText&gt;&lt;record&gt;&lt;rec-number&gt;86&lt;/rec-number&gt;&lt;foreign-keys&gt;&lt;key app="EN" db-id="2xex0erf4eexr4e2dpbxpdd829xttesxxxdr" timestamp="1715075296"&gt;86&lt;/key&gt;&lt;/foreign-keys&gt;&lt;ref-type name="Journal Article"&gt;17&lt;/ref-type&gt;&lt;contributors&gt;&lt;authors&gt;&lt;author&gt;Rossmeisl, J.&lt;/author&gt;&lt;author&gt;Qu, Z. W.&lt;/author&gt;&lt;author&gt;Zhu, H.&lt;/author&gt;&lt;author&gt;Kroes, G. J.&lt;/author&gt;&lt;author&gt;Nørskov, J. K.&lt;/author&gt;&lt;/authors&gt;&lt;/contributors&gt;&lt;titles&gt;&lt;title&gt;Electrolysis of water on oxide surfaces&lt;/title&gt;&lt;secondary-title&gt;Journal of Electroanalytical Chemistry&lt;/secondary-title&gt;&lt;/titles&gt;&lt;periodical&gt;&lt;full-title&gt;Journal of Electroanalytical Chemistry&lt;/full-title&gt;&lt;abbr-1&gt;J. Electroanal. Chem.&lt;/abbr-1&gt;&lt;abbr-2&gt;J Electroanal Chem&lt;/abbr-2&gt;&lt;/periodical&gt;&lt;pages&gt;83-89&lt;/pages&gt;&lt;volume&gt;607&lt;/volume&gt;&lt;number&gt;1&lt;/number&gt;&lt;keywords&gt;&lt;keyword&gt;Electrolysis&lt;/keyword&gt;&lt;keyword&gt;Oxide surfaces&lt;/keyword&gt;&lt;keyword&gt;Density functional theory&lt;/keyword&gt;&lt;keyword&gt;Linear relations&lt;/keyword&gt;&lt;/keywords&gt;&lt;dates&gt;&lt;year&gt;2007&lt;/year&gt;&lt;pub-dates&gt;&lt;date&gt;2007/09/01/&lt;/date&gt;&lt;/pub-dates&gt;&lt;/dates&gt;&lt;isbn&gt;1572-6657&lt;/isbn&gt;&lt;urls&gt;&lt;related-urls&gt;&lt;url&gt;https://www.sciencedirect.com/science/article/pii/S0022072806006371&lt;/url&gt;&lt;/related-urls&gt;&lt;/urls&gt;&lt;electronic-resource-num&gt;https://doi.org/10.1016/j.jelechem.2006.11.008&lt;/electronic-resource-num&gt;&lt;/record&gt;&lt;/Cite&gt;&lt;/EndNote&gt;</w:instrText>
      </w:r>
      <w:r w:rsidR="00F5313D" w:rsidRPr="004A6FE9">
        <w:rPr>
          <w:szCs w:val="20"/>
        </w:rPr>
        <w:fldChar w:fldCharType="separate"/>
      </w:r>
      <w:r w:rsidR="00FC5BEB" w:rsidRPr="00FC5BEB">
        <w:rPr>
          <w:noProof/>
          <w:szCs w:val="20"/>
          <w:vertAlign w:val="superscript"/>
        </w:rPr>
        <w:t>88</w:t>
      </w:r>
      <w:r w:rsidR="00F5313D" w:rsidRPr="004A6FE9">
        <w:rPr>
          <w:szCs w:val="20"/>
        </w:rPr>
        <w:fldChar w:fldCharType="end"/>
      </w:r>
      <w:r w:rsidR="00824EAF">
        <w:rPr>
          <w:szCs w:val="20"/>
        </w:rPr>
        <w:t xml:space="preserve"> </w:t>
      </w:r>
      <w:r w:rsidR="00824EAF" w:rsidRPr="00824EAF">
        <w:rPr>
          <w:szCs w:val="20"/>
          <w:lang w:val="en-US"/>
        </w:rPr>
        <w:t>Copyright 2007 Elsevier.</w:t>
      </w:r>
    </w:p>
    <w:p w14:paraId="1D5FCA82" w14:textId="77777777" w:rsidR="00F5313D" w:rsidRPr="00EC6E98" w:rsidRDefault="00F5313D" w:rsidP="00F5313D">
      <w:pPr>
        <w:rPr>
          <w:color w:val="000000" w:themeColor="text1"/>
          <w:szCs w:val="22"/>
        </w:rPr>
      </w:pPr>
    </w:p>
    <w:p w14:paraId="7EE88CF4" w14:textId="53675A72" w:rsidR="00F5313D" w:rsidRPr="00EC6E98" w:rsidRDefault="00F5313D" w:rsidP="00577291">
      <w:pPr>
        <w:pStyle w:val="Heading4"/>
      </w:pPr>
      <w:r>
        <w:t xml:space="preserve"> </w:t>
      </w:r>
      <w:bookmarkStart w:id="89" w:name="_Toc166441737"/>
      <w:r w:rsidRPr="00EC6E98">
        <w:t>Scaling relationships</w:t>
      </w:r>
      <w:bookmarkEnd w:id="89"/>
    </w:p>
    <w:p w14:paraId="62C1C658" w14:textId="77777777" w:rsidR="00F5313D" w:rsidRDefault="00F5313D" w:rsidP="00F5313D">
      <w:pPr>
        <w:rPr>
          <w:color w:val="000000" w:themeColor="text1"/>
          <w:szCs w:val="22"/>
        </w:rPr>
      </w:pPr>
      <w:r w:rsidRPr="00EC6E98">
        <w:rPr>
          <w:color w:val="000000" w:themeColor="text1"/>
          <w:szCs w:val="22"/>
        </w:rPr>
        <w:tab/>
      </w:r>
    </w:p>
    <w:p w14:paraId="3A746188" w14:textId="65C8F4A6" w:rsidR="00F5313D" w:rsidRPr="00EC6E98" w:rsidRDefault="00F5313D" w:rsidP="00F5313D">
      <w:pPr>
        <w:ind w:firstLine="720"/>
        <w:rPr>
          <w:color w:val="000000" w:themeColor="text1"/>
          <w:szCs w:val="22"/>
        </w:rPr>
      </w:pPr>
      <w:r w:rsidRPr="00EC6E98">
        <w:rPr>
          <w:color w:val="000000" w:themeColor="text1"/>
          <w:szCs w:val="22"/>
        </w:rPr>
        <w:t>The development of the CHE model and its application to OER catalysis made DFT a viable and powerful tool to study the OER. This sparked a new area of computational investigations, with researchers quickly studying oxidation and photooxidation of water on TiO</w:t>
      </w:r>
      <w:r w:rsidRPr="00EC6E98">
        <w:rPr>
          <w:color w:val="000000" w:themeColor="text1"/>
          <w:szCs w:val="22"/>
          <w:vertAlign w:val="subscript"/>
        </w:rPr>
        <w:t>2</w:t>
      </w:r>
      <w:r>
        <w:rPr>
          <w:color w:val="000000" w:themeColor="text1"/>
          <w:szCs w:val="22"/>
        </w:rPr>
        <w:fldChar w:fldCharType="begin">
          <w:fldData xml:space="preserve">PEVuZE5vdGU+PENpdGU+PEF1dGhvcj5WYWxkw6lzPC9BdXRob3I+PFllYXI+MjAwODwvWWVhcj48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</w:fldData>
        </w:fldChar>
      </w:r>
      <w:r w:rsidR="00FC5BEB">
        <w:rPr>
          <w:color w:val="000000" w:themeColor="text1"/>
          <w:szCs w:val="22"/>
        </w:rPr>
        <w:instrText xml:space="preserve"> ADDIN EN.CITE </w:instrText>
      </w:r>
      <w:r w:rsidR="00FC5BEB">
        <w:rPr>
          <w:color w:val="000000" w:themeColor="text1"/>
          <w:szCs w:val="22"/>
        </w:rPr>
        <w:fldChar w:fldCharType="begin">
          <w:fldData xml:space="preserve">PEVuZE5vdGU+PENpdGU+PEF1dGhvcj5WYWxkw6lzPC9BdXRob3I+PFllYXI+MjAwODwvWWVhcj48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</w:fldData>
        </w:fldChar>
      </w:r>
      <w:r w:rsidR="00FC5BEB">
        <w:rPr>
          <w:color w:val="000000" w:themeColor="text1"/>
          <w:szCs w:val="22"/>
        </w:rPr>
        <w:instrText xml:space="preserve"> ADDIN EN.CITE.DATA </w:instrText>
      </w:r>
      <w:r w:rsidR="00FC5BEB">
        <w:rPr>
          <w:color w:val="000000" w:themeColor="text1"/>
          <w:szCs w:val="22"/>
        </w:rPr>
      </w:r>
      <w:r w:rsidR="00FC5BEB">
        <w:rPr>
          <w:color w:val="000000" w:themeColor="text1"/>
          <w:szCs w:val="22"/>
        </w:rPr>
        <w:fldChar w:fldCharType="end"/>
      </w:r>
      <w:r>
        <w:rPr>
          <w:color w:val="000000" w:themeColor="text1"/>
          <w:szCs w:val="22"/>
        </w:rPr>
      </w:r>
      <w:r>
        <w:rPr>
          <w:color w:val="000000" w:themeColor="text1"/>
          <w:szCs w:val="22"/>
        </w:rPr>
        <w:fldChar w:fldCharType="separate"/>
      </w:r>
      <w:r w:rsidR="00FC5BEB" w:rsidRPr="00FC5BEB">
        <w:rPr>
          <w:noProof/>
          <w:color w:val="000000" w:themeColor="text1"/>
          <w:szCs w:val="22"/>
          <w:vertAlign w:val="superscript"/>
        </w:rPr>
        <w:t>201, 202</w:t>
      </w:r>
      <w:r>
        <w:rPr>
          <w:color w:val="000000" w:themeColor="text1"/>
          <w:szCs w:val="22"/>
        </w:rPr>
        <w:fldChar w:fldCharType="end"/>
      </w:r>
      <w:r>
        <w:rPr>
          <w:color w:val="000000" w:themeColor="text1"/>
          <w:szCs w:val="22"/>
        </w:rPr>
        <w:t xml:space="preserve"> </w:t>
      </w:r>
      <w:r w:rsidRPr="00EC6E98">
        <w:rPr>
          <w:color w:val="000000" w:themeColor="text1"/>
          <w:szCs w:val="22"/>
        </w:rPr>
        <w:t>and WO</w:t>
      </w:r>
      <w:r w:rsidRPr="00EC6E98">
        <w:rPr>
          <w:color w:val="000000" w:themeColor="text1"/>
          <w:szCs w:val="22"/>
          <w:vertAlign w:val="subscript"/>
        </w:rPr>
        <w:t>3</w:t>
      </w:r>
      <w:r w:rsidRPr="00EC6E98">
        <w:rPr>
          <w:color w:val="000000" w:themeColor="text1"/>
          <w:szCs w:val="22"/>
        </w:rPr>
        <w:t xml:space="preserve"> </w:t>
      </w:r>
      <w:r>
        <w:rPr>
          <w:color w:val="000000" w:themeColor="text1"/>
          <w:szCs w:val="22"/>
        </w:rPr>
        <w:fldChar w:fldCharType="begin"/>
      </w:r>
      <w:r w:rsidR="00FC5BEB">
        <w:rPr>
          <w:color w:val="000000" w:themeColor="text1"/>
          <w:szCs w:val="22"/>
        </w:rPr>
        <w:instrText xml:space="preserve"> ADDIN EN.CITE &lt;EndNote&gt;&lt;Cite&gt;&lt;Author&gt;Valdés&lt;/Author&gt;&lt;Year&gt;2009&lt;/Year&gt;&lt;RecNum&gt;201&lt;/RecNum&gt;&lt;DisplayText&gt;&lt;style face="superscript"&gt;203&lt;/style&gt;&lt;/DisplayText&gt;&lt;record&gt;&lt;rec-number&gt;201&lt;/rec-number&gt;&lt;foreign-keys&gt;&lt;key app="EN" db-id="2xex0erf4eexr4e2dpbxpdd829xttesxxxdr" timestamp="1715075296"&gt;201&lt;/key&gt;&lt;/foreign-keys&gt;&lt;ref-type name="Journal Article"&gt;17&lt;/ref-type&gt;&lt;contributors&gt;&lt;authors&gt;&lt;author&gt;Valdés, Á.&lt;/author&gt;&lt;author&gt;Kroes, G.-J.&lt;/author&gt;&lt;/authors&gt;&lt;/contributors&gt;&lt;titles&gt;&lt;title&gt;First principles study of the photo-oxidation of water on tungsten trioxide (WO3)&lt;/title&gt;&lt;secondary-title&gt;Journal of Chemical Physics&lt;/secondary-title&gt;&lt;/titles&gt;&lt;periodical&gt;&lt;full-title&gt;Journal of Chemical Physics&lt;/full-title&gt;&lt;abbr-1&gt;J. Chem. Phys.&lt;/abbr-1&gt;&lt;abbr-2&gt;J Chem Phys&lt;/abbr-2&gt;&lt;/periodical&gt;&lt;volume&gt;130&lt;/volume&gt;&lt;number&gt;11&lt;/number&gt;&lt;dates&gt;&lt;year&gt;2009&lt;/year&gt;&lt;/dates&gt;&lt;isbn&gt;0021-9606&lt;/isbn&gt;&lt;urls&gt;&lt;related-urls&gt;&lt;url&gt;https://doi.org/10.1063/1.3088845&lt;/url&gt;&lt;/related-urls&gt;&lt;/urls&gt;&lt;custom1&gt;114701&lt;/custom1&gt;&lt;electronic-resource-num&gt;10.1063/1.3088845&lt;/electronic-resource-num&gt;&lt;access-date&gt;2/7/2024&lt;/access-date&gt;&lt;/record&gt;&lt;/Cite&gt;&lt;/EndNote&gt;</w:instrText>
      </w:r>
      <w:r>
        <w:rPr>
          <w:color w:val="000000" w:themeColor="text1"/>
          <w:szCs w:val="22"/>
        </w:rPr>
        <w:fldChar w:fldCharType="separate"/>
      </w:r>
      <w:r w:rsidR="00FC5BEB" w:rsidRPr="00FC5BEB">
        <w:rPr>
          <w:noProof/>
          <w:color w:val="000000" w:themeColor="text1"/>
          <w:szCs w:val="22"/>
          <w:vertAlign w:val="superscript"/>
        </w:rPr>
        <w:t>203</w:t>
      </w:r>
      <w:r>
        <w:rPr>
          <w:color w:val="000000" w:themeColor="text1"/>
          <w:szCs w:val="22"/>
        </w:rPr>
        <w:fldChar w:fldCharType="end"/>
      </w:r>
      <w:r>
        <w:rPr>
          <w:color w:val="000000" w:themeColor="text1"/>
          <w:szCs w:val="22"/>
        </w:rPr>
        <w:t xml:space="preserve">, </w:t>
      </w:r>
      <w:r w:rsidRPr="00EC6E98">
        <w:rPr>
          <w:color w:val="000000" w:themeColor="text1"/>
          <w:szCs w:val="22"/>
        </w:rPr>
        <w:t>as well as making comparisons between biological and electrochemical water splitting</w:t>
      </w:r>
      <w:r>
        <w:rPr>
          <w:color w:val="000000" w:themeColor="text1"/>
          <w:szCs w:val="22"/>
        </w:rPr>
        <w:fldChar w:fldCharType="begin">
          <w:fldData xml:space="preserve">PEVuZE5vdGU+PENpdGU+PEF1dGhvcj5Sb3NzbWVpc2w8L0F1dGhvcj48WWVhcj4yMDA3PC9ZZWFy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==
</w:fldData>
        </w:fldChar>
      </w:r>
      <w:r w:rsidR="00FC5BEB">
        <w:rPr>
          <w:color w:val="000000" w:themeColor="text1"/>
          <w:szCs w:val="22"/>
        </w:rPr>
        <w:instrText xml:space="preserve"> ADDIN EN.CITE </w:instrText>
      </w:r>
      <w:r w:rsidR="00FC5BEB">
        <w:rPr>
          <w:color w:val="000000" w:themeColor="text1"/>
          <w:szCs w:val="22"/>
        </w:rPr>
        <w:fldChar w:fldCharType="begin">
          <w:fldData xml:space="preserve">PEVuZE5vdGU+PENpdGU+PEF1dGhvcj5Sb3NzbWVpc2w8L0F1dGhvcj48WWVhcj4yMDA3PC9ZZWFy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==
</w:fldData>
        </w:fldChar>
      </w:r>
      <w:r w:rsidR="00FC5BEB">
        <w:rPr>
          <w:color w:val="000000" w:themeColor="text1"/>
          <w:szCs w:val="22"/>
        </w:rPr>
        <w:instrText xml:space="preserve"> ADDIN EN.CITE.DATA </w:instrText>
      </w:r>
      <w:r w:rsidR="00FC5BEB">
        <w:rPr>
          <w:color w:val="000000" w:themeColor="text1"/>
          <w:szCs w:val="22"/>
        </w:rPr>
      </w:r>
      <w:r w:rsidR="00FC5BEB">
        <w:rPr>
          <w:color w:val="000000" w:themeColor="text1"/>
          <w:szCs w:val="22"/>
        </w:rPr>
        <w:fldChar w:fldCharType="end"/>
      </w:r>
      <w:r>
        <w:rPr>
          <w:color w:val="000000" w:themeColor="text1"/>
          <w:szCs w:val="22"/>
        </w:rPr>
      </w:r>
      <w:r>
        <w:rPr>
          <w:color w:val="000000" w:themeColor="text1"/>
          <w:szCs w:val="22"/>
        </w:rPr>
        <w:fldChar w:fldCharType="separate"/>
      </w:r>
      <w:r w:rsidR="00FC5BEB" w:rsidRPr="00FC5BEB">
        <w:rPr>
          <w:noProof/>
          <w:color w:val="000000" w:themeColor="text1"/>
          <w:szCs w:val="22"/>
          <w:vertAlign w:val="superscript"/>
        </w:rPr>
        <w:t>204-206</w:t>
      </w:r>
      <w:r>
        <w:rPr>
          <w:color w:val="000000" w:themeColor="text1"/>
          <w:szCs w:val="22"/>
        </w:rPr>
        <w:fldChar w:fldCharType="end"/>
      </w:r>
      <w:r>
        <w:rPr>
          <w:color w:val="000000" w:themeColor="text1"/>
          <w:szCs w:val="22"/>
        </w:rPr>
        <w:t>.</w:t>
      </w:r>
      <w:r w:rsidRPr="00EC6E98">
        <w:rPr>
          <w:color w:val="000000" w:themeColor="text1"/>
          <w:szCs w:val="22"/>
        </w:rPr>
        <w:t xml:space="preserve"> These new results also began inspiring experiments and shaping their interpretations</w:t>
      </w:r>
      <w:r>
        <w:rPr>
          <w:color w:val="000000" w:themeColor="text1"/>
          <w:szCs w:val="22"/>
        </w:rPr>
        <w:fldChar w:fldCharType="begin">
          <w:fldData xml:space="preserve">PEVuZE5vdGU+PENpdGU+PEF1dGhvcj5MeW9uczwvQXV0aG9yPjxZZWFyPjIwMTA8L1llYXI+PFJl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</w:fldData>
        </w:fldChar>
      </w:r>
      <w:r w:rsidR="00FC5BEB">
        <w:rPr>
          <w:color w:val="000000" w:themeColor="text1"/>
          <w:szCs w:val="22"/>
        </w:rPr>
        <w:instrText xml:space="preserve"> ADDIN EN.CITE </w:instrText>
      </w:r>
      <w:r w:rsidR="00FC5BEB">
        <w:rPr>
          <w:color w:val="000000" w:themeColor="text1"/>
          <w:szCs w:val="22"/>
        </w:rPr>
        <w:fldChar w:fldCharType="begin">
          <w:fldData xml:space="preserve">PEVuZE5vdGU+PENpdGU+PEF1dGhvcj5MeW9uczwvQXV0aG9yPjxZZWFyPjIwMTA8L1llYXI+PFJl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</w:fldData>
        </w:fldChar>
      </w:r>
      <w:r w:rsidR="00FC5BEB">
        <w:rPr>
          <w:color w:val="000000" w:themeColor="text1"/>
          <w:szCs w:val="22"/>
        </w:rPr>
        <w:instrText xml:space="preserve"> ADDIN EN.CITE.DATA </w:instrText>
      </w:r>
      <w:r w:rsidR="00FC5BEB">
        <w:rPr>
          <w:color w:val="000000" w:themeColor="text1"/>
          <w:szCs w:val="22"/>
        </w:rPr>
      </w:r>
      <w:r w:rsidR="00FC5BEB">
        <w:rPr>
          <w:color w:val="000000" w:themeColor="text1"/>
          <w:szCs w:val="22"/>
        </w:rPr>
        <w:fldChar w:fldCharType="end"/>
      </w:r>
      <w:r>
        <w:rPr>
          <w:color w:val="000000" w:themeColor="text1"/>
          <w:szCs w:val="22"/>
        </w:rPr>
      </w:r>
      <w:r>
        <w:rPr>
          <w:color w:val="000000" w:themeColor="text1"/>
          <w:szCs w:val="22"/>
        </w:rPr>
        <w:fldChar w:fldCharType="separate"/>
      </w:r>
      <w:r w:rsidR="00FC5BEB" w:rsidRPr="00FC5BEB">
        <w:rPr>
          <w:noProof/>
          <w:color w:val="000000" w:themeColor="text1"/>
          <w:szCs w:val="22"/>
          <w:vertAlign w:val="superscript"/>
        </w:rPr>
        <w:t>207-209</w:t>
      </w:r>
      <w:r>
        <w:rPr>
          <w:color w:val="000000" w:themeColor="text1"/>
          <w:szCs w:val="22"/>
        </w:rPr>
        <w:fldChar w:fldCharType="end"/>
      </w:r>
      <w:r w:rsidRPr="00EC6E98">
        <w:rPr>
          <w:color w:val="000000" w:themeColor="text1"/>
          <w:szCs w:val="22"/>
        </w:rPr>
        <w:t xml:space="preserve"> where, for instance, Differential Electrochemical Mass Spectrometry (DEMS) was used to support the plausibility of the nucleophilic attack mechanism over Ru-based oxides</w:t>
      </w:r>
      <w:r>
        <w:rPr>
          <w:color w:val="000000" w:themeColor="text1"/>
          <w:szCs w:val="22"/>
        </w:rPr>
        <w:fldChar w:fldCharType="begin"/>
      </w:r>
      <w:r w:rsidR="00FC5BEB">
        <w:rPr>
          <w:color w:val="000000" w:themeColor="text1"/>
          <w:szCs w:val="22"/>
        </w:rPr>
        <w:instrText xml:space="preserve"> ADDIN EN.CITE &lt;EndNote&gt;&lt;Cite&gt;&lt;Author&gt;Macounova&lt;/Author&gt;&lt;Year&gt;2009&lt;/Year&gt;&lt;RecNum&gt;208&lt;/RecNum&gt;&lt;DisplayText&gt;&lt;style face="superscript"&gt;210&lt;/style&gt;&lt;/DisplayText&gt;&lt;record&gt;&lt;rec-number&gt;208&lt;/rec-number&gt;&lt;foreign-keys&gt;&lt;key app="EN" db-id="2xex0erf4eexr4e2dpbxpdd829xttesxxxdr" timestamp="1715075296"&gt;208&lt;/key&gt;&lt;/foreign-keys&gt;&lt;ref-type name="Journal Article"&gt;17&lt;/ref-type&gt;&lt;contributors&gt;&lt;authors&gt;&lt;author&gt;Macounova, Katerina&lt;/author&gt;&lt;author&gt;Makarova, Marina&lt;/author&gt;&lt;author&gt;Krtil, Petr&lt;/author&gt;&lt;/authors&gt;&lt;/contributors&gt;&lt;titles&gt;&lt;title&gt;Oxygen evolution on nanocrystalline RuO2 and Ru0.9Ni0.1O2-δ electrodes – DEMS approach to reaction mechanism determination&lt;/title&gt;&lt;secondary-title&gt;Electrochemistry Communications&lt;/secondary-title&gt;&lt;/titles&gt;&lt;periodical&gt;&lt;full-title&gt;Electrochemistry Communications&lt;/full-title&gt;&lt;abbr-1&gt;Electrochem. Commun.&lt;/abbr-1&gt;&lt;abbr-2&gt;Electrochem Commun&lt;/abbr-2&gt;&lt;/periodical&gt;&lt;pages&gt;1865-1868&lt;/pages&gt;&lt;volume&gt;11&lt;/volume&gt;&lt;number&gt;10&lt;/number&gt;&lt;keywords&gt;&lt;keyword&gt;Oxygen evolution&lt;/keyword&gt;&lt;keyword&gt;DEMS&lt;/keyword&gt;&lt;keyword&gt;Ruthenium dioxide&lt;/keyword&gt;&lt;keyword&gt;Electrocatalysis&lt;/keyword&gt;&lt;/keywords&gt;&lt;dates&gt;&lt;year&gt;2009&lt;/year&gt;&lt;pub-dates&gt;&lt;date&gt;2009/10/01/&lt;/date&gt;&lt;/pub-dates&gt;&lt;/dates&gt;&lt;isbn&gt;1388-2481&lt;/isbn&gt;&lt;urls&gt;&lt;related-urls&gt;&lt;url&gt;https://www.sciencedirect.com/science/article/pii/S1388248109003750&lt;/url&gt;&lt;/related-urls&gt;&lt;/urls&gt;&lt;electronic-resource-num&gt;https://doi.org/10.1016/j.elecom.2009.08.004&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210</w:t>
      </w:r>
      <w:r>
        <w:rPr>
          <w:color w:val="000000" w:themeColor="text1"/>
          <w:szCs w:val="22"/>
        </w:rPr>
        <w:fldChar w:fldCharType="end"/>
      </w:r>
      <w:r>
        <w:rPr>
          <w:color w:val="000000" w:themeColor="text1"/>
          <w:szCs w:val="22"/>
        </w:rPr>
        <w:t>.</w:t>
      </w:r>
      <w:r w:rsidRPr="00EC6E98">
        <w:rPr>
          <w:color w:val="000000" w:themeColor="text1"/>
          <w:szCs w:val="22"/>
        </w:rPr>
        <w:t xml:space="preserve"> The identification of linear scaling relationships, and the different limiting theoretical overpotentials on rutile-type oxides and metals, inspired deeper study into the universality of these scaling relationships in the OER, as well as the </w:t>
      </w:r>
      <w:r w:rsidRPr="008F6205">
        <w:rPr>
          <w:color w:val="000000" w:themeColor="text1"/>
          <w:szCs w:val="22"/>
        </w:rPr>
        <w:t xml:space="preserve">chemistry underlying these relationships </w:t>
      </w:r>
      <w:r w:rsidRPr="008F6205">
        <w:rPr>
          <w:color w:val="000000" w:themeColor="text1"/>
        </w:rPr>
        <w:fldChar w:fldCharType="begin"/>
      </w:r>
      <w:r w:rsidR="00FC5BEB">
        <w:rPr>
          <w:color w:val="000000" w:themeColor="text1"/>
        </w:rPr>
        <w:instrText xml:space="preserve"> ADDIN EN.CITE &lt;EndNote&gt;&lt;Cite&gt;&lt;Author&gt;Fernández&lt;/Author&gt;&lt;Year&gt;2008&lt;/Year&gt;&lt;RecNum&gt;209&lt;/RecNum&gt;&lt;DisplayText&gt;&lt;style face="superscript"&gt;211&lt;/style&gt;&lt;/DisplayText&gt;&lt;record&gt;&lt;rec-number&gt;209&lt;/rec-number&gt;&lt;foreign-keys&gt;&lt;key app="EN" db-id="2xex0erf4eexr4e2dpbxpdd829xttesxxxdr" timestamp="1715075296"&gt;209&lt;/key&gt;&lt;/foreign-keys&gt;&lt;ref-type name="Journal Article"&gt;17&lt;/ref-type&gt;&lt;contributors&gt;&lt;authors&gt;&lt;author&gt;Fernández, Eva M.&lt;/author&gt;&lt;author&gt;Moses, Poul G.&lt;/author&gt;&lt;author&gt;Toftelund, Anja&lt;/author&gt;&lt;author&gt;Hansen, Heine A.&lt;/author&gt;&lt;author&gt;Martínez, José I.&lt;/author&gt;&lt;author&gt;Abild-Pedersen, Frank&lt;/author&gt;&lt;author&gt;Kleis, Jesper&lt;/author&gt;&lt;author&gt;Hinnemann, Berit&lt;/author&gt;&lt;author&gt;Rossmeisl, Jan&lt;/author&gt;&lt;author&gt;Bligaard, Thomas&lt;/author&gt;&lt;author&gt;Nørskov, Jens K.&lt;/author&gt;&lt;/authors&gt;&lt;/contributors&gt;&lt;titles&gt;&lt;title&gt;Scaling Relationships for Adsorption Energies on Transition Metal Oxide, Sulfide, and Nitride Surfaces&lt;/title&gt;&lt;secondary-title&gt;Angewandte Chemie International Edition&lt;/secondary-title&gt;&lt;/titles&gt;&lt;periodical&gt;&lt;full-title&gt;Angewandte Chemie International Edition&lt;/full-title&gt;&lt;abbr-1&gt;Angew. Chem. Int. Ed.&lt;/abbr-1&gt;&lt;abbr-2&gt;Angew Chem Int Ed&lt;/abbr-2&gt;&lt;/periodical&gt;&lt;pages&gt;4683-4686&lt;/pages&gt;&lt;volume&gt;47&lt;/volume&gt;&lt;number&gt;25&lt;/number&gt;&lt;dates&gt;&lt;year&gt;2008&lt;/year&gt;&lt;/dates&gt;&lt;isbn&gt;1433-7851&lt;/isbn&gt;&lt;urls&gt;&lt;related-urls&gt;&lt;url&gt;https://onlinelibrary.wiley.com/doi/abs/10.1002/anie.200705739&lt;/url&gt;&lt;/related-urls&gt;&lt;/urls&gt;&lt;electronic-resource-num&gt;https://doi.org/10.1002/anie.200705739&lt;/electronic-resource-num&gt;&lt;/record&gt;&lt;/Cite&gt;&lt;/EndNote&gt;</w:instrText>
      </w:r>
      <w:r w:rsidRPr="008F6205">
        <w:rPr>
          <w:color w:val="000000" w:themeColor="text1"/>
        </w:rPr>
        <w:fldChar w:fldCharType="separate"/>
      </w:r>
      <w:r w:rsidR="00FC5BEB" w:rsidRPr="00FC5BEB">
        <w:rPr>
          <w:noProof/>
          <w:color w:val="000000" w:themeColor="text1"/>
          <w:vertAlign w:val="superscript"/>
        </w:rPr>
        <w:t>211</w:t>
      </w:r>
      <w:r w:rsidRPr="008F6205">
        <w:rPr>
          <w:color w:val="000000" w:themeColor="text1"/>
        </w:rPr>
        <w:fldChar w:fldCharType="end"/>
      </w:r>
      <w:r w:rsidR="008F6205" w:rsidRPr="008F6205">
        <w:rPr>
          <w:color w:val="000000" w:themeColor="text1"/>
          <w:vertAlign w:val="superscript"/>
        </w:rPr>
        <w:t>,</w:t>
      </w:r>
      <w:r w:rsidRPr="008F6205">
        <w:rPr>
          <w:rStyle w:val="Hyperlink"/>
          <w:rFonts w:eastAsiaTheme="majorEastAsia"/>
          <w:color w:val="000000" w:themeColor="text1"/>
          <w:szCs w:val="22"/>
          <w:u w:val="none"/>
        </w:rPr>
        <w:fldChar w:fldCharType="begin">
          <w:fldData xml:space="preserve">PEVuZE5vdGU+PENpdGU+PEF1dGhvcj5IYW5zZW48L0F1dGhvcj48WWVhcj4yMDEwPC9ZZWFyPjxS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=
</w:fldData>
        </w:fldChar>
      </w:r>
      <w:r w:rsidR="00FC5BEB">
        <w:rPr>
          <w:rStyle w:val="Hyperlink"/>
          <w:rFonts w:eastAsiaTheme="majorEastAsia"/>
          <w:color w:val="000000" w:themeColor="text1"/>
          <w:szCs w:val="22"/>
          <w:u w:val="none"/>
        </w:rPr>
        <w:instrText xml:space="preserve"> ADDIN EN.CITE </w:instrText>
      </w:r>
      <w:r w:rsidR="00FC5BEB">
        <w:rPr>
          <w:rStyle w:val="Hyperlink"/>
          <w:rFonts w:eastAsiaTheme="majorEastAsia"/>
          <w:color w:val="000000" w:themeColor="text1"/>
          <w:szCs w:val="22"/>
          <w:u w:val="none"/>
        </w:rPr>
        <w:fldChar w:fldCharType="begin">
          <w:fldData xml:space="preserve">PEVuZE5vdGU+PENpdGU+PEF1dGhvcj5IYW5zZW48L0F1dGhvcj48WWVhcj4yMDEwPC9ZZWFyPjxS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=
</w:fldData>
        </w:fldChar>
      </w:r>
      <w:r w:rsidR="00FC5BEB">
        <w:rPr>
          <w:rStyle w:val="Hyperlink"/>
          <w:rFonts w:eastAsiaTheme="majorEastAsia"/>
          <w:color w:val="000000" w:themeColor="text1"/>
          <w:szCs w:val="22"/>
          <w:u w:val="none"/>
        </w:rPr>
        <w:instrText xml:space="preserve"> ADDIN EN.CITE.DATA </w:instrText>
      </w:r>
      <w:r w:rsidR="00FC5BEB">
        <w:rPr>
          <w:rStyle w:val="Hyperlink"/>
          <w:rFonts w:eastAsiaTheme="majorEastAsia"/>
          <w:color w:val="000000" w:themeColor="text1"/>
          <w:szCs w:val="22"/>
          <w:u w:val="none"/>
        </w:rPr>
      </w:r>
      <w:r w:rsidR="00FC5BEB">
        <w:rPr>
          <w:rStyle w:val="Hyperlink"/>
          <w:rFonts w:eastAsiaTheme="majorEastAsia"/>
          <w:color w:val="000000" w:themeColor="text1"/>
          <w:szCs w:val="22"/>
          <w:u w:val="none"/>
        </w:rPr>
        <w:fldChar w:fldCharType="end"/>
      </w:r>
      <w:r w:rsidRPr="008F6205">
        <w:rPr>
          <w:rStyle w:val="Hyperlink"/>
          <w:rFonts w:eastAsiaTheme="majorEastAsia"/>
          <w:color w:val="000000" w:themeColor="text1"/>
          <w:szCs w:val="22"/>
          <w:u w:val="none"/>
        </w:rPr>
      </w:r>
      <w:r w:rsidRPr="008F6205">
        <w:rPr>
          <w:rStyle w:val="Hyperlink"/>
          <w:rFonts w:eastAsiaTheme="majorEastAsia"/>
          <w:color w:val="000000" w:themeColor="text1"/>
          <w:szCs w:val="22"/>
          <w:u w:val="none"/>
        </w:rPr>
        <w:fldChar w:fldCharType="separate"/>
      </w:r>
      <w:r w:rsidR="00FC5BEB" w:rsidRPr="00FC5BEB">
        <w:rPr>
          <w:rStyle w:val="Hyperlink"/>
          <w:rFonts w:eastAsiaTheme="majorEastAsia"/>
          <w:noProof/>
          <w:color w:val="000000" w:themeColor="text1"/>
          <w:szCs w:val="22"/>
          <w:u w:val="none"/>
          <w:vertAlign w:val="superscript"/>
        </w:rPr>
        <w:t>212-214</w:t>
      </w:r>
      <w:r w:rsidRPr="008F6205">
        <w:rPr>
          <w:rStyle w:val="Hyperlink"/>
          <w:rFonts w:eastAsiaTheme="majorEastAsia"/>
          <w:color w:val="000000" w:themeColor="text1"/>
          <w:szCs w:val="22"/>
          <w:u w:val="none"/>
        </w:rPr>
        <w:fldChar w:fldCharType="end"/>
      </w:r>
      <w:r w:rsidRPr="008F6205">
        <w:rPr>
          <w:color w:val="000000" w:themeColor="text1"/>
          <w:szCs w:val="22"/>
        </w:rPr>
        <w:t xml:space="preserve">. Such studies revealed that linear adsorption energy </w:t>
      </w:r>
      <w:r w:rsidRPr="00EC6E98">
        <w:rPr>
          <w:color w:val="000000" w:themeColor="text1"/>
          <w:szCs w:val="22"/>
        </w:rPr>
        <w:t>relationships similar to those found for rutile-type oxides</w:t>
      </w:r>
      <w:r>
        <w:rPr>
          <w:color w:val="000000" w:themeColor="text1"/>
          <w:szCs w:val="22"/>
        </w:rPr>
        <w:fldChar w:fldCharType="begin"/>
      </w:r>
      <w:r w:rsidR="00FC5BEB">
        <w:rPr>
          <w:color w:val="000000" w:themeColor="text1"/>
          <w:szCs w:val="22"/>
        </w:rPr>
        <w:instrText xml:space="preserve"> ADDIN EN.CITE &lt;EndNote&gt;&lt;Cite&gt;&lt;Author&gt;Rossmeisl&lt;/Author&gt;&lt;Year&gt;2007&lt;/Year&gt;&lt;RecNum&gt;86&lt;/RecNum&gt;&lt;DisplayText&gt;&lt;style face="superscript"&gt;88&lt;/style&gt;&lt;/DisplayText&gt;&lt;record&gt;&lt;rec-number&gt;86&lt;/rec-number&gt;&lt;foreign-keys&gt;&lt;key app="EN" db-id="2xex0erf4eexr4e2dpbxpdd829xttesxxxdr" timestamp="1715075296"&gt;86&lt;/key&gt;&lt;/foreign-keys&gt;&lt;ref-type name="Journal Article"&gt;17&lt;/ref-type&gt;&lt;contributors&gt;&lt;authors&gt;&lt;author&gt;Rossmeisl, J.&lt;/author&gt;&lt;author&gt;Qu, Z. W.&lt;/author&gt;&lt;author&gt;Zhu, H.&lt;/author&gt;&lt;author&gt;Kroes, G. J.&lt;/author&gt;&lt;author&gt;Nørskov, J. K.&lt;/author&gt;&lt;/authors&gt;&lt;/contributors&gt;&lt;titles&gt;&lt;title&gt;Electrolysis of water on oxide surfaces&lt;/title&gt;&lt;secondary-title&gt;Journal of Electroanalytical Chemistry&lt;/secondary-title&gt;&lt;/titles&gt;&lt;periodical&gt;&lt;full-title&gt;Journal of Electroanalytical Chemistry&lt;/full-title&gt;&lt;abbr-1&gt;J. Electroanal. Chem.&lt;/abbr-1&gt;&lt;abbr-2&gt;J Electroanal Chem&lt;/abbr-2&gt;&lt;/periodical&gt;&lt;pages&gt;83-89&lt;/pages&gt;&lt;volume&gt;607&lt;/volume&gt;&lt;number&gt;1&lt;/number&gt;&lt;keywords&gt;&lt;keyword&gt;Electrolysis&lt;/keyword&gt;&lt;keyword&gt;Oxide surfaces&lt;/keyword&gt;&lt;keyword&gt;Density functional theory&lt;/keyword&gt;&lt;keyword&gt;Linear relations&lt;/keyword&gt;&lt;/keywords&gt;&lt;dates&gt;&lt;year&gt;2007&lt;/year&gt;&lt;pub-dates&gt;&lt;date&gt;2007/09/01/&lt;/date&gt;&lt;/pub-dates&gt;&lt;/dates&gt;&lt;isbn&gt;1572-6657&lt;/isbn&gt;&lt;urls&gt;&lt;related-urls&gt;&lt;url&gt;https://www.sciencedirect.com/science/article/pii/S0022072806006371&lt;/url&gt;&lt;/related-urls&gt;&lt;/urls&gt;&lt;electronic-resource-num&gt;https://doi.org/10.1016/j.jelechem.2006.11.008&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88</w:t>
      </w:r>
      <w:r>
        <w:rPr>
          <w:color w:val="000000" w:themeColor="text1"/>
          <w:szCs w:val="22"/>
        </w:rPr>
        <w:fldChar w:fldCharType="end"/>
      </w:r>
      <w:r w:rsidRPr="00EC6E98">
        <w:rPr>
          <w:color w:val="000000" w:themeColor="text1"/>
          <w:szCs w:val="22"/>
        </w:rPr>
        <w:t xml:space="preserve"> also hold for </w:t>
      </w:r>
      <w:r w:rsidRPr="00EC6E98">
        <w:rPr>
          <w:color w:val="000000" w:themeColor="text1"/>
          <w:szCs w:val="22"/>
          <w:shd w:val="clear" w:color="auto" w:fill="FFFFFF"/>
        </w:rPr>
        <w:t>perovskite-type and PtO</w:t>
      </w:r>
      <w:r w:rsidRPr="00EC6E98">
        <w:rPr>
          <w:color w:val="000000" w:themeColor="text1"/>
          <w:szCs w:val="22"/>
          <w:vertAlign w:val="subscript"/>
        </w:rPr>
        <w:t>2</w:t>
      </w:r>
      <w:r w:rsidRPr="00EC6E98">
        <w:rPr>
          <w:color w:val="000000" w:themeColor="text1"/>
          <w:szCs w:val="22"/>
          <w:shd w:val="clear" w:color="auto" w:fill="FFFFFF"/>
        </w:rPr>
        <w:t>-type oxides</w:t>
      </w:r>
      <w:r>
        <w:rPr>
          <w:color w:val="000000" w:themeColor="text1"/>
          <w:szCs w:val="22"/>
          <w:shd w:val="clear" w:color="auto" w:fill="FFFFFF"/>
        </w:rPr>
        <w:fldChar w:fldCharType="begin"/>
      </w:r>
      <w:r w:rsidR="00FC5BEB">
        <w:rPr>
          <w:color w:val="000000" w:themeColor="text1"/>
          <w:szCs w:val="22"/>
          <w:shd w:val="clear" w:color="auto" w:fill="FFFFFF"/>
        </w:rPr>
        <w:instrText xml:space="preserve"> ADDIN EN.CITE &lt;EndNote&gt;&lt;Cite&gt;&lt;Author&gt;Fernández&lt;/Author&gt;&lt;Year&gt;2008&lt;/Year&gt;&lt;RecNum&gt;209&lt;/RecNum&gt;&lt;DisplayText&gt;&lt;style face="superscript"&gt;211&lt;/style&gt;&lt;/DisplayText&gt;&lt;record&gt;&lt;rec-number&gt;209&lt;/rec-number&gt;&lt;foreign-keys&gt;&lt;key app="EN" db-id="2xex0erf4eexr4e2dpbxpdd829xttesxxxdr" timestamp="1715075296"&gt;209&lt;/key&gt;&lt;/foreign-keys&gt;&lt;ref-type name="Journal Article"&gt;17&lt;/ref-type&gt;&lt;contributors&gt;&lt;authors&gt;&lt;author&gt;Fernández, Eva M.&lt;/author&gt;&lt;author&gt;Moses, Poul G.&lt;/author&gt;&lt;author&gt;Toftelund, Anja&lt;/author&gt;&lt;author&gt;Hansen, Heine A.&lt;/author&gt;&lt;author&gt;Martínez, José I.&lt;/author&gt;&lt;author&gt;Abild-Pedersen, Frank&lt;/author&gt;&lt;author&gt;Kleis, Jesper&lt;/author&gt;&lt;author&gt;Hinnemann, Berit&lt;/author&gt;&lt;author&gt;Rossmeisl, Jan&lt;/author&gt;&lt;author&gt;Bligaard, Thomas&lt;/author&gt;&lt;author&gt;Nørskov, Jens K.&lt;/author&gt;&lt;/authors&gt;&lt;/contributors&gt;&lt;titles&gt;&lt;title&gt;Scaling Relationships for Adsorption Energies on Transition Metal Oxide, Sulfide, and Nitride Surfaces&lt;/title&gt;&lt;secondary-title&gt;Angewandte Chemie International Edition&lt;/secondary-title&gt;&lt;/titles&gt;&lt;periodical&gt;&lt;full-title&gt;Angewandte Chemie International Edition&lt;/full-title&gt;&lt;abbr-1&gt;Angew. Chem. Int. Ed.&lt;/abbr-1&gt;&lt;abbr-2&gt;Angew Chem Int Ed&lt;/abbr-2&gt;&lt;/periodical&gt;&lt;pages&gt;4683-4686&lt;/pages&gt;&lt;volume&gt;47&lt;/volume&gt;&lt;number&gt;25&lt;/number&gt;&lt;dates&gt;&lt;year&gt;2008&lt;/year&gt;&lt;/dates&gt;&lt;isbn&gt;1433-7851&lt;/isbn&gt;&lt;urls&gt;&lt;related-urls&gt;&lt;url&gt;https://onlinelibrary.wiley.com/doi/abs/10.1002/anie.200705739&lt;/url&gt;&lt;/related-urls&gt;&lt;/urls&gt;&lt;electronic-resource-num&gt;https://doi.org/10.1002/anie.200705739&lt;/electronic-resource-num&gt;&lt;/record&gt;&lt;/Cite&gt;&lt;/EndNote&gt;</w:instrText>
      </w:r>
      <w:r>
        <w:rPr>
          <w:color w:val="000000" w:themeColor="text1"/>
          <w:szCs w:val="22"/>
          <w:shd w:val="clear" w:color="auto" w:fill="FFFFFF"/>
        </w:rPr>
        <w:fldChar w:fldCharType="separate"/>
      </w:r>
      <w:r w:rsidR="00FC5BEB" w:rsidRPr="00FC5BEB">
        <w:rPr>
          <w:noProof/>
          <w:color w:val="000000" w:themeColor="text1"/>
          <w:szCs w:val="22"/>
          <w:shd w:val="clear" w:color="auto" w:fill="FFFFFF"/>
          <w:vertAlign w:val="superscript"/>
        </w:rPr>
        <w:t>211</w:t>
      </w:r>
      <w:r>
        <w:rPr>
          <w:color w:val="000000" w:themeColor="text1"/>
          <w:szCs w:val="22"/>
          <w:shd w:val="clear" w:color="auto" w:fill="FFFFFF"/>
        </w:rPr>
        <w:fldChar w:fldCharType="end"/>
      </w:r>
      <w:r>
        <w:rPr>
          <w:color w:val="000000" w:themeColor="text1"/>
          <w:szCs w:val="22"/>
          <w:shd w:val="clear" w:color="auto" w:fill="FFFFFF"/>
        </w:rPr>
        <w:t>,</w:t>
      </w:r>
      <w:r>
        <w:rPr>
          <w:color w:val="000000" w:themeColor="text1"/>
          <w:szCs w:val="22"/>
        </w:rPr>
        <w:t xml:space="preserve"> </w:t>
      </w:r>
      <w:r w:rsidRPr="00EC6E98">
        <w:rPr>
          <w:color w:val="000000" w:themeColor="text1"/>
          <w:szCs w:val="22"/>
        </w:rPr>
        <w:t>suggesting a universal scaling relationship may hold for the OER over wide classes of oxide.</w:t>
      </w:r>
    </w:p>
    <w:p w14:paraId="1DCE5FAC" w14:textId="77777777" w:rsidR="00F5313D" w:rsidRPr="00EC6E98" w:rsidRDefault="00F5313D" w:rsidP="00F5313D">
      <w:pPr>
        <w:rPr>
          <w:color w:val="000000" w:themeColor="text1"/>
          <w:szCs w:val="22"/>
        </w:rPr>
      </w:pPr>
    </w:p>
    <w:p w14:paraId="113904FB" w14:textId="4FE1D9A7" w:rsidR="00F5313D" w:rsidRPr="00EC6E98" w:rsidRDefault="00F5313D" w:rsidP="00F5313D">
      <w:pPr>
        <w:rPr>
          <w:color w:val="000000" w:themeColor="text1"/>
          <w:szCs w:val="22"/>
        </w:rPr>
      </w:pPr>
      <w:r w:rsidRPr="00EC6E98">
        <w:rPr>
          <w:color w:val="000000" w:themeColor="text1"/>
          <w:szCs w:val="22"/>
        </w:rPr>
        <w:tab/>
        <w:t>A major breakthrough in the range of applicability of scaling relationships in the OER came through the detailed study of the origin of the OER overpotential over a wide variety of transition metal oxides</w:t>
      </w:r>
      <w:r>
        <w:rPr>
          <w:color w:val="000000" w:themeColor="text1"/>
          <w:szCs w:val="22"/>
        </w:rPr>
        <w:fldChar w:fldCharType="begin"/>
      </w:r>
      <w:r w:rsidR="00FC5BEB">
        <w:rPr>
          <w:color w:val="000000" w:themeColor="text1"/>
          <w:szCs w:val="22"/>
        </w:rPr>
        <w:instrText xml:space="preserve"> ADDIN EN.CITE &lt;EndNote&gt;&lt;Cite&gt;&lt;Author&gt;Man&lt;/Author&gt;&lt;Year&gt;2011&lt;/Year&gt;&lt;RecNum&gt;99&lt;/RecNum&gt;&lt;DisplayText&gt;&lt;style face="superscript"&gt;101&lt;/style&gt;&lt;/DisplayText&gt;&lt;record&gt;&lt;rec-number&gt;99&lt;/rec-number&gt;&lt;foreign-keys&gt;&lt;key app="EN" db-id="2xex0erf4eexr4e2dpbxpdd829xttesxxxdr" timestamp="1715075296"&gt;99&lt;/key&gt;&lt;/foreign-keys&gt;&lt;ref-type name="Journal Article"&gt;17&lt;/ref-type&gt;&lt;contributors&gt;&lt;authors&gt;&lt;author&gt;Man, Isabela C.&lt;/author&gt;&lt;author&gt;Su, Hai-Yan&lt;/author&gt;&lt;author&gt;Calle-Vallejo, Federico&lt;/author&gt;&lt;author&gt;Hansen, Heine A.&lt;/author&gt;&lt;author&gt;Martínez, José I.&lt;/author&gt;&lt;author&gt;Inoglu, Nilay G.&lt;/author&gt;&lt;author&gt;Kitchin, John&lt;/author&gt;&lt;author&gt;Jaramillo, Thomas F.&lt;/author&gt;&lt;author&gt;Nørskov, Jens K.&lt;/author&gt;&lt;author&gt;Rossmeisl, Jan&lt;/author&gt;&lt;/authors&gt;&lt;/contributors&gt;&lt;titles&gt;&lt;title&gt;Universality in Oxygen Evolution Electrocatalysis on Oxide Surfaces&lt;/title&gt;&lt;secondary-title&gt;ChemCatChem&lt;/secondary-title&gt;&lt;/titles&gt;&lt;pages&gt;1159-1165&lt;/pages&gt;&lt;volume&gt;3&lt;/volume&gt;&lt;number&gt;7&lt;/number&gt;&lt;dates&gt;&lt;year&gt;2011&lt;/year&gt;&lt;/dates&gt;&lt;isbn&gt;1867-3880&lt;/isbn&gt;&lt;urls&gt;&lt;related-urls&gt;&lt;url&gt;https://chemistry-europe.onlinelibrary.wiley.com/doi/abs/10.1002/cctc.201000397&lt;/url&gt;&lt;/related-urls&gt;&lt;/urls&gt;&lt;electronic-resource-num&gt;https://doi.org/10.1002/cctc.201000397&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101</w:t>
      </w:r>
      <w:r>
        <w:rPr>
          <w:color w:val="000000" w:themeColor="text1"/>
          <w:szCs w:val="22"/>
        </w:rPr>
        <w:fldChar w:fldCharType="end"/>
      </w:r>
      <w:r w:rsidRPr="00EC6E98">
        <w:rPr>
          <w:color w:val="000000" w:themeColor="text1"/>
          <w:szCs w:val="22"/>
        </w:rPr>
        <w:t xml:space="preserve"> using the CHE. The authors followed the same thermodynamic model and assumptions as were employed in Refs.</w:t>
      </w:r>
      <w:r>
        <w:rPr>
          <w:color w:val="000000" w:themeColor="text1"/>
          <w:szCs w:val="22"/>
        </w:rPr>
        <w:t xml:space="preserve"> </w:t>
      </w:r>
      <w:r>
        <w:rPr>
          <w:color w:val="000000" w:themeColor="text1"/>
          <w:szCs w:val="22"/>
        </w:rPr>
        <w:fldChar w:fldCharType="begin">
          <w:fldData xml:space="preserve">PEVuZE5vdGU+PENpdGU+PEF1dGhvcj5Sb3NzbWVpc2w8L0F1dGhvcj48WWVhcj4yMDA1PC9ZZWFy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</w:fldData>
        </w:fldChar>
      </w:r>
      <w:r w:rsidR="00FC5BEB">
        <w:rPr>
          <w:color w:val="000000" w:themeColor="text1"/>
          <w:szCs w:val="22"/>
        </w:rPr>
        <w:instrText xml:space="preserve"> ADDIN EN.CITE </w:instrText>
      </w:r>
      <w:r w:rsidR="00FC5BEB">
        <w:rPr>
          <w:color w:val="000000" w:themeColor="text1"/>
          <w:szCs w:val="22"/>
        </w:rPr>
        <w:fldChar w:fldCharType="begin">
          <w:fldData xml:space="preserve">PEVuZE5vdGU+PENpdGU+PEF1dGhvcj5Sb3NzbWVpc2w8L0F1dGhvcj48WWVhcj4yMDA1PC9ZZWFy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</w:fldData>
        </w:fldChar>
      </w:r>
      <w:r w:rsidR="00FC5BEB">
        <w:rPr>
          <w:color w:val="000000" w:themeColor="text1"/>
          <w:szCs w:val="22"/>
        </w:rPr>
        <w:instrText xml:space="preserve"> ADDIN EN.CITE.DATA </w:instrText>
      </w:r>
      <w:r w:rsidR="00FC5BEB">
        <w:rPr>
          <w:color w:val="000000" w:themeColor="text1"/>
          <w:szCs w:val="22"/>
        </w:rPr>
      </w:r>
      <w:r w:rsidR="00FC5BEB">
        <w:rPr>
          <w:color w:val="000000" w:themeColor="text1"/>
          <w:szCs w:val="22"/>
        </w:rPr>
        <w:fldChar w:fldCharType="end"/>
      </w:r>
      <w:r>
        <w:rPr>
          <w:color w:val="000000" w:themeColor="text1"/>
          <w:szCs w:val="22"/>
        </w:rPr>
      </w:r>
      <w:r>
        <w:rPr>
          <w:color w:val="000000" w:themeColor="text1"/>
          <w:szCs w:val="22"/>
        </w:rPr>
        <w:fldChar w:fldCharType="separate"/>
      </w:r>
      <w:r w:rsidR="00FC5BEB" w:rsidRPr="00FC5BEB">
        <w:rPr>
          <w:noProof/>
          <w:color w:val="000000" w:themeColor="text1"/>
          <w:szCs w:val="22"/>
          <w:vertAlign w:val="superscript"/>
        </w:rPr>
        <w:t>87, 88</w:t>
      </w:r>
      <w:r>
        <w:rPr>
          <w:color w:val="000000" w:themeColor="text1"/>
          <w:szCs w:val="22"/>
        </w:rPr>
        <w:fldChar w:fldCharType="end"/>
      </w:r>
      <w:r>
        <w:rPr>
          <w:color w:val="000000" w:themeColor="text1"/>
          <w:szCs w:val="22"/>
        </w:rPr>
        <w:t xml:space="preserve">, </w:t>
      </w:r>
      <w:r w:rsidRPr="00EC6E98">
        <w:rPr>
          <w:color w:val="000000" w:themeColor="text1"/>
          <w:szCs w:val="22"/>
        </w:rPr>
        <w:t>and while the computational approach was very similar to Refs.</w:t>
      </w:r>
      <w:r>
        <w:rPr>
          <w:color w:val="000000" w:themeColor="text1"/>
          <w:szCs w:val="22"/>
        </w:rPr>
        <w:t xml:space="preserve"> </w:t>
      </w:r>
      <w:r>
        <w:rPr>
          <w:color w:val="000000" w:themeColor="text1"/>
          <w:szCs w:val="22"/>
        </w:rPr>
        <w:fldChar w:fldCharType="begin">
          <w:fldData xml:space="preserve">PEVuZE5vdGU+PENpdGU+PEF1dGhvcj5Sb3NzbWVpc2w8L0F1dGhvcj48WWVhcj4yMDA1PC9ZZWFy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</w:fldData>
        </w:fldChar>
      </w:r>
      <w:r w:rsidR="00FC5BEB">
        <w:rPr>
          <w:color w:val="000000" w:themeColor="text1"/>
          <w:szCs w:val="22"/>
        </w:rPr>
        <w:instrText xml:space="preserve"> ADDIN EN.CITE </w:instrText>
      </w:r>
      <w:r w:rsidR="00FC5BEB">
        <w:rPr>
          <w:color w:val="000000" w:themeColor="text1"/>
          <w:szCs w:val="22"/>
        </w:rPr>
        <w:fldChar w:fldCharType="begin">
          <w:fldData xml:space="preserve">PEVuZE5vdGU+PENpdGU+PEF1dGhvcj5Sb3NzbWVpc2w8L0F1dGhvcj48WWVhcj4yMDA1PC9ZZWFy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</w:fldData>
        </w:fldChar>
      </w:r>
      <w:r w:rsidR="00FC5BEB">
        <w:rPr>
          <w:color w:val="000000" w:themeColor="text1"/>
          <w:szCs w:val="22"/>
        </w:rPr>
        <w:instrText xml:space="preserve"> ADDIN EN.CITE.DATA </w:instrText>
      </w:r>
      <w:r w:rsidR="00FC5BEB">
        <w:rPr>
          <w:color w:val="000000" w:themeColor="text1"/>
          <w:szCs w:val="22"/>
        </w:rPr>
      </w:r>
      <w:r w:rsidR="00FC5BEB">
        <w:rPr>
          <w:color w:val="000000" w:themeColor="text1"/>
          <w:szCs w:val="22"/>
        </w:rPr>
        <w:fldChar w:fldCharType="end"/>
      </w:r>
      <w:r>
        <w:rPr>
          <w:color w:val="000000" w:themeColor="text1"/>
          <w:szCs w:val="22"/>
        </w:rPr>
      </w:r>
      <w:r>
        <w:rPr>
          <w:color w:val="000000" w:themeColor="text1"/>
          <w:szCs w:val="22"/>
        </w:rPr>
        <w:fldChar w:fldCharType="separate"/>
      </w:r>
      <w:r w:rsidR="00FC5BEB" w:rsidRPr="00FC5BEB">
        <w:rPr>
          <w:noProof/>
          <w:color w:val="000000" w:themeColor="text1"/>
          <w:szCs w:val="22"/>
          <w:vertAlign w:val="superscript"/>
        </w:rPr>
        <w:t>87, 88</w:t>
      </w:r>
      <w:r>
        <w:rPr>
          <w:color w:val="000000" w:themeColor="text1"/>
          <w:szCs w:val="22"/>
        </w:rPr>
        <w:fldChar w:fldCharType="end"/>
      </w:r>
      <w:r>
        <w:rPr>
          <w:color w:val="000000" w:themeColor="text1"/>
          <w:szCs w:val="22"/>
        </w:rPr>
        <w:t>, t</w:t>
      </w:r>
      <w:r w:rsidRPr="00EC6E98">
        <w:rPr>
          <w:color w:val="000000" w:themeColor="text1"/>
          <w:szCs w:val="22"/>
        </w:rPr>
        <w:t xml:space="preserve">he electronic structure calculations were modified to include spin-polarization for the magnetic oxides studied in Ref. </w:t>
      </w:r>
      <w:r>
        <w:rPr>
          <w:color w:val="000000" w:themeColor="text1"/>
          <w:szCs w:val="22"/>
        </w:rPr>
        <w:fldChar w:fldCharType="begin"/>
      </w:r>
      <w:r w:rsidR="00FC5BEB">
        <w:rPr>
          <w:color w:val="000000" w:themeColor="text1"/>
          <w:szCs w:val="22"/>
        </w:rPr>
        <w:instrText xml:space="preserve"> ADDIN EN.CITE &lt;EndNote&gt;&lt;Cite&gt;&lt;Author&gt;Man&lt;/Author&gt;&lt;Year&gt;2011&lt;/Year&gt;&lt;RecNum&gt;99&lt;/RecNum&gt;&lt;DisplayText&gt;&lt;style face="superscript"&gt;101&lt;/style&gt;&lt;/DisplayText&gt;&lt;record&gt;&lt;rec-number&gt;99&lt;/rec-number&gt;&lt;foreign-keys&gt;&lt;key app="EN" db-id="2xex0erf4eexr4e2dpbxpdd829xttesxxxdr" timestamp="1715075296"&gt;99&lt;/key&gt;&lt;/foreign-keys&gt;&lt;ref-type name="Journal Article"&gt;17&lt;/ref-type&gt;&lt;contributors&gt;&lt;authors&gt;&lt;author&gt;Man, Isabela C.&lt;/author&gt;&lt;author&gt;Su, Hai-Yan&lt;/author&gt;&lt;author&gt;Calle-Vallejo, Federico&lt;/author&gt;&lt;author&gt;Hansen, Heine A.&lt;/author&gt;&lt;author&gt;Martínez, José I.&lt;/author&gt;&lt;author&gt;Inoglu, Nilay G.&lt;/author&gt;&lt;author&gt;Kitchin, John&lt;/author&gt;&lt;author&gt;Jaramillo, Thomas F.&lt;/author&gt;&lt;author&gt;Nørskov, Jens K.&lt;/author&gt;&lt;author&gt;Rossmeisl, Jan&lt;/author&gt;&lt;/authors&gt;&lt;/contributors&gt;&lt;titles&gt;&lt;title&gt;Universality in Oxygen Evolution Electrocatalysis on Oxide Surfaces&lt;/title&gt;&lt;secondary-title&gt;ChemCatChem&lt;/secondary-title&gt;&lt;/titles&gt;&lt;pages&gt;1159-1165&lt;/pages&gt;&lt;volume&gt;3&lt;/volume&gt;&lt;number&gt;7&lt;/number&gt;&lt;dates&gt;&lt;year&gt;2011&lt;/year&gt;&lt;/dates&gt;&lt;isbn&gt;1867-3880&lt;/isbn&gt;&lt;urls&gt;&lt;related-urls&gt;&lt;url&gt;https://chemistry-europe.onlinelibrary.wiley.com/doi/abs/10.1002/cctc.201000397&lt;/url&gt;&lt;/related-urls&gt;&lt;/urls&gt;&lt;electronic-resource-num&gt;https://doi.org/10.1002/cctc.201000397&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101</w:t>
      </w:r>
      <w:r>
        <w:rPr>
          <w:color w:val="000000" w:themeColor="text1"/>
          <w:szCs w:val="22"/>
        </w:rPr>
        <w:fldChar w:fldCharType="end"/>
      </w:r>
      <w:r w:rsidRPr="00EC6E98">
        <w:rPr>
          <w:color w:val="000000" w:themeColor="text1"/>
          <w:szCs w:val="22"/>
        </w:rPr>
        <w:t xml:space="preserve">. The authors of Ref. </w:t>
      </w:r>
      <w:r>
        <w:rPr>
          <w:color w:val="000000" w:themeColor="text1"/>
          <w:szCs w:val="22"/>
        </w:rPr>
        <w:fldChar w:fldCharType="begin"/>
      </w:r>
      <w:r w:rsidR="00FC5BEB">
        <w:rPr>
          <w:color w:val="000000" w:themeColor="text1"/>
          <w:szCs w:val="22"/>
        </w:rPr>
        <w:instrText xml:space="preserve"> ADDIN EN.CITE &lt;EndNote&gt;&lt;Cite&gt;&lt;Author&gt;Man&lt;/Author&gt;&lt;Year&gt;2011&lt;/Year&gt;&lt;RecNum&gt;99&lt;/RecNum&gt;&lt;DisplayText&gt;&lt;style face="superscript"&gt;101&lt;/style&gt;&lt;/DisplayText&gt;&lt;record&gt;&lt;rec-number&gt;99&lt;/rec-number&gt;&lt;foreign-keys&gt;&lt;key app="EN" db-id="2xex0erf4eexr4e2dpbxpdd829xttesxxxdr" timestamp="1715075296"&gt;99&lt;/key&gt;&lt;/foreign-keys&gt;&lt;ref-type name="Journal Article"&gt;17&lt;/ref-type&gt;&lt;contributors&gt;&lt;authors&gt;&lt;author&gt;Man, Isabela C.&lt;/author&gt;&lt;author&gt;Su, Hai-Yan&lt;/author&gt;&lt;author&gt;Calle-Vallejo, Federico&lt;/author&gt;&lt;author&gt;Hansen, Heine A.&lt;/author&gt;&lt;author&gt;Martínez, José I.&lt;/author&gt;&lt;author&gt;Inoglu, Nilay G.&lt;/author&gt;&lt;author&gt;Kitchin, John&lt;/author&gt;&lt;author&gt;Jaramillo, Thomas F.&lt;/author&gt;&lt;author&gt;Nørskov, Jens K.&lt;/author&gt;&lt;author&gt;Rossmeisl, Jan&lt;/author&gt;&lt;/authors&gt;&lt;/contributors&gt;&lt;titles&gt;&lt;title&gt;Universality in Oxygen Evolution Electrocatalysis on Oxide Surfaces&lt;/title&gt;&lt;secondary-title&gt;ChemCatChem&lt;/secondary-title&gt;&lt;/titles&gt;&lt;pages&gt;1159-1165&lt;/pages&gt;&lt;volume&gt;3&lt;/volume&gt;&lt;number&gt;7&lt;/number&gt;&lt;dates&gt;&lt;year&gt;2011&lt;/year&gt;&lt;/dates&gt;&lt;isbn&gt;1867-3880&lt;/isbn&gt;&lt;urls&gt;&lt;related-urls&gt;&lt;url&gt;https://chemistry-europe.onlinelibrary.wiley.com/doi/abs/10.1002/cctc.201000397&lt;/url&gt;&lt;/related-urls&gt;&lt;/urls&gt;&lt;electronic-resource-num&gt;https://doi.org/10.1002/cctc.201000397&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101</w:t>
      </w:r>
      <w:r>
        <w:rPr>
          <w:color w:val="000000" w:themeColor="text1"/>
          <w:szCs w:val="22"/>
        </w:rPr>
        <w:fldChar w:fldCharType="end"/>
      </w:r>
      <w:r>
        <w:rPr>
          <w:color w:val="000000" w:themeColor="text1"/>
          <w:szCs w:val="22"/>
        </w:rPr>
        <w:t xml:space="preserve"> </w:t>
      </w:r>
      <w:r w:rsidRPr="00EC6E98">
        <w:rPr>
          <w:color w:val="000000" w:themeColor="text1"/>
          <w:szCs w:val="22"/>
        </w:rPr>
        <w:t xml:space="preserve">computed the energetics of the OER via the single-site nucleophilic attack mechanism in acid, </w:t>
      </w:r>
      <w:r w:rsidR="00EE423E" w:rsidRPr="004B35B6">
        <w:rPr>
          <w:color w:val="000000" w:themeColor="text1"/>
          <w:szCs w:val="22"/>
        </w:rPr>
        <w:fldChar w:fldCharType="begin"/>
      </w:r>
      <w:r w:rsidR="00EE423E" w:rsidRPr="004B35B6">
        <w:rPr>
          <w:color w:val="000000" w:themeColor="text1"/>
          <w:szCs w:val="22"/>
        </w:rPr>
        <w:instrText xml:space="preserve"> REF _Ref159510668 \h </w:instrText>
      </w:r>
      <w:r w:rsidR="004B35B6">
        <w:rPr>
          <w:color w:val="000000" w:themeColor="text1"/>
          <w:szCs w:val="22"/>
        </w:rPr>
        <w:instrText xml:space="preserve"> \* MERGEFORMAT </w:instrText>
      </w:r>
      <w:r w:rsidR="00EE423E" w:rsidRPr="004B35B6">
        <w:rPr>
          <w:color w:val="000000" w:themeColor="text1"/>
          <w:szCs w:val="22"/>
        </w:rPr>
      </w:r>
      <w:r w:rsidR="00EE423E" w:rsidRPr="004B35B6">
        <w:rPr>
          <w:color w:val="000000" w:themeColor="text1"/>
          <w:szCs w:val="22"/>
        </w:rPr>
        <w:fldChar w:fldCharType="separate"/>
      </w:r>
      <w:r w:rsidR="003255C0" w:rsidRPr="00245F0C">
        <w:rPr>
          <w:szCs w:val="22"/>
        </w:rPr>
        <w:t xml:space="preserve">Equation </w:t>
      </w:r>
      <w:r w:rsidR="003255C0" w:rsidRPr="00245F0C">
        <w:rPr>
          <w:noProof/>
          <w:szCs w:val="22"/>
        </w:rPr>
        <w:t>38</w:t>
      </w:r>
      <w:r w:rsidR="00EE423E" w:rsidRPr="004B35B6">
        <w:rPr>
          <w:color w:val="000000" w:themeColor="text1"/>
          <w:szCs w:val="22"/>
        </w:rPr>
        <w:fldChar w:fldCharType="end"/>
      </w:r>
      <w:r w:rsidR="00EE423E" w:rsidRPr="004B35B6">
        <w:rPr>
          <w:color w:val="000000" w:themeColor="text1"/>
          <w:szCs w:val="22"/>
        </w:rPr>
        <w:t>-</w:t>
      </w:r>
      <w:r w:rsidR="00EE423E">
        <w:rPr>
          <w:color w:val="000000" w:themeColor="text1"/>
          <w:szCs w:val="22"/>
        </w:rPr>
        <w:t>41</w:t>
      </w:r>
      <w:r w:rsidRPr="00EC6E98">
        <w:rPr>
          <w:color w:val="000000" w:themeColor="text1"/>
          <w:szCs w:val="22"/>
        </w:rPr>
        <w:t xml:space="preserve">, over a range of oxides. The PDS was then defined as the step with the maximum change in free energy. </w:t>
      </w:r>
      <w:r w:rsidRPr="00EC6E98">
        <w:rPr>
          <w:iCs/>
          <w:color w:val="000000" w:themeColor="text1"/>
          <w:szCs w:val="22"/>
        </w:rPr>
        <w:t>This is the same definition as used previously, and, as before, the magnitude of the overpotential is then given by:</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EE423E" w:rsidRPr="00EE423E" w14:paraId="1F182188" w14:textId="77777777" w:rsidTr="00DE0988">
        <w:tc>
          <w:tcPr>
            <w:tcW w:w="7938" w:type="dxa"/>
            <w:tcMar>
              <w:left w:w="28" w:type="dxa"/>
              <w:right w:w="28" w:type="dxa"/>
            </w:tcMar>
            <w:vAlign w:val="center"/>
          </w:tcPr>
          <w:p w14:paraId="28D42700" w14:textId="1A60BD4C" w:rsidR="00EE423E" w:rsidRPr="00EE423E" w:rsidRDefault="00EE423E" w:rsidP="00E45E28">
            <w:pPr>
              <w:spacing w:before="60" w:after="60"/>
              <w:rPr>
                <w:bCs/>
                <w:sz w:val="20"/>
                <w:szCs w:val="20"/>
              </w:rPr>
            </w:pPr>
            <m:oMathPara>
              <m:oMath>
                <m:r>
                  <w:rPr>
                    <w:rFonts w:ascii="Cambria Math" w:hAnsi="Cambria Math"/>
                    <w:color w:val="000000" w:themeColor="text1"/>
                    <w:sz w:val="20"/>
                    <w:szCs w:val="20"/>
                  </w:rPr>
                  <m:t>η=</m:t>
                </m:r>
                <m:f>
                  <m:fPr>
                    <m:ctrlPr>
                      <w:rPr>
                        <w:rFonts w:ascii="Cambria Math" w:eastAsiaTheme="minorHAnsi" w:hAnsi="Cambria Math"/>
                        <w:i/>
                        <w:iCs/>
                        <w:color w:val="000000" w:themeColor="text1"/>
                        <w:sz w:val="20"/>
                        <w:szCs w:val="20"/>
                      </w:rPr>
                    </m:ctrlPr>
                  </m:fPr>
                  <m:num>
                    <m:r>
                      <w:rPr>
                        <w:rFonts w:ascii="Cambria Math" w:hAnsi="Cambria Math"/>
                        <w:color w:val="000000" w:themeColor="text1"/>
                        <w:sz w:val="20"/>
                        <w:szCs w:val="20"/>
                      </w:rPr>
                      <m:t>1</m:t>
                    </m:r>
                  </m:num>
                  <m:den>
                    <m:r>
                      <w:rPr>
                        <w:rFonts w:ascii="Cambria Math" w:hAnsi="Cambria Math"/>
                        <w:color w:val="000000" w:themeColor="text1"/>
                        <w:sz w:val="20"/>
                        <w:szCs w:val="20"/>
                      </w:rPr>
                      <m:t>e</m:t>
                    </m:r>
                  </m:den>
                </m:f>
                <m:r>
                  <m:rPr>
                    <m:sty m:val="p"/>
                  </m:rPr>
                  <w:rPr>
                    <w:rFonts w:ascii="Cambria Math" w:hAnsi="Cambria Math"/>
                    <w:color w:val="000000" w:themeColor="text1"/>
                    <w:sz w:val="20"/>
                    <w:szCs w:val="20"/>
                  </w:rPr>
                  <m:t>max</m:t>
                </m:r>
                <m:sSub>
                  <m:sSubPr>
                    <m:ctrlPr>
                      <w:rPr>
                        <w:rFonts w:ascii="Cambria Math" w:eastAsiaTheme="minorHAnsi" w:hAnsi="Cambria Math"/>
                        <w:i/>
                        <w:iCs/>
                        <w:color w:val="000000" w:themeColor="text1"/>
                        <w:sz w:val="20"/>
                        <w:szCs w:val="20"/>
                      </w:rPr>
                    </m:ctrlPr>
                  </m:sSubPr>
                  <m:e>
                    <m:d>
                      <m:dPr>
                        <m:begChr m:val="["/>
                        <m:endChr m:val="]"/>
                        <m:ctrlPr>
                          <w:rPr>
                            <w:rFonts w:ascii="Cambria Math" w:eastAsiaTheme="minorHAnsi" w:hAnsi="Cambria Math"/>
                            <w:i/>
                            <w:iCs/>
                            <w:color w:val="000000" w:themeColor="text1"/>
                            <w:sz w:val="20"/>
                            <w:szCs w:val="20"/>
                          </w:rPr>
                        </m:ctrlPr>
                      </m:dPr>
                      <m:e>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m:rPr>
                                <m:sty m:val="p"/>
                              </m:rPr>
                              <w:rPr>
                                <w:rFonts w:ascii="Cambria Math" w:hAnsi="Cambria Math"/>
                                <w:color w:val="000000" w:themeColor="text1"/>
                                <w:sz w:val="20"/>
                                <w:szCs w:val="20"/>
                              </w:rPr>
                              <m:t>*OH</m:t>
                            </m:r>
                          </m:sub>
                        </m:sSub>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m:rPr>
                                <m:sty m:val="p"/>
                              </m:rPr>
                              <w:rPr>
                                <w:rFonts w:ascii="Cambria Math" w:hAnsi="Cambria Math"/>
                                <w:color w:val="000000" w:themeColor="text1"/>
                                <w:sz w:val="20"/>
                                <w:szCs w:val="20"/>
                              </w:rPr>
                              <m:t>H2O*</m:t>
                            </m:r>
                          </m:sub>
                        </m:sSub>
                        <m:r>
                          <w:rPr>
                            <w:rFonts w:ascii="Cambria Math" w:hAnsi="Cambria Math"/>
                            <w:color w:val="000000" w:themeColor="text1"/>
                            <w:sz w:val="20"/>
                            <w:szCs w:val="20"/>
                          </w:rPr>
                          <m:t>, ∆</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m:rPr>
                                <m:sty m:val="p"/>
                              </m:rPr>
                              <w:rPr>
                                <w:rFonts w:ascii="Cambria Math" w:hAnsi="Cambria Math"/>
                                <w:color w:val="000000" w:themeColor="text1"/>
                                <w:sz w:val="20"/>
                                <w:szCs w:val="20"/>
                              </w:rPr>
                              <m:t>*O</m:t>
                            </m:r>
                          </m:sub>
                        </m:sSub>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m:rPr>
                                <m:sty m:val="p"/>
                              </m:rPr>
                              <w:rPr>
                                <w:rFonts w:ascii="Cambria Math" w:hAnsi="Cambria Math"/>
                                <w:color w:val="000000" w:themeColor="text1"/>
                                <w:sz w:val="20"/>
                                <w:szCs w:val="20"/>
                              </w:rPr>
                              <m:t>*OH</m:t>
                            </m:r>
                          </m:sub>
                        </m:sSub>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m:rPr>
                                <m:sty m:val="p"/>
                              </m:rPr>
                              <w:rPr>
                                <w:rFonts w:ascii="Cambria Math" w:hAnsi="Cambria Math"/>
                                <w:color w:val="000000" w:themeColor="text1"/>
                                <w:sz w:val="20"/>
                                <w:szCs w:val="20"/>
                              </w:rPr>
                              <m:t>*OOH</m:t>
                            </m:r>
                          </m:sub>
                        </m:sSub>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m:rPr>
                                <m:sty m:val="p"/>
                              </m:rPr>
                              <w:rPr>
                                <w:rFonts w:ascii="Cambria Math" w:hAnsi="Cambria Math"/>
                                <w:color w:val="000000" w:themeColor="text1"/>
                                <w:sz w:val="20"/>
                                <w:szCs w:val="20"/>
                              </w:rPr>
                              <m:t>*O</m:t>
                            </m:r>
                          </m:sub>
                        </m:sSub>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m:rPr>
                                <m:sty m:val="p"/>
                              </m:rPr>
                              <w:rPr>
                                <w:rFonts w:ascii="Cambria Math" w:hAnsi="Cambria Math"/>
                                <w:color w:val="000000" w:themeColor="text1"/>
                                <w:sz w:val="20"/>
                                <w:szCs w:val="20"/>
                              </w:rPr>
                              <m:t>O2</m:t>
                            </m:r>
                          </m:sub>
                        </m:sSub>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m:rPr>
                                <m:sty m:val="p"/>
                              </m:rPr>
                              <w:rPr>
                                <w:rFonts w:ascii="Cambria Math" w:hAnsi="Cambria Math"/>
                                <w:color w:val="000000" w:themeColor="text1"/>
                                <w:sz w:val="20"/>
                                <w:szCs w:val="20"/>
                              </w:rPr>
                              <m:t>*OOH</m:t>
                            </m:r>
                          </m:sub>
                        </m:sSub>
                      </m:e>
                    </m:d>
                  </m:e>
                  <m:sub>
                    <m:r>
                      <w:rPr>
                        <w:rFonts w:ascii="Cambria Math" w:hAnsi="Cambria Math"/>
                        <w:color w:val="000000" w:themeColor="text1"/>
                        <w:sz w:val="20"/>
                        <w:szCs w:val="20"/>
                      </w:rPr>
                      <m:t>U=0</m:t>
                    </m:r>
                  </m:sub>
                </m:sSub>
                <m:r>
                  <w:rPr>
                    <w:rFonts w:ascii="Cambria Math" w:hAnsi="Cambria Math"/>
                    <w:color w:val="000000" w:themeColor="text1"/>
                    <w:sz w:val="20"/>
                    <w:szCs w:val="20"/>
                  </w:rPr>
                  <m:t xml:space="preserve">-1.23 </m:t>
                </m:r>
                <m:r>
                  <m:rPr>
                    <m:sty m:val="p"/>
                  </m:rPr>
                  <w:rPr>
                    <w:rFonts w:ascii="Cambria Math" w:hAnsi="Cambria Math"/>
                    <w:color w:val="000000" w:themeColor="text1"/>
                    <w:sz w:val="20"/>
                    <w:szCs w:val="20"/>
                  </w:rPr>
                  <m:t>V</m:t>
                </m:r>
              </m:oMath>
            </m:oMathPara>
          </w:p>
        </w:tc>
        <w:tc>
          <w:tcPr>
            <w:tcW w:w="1134" w:type="dxa"/>
            <w:tcMar>
              <w:left w:w="28" w:type="dxa"/>
              <w:right w:w="28" w:type="dxa"/>
            </w:tcMar>
            <w:vAlign w:val="center"/>
          </w:tcPr>
          <w:p w14:paraId="6DE902AA" w14:textId="48B9AB65" w:rsidR="00EE423E" w:rsidRPr="00EE423E" w:rsidRDefault="00EE423E" w:rsidP="00E45E28">
            <w:pPr>
              <w:keepNext/>
              <w:jc w:val="right"/>
              <w:rPr>
                <w:bCs/>
                <w:sz w:val="20"/>
                <w:szCs w:val="20"/>
              </w:rPr>
            </w:pPr>
            <w:bookmarkStart w:id="90" w:name="_Ref159513945"/>
            <w:r w:rsidRPr="00EE423E">
              <w:rPr>
                <w:sz w:val="20"/>
                <w:szCs w:val="20"/>
              </w:rPr>
              <w:t xml:space="preserve">Equation </w:t>
            </w:r>
            <w:r w:rsidRPr="00EE423E">
              <w:rPr>
                <w:sz w:val="20"/>
                <w:szCs w:val="20"/>
              </w:rPr>
              <w:fldChar w:fldCharType="begin"/>
            </w:r>
            <w:r w:rsidRPr="00EE423E">
              <w:rPr>
                <w:sz w:val="20"/>
                <w:szCs w:val="20"/>
              </w:rPr>
              <w:instrText xml:space="preserve"> SEQ Equation \* ARABIC </w:instrText>
            </w:r>
            <w:r w:rsidRPr="00EE423E">
              <w:rPr>
                <w:sz w:val="20"/>
                <w:szCs w:val="20"/>
              </w:rPr>
              <w:fldChar w:fldCharType="separate"/>
            </w:r>
            <w:r w:rsidR="003255C0">
              <w:rPr>
                <w:noProof/>
                <w:sz w:val="20"/>
                <w:szCs w:val="20"/>
              </w:rPr>
              <w:t>68</w:t>
            </w:r>
            <w:r w:rsidRPr="00EE423E">
              <w:rPr>
                <w:sz w:val="20"/>
                <w:szCs w:val="20"/>
              </w:rPr>
              <w:fldChar w:fldCharType="end"/>
            </w:r>
            <w:bookmarkEnd w:id="90"/>
          </w:p>
        </w:tc>
      </w:tr>
    </w:tbl>
    <w:p w14:paraId="2CDB713D" w14:textId="77777777" w:rsidR="0028037F" w:rsidRPr="0028037F" w:rsidRDefault="0028037F" w:rsidP="00F5313D">
      <w:pPr>
        <w:rPr>
          <w:iCs/>
          <w:color w:val="000000" w:themeColor="text1"/>
          <w:szCs w:val="22"/>
          <w:lang w:val="en-GB"/>
        </w:rPr>
      </w:pPr>
    </w:p>
    <w:p w14:paraId="1991E21A" w14:textId="38D9BE02" w:rsidR="00F5313D" w:rsidRDefault="00F5313D" w:rsidP="0028037F">
      <w:pPr>
        <w:ind w:firstLine="720"/>
        <w:rPr>
          <w:color w:val="000000" w:themeColor="text1"/>
          <w:szCs w:val="22"/>
        </w:rPr>
      </w:pPr>
      <w:r w:rsidRPr="00EC6E98">
        <w:rPr>
          <w:iCs/>
          <w:color w:val="000000" w:themeColor="text1"/>
          <w:szCs w:val="22"/>
        </w:rPr>
        <w:t xml:space="preserve">While the analysis was performed at standard conditions, </w:t>
      </w:r>
      <w:r w:rsidRPr="00EC6E98">
        <w:rPr>
          <w:i/>
          <w:color w:val="000000" w:themeColor="text1"/>
          <w:szCs w:val="22"/>
        </w:rPr>
        <w:t>T</w:t>
      </w:r>
      <w:r w:rsidRPr="00EC6E98">
        <w:rPr>
          <w:iCs/>
          <w:color w:val="000000" w:themeColor="text1"/>
          <w:szCs w:val="22"/>
        </w:rPr>
        <w:t>=298.15</w:t>
      </w:r>
      <w:r w:rsidR="007552D5">
        <w:rPr>
          <w:iCs/>
          <w:color w:val="000000" w:themeColor="text1"/>
          <w:szCs w:val="22"/>
        </w:rPr>
        <w:t xml:space="preserve"> K</w:t>
      </w:r>
      <w:r w:rsidRPr="00EC6E98">
        <w:rPr>
          <w:iCs/>
          <w:color w:val="000000" w:themeColor="text1"/>
          <w:szCs w:val="22"/>
        </w:rPr>
        <w:t xml:space="preserve"> and pH=0, the computed theoretical overpotential is independent of pH </w:t>
      </w:r>
      <w:r w:rsidRPr="004B35B6">
        <w:rPr>
          <w:iCs/>
          <w:color w:val="000000" w:themeColor="text1"/>
          <w:szCs w:val="22"/>
        </w:rPr>
        <w:t xml:space="preserve">because the </w:t>
      </w:r>
      <m:oMath>
        <m:r>
          <w:rPr>
            <w:rFonts w:ascii="Cambria Math" w:hAnsi="Cambria Math"/>
            <w:color w:val="000000" w:themeColor="text1"/>
            <w:szCs w:val="22"/>
          </w:rPr>
          <m:t>∆</m:t>
        </m:r>
        <m:sSub>
          <m:sSubPr>
            <m:ctrlPr>
              <w:rPr>
                <w:rFonts w:ascii="Cambria Math" w:eastAsiaTheme="minorHAnsi" w:hAnsi="Cambria Math"/>
                <w:i/>
                <w:iCs/>
                <w:color w:val="000000" w:themeColor="text1"/>
                <w:szCs w:val="22"/>
              </w:rPr>
            </m:ctrlPr>
          </m:sSubPr>
          <m:e>
            <m:r>
              <w:rPr>
                <w:rFonts w:ascii="Cambria Math" w:hAnsi="Cambria Math"/>
                <w:color w:val="000000" w:themeColor="text1"/>
                <w:szCs w:val="22"/>
              </w:rPr>
              <m:t>G</m:t>
            </m:r>
          </m:e>
          <m:sub>
            <m:r>
              <w:rPr>
                <w:rFonts w:ascii="Cambria Math" w:hAnsi="Cambria Math"/>
                <w:color w:val="000000" w:themeColor="text1"/>
                <w:szCs w:val="22"/>
              </w:rPr>
              <m:t>i</m:t>
            </m:r>
          </m:sub>
        </m:sSub>
      </m:oMath>
      <w:r w:rsidRPr="004B35B6">
        <w:rPr>
          <w:iCs/>
          <w:color w:val="000000" w:themeColor="text1"/>
          <w:szCs w:val="22"/>
        </w:rPr>
        <w:t xml:space="preserve"> in </w:t>
      </w:r>
      <w:r w:rsidR="00EE423E" w:rsidRPr="004B35B6">
        <w:rPr>
          <w:iCs/>
          <w:color w:val="000000" w:themeColor="text1"/>
          <w:szCs w:val="22"/>
        </w:rPr>
        <w:fldChar w:fldCharType="begin"/>
      </w:r>
      <w:r w:rsidR="00EE423E" w:rsidRPr="004B35B6">
        <w:rPr>
          <w:iCs/>
          <w:color w:val="000000" w:themeColor="text1"/>
          <w:szCs w:val="22"/>
        </w:rPr>
        <w:instrText xml:space="preserve"> REF _Ref159513945 \h </w:instrText>
      </w:r>
      <w:r w:rsidR="004B35B6">
        <w:rPr>
          <w:iCs/>
          <w:color w:val="000000" w:themeColor="text1"/>
          <w:szCs w:val="22"/>
        </w:rPr>
        <w:instrText xml:space="preserve"> \* MERGEFORMAT </w:instrText>
      </w:r>
      <w:r w:rsidR="00EE423E" w:rsidRPr="004B35B6">
        <w:rPr>
          <w:iCs/>
          <w:color w:val="000000" w:themeColor="text1"/>
          <w:szCs w:val="22"/>
        </w:rPr>
      </w:r>
      <w:r w:rsidR="00EE423E" w:rsidRPr="004B35B6">
        <w:rPr>
          <w:iCs/>
          <w:color w:val="000000" w:themeColor="text1"/>
          <w:szCs w:val="22"/>
        </w:rPr>
        <w:fldChar w:fldCharType="separate"/>
      </w:r>
      <w:r w:rsidR="003255C0" w:rsidRPr="00245F0C">
        <w:rPr>
          <w:szCs w:val="22"/>
        </w:rPr>
        <w:t xml:space="preserve">Equation </w:t>
      </w:r>
      <w:r w:rsidR="003255C0" w:rsidRPr="00245F0C">
        <w:rPr>
          <w:noProof/>
          <w:szCs w:val="22"/>
        </w:rPr>
        <w:t>68</w:t>
      </w:r>
      <w:r w:rsidR="00EE423E" w:rsidRPr="004B35B6">
        <w:rPr>
          <w:iCs/>
          <w:color w:val="000000" w:themeColor="text1"/>
          <w:szCs w:val="22"/>
        </w:rPr>
        <w:fldChar w:fldCharType="end"/>
      </w:r>
      <w:r w:rsidR="00EE423E" w:rsidRPr="004B35B6">
        <w:rPr>
          <w:iCs/>
          <w:color w:val="000000" w:themeColor="text1"/>
          <w:szCs w:val="22"/>
        </w:rPr>
        <w:t xml:space="preserve"> </w:t>
      </w:r>
      <w:r w:rsidRPr="004B35B6">
        <w:rPr>
          <w:iCs/>
          <w:color w:val="000000" w:themeColor="text1"/>
          <w:szCs w:val="22"/>
        </w:rPr>
        <w:t xml:space="preserve">vary as </w:t>
      </w:r>
      <w:proofErr w:type="spellStart"/>
      <w:r w:rsidRPr="004B35B6">
        <w:rPr>
          <w:i/>
          <w:color w:val="000000" w:themeColor="text1"/>
          <w:szCs w:val="22"/>
        </w:rPr>
        <w:t>k</w:t>
      </w:r>
      <w:r w:rsidRPr="004B35B6">
        <w:rPr>
          <w:iCs/>
          <w:color w:val="000000" w:themeColor="text1"/>
          <w:szCs w:val="22"/>
          <w:vertAlign w:val="subscript"/>
        </w:rPr>
        <w:t>B</w:t>
      </w:r>
      <w:r w:rsidRPr="004B35B6">
        <w:rPr>
          <w:i/>
          <w:color w:val="000000" w:themeColor="text1"/>
          <w:szCs w:val="22"/>
        </w:rPr>
        <w:t>T</w:t>
      </w:r>
      <w:proofErr w:type="spellEnd"/>
      <w:r w:rsidRPr="004B35B6">
        <w:rPr>
          <w:iCs/>
          <w:color w:val="000000" w:themeColor="text1"/>
          <w:szCs w:val="22"/>
        </w:rPr>
        <w:t xml:space="preserve"> ln(10) pH with changes in pH since each reaction is a PCET, see </w:t>
      </w:r>
      <w:r w:rsidR="00EE423E" w:rsidRPr="004B35B6">
        <w:rPr>
          <w:iCs/>
          <w:color w:val="000000" w:themeColor="text1"/>
          <w:szCs w:val="22"/>
        </w:rPr>
        <w:fldChar w:fldCharType="begin"/>
      </w:r>
      <w:r w:rsidR="00EE423E" w:rsidRPr="004B35B6">
        <w:rPr>
          <w:iCs/>
          <w:color w:val="000000" w:themeColor="text1"/>
          <w:szCs w:val="22"/>
        </w:rPr>
        <w:instrText xml:space="preserve"> REF _Ref159508699 \h </w:instrText>
      </w:r>
      <w:r w:rsidR="004B35B6">
        <w:rPr>
          <w:iCs/>
          <w:color w:val="000000" w:themeColor="text1"/>
          <w:szCs w:val="22"/>
        </w:rPr>
        <w:instrText xml:space="preserve"> \* MERGEFORMAT </w:instrText>
      </w:r>
      <w:r w:rsidR="00EE423E" w:rsidRPr="004B35B6">
        <w:rPr>
          <w:iCs/>
          <w:color w:val="000000" w:themeColor="text1"/>
          <w:szCs w:val="22"/>
        </w:rPr>
      </w:r>
      <w:r w:rsidR="00EE423E" w:rsidRPr="004B35B6">
        <w:rPr>
          <w:iCs/>
          <w:color w:val="000000" w:themeColor="text1"/>
          <w:szCs w:val="22"/>
        </w:rPr>
        <w:fldChar w:fldCharType="separate"/>
      </w:r>
      <w:r w:rsidR="003255C0" w:rsidRPr="00245F0C">
        <w:rPr>
          <w:szCs w:val="22"/>
        </w:rPr>
        <w:t xml:space="preserve">Equation </w:t>
      </w:r>
      <w:r w:rsidR="003255C0" w:rsidRPr="00245F0C">
        <w:rPr>
          <w:noProof/>
          <w:szCs w:val="22"/>
        </w:rPr>
        <w:t>32</w:t>
      </w:r>
      <w:r w:rsidR="00EE423E" w:rsidRPr="004B35B6">
        <w:rPr>
          <w:iCs/>
          <w:color w:val="000000" w:themeColor="text1"/>
          <w:szCs w:val="22"/>
        </w:rPr>
        <w:fldChar w:fldCharType="end"/>
      </w:r>
      <w:r w:rsidRPr="004B35B6">
        <w:rPr>
          <w:iCs/>
          <w:color w:val="000000" w:themeColor="text1"/>
          <w:szCs w:val="22"/>
        </w:rPr>
        <w:t xml:space="preserve">. From </w:t>
      </w:r>
      <w:r w:rsidR="00EE423E" w:rsidRPr="004B35B6">
        <w:rPr>
          <w:iCs/>
          <w:color w:val="000000" w:themeColor="text1"/>
          <w:szCs w:val="22"/>
        </w:rPr>
        <w:fldChar w:fldCharType="begin"/>
      </w:r>
      <w:r w:rsidR="00EE423E" w:rsidRPr="004B35B6">
        <w:rPr>
          <w:iCs/>
          <w:color w:val="000000" w:themeColor="text1"/>
          <w:szCs w:val="22"/>
        </w:rPr>
        <w:instrText xml:space="preserve"> REF _Ref159513945 \h </w:instrText>
      </w:r>
      <w:r w:rsidR="004B35B6">
        <w:rPr>
          <w:iCs/>
          <w:color w:val="000000" w:themeColor="text1"/>
          <w:szCs w:val="22"/>
        </w:rPr>
        <w:instrText xml:space="preserve"> \* MERGEFORMAT </w:instrText>
      </w:r>
      <w:r w:rsidR="00EE423E" w:rsidRPr="004B35B6">
        <w:rPr>
          <w:iCs/>
          <w:color w:val="000000" w:themeColor="text1"/>
          <w:szCs w:val="22"/>
        </w:rPr>
      </w:r>
      <w:r w:rsidR="00EE423E" w:rsidRPr="004B35B6">
        <w:rPr>
          <w:iCs/>
          <w:color w:val="000000" w:themeColor="text1"/>
          <w:szCs w:val="22"/>
        </w:rPr>
        <w:fldChar w:fldCharType="separate"/>
      </w:r>
      <w:r w:rsidR="003255C0" w:rsidRPr="00245F0C">
        <w:rPr>
          <w:szCs w:val="22"/>
        </w:rPr>
        <w:t xml:space="preserve">Equation </w:t>
      </w:r>
      <w:r w:rsidR="003255C0" w:rsidRPr="00245F0C">
        <w:rPr>
          <w:noProof/>
          <w:szCs w:val="22"/>
        </w:rPr>
        <w:t>68</w:t>
      </w:r>
      <w:r w:rsidR="00EE423E" w:rsidRPr="004B35B6">
        <w:rPr>
          <w:iCs/>
          <w:color w:val="000000" w:themeColor="text1"/>
          <w:szCs w:val="22"/>
        </w:rPr>
        <w:fldChar w:fldCharType="end"/>
      </w:r>
      <w:r w:rsidR="00EE423E" w:rsidRPr="004B35B6">
        <w:rPr>
          <w:iCs/>
          <w:color w:val="000000" w:themeColor="text1"/>
          <w:szCs w:val="22"/>
        </w:rPr>
        <w:t xml:space="preserve"> </w:t>
      </w:r>
      <w:r w:rsidRPr="004B35B6">
        <w:rPr>
          <w:iCs/>
          <w:color w:val="000000" w:themeColor="text1"/>
          <w:szCs w:val="22"/>
        </w:rPr>
        <w:t>it</w:t>
      </w:r>
      <w:r w:rsidRPr="00EC6E98">
        <w:rPr>
          <w:iCs/>
          <w:color w:val="000000" w:themeColor="text1"/>
          <w:szCs w:val="22"/>
        </w:rPr>
        <w:t xml:space="preserve"> can be seen that in the ideal catalyst, the free energy change for each step is 1.23 V, which yields </w:t>
      </w:r>
      <m:oMath>
        <m:sSub>
          <m:sSubPr>
            <m:ctrlPr>
              <w:rPr>
                <w:rFonts w:ascii="Cambria Math" w:hAnsi="Cambria Math"/>
                <w:i/>
                <w:color w:val="000000" w:themeColor="text1"/>
                <w:szCs w:val="22"/>
              </w:rPr>
            </m:ctrlPr>
          </m:sSubPr>
          <m:e>
            <m:r>
              <w:rPr>
                <w:rFonts w:ascii="Cambria Math" w:hAnsi="Cambria Math"/>
                <w:i/>
                <w:color w:val="000000" w:themeColor="text1"/>
                <w:szCs w:val="22"/>
              </w:rPr>
              <w:sym w:font="Symbol" w:char="F068"/>
            </m:r>
          </m:e>
          <m:sub>
            <m:r>
              <m:rPr>
                <m:sty m:val="p"/>
              </m:rPr>
              <w:rPr>
                <w:rFonts w:ascii="Cambria Math" w:hAnsi="Cambria Math"/>
                <w:color w:val="000000" w:themeColor="text1"/>
                <w:szCs w:val="22"/>
                <w:vertAlign w:val="subscript"/>
              </w:rPr>
              <m:t>CHE</m:t>
            </m:r>
          </m:sub>
        </m:sSub>
        <m:r>
          <m:rPr>
            <m:sty m:val="p"/>
          </m:rPr>
          <w:rPr>
            <w:rFonts w:ascii="Cambria Math" w:hAnsi="Cambria Math"/>
            <w:color w:val="000000" w:themeColor="text1"/>
            <w:szCs w:val="22"/>
          </w:rPr>
          <m:t xml:space="preserve"> </m:t>
        </m:r>
        <m:r>
          <w:rPr>
            <w:rFonts w:ascii="Cambria Math" w:hAnsi="Cambria Math"/>
            <w:color w:val="000000" w:themeColor="text1"/>
            <w:szCs w:val="22"/>
          </w:rPr>
          <m:t>=0</m:t>
        </m:r>
      </m:oMath>
      <w:r w:rsidRPr="00EC6E98">
        <w:rPr>
          <w:iCs/>
          <w:color w:val="000000" w:themeColor="text1"/>
          <w:szCs w:val="22"/>
        </w:rPr>
        <w:t xml:space="preserve">, but in </w:t>
      </w:r>
      <w:r w:rsidRPr="00EC6E98">
        <w:rPr>
          <w:color w:val="000000" w:themeColor="text1"/>
          <w:szCs w:val="22"/>
        </w:rPr>
        <w:t>Refs.</w:t>
      </w:r>
      <w:r>
        <w:rPr>
          <w:color w:val="000000" w:themeColor="text1"/>
          <w:szCs w:val="22"/>
        </w:rPr>
        <w:t xml:space="preserve"> </w:t>
      </w:r>
      <w:r>
        <w:rPr>
          <w:color w:val="000000" w:themeColor="text1"/>
          <w:szCs w:val="22"/>
        </w:rPr>
        <w:fldChar w:fldCharType="begin">
          <w:fldData xml:space="preserve">PEVuZE5vdGU+PENpdGU+PEF1dGhvcj5Sb3NzbWVpc2w8L0F1dGhvcj48WWVhcj4yMDA1PC9ZZWFy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</w:fldData>
        </w:fldChar>
      </w:r>
      <w:r w:rsidR="00FC5BEB">
        <w:rPr>
          <w:color w:val="000000" w:themeColor="text1"/>
          <w:szCs w:val="22"/>
        </w:rPr>
        <w:instrText xml:space="preserve"> ADDIN EN.CITE </w:instrText>
      </w:r>
      <w:r w:rsidR="00FC5BEB">
        <w:rPr>
          <w:color w:val="000000" w:themeColor="text1"/>
          <w:szCs w:val="22"/>
        </w:rPr>
        <w:fldChar w:fldCharType="begin">
          <w:fldData xml:space="preserve">PEVuZE5vdGU+PENpdGU+PEF1dGhvcj5Sb3NzbWVpc2w8L0F1dGhvcj48WWVhcj4yMDA1PC9ZZWFy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</w:fldData>
        </w:fldChar>
      </w:r>
      <w:r w:rsidR="00FC5BEB">
        <w:rPr>
          <w:color w:val="000000" w:themeColor="text1"/>
          <w:szCs w:val="22"/>
        </w:rPr>
        <w:instrText xml:space="preserve"> ADDIN EN.CITE.DATA </w:instrText>
      </w:r>
      <w:r w:rsidR="00FC5BEB">
        <w:rPr>
          <w:color w:val="000000" w:themeColor="text1"/>
          <w:szCs w:val="22"/>
        </w:rPr>
      </w:r>
      <w:r w:rsidR="00FC5BEB">
        <w:rPr>
          <w:color w:val="000000" w:themeColor="text1"/>
          <w:szCs w:val="22"/>
        </w:rPr>
        <w:fldChar w:fldCharType="end"/>
      </w:r>
      <w:r>
        <w:rPr>
          <w:color w:val="000000" w:themeColor="text1"/>
          <w:szCs w:val="22"/>
        </w:rPr>
      </w:r>
      <w:r>
        <w:rPr>
          <w:color w:val="000000" w:themeColor="text1"/>
          <w:szCs w:val="22"/>
        </w:rPr>
        <w:fldChar w:fldCharType="separate"/>
      </w:r>
      <w:r w:rsidR="00FC5BEB" w:rsidRPr="00FC5BEB">
        <w:rPr>
          <w:noProof/>
          <w:color w:val="000000" w:themeColor="text1"/>
          <w:szCs w:val="22"/>
          <w:vertAlign w:val="superscript"/>
        </w:rPr>
        <w:t>87, 88</w:t>
      </w:r>
      <w:r>
        <w:rPr>
          <w:color w:val="000000" w:themeColor="text1"/>
          <w:szCs w:val="22"/>
        </w:rPr>
        <w:fldChar w:fldCharType="end"/>
      </w:r>
      <w:r>
        <w:rPr>
          <w:color w:val="000000" w:themeColor="text1"/>
          <w:szCs w:val="22"/>
        </w:rPr>
        <w:t xml:space="preserve">, </w:t>
      </w:r>
      <w:r w:rsidRPr="00EC6E98">
        <w:rPr>
          <w:color w:val="000000" w:themeColor="text1"/>
          <w:szCs w:val="22"/>
        </w:rPr>
        <w:t xml:space="preserve">it was shown that a linear relationship between the adsorption energies of </w:t>
      </w:r>
      <w:r>
        <w:rPr>
          <w:color w:val="000000" w:themeColor="text1"/>
          <w:szCs w:val="22"/>
        </w:rPr>
        <w:t>*O</w:t>
      </w:r>
      <w:r w:rsidRPr="00EC6E98">
        <w:rPr>
          <w:color w:val="000000" w:themeColor="text1"/>
          <w:szCs w:val="22"/>
        </w:rPr>
        <w:t xml:space="preserve"> and </w:t>
      </w:r>
      <w:r>
        <w:rPr>
          <w:color w:val="000000" w:themeColor="text1"/>
          <w:szCs w:val="22"/>
        </w:rPr>
        <w:t>*OH</w:t>
      </w:r>
      <w:r w:rsidRPr="00EC6E98">
        <w:rPr>
          <w:color w:val="000000" w:themeColor="text1"/>
          <w:szCs w:val="22"/>
        </w:rPr>
        <w:t xml:space="preserve"> and </w:t>
      </w:r>
      <w:r>
        <w:rPr>
          <w:color w:val="000000" w:themeColor="text1"/>
          <w:szCs w:val="22"/>
        </w:rPr>
        <w:t>*O</w:t>
      </w:r>
      <w:r w:rsidRPr="00EC6E98">
        <w:rPr>
          <w:color w:val="000000" w:themeColor="text1"/>
          <w:szCs w:val="22"/>
        </w:rPr>
        <w:t xml:space="preserve"> and </w:t>
      </w:r>
      <w:r>
        <w:rPr>
          <w:color w:val="000000" w:themeColor="text1"/>
          <w:szCs w:val="22"/>
        </w:rPr>
        <w:t>*OOH</w:t>
      </w:r>
      <w:r w:rsidRPr="00EC6E98">
        <w:rPr>
          <w:color w:val="000000" w:themeColor="text1"/>
          <w:szCs w:val="22"/>
        </w:rPr>
        <w:t xml:space="preserve"> tends to prevent rutile-type oxides from reaching this maximum, at least for RuO</w:t>
      </w:r>
      <w:r w:rsidRPr="00EC6E98">
        <w:rPr>
          <w:color w:val="000000" w:themeColor="text1"/>
          <w:szCs w:val="22"/>
          <w:vertAlign w:val="subscript"/>
        </w:rPr>
        <w:t>2</w:t>
      </w:r>
      <w:r w:rsidRPr="00EC6E98">
        <w:rPr>
          <w:color w:val="000000" w:themeColor="text1"/>
          <w:szCs w:val="22"/>
        </w:rPr>
        <w:t>, IrO</w:t>
      </w:r>
      <w:r w:rsidRPr="00EC6E98">
        <w:rPr>
          <w:color w:val="000000" w:themeColor="text1"/>
          <w:szCs w:val="22"/>
          <w:vertAlign w:val="subscript"/>
        </w:rPr>
        <w:t>2</w:t>
      </w:r>
      <w:r w:rsidRPr="00EC6E98">
        <w:rPr>
          <w:color w:val="000000" w:themeColor="text1"/>
          <w:szCs w:val="22"/>
        </w:rPr>
        <w:t>, and TiO</w:t>
      </w:r>
      <w:r w:rsidRPr="00EC6E98">
        <w:rPr>
          <w:color w:val="000000" w:themeColor="text1"/>
          <w:szCs w:val="22"/>
          <w:vertAlign w:val="subscript"/>
        </w:rPr>
        <w:t>2</w:t>
      </w:r>
      <w:r w:rsidRPr="00EC6E98">
        <w:rPr>
          <w:color w:val="000000" w:themeColor="text1"/>
          <w:szCs w:val="22"/>
        </w:rPr>
        <w:t>. In Ref.</w:t>
      </w:r>
      <w:r>
        <w:rPr>
          <w:color w:val="000000" w:themeColor="text1"/>
          <w:szCs w:val="22"/>
        </w:rPr>
        <w:t xml:space="preserve"> </w:t>
      </w:r>
      <w:r>
        <w:rPr>
          <w:color w:val="000000" w:themeColor="text1"/>
          <w:szCs w:val="22"/>
        </w:rPr>
        <w:fldChar w:fldCharType="begin"/>
      </w:r>
      <w:r w:rsidR="00FC5BEB">
        <w:rPr>
          <w:color w:val="000000" w:themeColor="text1"/>
          <w:szCs w:val="22"/>
        </w:rPr>
        <w:instrText xml:space="preserve"> ADDIN EN.CITE &lt;EndNote&gt;&lt;Cite&gt;&lt;Author&gt;Man&lt;/Author&gt;&lt;Year&gt;2011&lt;/Year&gt;&lt;RecNum&gt;99&lt;/RecNum&gt;&lt;DisplayText&gt;&lt;style face="superscript"&gt;101&lt;/style&gt;&lt;/DisplayText&gt;&lt;record&gt;&lt;rec-number&gt;99&lt;/rec-number&gt;&lt;foreign-keys&gt;&lt;key app="EN" db-id="2xex0erf4eexr4e2dpbxpdd829xttesxxxdr" timestamp="1715075296"&gt;99&lt;/key&gt;&lt;/foreign-keys&gt;&lt;ref-type name="Journal Article"&gt;17&lt;/ref-type&gt;&lt;contributors&gt;&lt;authors&gt;&lt;author&gt;Man, Isabela C.&lt;/author&gt;&lt;author&gt;Su, Hai-Yan&lt;/author&gt;&lt;author&gt;Calle-Vallejo, Federico&lt;/author&gt;&lt;author&gt;Hansen, Heine A.&lt;/author&gt;&lt;author&gt;Martínez, José I.&lt;/author&gt;&lt;author&gt;Inoglu, Nilay G.&lt;/author&gt;&lt;author&gt;Kitchin, John&lt;/author&gt;&lt;author&gt;Jaramillo, Thomas F.&lt;/author&gt;&lt;author&gt;Nørskov, Jens K.&lt;/author&gt;&lt;author&gt;Rossmeisl, Jan&lt;/author&gt;&lt;/authors&gt;&lt;/contributors&gt;&lt;titles&gt;&lt;title&gt;Universality in Oxygen Evolution Electrocatalysis on Oxide Surfaces&lt;/title&gt;&lt;secondary-title&gt;ChemCatChem&lt;/secondary-title&gt;&lt;/titles&gt;&lt;pages&gt;1159-1165&lt;/pages&gt;&lt;volume&gt;3&lt;/volume&gt;&lt;number&gt;7&lt;/number&gt;&lt;dates&gt;&lt;year&gt;2011&lt;/year&gt;&lt;/dates&gt;&lt;isbn&gt;1867-3880&lt;/isbn&gt;&lt;urls&gt;&lt;related-urls&gt;&lt;url&gt;https://chemistry-europe.onlinelibrary.wiley.com/doi/abs/10.1002/cctc.201000397&lt;/url&gt;&lt;/related-urls&gt;&lt;/urls&gt;&lt;electronic-resource-num&gt;https://doi.org/10.1002/cctc.201000397&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101</w:t>
      </w:r>
      <w:r>
        <w:rPr>
          <w:color w:val="000000" w:themeColor="text1"/>
          <w:szCs w:val="22"/>
        </w:rPr>
        <w:fldChar w:fldCharType="end"/>
      </w:r>
      <w:r w:rsidRPr="00EC6E98">
        <w:rPr>
          <w:color w:val="000000" w:themeColor="text1"/>
          <w:szCs w:val="22"/>
        </w:rPr>
        <w:t xml:space="preserve"> these scaling relationships were simplified and extended by exploring more than 30 different surfaces including, perovskites, rutile-type oxides, </w:t>
      </w:r>
      <w:proofErr w:type="spellStart"/>
      <w:r w:rsidRPr="00EC6E98">
        <w:rPr>
          <w:color w:val="000000" w:themeColor="text1"/>
          <w:szCs w:val="22"/>
        </w:rPr>
        <w:t>Mn</w:t>
      </w:r>
      <w:r w:rsidRPr="00EC6E98">
        <w:rPr>
          <w:color w:val="000000" w:themeColor="text1"/>
          <w:szCs w:val="22"/>
          <w:vertAlign w:val="subscript"/>
        </w:rPr>
        <w:t>x</w:t>
      </w:r>
      <w:r w:rsidRPr="00EC6E98">
        <w:rPr>
          <w:color w:val="000000" w:themeColor="text1"/>
          <w:szCs w:val="22"/>
        </w:rPr>
        <w:t>O</w:t>
      </w:r>
      <w:r w:rsidRPr="00EC6E98">
        <w:rPr>
          <w:color w:val="000000" w:themeColor="text1"/>
          <w:szCs w:val="22"/>
          <w:vertAlign w:val="subscript"/>
        </w:rPr>
        <w:t>y</w:t>
      </w:r>
      <w:proofErr w:type="spellEnd"/>
      <w:r w:rsidRPr="00EC6E98">
        <w:rPr>
          <w:color w:val="000000" w:themeColor="text1"/>
          <w:szCs w:val="22"/>
        </w:rPr>
        <w:t>, anatase, Co</w:t>
      </w:r>
      <w:r w:rsidRPr="00EC6E98">
        <w:rPr>
          <w:color w:val="000000" w:themeColor="text1"/>
          <w:szCs w:val="22"/>
          <w:vertAlign w:val="subscript"/>
        </w:rPr>
        <w:t>3</w:t>
      </w:r>
      <w:r w:rsidRPr="00EC6E98">
        <w:rPr>
          <w:color w:val="000000" w:themeColor="text1"/>
          <w:szCs w:val="22"/>
        </w:rPr>
        <w:t>O</w:t>
      </w:r>
      <w:r w:rsidRPr="00EC6E98">
        <w:rPr>
          <w:color w:val="000000" w:themeColor="text1"/>
          <w:szCs w:val="22"/>
          <w:vertAlign w:val="subscript"/>
        </w:rPr>
        <w:t>4</w:t>
      </w:r>
      <w:r w:rsidRPr="00EC6E98">
        <w:rPr>
          <w:color w:val="000000" w:themeColor="text1"/>
          <w:szCs w:val="22"/>
        </w:rPr>
        <w:t xml:space="preserve">, and </w:t>
      </w:r>
      <w:proofErr w:type="spellStart"/>
      <w:r w:rsidRPr="00EC6E98">
        <w:rPr>
          <w:color w:val="000000" w:themeColor="text1"/>
          <w:szCs w:val="22"/>
        </w:rPr>
        <w:t>NiO</w:t>
      </w:r>
      <w:proofErr w:type="spellEnd"/>
      <w:r w:rsidRPr="00EC6E98">
        <w:rPr>
          <w:color w:val="000000" w:themeColor="text1"/>
          <w:szCs w:val="22"/>
        </w:rPr>
        <w:t xml:space="preserve">. To make the problem more tractable the scaling relationships were simplified by exploiting the fact that the adsorption energy difference between </w:t>
      </w:r>
      <w:r>
        <w:rPr>
          <w:color w:val="000000" w:themeColor="text1"/>
          <w:szCs w:val="22"/>
        </w:rPr>
        <w:t>*OH</w:t>
      </w:r>
      <w:r w:rsidRPr="00EC6E98">
        <w:rPr>
          <w:color w:val="000000" w:themeColor="text1"/>
          <w:szCs w:val="22"/>
        </w:rPr>
        <w:t xml:space="preserve"> and </w:t>
      </w:r>
      <w:r>
        <w:rPr>
          <w:color w:val="000000" w:themeColor="text1"/>
          <w:szCs w:val="22"/>
        </w:rPr>
        <w:t>*OOH</w:t>
      </w:r>
      <w:r w:rsidRPr="00EC6E98">
        <w:rPr>
          <w:color w:val="000000" w:themeColor="text1"/>
          <w:szCs w:val="22"/>
        </w:rPr>
        <w:t xml:space="preserve"> can be written as </w:t>
      </w:r>
      <w:r w:rsidRPr="00EC6E98">
        <w:rPr>
          <w:color w:val="000000" w:themeColor="text1"/>
          <w:szCs w:val="22"/>
        </w:rPr>
        <w:sym w:font="Symbol" w:char="F044"/>
      </w:r>
      <w:r w:rsidRPr="00EC6E98">
        <w:rPr>
          <w:i/>
          <w:iCs/>
          <w:color w:val="000000" w:themeColor="text1"/>
          <w:szCs w:val="22"/>
        </w:rPr>
        <w:t>E</w:t>
      </w:r>
      <w:r>
        <w:rPr>
          <w:color w:val="000000" w:themeColor="text1"/>
          <w:szCs w:val="22"/>
          <w:vertAlign w:val="subscript"/>
        </w:rPr>
        <w:t>*OOH</w:t>
      </w:r>
      <w:r w:rsidRPr="00EC6E98">
        <w:rPr>
          <w:color w:val="000000" w:themeColor="text1"/>
          <w:szCs w:val="22"/>
        </w:rPr>
        <w:t>=</w:t>
      </w:r>
      <w:r w:rsidRPr="00EC6E98">
        <w:rPr>
          <w:color w:val="000000" w:themeColor="text1"/>
          <w:szCs w:val="22"/>
        </w:rPr>
        <w:sym w:font="Symbol" w:char="F044"/>
      </w:r>
      <w:r w:rsidRPr="00EC6E98">
        <w:rPr>
          <w:i/>
          <w:iCs/>
          <w:color w:val="000000" w:themeColor="text1"/>
          <w:szCs w:val="22"/>
        </w:rPr>
        <w:t>E</w:t>
      </w:r>
      <w:r>
        <w:rPr>
          <w:color w:val="000000" w:themeColor="text1"/>
          <w:szCs w:val="22"/>
          <w:vertAlign w:val="subscript"/>
        </w:rPr>
        <w:t>*OH</w:t>
      </w:r>
      <w:r w:rsidRPr="00EC6E98">
        <w:rPr>
          <w:color w:val="000000" w:themeColor="text1"/>
          <w:szCs w:val="22"/>
        </w:rPr>
        <w:t xml:space="preserve"> + 3.20 eV</w:t>
      </w:r>
      <w:r>
        <w:rPr>
          <w:color w:val="000000" w:themeColor="text1"/>
          <w:szCs w:val="22"/>
        </w:rPr>
        <w:fldChar w:fldCharType="begin"/>
      </w:r>
      <w:r w:rsidR="009F6662">
        <w:rPr>
          <w:color w:val="000000" w:themeColor="text1"/>
          <w:szCs w:val="22"/>
        </w:rPr>
        <w:instrText xml:space="preserve"> ADDIN EN.CITE &lt;EndNote&gt;&lt;Cite&gt;&lt;Author&gt;Koper&lt;/Author&gt;&lt;Year&gt;2011&lt;/Year&gt;&lt;RecNum&gt;47&lt;/RecNum&gt;&lt;DisplayText&gt;&lt;style face="superscript"&gt;47&lt;/style&gt;&lt;/DisplayText&gt;&lt;record&gt;&lt;rec-number&gt;47&lt;/rec-number&gt;&lt;foreign-keys&gt;&lt;key app="EN" db-id="2xex0erf4eexr4e2dpbxpdd829xttesxxxdr" timestamp="1715075296"&gt;47&lt;/key&gt;&lt;/foreign-keys&gt;&lt;ref-type name="Journal Article"&gt;17&lt;/ref-type&gt;&lt;contributors&gt;&lt;authors&gt;&lt;author&gt;Koper, Marc T. M.&lt;/author&gt;&lt;/authors&gt;&lt;/contributors&gt;&lt;titles&gt;&lt;title&gt;Thermodynamic theory of multi-electron transfer reactions: Implications for electrocatalysis&lt;/title&gt;&lt;secondary-title&gt;Journal of Electroanalytical Chemistry&lt;/secondary-title&gt;&lt;/titles&gt;&lt;periodical&gt;&lt;full-title&gt;Journal of Electroanalytical Chemistry&lt;/full-title&gt;&lt;abbr-1&gt;J. Electroanal. Chem.&lt;/abbr-1&gt;&lt;abbr-2&gt;J Electroanal Chem&lt;/abbr-2&gt;&lt;/periodical&gt;&lt;pages&gt;254-260&lt;/pages&gt;&lt;volume&gt;660&lt;/volume&gt;&lt;number&gt;2&lt;/number&gt;&lt;keywords&gt;&lt;keyword&gt;Electron transfer&lt;/keyword&gt;&lt;keyword&gt;Electrocatalysis&lt;/keyword&gt;&lt;keyword&gt;Thermodynamics&lt;/keyword&gt;&lt;keyword&gt;Oxygen reduction&lt;/keyword&gt;&lt;keyword&gt;Hydrogen evolution&lt;/keyword&gt;&lt;keyword&gt;Oxygen evolution&lt;/keyword&gt;&lt;/keywords&gt;&lt;dates&gt;&lt;year&gt;2011&lt;/year&gt;&lt;pub-dates&gt;&lt;date&gt;2011/09/15/&lt;/date&gt;&lt;/pub-dates&gt;&lt;/dates&gt;&lt;isbn&gt;1572-6657&lt;/isbn&gt;&lt;urls&gt;&lt;related-urls&gt;&lt;url&gt;https://www.sciencedirect.com/science/article/pii/S1572665710003917&lt;/url&gt;&lt;/related-urls&gt;&lt;/urls&gt;&lt;electronic-resource-num&gt;https://doi.org/10.1016/j.jelechem.2010.10.004&lt;/electronic-resource-num&gt;&lt;/record&gt;&lt;/Cite&gt;&lt;/EndNote&gt;</w:instrText>
      </w:r>
      <w:r>
        <w:rPr>
          <w:color w:val="000000" w:themeColor="text1"/>
          <w:szCs w:val="22"/>
        </w:rPr>
        <w:fldChar w:fldCharType="separate"/>
      </w:r>
      <w:r w:rsidR="009F6662" w:rsidRPr="009F6662">
        <w:rPr>
          <w:noProof/>
          <w:color w:val="000000" w:themeColor="text1"/>
          <w:szCs w:val="22"/>
          <w:vertAlign w:val="superscript"/>
        </w:rPr>
        <w:t>47</w:t>
      </w:r>
      <w:r>
        <w:rPr>
          <w:color w:val="000000" w:themeColor="text1"/>
          <w:szCs w:val="22"/>
        </w:rPr>
        <w:fldChar w:fldCharType="end"/>
      </w:r>
      <w:r>
        <w:rPr>
          <w:color w:val="000000" w:themeColor="text1"/>
          <w:szCs w:val="22"/>
        </w:rPr>
        <w:t>,</w:t>
      </w:r>
      <w:r w:rsidRPr="00EC6E98">
        <w:rPr>
          <w:color w:val="000000" w:themeColor="text1"/>
          <w:szCs w:val="22"/>
        </w:rPr>
        <w:t xml:space="preserve"> where the mean absolute error is 0.17 eV. The slope of 1 is expected since both the </w:t>
      </w:r>
      <w:r>
        <w:rPr>
          <w:color w:val="000000" w:themeColor="text1"/>
          <w:szCs w:val="22"/>
        </w:rPr>
        <w:t>*OOH</w:t>
      </w:r>
      <w:r w:rsidRPr="00EC6E98">
        <w:rPr>
          <w:color w:val="000000" w:themeColor="text1"/>
          <w:szCs w:val="22"/>
        </w:rPr>
        <w:t xml:space="preserve"> and </w:t>
      </w:r>
      <w:r>
        <w:rPr>
          <w:color w:val="000000" w:themeColor="text1"/>
          <w:szCs w:val="22"/>
        </w:rPr>
        <w:t>*OH</w:t>
      </w:r>
      <w:r w:rsidRPr="00EC6E98">
        <w:rPr>
          <w:color w:val="000000" w:themeColor="text1"/>
          <w:szCs w:val="22"/>
        </w:rPr>
        <w:t xml:space="preserve"> are bound to the surface by a single M-O bond</w:t>
      </w:r>
      <w:r>
        <w:rPr>
          <w:color w:val="000000" w:themeColor="text1"/>
          <w:szCs w:val="22"/>
          <w:shd w:val="clear" w:color="auto" w:fill="FFFFFF"/>
        </w:rPr>
        <w:fldChar w:fldCharType="begin">
          <w:fldData xml:space="preserve">PEVuZE5vdGU+PENpdGU+PEF1dGhvcj5BYmlsZC1QZWRlcnNlbjwvQXV0aG9yPjxZZWFyPjIwMDc8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</w:fldData>
        </w:fldChar>
      </w:r>
      <w:r w:rsidR="00FC5BEB">
        <w:rPr>
          <w:color w:val="000000" w:themeColor="text1"/>
          <w:szCs w:val="22"/>
          <w:shd w:val="clear" w:color="auto" w:fill="FFFFFF"/>
        </w:rPr>
        <w:instrText xml:space="preserve"> ADDIN EN.CITE </w:instrText>
      </w:r>
      <w:r w:rsidR="00FC5BEB">
        <w:rPr>
          <w:color w:val="000000" w:themeColor="text1"/>
          <w:szCs w:val="22"/>
          <w:shd w:val="clear" w:color="auto" w:fill="FFFFFF"/>
        </w:rPr>
        <w:fldChar w:fldCharType="begin">
          <w:fldData xml:space="preserve">PEVuZE5vdGU+PENpdGU+PEF1dGhvcj5BYmlsZC1QZWRlcnNlbjwvQXV0aG9yPjxZZWFyPjIwMDc8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</w:fldData>
        </w:fldChar>
      </w:r>
      <w:r w:rsidR="00FC5BEB">
        <w:rPr>
          <w:color w:val="000000" w:themeColor="text1"/>
          <w:szCs w:val="22"/>
          <w:shd w:val="clear" w:color="auto" w:fill="FFFFFF"/>
        </w:rPr>
        <w:instrText xml:space="preserve"> ADDIN EN.CITE.DATA </w:instrText>
      </w:r>
      <w:r w:rsidR="00FC5BEB">
        <w:rPr>
          <w:color w:val="000000" w:themeColor="text1"/>
          <w:szCs w:val="22"/>
          <w:shd w:val="clear" w:color="auto" w:fill="FFFFFF"/>
        </w:rPr>
      </w:r>
      <w:r w:rsidR="00FC5BEB">
        <w:rPr>
          <w:color w:val="000000" w:themeColor="text1"/>
          <w:szCs w:val="22"/>
          <w:shd w:val="clear" w:color="auto" w:fill="FFFFFF"/>
        </w:rPr>
        <w:fldChar w:fldCharType="end"/>
      </w:r>
      <w:r>
        <w:rPr>
          <w:color w:val="000000" w:themeColor="text1"/>
          <w:szCs w:val="22"/>
          <w:shd w:val="clear" w:color="auto" w:fill="FFFFFF"/>
        </w:rPr>
      </w:r>
      <w:r>
        <w:rPr>
          <w:color w:val="000000" w:themeColor="text1"/>
          <w:szCs w:val="22"/>
          <w:shd w:val="clear" w:color="auto" w:fill="FFFFFF"/>
        </w:rPr>
        <w:fldChar w:fldCharType="separate"/>
      </w:r>
      <w:r w:rsidR="00FC5BEB" w:rsidRPr="00FC5BEB">
        <w:rPr>
          <w:noProof/>
          <w:color w:val="000000" w:themeColor="text1"/>
          <w:szCs w:val="22"/>
          <w:shd w:val="clear" w:color="auto" w:fill="FFFFFF"/>
          <w:vertAlign w:val="superscript"/>
        </w:rPr>
        <w:t>47, 181, 182</w:t>
      </w:r>
      <w:r>
        <w:rPr>
          <w:color w:val="000000" w:themeColor="text1"/>
          <w:szCs w:val="22"/>
          <w:shd w:val="clear" w:color="auto" w:fill="FFFFFF"/>
        </w:rPr>
        <w:fldChar w:fldCharType="end"/>
      </w:r>
      <w:r w:rsidRPr="00EC6E98">
        <w:rPr>
          <w:color w:val="000000" w:themeColor="text1"/>
          <w:szCs w:val="22"/>
          <w:shd w:val="clear" w:color="auto" w:fill="FFFFFF"/>
        </w:rPr>
        <w:t>,</w:t>
      </w:r>
      <w:r w:rsidRPr="00EC6E98">
        <w:rPr>
          <w:color w:val="000000" w:themeColor="text1"/>
          <w:szCs w:val="22"/>
        </w:rPr>
        <w:t xml:space="preserve"> unlike the slope of 0.5 observed for the </w:t>
      </w:r>
      <w:r w:rsidRPr="00EC6E98">
        <w:rPr>
          <w:color w:val="000000" w:themeColor="text1"/>
          <w:szCs w:val="22"/>
        </w:rPr>
        <w:sym w:font="Symbol" w:char="F044"/>
      </w:r>
      <w:r w:rsidRPr="00EC6E98">
        <w:rPr>
          <w:i/>
          <w:iCs/>
          <w:color w:val="000000" w:themeColor="text1"/>
          <w:szCs w:val="22"/>
        </w:rPr>
        <w:t>E</w:t>
      </w:r>
      <w:r>
        <w:rPr>
          <w:color w:val="000000" w:themeColor="text1"/>
          <w:szCs w:val="22"/>
          <w:vertAlign w:val="subscript"/>
        </w:rPr>
        <w:t>*OH</w:t>
      </w:r>
      <w:r w:rsidRPr="00EC6E98">
        <w:rPr>
          <w:color w:val="000000" w:themeColor="text1"/>
          <w:szCs w:val="22"/>
        </w:rPr>
        <w:t>(</w:t>
      </w:r>
      <w:r w:rsidRPr="00EC6E98">
        <w:rPr>
          <w:color w:val="000000" w:themeColor="text1"/>
          <w:szCs w:val="22"/>
        </w:rPr>
        <w:sym w:font="Symbol" w:char="F044"/>
      </w:r>
      <w:r w:rsidRPr="00EC6E98">
        <w:rPr>
          <w:i/>
          <w:iCs/>
          <w:color w:val="000000" w:themeColor="text1"/>
          <w:szCs w:val="22"/>
        </w:rPr>
        <w:t>E</w:t>
      </w:r>
      <w:r>
        <w:rPr>
          <w:color w:val="000000" w:themeColor="text1"/>
          <w:szCs w:val="22"/>
          <w:vertAlign w:val="subscript"/>
        </w:rPr>
        <w:t>*O</w:t>
      </w:r>
      <w:r w:rsidRPr="00EC6E98">
        <w:rPr>
          <w:color w:val="000000" w:themeColor="text1"/>
          <w:szCs w:val="22"/>
        </w:rPr>
        <w:t xml:space="preserve">) and </w:t>
      </w:r>
      <w:r w:rsidRPr="00EC6E98">
        <w:rPr>
          <w:color w:val="000000" w:themeColor="text1"/>
          <w:szCs w:val="22"/>
        </w:rPr>
        <w:sym w:font="Symbol" w:char="F044"/>
      </w:r>
      <w:r w:rsidRPr="00EC6E98">
        <w:rPr>
          <w:i/>
          <w:iCs/>
          <w:color w:val="000000" w:themeColor="text1"/>
          <w:szCs w:val="22"/>
        </w:rPr>
        <w:t>E</w:t>
      </w:r>
      <w:r>
        <w:rPr>
          <w:color w:val="000000" w:themeColor="text1"/>
          <w:szCs w:val="22"/>
          <w:vertAlign w:val="subscript"/>
        </w:rPr>
        <w:t>*OOH</w:t>
      </w:r>
      <w:r w:rsidRPr="00EC6E98">
        <w:rPr>
          <w:color w:val="000000" w:themeColor="text1"/>
          <w:szCs w:val="22"/>
        </w:rPr>
        <w:t>(</w:t>
      </w:r>
      <w:r w:rsidRPr="00EC6E98">
        <w:rPr>
          <w:color w:val="000000" w:themeColor="text1"/>
          <w:szCs w:val="22"/>
        </w:rPr>
        <w:sym w:font="Symbol" w:char="F044"/>
      </w:r>
      <w:r w:rsidRPr="00EC6E98">
        <w:rPr>
          <w:i/>
          <w:iCs/>
          <w:color w:val="000000" w:themeColor="text1"/>
          <w:szCs w:val="22"/>
        </w:rPr>
        <w:t>E</w:t>
      </w:r>
      <w:r>
        <w:rPr>
          <w:color w:val="000000" w:themeColor="text1"/>
          <w:szCs w:val="22"/>
          <w:vertAlign w:val="subscript"/>
        </w:rPr>
        <w:t>*O</w:t>
      </w:r>
      <w:r w:rsidRPr="00EC6E98">
        <w:rPr>
          <w:color w:val="000000" w:themeColor="text1"/>
          <w:szCs w:val="22"/>
        </w:rPr>
        <w:t xml:space="preserve">) scaling relationships that emerges </w:t>
      </w:r>
      <w:r>
        <w:rPr>
          <w:color w:val="000000" w:themeColor="text1"/>
          <w:szCs w:val="22"/>
        </w:rPr>
        <w:t xml:space="preserve">ostensibly </w:t>
      </w:r>
      <w:r w:rsidRPr="00EC6E98">
        <w:rPr>
          <w:color w:val="000000" w:themeColor="text1"/>
          <w:szCs w:val="22"/>
        </w:rPr>
        <w:t xml:space="preserve">because </w:t>
      </w:r>
      <w:r>
        <w:rPr>
          <w:color w:val="000000" w:themeColor="text1"/>
          <w:szCs w:val="22"/>
        </w:rPr>
        <w:t>*O</w:t>
      </w:r>
      <w:r w:rsidRPr="00EC6E98">
        <w:rPr>
          <w:color w:val="000000" w:themeColor="text1"/>
          <w:szCs w:val="22"/>
        </w:rPr>
        <w:t xml:space="preserve"> is bound to the surface by a</w:t>
      </w:r>
      <w:r>
        <w:rPr>
          <w:color w:val="000000" w:themeColor="text1"/>
          <w:szCs w:val="22"/>
        </w:rPr>
        <w:t>n</w:t>
      </w:r>
      <w:r w:rsidRPr="00EC6E98">
        <w:rPr>
          <w:color w:val="000000" w:themeColor="text1"/>
          <w:szCs w:val="22"/>
        </w:rPr>
        <w:t xml:space="preserve"> M=O double bond</w:t>
      </w:r>
      <w:r>
        <w:rPr>
          <w:color w:val="000000" w:themeColor="text1"/>
          <w:szCs w:val="22"/>
        </w:rPr>
        <w:t xml:space="preserve"> or alternatively because *O requires 2 electrons and both *OH and *OOH require only one electron to complete their octet</w:t>
      </w:r>
      <w:r>
        <w:rPr>
          <w:color w:val="000000" w:themeColor="text1"/>
          <w:szCs w:val="22"/>
        </w:rPr>
        <w:fldChar w:fldCharType="begin"/>
      </w:r>
      <w:r w:rsidR="00FC5BEB">
        <w:rPr>
          <w:color w:val="000000" w:themeColor="text1"/>
          <w:szCs w:val="22"/>
        </w:rPr>
        <w:instrText xml:space="preserve"> ADDIN EN.CITE &lt;EndNote&gt;&lt;Cite&gt;&lt;Author&gt;Calle-Vallejo&lt;/Author&gt;&lt;Year&gt;2012&lt;/Year&gt;&lt;RecNum&gt;180&lt;/RecNum&gt;&lt;DisplayText&gt;&lt;style face="superscript"&gt;182&lt;/style&gt;&lt;/DisplayText&gt;&lt;record&gt;&lt;rec-number&gt;180&lt;/rec-number&gt;&lt;foreign-keys&gt;&lt;key app="EN" db-id="2xex0erf4eexr4e2dpbxpdd829xttesxxxdr" timestamp="1715075296"&gt;180&lt;/key&gt;&lt;/foreign-keys&gt;&lt;ref-type name="Journal Article"&gt;17&lt;/ref-type&gt;&lt;contributors&gt;&lt;authors&gt;&lt;author&gt;Calle-Vallejo, F.&lt;/author&gt;&lt;author&gt;Martínez, J. I.&lt;/author&gt;&lt;author&gt;García-Lastra, J. M.&lt;/author&gt;&lt;author&gt;Rossmeisl, J.&lt;/author&gt;&lt;author&gt;Koper, M. T. M.&lt;/author&gt;&lt;/authors&gt;&lt;/contributors&gt;&lt;titles&gt;&lt;title&gt;Physical and Chemical Nature of the Scaling Relations between Adsorption Energies of Atoms on Metal Surfaces&lt;/title&gt;&lt;secondary-title&gt;Physical Review Letters&lt;/secondary-title&gt;&lt;/titles&gt;&lt;periodical&gt;&lt;full-title&gt;Physical Review Letters&lt;/full-title&gt;&lt;abbr-1&gt;Phys. Rev. Lett.&lt;/abbr-1&gt;&lt;abbr-2&gt;Phys Rev Lett&lt;/abbr-2&gt;&lt;/periodical&gt;&lt;pages&gt;116103&lt;/pages&gt;&lt;volume&gt;108&lt;/volume&gt;&lt;number&gt;11&lt;/number&gt;&lt;dates&gt;&lt;year&gt;2012&lt;/year&gt;&lt;pub-dates&gt;&lt;date&gt;03/16/&lt;/date&gt;&lt;/pub-dates&gt;&lt;/dates&gt;&lt;publisher&gt;American Physical Society&lt;/publisher&gt;&lt;urls&gt;&lt;related-urls&gt;&lt;url&gt;https://link.aps.org/doi/10.1103/PhysRevLett.108.116103&lt;/url&gt;&lt;/related-urls&gt;&lt;/urls&gt;&lt;electronic-resource-num&gt;10.1103/PhysRevLett.108.116103&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182</w:t>
      </w:r>
      <w:r>
        <w:rPr>
          <w:color w:val="000000" w:themeColor="text1"/>
          <w:szCs w:val="22"/>
        </w:rPr>
        <w:fldChar w:fldCharType="end"/>
      </w:r>
      <w:r>
        <w:rPr>
          <w:color w:val="000000" w:themeColor="text1"/>
          <w:szCs w:val="22"/>
        </w:rPr>
        <w:t>.</w:t>
      </w:r>
    </w:p>
    <w:p w14:paraId="42AB7781" w14:textId="77777777" w:rsidR="00F5313D" w:rsidRPr="00EC6E98" w:rsidRDefault="00F5313D" w:rsidP="00F5313D">
      <w:pPr>
        <w:rPr>
          <w:color w:val="000000" w:themeColor="text1"/>
          <w:szCs w:val="22"/>
        </w:rPr>
      </w:pPr>
    </w:p>
    <w:p w14:paraId="47145FA9" w14:textId="05EC4504" w:rsidR="00F5313D" w:rsidRPr="00EC6E98" w:rsidRDefault="00F5313D" w:rsidP="00F5313D">
      <w:pPr>
        <w:rPr>
          <w:color w:val="000000" w:themeColor="text1"/>
          <w:szCs w:val="22"/>
        </w:rPr>
      </w:pPr>
      <w:r w:rsidRPr="00EC6E98">
        <w:rPr>
          <w:color w:val="000000" w:themeColor="text1"/>
          <w:szCs w:val="22"/>
        </w:rPr>
        <w:tab/>
        <w:t xml:space="preserve">Because the optimal catalyst has </w:t>
      </w:r>
      <w:r w:rsidRPr="00EC6E98">
        <w:rPr>
          <w:color w:val="000000" w:themeColor="text1"/>
          <w:szCs w:val="22"/>
        </w:rPr>
        <w:sym w:font="Symbol" w:char="F044"/>
      </w:r>
      <w:r w:rsidRPr="00EC6E98">
        <w:rPr>
          <w:i/>
          <w:iCs/>
          <w:color w:val="000000" w:themeColor="text1"/>
          <w:szCs w:val="22"/>
        </w:rPr>
        <w:t>E</w:t>
      </w:r>
      <w:r>
        <w:rPr>
          <w:color w:val="000000" w:themeColor="text1"/>
          <w:szCs w:val="22"/>
          <w:vertAlign w:val="subscript"/>
        </w:rPr>
        <w:t>*OOH</w:t>
      </w:r>
      <w:r w:rsidRPr="00EC6E98">
        <w:rPr>
          <w:color w:val="000000" w:themeColor="text1"/>
          <w:szCs w:val="22"/>
        </w:rPr>
        <w:t>=</w:t>
      </w:r>
      <w:r w:rsidRPr="00EC6E98">
        <w:rPr>
          <w:color w:val="000000" w:themeColor="text1"/>
          <w:szCs w:val="22"/>
        </w:rPr>
        <w:sym w:font="Symbol" w:char="F044"/>
      </w:r>
      <w:r w:rsidRPr="00EC6E98">
        <w:rPr>
          <w:i/>
          <w:iCs/>
          <w:color w:val="000000" w:themeColor="text1"/>
          <w:szCs w:val="22"/>
        </w:rPr>
        <w:t>E</w:t>
      </w:r>
      <w:r>
        <w:rPr>
          <w:color w:val="000000" w:themeColor="text1"/>
          <w:szCs w:val="22"/>
          <w:vertAlign w:val="subscript"/>
        </w:rPr>
        <w:t>*OH</w:t>
      </w:r>
      <w:r w:rsidRPr="00EC6E98">
        <w:rPr>
          <w:color w:val="000000" w:themeColor="text1"/>
          <w:szCs w:val="22"/>
        </w:rPr>
        <w:t xml:space="preserve"> + 2.46 eV—recall the free energy of reaction for each PCET step at </w:t>
      </w:r>
      <w:r w:rsidRPr="00EC6E98">
        <w:rPr>
          <w:i/>
          <w:iCs/>
          <w:color w:val="000000" w:themeColor="text1"/>
          <w:szCs w:val="22"/>
        </w:rPr>
        <w:t>U</w:t>
      </w:r>
      <w:r w:rsidRPr="00EC6E98">
        <w:rPr>
          <w:color w:val="000000" w:themeColor="text1"/>
          <w:szCs w:val="22"/>
        </w:rPr>
        <w:t>=0 V should by</w:t>
      </w:r>
      <w:r w:rsidRPr="00EC6E98">
        <w:rPr>
          <w:i/>
          <w:iCs/>
          <w:color w:val="000000" w:themeColor="text1"/>
          <w:szCs w:val="22"/>
        </w:rPr>
        <w:t xml:space="preserve"> </w:t>
      </w:r>
      <w:r w:rsidRPr="00EC6E98">
        <w:rPr>
          <w:color w:val="000000" w:themeColor="text1"/>
          <w:szCs w:val="22"/>
        </w:rPr>
        <w:t xml:space="preserve">1.23 eV and two steps separate </w:t>
      </w:r>
      <w:r>
        <w:rPr>
          <w:color w:val="000000" w:themeColor="text1"/>
          <w:szCs w:val="22"/>
        </w:rPr>
        <w:t>*OH</w:t>
      </w:r>
      <w:r w:rsidRPr="00EC6E98">
        <w:rPr>
          <w:color w:val="000000" w:themeColor="text1"/>
          <w:szCs w:val="22"/>
        </w:rPr>
        <w:t xml:space="preserve"> and </w:t>
      </w:r>
      <w:r>
        <w:rPr>
          <w:color w:val="000000" w:themeColor="text1"/>
          <w:szCs w:val="22"/>
        </w:rPr>
        <w:t>*OOH</w:t>
      </w:r>
      <w:r w:rsidRPr="00EC6E98">
        <w:rPr>
          <w:color w:val="000000" w:themeColor="text1"/>
          <w:szCs w:val="22"/>
        </w:rPr>
        <w:t xml:space="preserve">—the observed </w:t>
      </w:r>
      <w:r w:rsidRPr="00EC6E98">
        <w:rPr>
          <w:color w:val="000000" w:themeColor="text1"/>
          <w:szCs w:val="22"/>
        </w:rPr>
        <w:sym w:font="Symbol" w:char="F044"/>
      </w:r>
      <w:r w:rsidRPr="00EC6E98">
        <w:rPr>
          <w:i/>
          <w:iCs/>
          <w:color w:val="000000" w:themeColor="text1"/>
          <w:szCs w:val="22"/>
        </w:rPr>
        <w:t>E</w:t>
      </w:r>
      <w:r>
        <w:rPr>
          <w:color w:val="000000" w:themeColor="text1"/>
          <w:szCs w:val="22"/>
          <w:vertAlign w:val="subscript"/>
        </w:rPr>
        <w:t>*OOH</w:t>
      </w:r>
      <w:r w:rsidRPr="00EC6E98">
        <w:rPr>
          <w:color w:val="000000" w:themeColor="text1"/>
          <w:szCs w:val="22"/>
        </w:rPr>
        <w:t>=</w:t>
      </w:r>
      <w:r w:rsidRPr="00EC6E98">
        <w:rPr>
          <w:color w:val="000000" w:themeColor="text1"/>
          <w:szCs w:val="22"/>
        </w:rPr>
        <w:sym w:font="Symbol" w:char="F044"/>
      </w:r>
      <w:r w:rsidRPr="00EC6E98">
        <w:rPr>
          <w:i/>
          <w:iCs/>
          <w:color w:val="000000" w:themeColor="text1"/>
          <w:szCs w:val="22"/>
        </w:rPr>
        <w:t>E</w:t>
      </w:r>
      <w:r>
        <w:rPr>
          <w:color w:val="000000" w:themeColor="text1"/>
          <w:szCs w:val="22"/>
          <w:vertAlign w:val="subscript"/>
        </w:rPr>
        <w:t>*OH</w:t>
      </w:r>
      <w:r w:rsidRPr="00EC6E98">
        <w:rPr>
          <w:color w:val="000000" w:themeColor="text1"/>
          <w:szCs w:val="22"/>
        </w:rPr>
        <w:t xml:space="preserve"> + 3.20 eV scaling relationship limits the </w:t>
      </w:r>
      <w:r>
        <w:rPr>
          <w:color w:val="000000" w:themeColor="text1"/>
          <w:szCs w:val="22"/>
        </w:rPr>
        <w:t xml:space="preserve">(average) </w:t>
      </w:r>
      <w:r w:rsidRPr="00EC6E98">
        <w:rPr>
          <w:color w:val="000000" w:themeColor="text1"/>
          <w:szCs w:val="22"/>
        </w:rPr>
        <w:t xml:space="preserve">minimum theoretical overpotential to </w:t>
      </w:r>
      <w:proofErr w:type="gramStart"/>
      <w:r w:rsidRPr="00EC6E98">
        <w:rPr>
          <w:color w:val="000000" w:themeColor="text1"/>
          <w:szCs w:val="22"/>
        </w:rPr>
        <w:t>min(</w:t>
      </w:r>
      <w:proofErr w:type="gramEnd"/>
      <w:r w:rsidRPr="00EC6E98">
        <w:rPr>
          <w:i/>
          <w:color w:val="000000" w:themeColor="text1"/>
          <w:szCs w:val="22"/>
        </w:rPr>
        <w:sym w:font="Symbol" w:char="F068"/>
      </w:r>
      <w:r w:rsidRPr="00EC6E98">
        <w:rPr>
          <w:iCs/>
          <w:color w:val="000000" w:themeColor="text1"/>
          <w:szCs w:val="22"/>
          <w:vertAlign w:val="subscript"/>
        </w:rPr>
        <w:t>CHE</w:t>
      </w:r>
      <w:r w:rsidRPr="00EC6E98">
        <w:rPr>
          <w:color w:val="000000" w:themeColor="text1"/>
          <w:szCs w:val="22"/>
        </w:rPr>
        <w:t xml:space="preserve"> )= (3.40 eV -2.46 eV)/ 2</w:t>
      </w:r>
      <w:r w:rsidRPr="00EC6E98">
        <w:rPr>
          <w:i/>
          <w:iCs/>
          <w:color w:val="000000" w:themeColor="text1"/>
          <w:szCs w:val="22"/>
        </w:rPr>
        <w:t>e</w:t>
      </w:r>
      <w:r w:rsidRPr="00EC6E98">
        <w:rPr>
          <w:color w:val="000000" w:themeColor="text1"/>
          <w:szCs w:val="22"/>
        </w:rPr>
        <w:t xml:space="preserve"> = 0.37 V. Of course, this is true only so far as the assumptions in the model and the scaling relationships remain valid. </w:t>
      </w:r>
      <w:r w:rsidR="00E14DA4">
        <w:rPr>
          <w:color w:val="000000" w:themeColor="text1"/>
          <w:szCs w:val="22"/>
        </w:rPr>
        <w:t xml:space="preserve">With a mean absolute error </w:t>
      </w:r>
      <w:proofErr w:type="gramStart"/>
      <w:r w:rsidR="00E14DA4">
        <w:rPr>
          <w:color w:val="000000" w:themeColor="text1"/>
          <w:szCs w:val="22"/>
        </w:rPr>
        <w:t>of  0.17</w:t>
      </w:r>
      <w:proofErr w:type="gramEnd"/>
      <w:r w:rsidR="00E14DA4">
        <w:rPr>
          <w:color w:val="000000" w:themeColor="text1"/>
          <w:szCs w:val="22"/>
        </w:rPr>
        <w:t xml:space="preserve"> eV, the assumptions</w:t>
      </w:r>
      <w:r w:rsidRPr="00EC6E98">
        <w:rPr>
          <w:color w:val="000000" w:themeColor="text1"/>
          <w:szCs w:val="22"/>
        </w:rPr>
        <w:t xml:space="preserve"> </w:t>
      </w:r>
      <w:r w:rsidR="00E14DA4">
        <w:rPr>
          <w:color w:val="000000" w:themeColor="text1"/>
          <w:szCs w:val="22"/>
        </w:rPr>
        <w:t>underlying the scaling relationship appears</w:t>
      </w:r>
      <w:r w:rsidRPr="00EC6E98">
        <w:rPr>
          <w:color w:val="000000" w:themeColor="text1"/>
          <w:szCs w:val="22"/>
        </w:rPr>
        <w:t xml:space="preserve"> to be hold empirically.</w:t>
      </w:r>
      <w:r w:rsidR="003C1A89">
        <w:rPr>
          <w:color w:val="000000" w:themeColor="text1"/>
          <w:szCs w:val="22"/>
        </w:rPr>
        <w:t xml:space="preserve"> </w:t>
      </w:r>
      <w:r w:rsidR="003C1A89" w:rsidRPr="003C1A89">
        <w:rPr>
          <w:color w:val="000000" w:themeColor="text1"/>
          <w:szCs w:val="22"/>
        </w:rPr>
        <w:t>In fact, the mean absolute error is in line with the intrinsic (i.e. exchange and correlation functional-related) error in DFT used to compute the adsorption energies.</w:t>
      </w:r>
      <w:r w:rsidR="003C1A89">
        <w:rPr>
          <w:color w:val="000000" w:themeColor="text1"/>
          <w:szCs w:val="22"/>
        </w:rPr>
        <w:fldChar w:fldCharType="begin">
          <w:fldData xml:space="preserve">PEVuZE5vdGU+PENpdGU+PEF1dGhvcj5BcmF1am88L0F1dGhvcj48WWVhcj4yMDIyPC9ZZWFyPjxS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=
</w:fldData>
        </w:fldChar>
      </w:r>
      <w:r w:rsidR="00FC5BEB">
        <w:rPr>
          <w:color w:val="000000" w:themeColor="text1"/>
          <w:szCs w:val="22"/>
        </w:rPr>
        <w:instrText xml:space="preserve"> ADDIN EN.CITE </w:instrText>
      </w:r>
      <w:r w:rsidR="00FC5BEB">
        <w:rPr>
          <w:color w:val="000000" w:themeColor="text1"/>
          <w:szCs w:val="22"/>
        </w:rPr>
        <w:fldChar w:fldCharType="begin">
          <w:fldData xml:space="preserve">PEVuZE5vdGU+PENpdGU+PEF1dGhvcj5BcmF1am88L0F1dGhvcj48WWVhcj4yMDIyPC9ZZWFyPjxS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=
</w:fldData>
        </w:fldChar>
      </w:r>
      <w:r w:rsidR="00FC5BEB">
        <w:rPr>
          <w:color w:val="000000" w:themeColor="text1"/>
          <w:szCs w:val="22"/>
        </w:rPr>
        <w:instrText xml:space="preserve"> ADDIN EN.CITE.DATA </w:instrText>
      </w:r>
      <w:r w:rsidR="00FC5BEB">
        <w:rPr>
          <w:color w:val="000000" w:themeColor="text1"/>
          <w:szCs w:val="22"/>
        </w:rPr>
      </w:r>
      <w:r w:rsidR="00FC5BEB">
        <w:rPr>
          <w:color w:val="000000" w:themeColor="text1"/>
          <w:szCs w:val="22"/>
        </w:rPr>
        <w:fldChar w:fldCharType="end"/>
      </w:r>
      <w:r w:rsidR="003C1A89">
        <w:rPr>
          <w:color w:val="000000" w:themeColor="text1"/>
          <w:szCs w:val="22"/>
        </w:rPr>
      </w:r>
      <w:r w:rsidR="003C1A89">
        <w:rPr>
          <w:color w:val="000000" w:themeColor="text1"/>
          <w:szCs w:val="22"/>
        </w:rPr>
        <w:fldChar w:fldCharType="separate"/>
      </w:r>
      <w:r w:rsidR="00FC5BEB" w:rsidRPr="00FC5BEB">
        <w:rPr>
          <w:noProof/>
          <w:color w:val="000000" w:themeColor="text1"/>
          <w:szCs w:val="22"/>
          <w:vertAlign w:val="superscript"/>
        </w:rPr>
        <w:t>215, 216</w:t>
      </w:r>
      <w:r w:rsidR="003C1A89">
        <w:rPr>
          <w:color w:val="000000" w:themeColor="text1"/>
          <w:szCs w:val="22"/>
        </w:rPr>
        <w:fldChar w:fldCharType="end"/>
      </w:r>
      <w:r w:rsidR="003C1A89" w:rsidRPr="003C1A89">
        <w:rPr>
          <w:color w:val="000000" w:themeColor="text1"/>
          <w:szCs w:val="22"/>
        </w:rPr>
        <w:t xml:space="preserve"> We need to keep in mind that such an uncertainty in a barrier leads a ~3 order of magnitude uncertainty in a rate, hence improving the overpotential of an electrocatalyst by 0.17 V would be a great achievement. Quantitative predictions with this kind of uncertainty (originating from both the linear scaling approximation and from DFT errors) are therefore problematic; thus, this type of analysis is more suited to identifying trends.</w:t>
      </w:r>
    </w:p>
    <w:p w14:paraId="73A6C164" w14:textId="77777777" w:rsidR="00F5313D" w:rsidRPr="00EC6E98" w:rsidRDefault="00F5313D" w:rsidP="00F5313D">
      <w:pPr>
        <w:rPr>
          <w:color w:val="000000" w:themeColor="text1"/>
          <w:szCs w:val="22"/>
        </w:rPr>
      </w:pPr>
    </w:p>
    <w:p w14:paraId="5F5601DA" w14:textId="3B70340C" w:rsidR="00F5313D" w:rsidRPr="00EC6E98" w:rsidRDefault="00F5313D" w:rsidP="00F5313D">
      <w:pPr>
        <w:rPr>
          <w:color w:val="000000" w:themeColor="text1"/>
          <w:szCs w:val="22"/>
        </w:rPr>
      </w:pPr>
      <w:r w:rsidRPr="00EC6E98">
        <w:rPr>
          <w:color w:val="000000" w:themeColor="text1"/>
          <w:szCs w:val="22"/>
        </w:rPr>
        <w:tab/>
        <w:t xml:space="preserve">From the preceding analysis, the authors of Ref. </w:t>
      </w:r>
      <w:r>
        <w:rPr>
          <w:color w:val="000000" w:themeColor="text1"/>
          <w:szCs w:val="22"/>
        </w:rPr>
        <w:fldChar w:fldCharType="begin"/>
      </w:r>
      <w:r w:rsidR="00FC5BEB">
        <w:rPr>
          <w:color w:val="000000" w:themeColor="text1"/>
          <w:szCs w:val="22"/>
        </w:rPr>
        <w:instrText xml:space="preserve"> ADDIN EN.CITE &lt;EndNote&gt;&lt;Cite&gt;&lt;Author&gt;Man&lt;/Author&gt;&lt;Year&gt;2011&lt;/Year&gt;&lt;RecNum&gt;99&lt;/RecNum&gt;&lt;DisplayText&gt;&lt;style face="superscript"&gt;101&lt;/style&gt;&lt;/DisplayText&gt;&lt;record&gt;&lt;rec-number&gt;99&lt;/rec-number&gt;&lt;foreign-keys&gt;&lt;key app="EN" db-id="2xex0erf4eexr4e2dpbxpdd829xttesxxxdr" timestamp="1715075296"&gt;99&lt;/key&gt;&lt;/foreign-keys&gt;&lt;ref-type name="Journal Article"&gt;17&lt;/ref-type&gt;&lt;contributors&gt;&lt;authors&gt;&lt;author&gt;Man, Isabela C.&lt;/author&gt;&lt;author&gt;Su, Hai-Yan&lt;/author&gt;&lt;author&gt;Calle-Vallejo, Federico&lt;/author&gt;&lt;author&gt;Hansen, Heine A.&lt;/author&gt;&lt;author&gt;Martínez, José I.&lt;/author&gt;&lt;author&gt;Inoglu, Nilay G.&lt;/author&gt;&lt;author&gt;Kitchin, John&lt;/author&gt;&lt;author&gt;Jaramillo, Thomas F.&lt;/author&gt;&lt;author&gt;Nørskov, Jens K.&lt;/author&gt;&lt;author&gt;Rossmeisl, Jan&lt;/author&gt;&lt;/authors&gt;&lt;/contributors&gt;&lt;titles&gt;&lt;title&gt;Universality in Oxygen Evolution Electrocatalysis on Oxide Surfaces&lt;/title&gt;&lt;secondary-title&gt;ChemCatChem&lt;/secondary-title&gt;&lt;/titles&gt;&lt;pages&gt;1159-1165&lt;/pages&gt;&lt;volume&gt;3&lt;/volume&gt;&lt;number&gt;7&lt;/number&gt;&lt;dates&gt;&lt;year&gt;2011&lt;/year&gt;&lt;/dates&gt;&lt;isbn&gt;1867-3880&lt;/isbn&gt;&lt;urls&gt;&lt;related-urls&gt;&lt;url&gt;https://chemistry-europe.onlinelibrary.wiley.com/doi/abs/10.1002/cctc.201000397&lt;/url&gt;&lt;/related-urls&gt;&lt;/urls&gt;&lt;electronic-resource-num&gt;https://doi.org/10.1002/cctc.201000397&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101</w:t>
      </w:r>
      <w:r>
        <w:rPr>
          <w:color w:val="000000" w:themeColor="text1"/>
          <w:szCs w:val="22"/>
        </w:rPr>
        <w:fldChar w:fldCharType="end"/>
      </w:r>
      <w:r>
        <w:rPr>
          <w:color w:val="000000" w:themeColor="text1"/>
          <w:szCs w:val="22"/>
        </w:rPr>
        <w:t xml:space="preserve"> </w:t>
      </w:r>
      <w:r w:rsidRPr="00EC6E98">
        <w:rPr>
          <w:color w:val="000000" w:themeColor="text1"/>
          <w:szCs w:val="22"/>
        </w:rPr>
        <w:t>noted that either step 2 or 3 is the PDS and the overpotential can then be written as: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EE423E" w:rsidRPr="00EE423E" w14:paraId="1E271751" w14:textId="77777777" w:rsidTr="00DE0988">
        <w:tc>
          <w:tcPr>
            <w:tcW w:w="7938" w:type="dxa"/>
            <w:tcMar>
              <w:left w:w="28" w:type="dxa"/>
              <w:right w:w="28" w:type="dxa"/>
            </w:tcMar>
            <w:vAlign w:val="center"/>
          </w:tcPr>
          <w:p w14:paraId="25101E55" w14:textId="73D3698C" w:rsidR="00EE423E" w:rsidRPr="00EE423E" w:rsidRDefault="00000000" w:rsidP="00E45E28">
            <w:pPr>
              <w:spacing w:before="60" w:after="60"/>
              <w:rPr>
                <w:bCs/>
                <w:sz w:val="20"/>
                <w:szCs w:val="20"/>
              </w:rPr>
            </w:pPr>
            <m:oMathPara>
              <m:oMath>
                <m:sSub>
                  <m:sSubPr>
                    <m:ctrlPr>
                      <w:rPr>
                        <w:rFonts w:ascii="Cambria Math" w:eastAsia="MS Mincho" w:hAnsi="Cambria Math"/>
                        <w:i/>
                        <w:iCs/>
                        <w:color w:val="000000" w:themeColor="text1"/>
                        <w:sz w:val="20"/>
                        <w:szCs w:val="20"/>
                      </w:rPr>
                    </m:ctrlPr>
                  </m:sSubPr>
                  <m:e>
                    <m:r>
                      <w:rPr>
                        <w:rFonts w:ascii="Cambria Math" w:hAnsi="Cambria Math"/>
                        <w:color w:val="000000" w:themeColor="text1"/>
                        <w:sz w:val="20"/>
                        <w:szCs w:val="20"/>
                      </w:rPr>
                      <m:t>η</m:t>
                    </m:r>
                  </m:e>
                  <m:sub>
                    <m:r>
                      <m:rPr>
                        <m:sty m:val="p"/>
                      </m:rPr>
                      <w:rPr>
                        <w:rFonts w:ascii="Cambria Math" w:hAnsi="Cambria Math"/>
                        <w:color w:val="000000" w:themeColor="text1"/>
                        <w:sz w:val="20"/>
                        <w:szCs w:val="20"/>
                      </w:rPr>
                      <m:t>CHE</m:t>
                    </m:r>
                  </m:sub>
                </m:sSub>
                <m:r>
                  <w:rPr>
                    <w:rFonts w:ascii="Cambria Math" w:hAnsi="Cambria Math"/>
                    <w:color w:val="000000" w:themeColor="text1"/>
                    <w:sz w:val="20"/>
                    <w:szCs w:val="20"/>
                  </w:rPr>
                  <m:t>=</m:t>
                </m:r>
                <m:f>
                  <m:fPr>
                    <m:ctrlPr>
                      <w:rPr>
                        <w:rFonts w:ascii="Cambria Math" w:eastAsiaTheme="minorHAnsi" w:hAnsi="Cambria Math"/>
                        <w:i/>
                        <w:iCs/>
                        <w:color w:val="000000" w:themeColor="text1"/>
                        <w:sz w:val="20"/>
                        <w:szCs w:val="20"/>
                      </w:rPr>
                    </m:ctrlPr>
                  </m:fPr>
                  <m:num>
                    <m:r>
                      <w:rPr>
                        <w:rFonts w:ascii="Cambria Math" w:hAnsi="Cambria Math"/>
                        <w:color w:val="000000" w:themeColor="text1"/>
                        <w:sz w:val="20"/>
                        <w:szCs w:val="20"/>
                      </w:rPr>
                      <m:t>1</m:t>
                    </m:r>
                  </m:num>
                  <m:den>
                    <m:r>
                      <w:rPr>
                        <w:rFonts w:ascii="Cambria Math" w:hAnsi="Cambria Math"/>
                        <w:color w:val="000000" w:themeColor="text1"/>
                        <w:sz w:val="20"/>
                        <w:szCs w:val="20"/>
                      </w:rPr>
                      <m:t>e</m:t>
                    </m:r>
                  </m:den>
                </m:f>
                <m:r>
                  <m:rPr>
                    <m:sty m:val="p"/>
                  </m:rPr>
                  <w:rPr>
                    <w:rFonts w:ascii="Cambria Math" w:hAnsi="Cambria Math"/>
                    <w:color w:val="000000" w:themeColor="text1"/>
                    <w:sz w:val="20"/>
                    <w:szCs w:val="20"/>
                  </w:rPr>
                  <m:t>max</m:t>
                </m:r>
                <m:sSub>
                  <m:sSubPr>
                    <m:ctrlPr>
                      <w:rPr>
                        <w:rFonts w:ascii="Cambria Math" w:eastAsiaTheme="minorHAnsi" w:hAnsi="Cambria Math"/>
                        <w:i/>
                        <w:iCs/>
                        <w:color w:val="000000" w:themeColor="text1"/>
                        <w:sz w:val="20"/>
                        <w:szCs w:val="20"/>
                      </w:rPr>
                    </m:ctrlPr>
                  </m:sSubPr>
                  <m:e>
                    <m:d>
                      <m:dPr>
                        <m:begChr m:val="["/>
                        <m:endChr m:val="]"/>
                        <m:ctrlPr>
                          <w:rPr>
                            <w:rFonts w:ascii="Cambria Math" w:eastAsiaTheme="minorHAnsi" w:hAnsi="Cambria Math"/>
                            <w:i/>
                            <w:iCs/>
                            <w:color w:val="000000" w:themeColor="text1"/>
                            <w:sz w:val="20"/>
                            <w:szCs w:val="20"/>
                          </w:rPr>
                        </m:ctrlPr>
                      </m:dPr>
                      <m:e>
                        <m:d>
                          <m:dPr>
                            <m:ctrlPr>
                              <w:rPr>
                                <w:rFonts w:ascii="Cambria Math" w:eastAsia="MS Mincho" w:hAnsi="Cambria Math"/>
                                <w:i/>
                                <w:iCs/>
                                <w:color w:val="000000" w:themeColor="text1"/>
                                <w:sz w:val="20"/>
                                <w:szCs w:val="20"/>
                              </w:rPr>
                            </m:ctrlPr>
                          </m:dPr>
                          <m:e>
                            <m:r>
                              <w:rPr>
                                <w:rFonts w:ascii="Cambria Math" w:hAnsi="Cambria Math"/>
                                <w:color w:val="000000" w:themeColor="text1"/>
                                <w:sz w:val="20"/>
                                <w:szCs w:val="20"/>
                              </w:rPr>
                              <m:t xml:space="preserve"> ∆</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m:rPr>
                                    <m:sty m:val="p"/>
                                  </m:rPr>
                                  <w:rPr>
                                    <w:rFonts w:ascii="Cambria Math" w:hAnsi="Cambria Math"/>
                                    <w:color w:val="000000" w:themeColor="text1"/>
                                    <w:sz w:val="20"/>
                                    <w:szCs w:val="20"/>
                                  </w:rPr>
                                  <m:t>*O</m:t>
                                </m:r>
                              </m:sub>
                            </m:sSub>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m:rPr>
                                    <m:sty m:val="p"/>
                                  </m:rPr>
                                  <w:rPr>
                                    <w:rFonts w:ascii="Cambria Math" w:hAnsi="Cambria Math"/>
                                    <w:color w:val="000000" w:themeColor="text1"/>
                                    <w:sz w:val="20"/>
                                    <w:szCs w:val="20"/>
                                  </w:rPr>
                                  <m:t>*OH</m:t>
                                </m:r>
                              </m:sub>
                            </m:sSub>
                          </m:e>
                        </m:d>
                        <m:r>
                          <w:rPr>
                            <w:rFonts w:ascii="Cambria Math" w:hAnsi="Cambria Math"/>
                            <w:color w:val="000000" w:themeColor="text1"/>
                            <w:sz w:val="20"/>
                            <w:szCs w:val="20"/>
                          </w:rPr>
                          <m:t xml:space="preserve">,3.2 </m:t>
                        </m:r>
                        <m:r>
                          <m:rPr>
                            <m:sty m:val="p"/>
                          </m:rPr>
                          <w:rPr>
                            <w:rFonts w:ascii="Cambria Math" w:hAnsi="Cambria Math"/>
                            <w:color w:val="000000" w:themeColor="text1"/>
                            <w:sz w:val="20"/>
                            <w:szCs w:val="20"/>
                          </w:rPr>
                          <m:t>eV</m:t>
                        </m:r>
                        <m:r>
                          <w:rPr>
                            <w:rFonts w:ascii="Cambria Math" w:hAnsi="Cambria Math"/>
                            <w:color w:val="000000" w:themeColor="text1"/>
                            <w:sz w:val="20"/>
                            <w:szCs w:val="20"/>
                          </w:rPr>
                          <m:t>-</m:t>
                        </m:r>
                        <m:d>
                          <m:dPr>
                            <m:ctrlPr>
                              <w:rPr>
                                <w:rFonts w:ascii="Cambria Math" w:eastAsia="MS Mincho" w:hAnsi="Cambria Math"/>
                                <w:i/>
                                <w:iCs/>
                                <w:color w:val="000000" w:themeColor="text1"/>
                                <w:sz w:val="20"/>
                                <w:szCs w:val="20"/>
                              </w:rPr>
                            </m:ctrlPr>
                          </m:dPr>
                          <m:e>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m:rPr>
                                    <m:sty m:val="p"/>
                                  </m:rPr>
                                  <w:rPr>
                                    <w:rFonts w:ascii="Cambria Math" w:hAnsi="Cambria Math"/>
                                    <w:color w:val="000000" w:themeColor="text1"/>
                                    <w:sz w:val="20"/>
                                    <w:szCs w:val="20"/>
                                  </w:rPr>
                                  <m:t>*O</m:t>
                                </m:r>
                              </m:sub>
                            </m:sSub>
                            <m:r>
                              <w:rPr>
                                <w:rFonts w:ascii="Cambria Math" w:hAnsi="Cambria Math"/>
                                <w:color w:val="000000" w:themeColor="text1"/>
                                <w:sz w:val="20"/>
                                <w:szCs w:val="20"/>
                              </w:rPr>
                              <m:t>-∆</m:t>
                            </m:r>
                            <m:sSub>
                              <m:sSubPr>
                                <m:ctrlPr>
                                  <w:rPr>
                                    <w:rFonts w:ascii="Cambria Math" w:eastAsiaTheme="minorHAnsi" w:hAnsi="Cambria Math"/>
                                    <w:i/>
                                    <w:iCs/>
                                    <w:color w:val="000000" w:themeColor="text1"/>
                                    <w:sz w:val="20"/>
                                    <w:szCs w:val="20"/>
                                  </w:rPr>
                                </m:ctrlPr>
                              </m:sSubPr>
                              <m:e>
                                <m:r>
                                  <w:rPr>
                                    <w:rFonts w:ascii="Cambria Math" w:hAnsi="Cambria Math"/>
                                    <w:color w:val="000000" w:themeColor="text1"/>
                                    <w:sz w:val="20"/>
                                    <w:szCs w:val="20"/>
                                  </w:rPr>
                                  <m:t>G</m:t>
                                </m:r>
                              </m:e>
                              <m:sub>
                                <m:r>
                                  <m:rPr>
                                    <m:sty m:val="p"/>
                                  </m:rPr>
                                  <w:rPr>
                                    <w:rFonts w:ascii="Cambria Math" w:hAnsi="Cambria Math"/>
                                    <w:color w:val="000000" w:themeColor="text1"/>
                                    <w:sz w:val="20"/>
                                    <w:szCs w:val="20"/>
                                  </w:rPr>
                                  <m:t>*OH</m:t>
                                </m:r>
                              </m:sub>
                            </m:sSub>
                          </m:e>
                        </m:d>
                      </m:e>
                    </m:d>
                  </m:e>
                  <m:sub>
                    <m:r>
                      <w:rPr>
                        <w:rFonts w:ascii="Cambria Math" w:hAnsi="Cambria Math"/>
                        <w:color w:val="000000" w:themeColor="text1"/>
                        <w:sz w:val="20"/>
                        <w:szCs w:val="20"/>
                      </w:rPr>
                      <m:t>U=0</m:t>
                    </m:r>
                  </m:sub>
                </m:sSub>
                <m:r>
                  <w:rPr>
                    <w:rFonts w:ascii="Cambria Math" w:hAnsi="Cambria Math"/>
                    <w:color w:val="000000" w:themeColor="text1"/>
                    <w:sz w:val="20"/>
                    <w:szCs w:val="20"/>
                  </w:rPr>
                  <m:t xml:space="preserve">-1.23 </m:t>
                </m:r>
                <m:r>
                  <m:rPr>
                    <m:sty m:val="p"/>
                  </m:rPr>
                  <w:rPr>
                    <w:rFonts w:ascii="Cambria Math" w:hAnsi="Cambria Math"/>
                    <w:color w:val="000000" w:themeColor="text1"/>
                    <w:sz w:val="20"/>
                    <w:szCs w:val="20"/>
                  </w:rPr>
                  <m:t>V</m:t>
                </m:r>
              </m:oMath>
            </m:oMathPara>
          </w:p>
        </w:tc>
        <w:tc>
          <w:tcPr>
            <w:tcW w:w="1134" w:type="dxa"/>
            <w:tcMar>
              <w:left w:w="28" w:type="dxa"/>
              <w:right w:w="28" w:type="dxa"/>
            </w:tcMar>
            <w:vAlign w:val="center"/>
          </w:tcPr>
          <w:p w14:paraId="7668663D" w14:textId="7A0BD6E1" w:rsidR="00EE423E" w:rsidRPr="00EE423E" w:rsidRDefault="00EE423E" w:rsidP="00E45E28">
            <w:pPr>
              <w:keepNext/>
              <w:jc w:val="right"/>
              <w:rPr>
                <w:bCs/>
                <w:sz w:val="20"/>
                <w:szCs w:val="20"/>
              </w:rPr>
            </w:pPr>
            <w:bookmarkStart w:id="91" w:name="_Ref159517156"/>
            <w:r w:rsidRPr="00EE423E">
              <w:rPr>
                <w:sz w:val="20"/>
                <w:szCs w:val="20"/>
              </w:rPr>
              <w:t xml:space="preserve">Equation </w:t>
            </w:r>
            <w:r w:rsidRPr="00EE423E">
              <w:rPr>
                <w:sz w:val="20"/>
                <w:szCs w:val="20"/>
              </w:rPr>
              <w:fldChar w:fldCharType="begin"/>
            </w:r>
            <w:r w:rsidRPr="00EE423E">
              <w:rPr>
                <w:sz w:val="20"/>
                <w:szCs w:val="20"/>
              </w:rPr>
              <w:instrText xml:space="preserve"> SEQ Equation \* ARABIC </w:instrText>
            </w:r>
            <w:r w:rsidRPr="00EE423E">
              <w:rPr>
                <w:sz w:val="20"/>
                <w:szCs w:val="20"/>
              </w:rPr>
              <w:fldChar w:fldCharType="separate"/>
            </w:r>
            <w:r w:rsidR="003255C0">
              <w:rPr>
                <w:noProof/>
                <w:sz w:val="20"/>
                <w:szCs w:val="20"/>
              </w:rPr>
              <w:t>69</w:t>
            </w:r>
            <w:r w:rsidRPr="00EE423E">
              <w:rPr>
                <w:sz w:val="20"/>
                <w:szCs w:val="20"/>
              </w:rPr>
              <w:fldChar w:fldCharType="end"/>
            </w:r>
            <w:bookmarkEnd w:id="91"/>
          </w:p>
        </w:tc>
      </w:tr>
    </w:tbl>
    <w:p w14:paraId="50A0BBA5" w14:textId="035CCBA4" w:rsidR="004A6FE9" w:rsidRPr="004A6FE9" w:rsidRDefault="00F5313D" w:rsidP="004A6FE9">
      <w:pPr>
        <w:pStyle w:val="Caption"/>
        <w:spacing w:after="0"/>
        <w:rPr>
          <w:sz w:val="22"/>
          <w:shd w:val="clear" w:color="auto" w:fill="FFFFFF"/>
        </w:rPr>
      </w:pPr>
      <w:r w:rsidRPr="00EC6E98">
        <w:rPr>
          <w:sz w:val="22"/>
        </w:rPr>
        <w:t xml:space="preserve">Where the linear scaling relationships allow the overpotential to be written using the single descriptor, </w:t>
      </w:r>
      <m:oMath>
        <m:sSub>
          <m:sSubPr>
            <m:ctrlPr>
              <w:rPr>
                <w:rFonts w:ascii="Cambria Math" w:eastAsiaTheme="minorHAnsi" w:hAnsi="Cambria Math"/>
                <w:i/>
                <w:iCs/>
                <w:sz w:val="22"/>
              </w:rPr>
            </m:ctrlPr>
          </m:sSubPr>
          <m:e>
            <m:d>
              <m:dPr>
                <m:begChr m:val="["/>
                <m:endChr m:val="]"/>
                <m:ctrlPr>
                  <w:rPr>
                    <w:rFonts w:ascii="Cambria Math" w:eastAsiaTheme="minorHAnsi" w:hAnsi="Cambria Math"/>
                    <w:i/>
                    <w:iCs/>
                    <w:sz w:val="22"/>
                  </w:rPr>
                </m:ctrlPr>
              </m:dPr>
              <m:e>
                <m:r>
                  <w:rPr>
                    <w:rFonts w:ascii="Cambria Math" w:hAnsi="Cambria Math"/>
                    <w:sz w:val="22"/>
                  </w:rPr>
                  <m:t xml:space="preserve"> </m:t>
                </m:r>
                <m:d>
                  <m:dPr>
                    <m:ctrlPr>
                      <w:rPr>
                        <w:rFonts w:ascii="Cambria Math" w:eastAsia="MS Mincho" w:hAnsi="Cambria Math"/>
                        <w:i/>
                        <w:iCs/>
                        <w:sz w:val="22"/>
                      </w:rPr>
                    </m:ctrlPr>
                  </m:dPr>
                  <m:e>
                    <m:r>
                      <w:rPr>
                        <w:rFonts w:ascii="Cambria Math" w:hAnsi="Cambria Math"/>
                        <w:sz w:val="22"/>
                      </w:rPr>
                      <m:t>∆</m:t>
                    </m:r>
                    <m:sSub>
                      <m:sSubPr>
                        <m:ctrlPr>
                          <w:rPr>
                            <w:rFonts w:ascii="Cambria Math" w:eastAsiaTheme="minorHAnsi" w:hAnsi="Cambria Math"/>
                            <w:i/>
                            <w:iCs/>
                            <w:sz w:val="22"/>
                          </w:rPr>
                        </m:ctrlPr>
                      </m:sSubPr>
                      <m:e>
                        <m:r>
                          <w:rPr>
                            <w:rFonts w:ascii="Cambria Math" w:hAnsi="Cambria Math"/>
                            <w:sz w:val="22"/>
                          </w:rPr>
                          <m:t>G</m:t>
                        </m:r>
                      </m:e>
                      <m:sub>
                        <m:r>
                          <m:rPr>
                            <m:sty m:val="p"/>
                          </m:rPr>
                          <w:rPr>
                            <w:rFonts w:ascii="Cambria Math" w:hAnsi="Cambria Math"/>
                            <w:sz w:val="22"/>
                          </w:rPr>
                          <m:t>O*</m:t>
                        </m:r>
                      </m:sub>
                    </m:sSub>
                    <m:r>
                      <w:rPr>
                        <w:rFonts w:ascii="Cambria Math" w:hAnsi="Cambria Math"/>
                        <w:sz w:val="22"/>
                      </w:rPr>
                      <m:t>-∆</m:t>
                    </m:r>
                    <m:sSub>
                      <m:sSubPr>
                        <m:ctrlPr>
                          <w:rPr>
                            <w:rFonts w:ascii="Cambria Math" w:eastAsiaTheme="minorHAnsi" w:hAnsi="Cambria Math"/>
                            <w:i/>
                            <w:iCs/>
                            <w:sz w:val="22"/>
                          </w:rPr>
                        </m:ctrlPr>
                      </m:sSubPr>
                      <m:e>
                        <m:r>
                          <w:rPr>
                            <w:rFonts w:ascii="Cambria Math" w:hAnsi="Cambria Math"/>
                            <w:sz w:val="22"/>
                          </w:rPr>
                          <m:t>G</m:t>
                        </m:r>
                      </m:e>
                      <m:sub>
                        <m:r>
                          <m:rPr>
                            <m:sty m:val="p"/>
                          </m:rPr>
                          <w:rPr>
                            <w:rFonts w:ascii="Cambria Math" w:hAnsi="Cambria Math"/>
                            <w:sz w:val="22"/>
                          </w:rPr>
                          <m:t>HO*</m:t>
                        </m:r>
                      </m:sub>
                    </m:sSub>
                  </m:e>
                </m:d>
              </m:e>
            </m:d>
          </m:e>
          <m:sub>
            <m:r>
              <w:rPr>
                <w:rFonts w:ascii="Cambria Math" w:hAnsi="Cambria Math"/>
                <w:sz w:val="22"/>
              </w:rPr>
              <m:t>U=0</m:t>
            </m:r>
          </m:sub>
        </m:sSub>
      </m:oMath>
      <w:r w:rsidRPr="00EC6E98">
        <w:rPr>
          <w:iCs/>
          <w:sz w:val="22"/>
        </w:rPr>
        <w:t xml:space="preserve">. This simplification </w:t>
      </w:r>
      <w:r w:rsidR="00BD09A5">
        <w:rPr>
          <w:iCs/>
          <w:sz w:val="22"/>
        </w:rPr>
        <w:t>facilitates</w:t>
      </w:r>
      <w:r w:rsidR="00BD09A5" w:rsidRPr="00EC6E98">
        <w:rPr>
          <w:iCs/>
          <w:sz w:val="22"/>
        </w:rPr>
        <w:t xml:space="preserve"> </w:t>
      </w:r>
      <w:r w:rsidRPr="00EC6E98">
        <w:rPr>
          <w:iCs/>
          <w:sz w:val="22"/>
        </w:rPr>
        <w:t>an efficient computational approach to material screening and also reveals compensation effects that tend to limit catalytic efficiency by enforcing the observed scaling relationships. Calculation of the overpotentials show</w:t>
      </w:r>
      <w:r w:rsidR="00BD09A5">
        <w:rPr>
          <w:iCs/>
          <w:sz w:val="22"/>
        </w:rPr>
        <w:t>s</w:t>
      </w:r>
      <w:r w:rsidRPr="00EC6E98">
        <w:rPr>
          <w:iCs/>
          <w:sz w:val="22"/>
        </w:rPr>
        <w:t xml:space="preserve"> several materials perform ideally under the constraint of the scaling relationships. These points appear </w:t>
      </w:r>
      <w:r w:rsidR="00AE721F">
        <w:rPr>
          <w:iCs/>
          <w:sz w:val="22"/>
        </w:rPr>
        <w:t>near</w:t>
      </w:r>
      <w:r w:rsidR="00AE721F" w:rsidRPr="00EC6E98">
        <w:rPr>
          <w:iCs/>
          <w:sz w:val="22"/>
        </w:rPr>
        <w:t xml:space="preserve"> </w:t>
      </w:r>
      <w:r w:rsidRPr="00EC6E98">
        <w:rPr>
          <w:iCs/>
          <w:sz w:val="22"/>
        </w:rPr>
        <w:t xml:space="preserve">the top of </w:t>
      </w:r>
      <w:r w:rsidR="00AE721F">
        <w:rPr>
          <w:iCs/>
          <w:sz w:val="22"/>
        </w:rPr>
        <w:t xml:space="preserve">the </w:t>
      </w:r>
      <w:r w:rsidRPr="00EC6E98">
        <w:rPr>
          <w:iCs/>
          <w:sz w:val="22"/>
        </w:rPr>
        <w:t xml:space="preserve">volcano curve that results from the scaling relationships in </w:t>
      </w:r>
      <w:r w:rsidR="0028037F">
        <w:rPr>
          <w:iCs/>
          <w:sz w:val="22"/>
        </w:rPr>
        <w:fldChar w:fldCharType="begin"/>
      </w:r>
      <w:r w:rsidR="0028037F">
        <w:rPr>
          <w:iCs/>
          <w:sz w:val="22"/>
        </w:rPr>
        <w:instrText xml:space="preserve"> REF _Ref159515302 \h </w:instrText>
      </w:r>
      <w:r w:rsidR="0028037F">
        <w:rPr>
          <w:iCs/>
          <w:sz w:val="22"/>
        </w:rPr>
      </w:r>
      <w:r w:rsidR="0028037F">
        <w:rPr>
          <w:iCs/>
          <w:sz w:val="22"/>
        </w:rPr>
        <w:fldChar w:fldCharType="separate"/>
      </w:r>
      <w:r w:rsidR="003255C0" w:rsidRPr="001A79BA">
        <w:rPr>
          <w:b/>
          <w:bCs w:val="0"/>
          <w:sz w:val="22"/>
        </w:rPr>
        <w:t xml:space="preserve">Figure </w:t>
      </w:r>
      <w:r w:rsidR="003255C0">
        <w:rPr>
          <w:b/>
          <w:bCs w:val="0"/>
          <w:noProof/>
          <w:sz w:val="22"/>
        </w:rPr>
        <w:t>16</w:t>
      </w:r>
      <w:r w:rsidR="0028037F">
        <w:rPr>
          <w:iCs/>
          <w:sz w:val="22"/>
        </w:rPr>
        <w:fldChar w:fldCharType="end"/>
      </w:r>
      <w:r w:rsidRPr="00EC6E98">
        <w:rPr>
          <w:iCs/>
          <w:sz w:val="22"/>
        </w:rPr>
        <w:t xml:space="preserve">. Moreover, comparison of the computed </w:t>
      </w:r>
      <w:r w:rsidRPr="00EC6E98">
        <w:rPr>
          <w:i/>
          <w:sz w:val="22"/>
        </w:rPr>
        <w:sym w:font="Symbol" w:char="F068"/>
      </w:r>
      <w:r w:rsidRPr="00EC6E98">
        <w:rPr>
          <w:iCs/>
          <w:sz w:val="22"/>
          <w:vertAlign w:val="subscript"/>
        </w:rPr>
        <w:t>CHE</w:t>
      </w:r>
      <w:r w:rsidRPr="00EC6E98">
        <w:rPr>
          <w:sz w:val="22"/>
        </w:rPr>
        <w:t xml:space="preserve"> </w:t>
      </w:r>
      <w:r w:rsidRPr="00EC6E98">
        <w:rPr>
          <w:iCs/>
          <w:sz w:val="22"/>
        </w:rPr>
        <w:t xml:space="preserve">and the experimental overpotentials shows generally good agreement, which was interpreted as supporting the scaling-relationships and the limiting nature of the free energy difference between </w:t>
      </w:r>
      <w:r>
        <w:rPr>
          <w:iCs/>
          <w:sz w:val="22"/>
        </w:rPr>
        <w:t>*O</w:t>
      </w:r>
      <w:r w:rsidRPr="00EC6E98">
        <w:rPr>
          <w:iCs/>
          <w:sz w:val="22"/>
        </w:rPr>
        <w:t xml:space="preserve"> and </w:t>
      </w:r>
      <w:r>
        <w:rPr>
          <w:iCs/>
          <w:sz w:val="22"/>
        </w:rPr>
        <w:t>*OH</w:t>
      </w:r>
      <w:r w:rsidRPr="00EC6E98">
        <w:rPr>
          <w:iCs/>
          <w:sz w:val="22"/>
        </w:rPr>
        <w:t xml:space="preserve">, </w:t>
      </w:r>
      <m:oMath>
        <m:d>
          <m:dPr>
            <m:ctrlPr>
              <w:rPr>
                <w:rFonts w:ascii="Cambria Math" w:eastAsia="MS Mincho" w:hAnsi="Cambria Math"/>
                <w:i/>
                <w:iCs/>
                <w:sz w:val="22"/>
              </w:rPr>
            </m:ctrlPr>
          </m:dPr>
          <m:e>
            <m:r>
              <w:rPr>
                <w:rFonts w:ascii="Cambria Math" w:hAnsi="Cambria Math"/>
                <w:sz w:val="22"/>
              </w:rPr>
              <m:t xml:space="preserve"> ∆</m:t>
            </m:r>
            <m:sSub>
              <m:sSubPr>
                <m:ctrlPr>
                  <w:rPr>
                    <w:rFonts w:ascii="Cambria Math" w:eastAsiaTheme="minorHAnsi" w:hAnsi="Cambria Math"/>
                    <w:i/>
                    <w:iCs/>
                    <w:sz w:val="22"/>
                  </w:rPr>
                </m:ctrlPr>
              </m:sSubPr>
              <m:e>
                <m:r>
                  <w:rPr>
                    <w:rFonts w:ascii="Cambria Math" w:hAnsi="Cambria Math"/>
                    <w:sz w:val="22"/>
                  </w:rPr>
                  <m:t>G</m:t>
                </m:r>
              </m:e>
              <m:sub>
                <m:r>
                  <m:rPr>
                    <m:sty m:val="p"/>
                  </m:rPr>
                  <w:rPr>
                    <w:rFonts w:ascii="Cambria Math" w:hAnsi="Cambria Math"/>
                    <w:sz w:val="22"/>
                  </w:rPr>
                  <m:t>O*</m:t>
                </m:r>
              </m:sub>
            </m:sSub>
            <m:r>
              <w:rPr>
                <w:rFonts w:ascii="Cambria Math" w:hAnsi="Cambria Math"/>
                <w:sz w:val="22"/>
              </w:rPr>
              <m:t>-∆</m:t>
            </m:r>
            <m:sSub>
              <m:sSubPr>
                <m:ctrlPr>
                  <w:rPr>
                    <w:rFonts w:ascii="Cambria Math" w:eastAsiaTheme="minorHAnsi" w:hAnsi="Cambria Math"/>
                    <w:i/>
                    <w:iCs/>
                    <w:sz w:val="22"/>
                  </w:rPr>
                </m:ctrlPr>
              </m:sSubPr>
              <m:e>
                <m:r>
                  <w:rPr>
                    <w:rFonts w:ascii="Cambria Math" w:hAnsi="Cambria Math"/>
                    <w:sz w:val="22"/>
                  </w:rPr>
                  <m:t>G</m:t>
                </m:r>
              </m:e>
              <m:sub>
                <m:r>
                  <m:rPr>
                    <m:sty m:val="p"/>
                  </m:rPr>
                  <w:rPr>
                    <w:rFonts w:ascii="Cambria Math" w:hAnsi="Cambria Math"/>
                    <w:sz w:val="22"/>
                  </w:rPr>
                  <m:t>HO*</m:t>
                </m:r>
              </m:sub>
            </m:sSub>
          </m:e>
        </m:d>
      </m:oMath>
      <w:r>
        <w:rPr>
          <w:sz w:val="22"/>
        </w:rPr>
        <w:fldChar w:fldCharType="begin"/>
      </w:r>
      <w:r w:rsidR="00FC5BEB">
        <w:rPr>
          <w:sz w:val="22"/>
        </w:rPr>
        <w:instrText xml:space="preserve"> ADDIN EN.CITE &lt;EndNote&gt;&lt;Cite&gt;&lt;Author&gt;Man&lt;/Author&gt;&lt;Year&gt;2011&lt;/Year&gt;&lt;RecNum&gt;99&lt;/RecNum&gt;&lt;DisplayText&gt;&lt;style face="superscript"&gt;101&lt;/style&gt;&lt;/DisplayText&gt;&lt;record&gt;&lt;rec-number&gt;99&lt;/rec-number&gt;&lt;foreign-keys&gt;&lt;key app="EN" db-id="2xex0erf4eexr4e2dpbxpdd829xttesxxxdr" timestamp="1715075296"&gt;99&lt;/key&gt;&lt;/foreign-keys&gt;&lt;ref-type name="Journal Article"&gt;17&lt;/ref-type&gt;&lt;contributors&gt;&lt;authors&gt;&lt;author&gt;Man, Isabela C.&lt;/author&gt;&lt;author&gt;Su, Hai-Yan&lt;/author&gt;&lt;author&gt;Calle-Vallejo, Federico&lt;/author&gt;&lt;author&gt;Hansen, Heine A.&lt;/author&gt;&lt;author&gt;Martínez, José I.&lt;/author&gt;&lt;author&gt;Inoglu, Nilay G.&lt;/author&gt;&lt;author&gt;Kitchin, John&lt;/author&gt;&lt;author&gt;Jaramillo, Thomas F.&lt;/author&gt;&lt;author&gt;Nørskov, Jens K.&lt;/author&gt;&lt;author&gt;Rossmeisl, Jan&lt;/author&gt;&lt;/authors&gt;&lt;/contributors&gt;&lt;titles&gt;&lt;title&gt;Universality in Oxygen Evolution Electrocatalysis on Oxide Surfaces&lt;/title&gt;&lt;secondary-title&gt;ChemCatChem&lt;/secondary-title&gt;&lt;/titles&gt;&lt;pages&gt;1159-1165&lt;/pages&gt;&lt;volume&gt;3&lt;/volume&gt;&lt;number&gt;7&lt;/number&gt;&lt;dates&gt;&lt;year&gt;2011&lt;/year&gt;&lt;/dates&gt;&lt;isbn&gt;1867-3880&lt;/isbn&gt;&lt;urls&gt;&lt;related-urls&gt;&lt;url&gt;https://chemistry-europe.onlinelibrary.wiley.com/doi/abs/10.1002/cctc.201000397&lt;/url&gt;&lt;/related-urls&gt;&lt;/urls&gt;&lt;electronic-resource-num&gt;https://doi.org/10.1002/cctc.201000397&lt;/electronic-resource-num&gt;&lt;/record&gt;&lt;/Cite&gt;&lt;/EndNote&gt;</w:instrText>
      </w:r>
      <w:r>
        <w:rPr>
          <w:sz w:val="22"/>
        </w:rPr>
        <w:fldChar w:fldCharType="separate"/>
      </w:r>
      <w:r w:rsidR="00FC5BEB" w:rsidRPr="00FC5BEB">
        <w:rPr>
          <w:noProof/>
          <w:sz w:val="22"/>
          <w:vertAlign w:val="superscript"/>
        </w:rPr>
        <w:t>101</w:t>
      </w:r>
      <w:r>
        <w:rPr>
          <w:sz w:val="22"/>
        </w:rPr>
        <w:fldChar w:fldCharType="end"/>
      </w:r>
      <w:r>
        <w:rPr>
          <w:iCs/>
          <w:sz w:val="22"/>
        </w:rPr>
        <w:t xml:space="preserve">. </w:t>
      </w:r>
      <w:r w:rsidRPr="00EC6E98">
        <w:rPr>
          <w:sz w:val="22"/>
        </w:rPr>
        <w:t>Because the slopes of the linear energy scaling relationships are fixed by the valence of the atom bound to the surface, and hence the bond order to the surface, only the binding site, which influences the offset in the scaling relationship offers the opportunity to improve the catalyst</w:t>
      </w:r>
      <w:r>
        <w:rPr>
          <w:sz w:val="22"/>
          <w:shd w:val="clear" w:color="auto" w:fill="FFFFFF"/>
        </w:rPr>
        <w:fldChar w:fldCharType="begin">
          <w:fldData xml:space="preserve">PEVuZE5vdGU+PENpdGU+PEF1dGhvcj5BYmlsZC1QZWRlcnNlbjwvQXV0aG9yPjxZZWFyPjIwMDc8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</w:fldData>
        </w:fldChar>
      </w:r>
      <w:r w:rsidR="00FC5BEB">
        <w:rPr>
          <w:sz w:val="22"/>
          <w:shd w:val="clear" w:color="auto" w:fill="FFFFFF"/>
        </w:rPr>
        <w:instrText xml:space="preserve"> ADDIN EN.CITE </w:instrText>
      </w:r>
      <w:r w:rsidR="00FC5BEB">
        <w:rPr>
          <w:sz w:val="22"/>
          <w:shd w:val="clear" w:color="auto" w:fill="FFFFFF"/>
        </w:rPr>
        <w:fldChar w:fldCharType="begin">
          <w:fldData xml:space="preserve">PEVuZE5vdGU+PENpdGU+PEF1dGhvcj5BYmlsZC1QZWRlcnNlbjwvQXV0aG9yPjxZZWFyPjIwMDc8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</w:fldData>
        </w:fldChar>
      </w:r>
      <w:r w:rsidR="00FC5BEB">
        <w:rPr>
          <w:sz w:val="22"/>
          <w:shd w:val="clear" w:color="auto" w:fill="FFFFFF"/>
        </w:rPr>
        <w:instrText xml:space="preserve"> ADDIN EN.CITE.DATA </w:instrText>
      </w:r>
      <w:r w:rsidR="00FC5BEB">
        <w:rPr>
          <w:sz w:val="22"/>
          <w:shd w:val="clear" w:color="auto" w:fill="FFFFFF"/>
        </w:rPr>
      </w:r>
      <w:r w:rsidR="00FC5BEB">
        <w:rPr>
          <w:sz w:val="22"/>
          <w:shd w:val="clear" w:color="auto" w:fill="FFFFFF"/>
        </w:rPr>
        <w:fldChar w:fldCharType="end"/>
      </w:r>
      <w:r>
        <w:rPr>
          <w:sz w:val="22"/>
          <w:shd w:val="clear" w:color="auto" w:fill="FFFFFF"/>
        </w:rPr>
      </w:r>
      <w:r>
        <w:rPr>
          <w:sz w:val="22"/>
          <w:shd w:val="clear" w:color="auto" w:fill="FFFFFF"/>
        </w:rPr>
        <w:fldChar w:fldCharType="separate"/>
      </w:r>
      <w:r w:rsidR="00FC5BEB" w:rsidRPr="00FC5BEB">
        <w:rPr>
          <w:noProof/>
          <w:sz w:val="22"/>
          <w:shd w:val="clear" w:color="auto" w:fill="FFFFFF"/>
          <w:vertAlign w:val="superscript"/>
        </w:rPr>
        <w:t>47, 181, 182, 185</w:t>
      </w:r>
      <w:r>
        <w:rPr>
          <w:sz w:val="22"/>
          <w:shd w:val="clear" w:color="auto" w:fill="FFFFFF"/>
        </w:rPr>
        <w:fldChar w:fldCharType="end"/>
      </w:r>
      <w:r w:rsidRPr="00EC6E98">
        <w:rPr>
          <w:sz w:val="22"/>
        </w:rPr>
        <w:t xml:space="preserve">. However, the diverse binding sites in Ref. </w:t>
      </w:r>
      <w:r>
        <w:rPr>
          <w:sz w:val="22"/>
        </w:rPr>
        <w:fldChar w:fldCharType="begin"/>
      </w:r>
      <w:r w:rsidR="00FC5BEB">
        <w:rPr>
          <w:sz w:val="22"/>
        </w:rPr>
        <w:instrText xml:space="preserve"> ADDIN EN.CITE &lt;EndNote&gt;&lt;Cite&gt;&lt;Author&gt;Man&lt;/Author&gt;&lt;Year&gt;2011&lt;/Year&gt;&lt;RecNum&gt;99&lt;/RecNum&gt;&lt;DisplayText&gt;&lt;style face="superscript"&gt;101&lt;/style&gt;&lt;/DisplayText&gt;&lt;record&gt;&lt;rec-number&gt;99&lt;/rec-number&gt;&lt;foreign-keys&gt;&lt;key app="EN" db-id="2xex0erf4eexr4e2dpbxpdd829xttesxxxdr" timestamp="1715075296"&gt;99&lt;/key&gt;&lt;/foreign-keys&gt;&lt;ref-type name="Journal Article"&gt;17&lt;/ref-type&gt;&lt;contributors&gt;&lt;authors&gt;&lt;author&gt;Man, Isabela C.&lt;/author&gt;&lt;author&gt;Su, Hai-Yan&lt;/author&gt;&lt;author&gt;Calle-Vallejo, Federico&lt;/author&gt;&lt;author&gt;Hansen, Heine A.&lt;/author&gt;&lt;author&gt;Martínez, José I.&lt;/author&gt;&lt;author&gt;Inoglu, Nilay G.&lt;/author&gt;&lt;author&gt;Kitchin, John&lt;/author&gt;&lt;author&gt;Jaramillo, Thomas F.&lt;/author&gt;&lt;author&gt;Nørskov, Jens K.&lt;/author&gt;&lt;author&gt;Rossmeisl, Jan&lt;/author&gt;&lt;/authors&gt;&lt;/contributors&gt;&lt;titles&gt;&lt;title&gt;Universality in Oxygen Evolution Electrocatalysis on Oxide Surfaces&lt;/title&gt;&lt;secondary-title&gt;ChemCatChem&lt;/secondary-title&gt;&lt;/titles&gt;&lt;pages&gt;1159-1165&lt;/pages&gt;&lt;volume&gt;3&lt;/volume&gt;&lt;number&gt;7&lt;/number&gt;&lt;dates&gt;&lt;year&gt;2011&lt;/year&gt;&lt;/dates&gt;&lt;isbn&gt;1867-3880&lt;/isbn&gt;&lt;urls&gt;&lt;related-urls&gt;&lt;url&gt;https://chemistry-europe.onlinelibrary.wiley.com/doi/abs/10.1002/cctc.201000397&lt;/url&gt;&lt;/related-urls&gt;&lt;/urls&gt;&lt;electronic-resource-num&gt;https://doi.org/10.1002/cctc.201000397&lt;/electronic-resource-num&gt;&lt;/record&gt;&lt;/Cite&gt;&lt;/EndNote&gt;</w:instrText>
      </w:r>
      <w:r>
        <w:rPr>
          <w:sz w:val="22"/>
        </w:rPr>
        <w:fldChar w:fldCharType="separate"/>
      </w:r>
      <w:r w:rsidR="00FC5BEB" w:rsidRPr="00FC5BEB">
        <w:rPr>
          <w:noProof/>
          <w:sz w:val="22"/>
          <w:vertAlign w:val="superscript"/>
        </w:rPr>
        <w:t>101</w:t>
      </w:r>
      <w:r>
        <w:rPr>
          <w:sz w:val="22"/>
        </w:rPr>
        <w:fldChar w:fldCharType="end"/>
      </w:r>
      <w:r>
        <w:rPr>
          <w:sz w:val="22"/>
        </w:rPr>
        <w:t xml:space="preserve"> </w:t>
      </w:r>
      <w:r w:rsidRPr="00EC6E98">
        <w:rPr>
          <w:sz w:val="22"/>
        </w:rPr>
        <w:t>suggest there may be limited</w:t>
      </w:r>
      <w:r w:rsidR="0028037F">
        <w:rPr>
          <w:sz w:val="22"/>
        </w:rPr>
        <w:t xml:space="preserve"> </w:t>
      </w:r>
      <w:r w:rsidRPr="00EC6E98">
        <w:rPr>
          <w:sz w:val="22"/>
        </w:rPr>
        <w:t>flexibility in alter</w:t>
      </w:r>
      <w:r w:rsidR="00857D82">
        <w:rPr>
          <w:sz w:val="22"/>
        </w:rPr>
        <w:t>ing</w:t>
      </w:r>
      <w:r w:rsidRPr="00EC6E98">
        <w:rPr>
          <w:sz w:val="22"/>
        </w:rPr>
        <w:t xml:space="preserve"> the scaling relationships on perfect crystals because such changes in binding site</w:t>
      </w:r>
      <w:r w:rsidR="00857D82">
        <w:rPr>
          <w:sz w:val="22"/>
        </w:rPr>
        <w:t>s</w:t>
      </w:r>
      <w:r w:rsidRPr="00EC6E98">
        <w:rPr>
          <w:sz w:val="22"/>
        </w:rPr>
        <w:t xml:space="preserve"> appear to impact all species in an identical manner</w:t>
      </w:r>
      <w:r>
        <w:rPr>
          <w:sz w:val="22"/>
          <w:shd w:val="clear" w:color="auto" w:fill="FFFFFF"/>
        </w:rPr>
        <w:fldChar w:fldCharType="begin"/>
      </w:r>
      <w:r w:rsidR="00FC5BEB">
        <w:rPr>
          <w:sz w:val="22"/>
          <w:shd w:val="clear" w:color="auto" w:fill="FFFFFF"/>
        </w:rPr>
        <w:instrText xml:space="preserve"> ADDIN EN.CITE &lt;EndNote&gt;&lt;Cite&gt;&lt;Author&gt;Abild-Pedersen&lt;/Author&gt;&lt;Year&gt;2007&lt;/Year&gt;&lt;RecNum&gt;179&lt;/RecNum&gt;&lt;DisplayText&gt;&lt;style face="superscript"&gt;181&lt;/style&gt;&lt;/DisplayText&gt;&lt;record&gt;&lt;rec-number&gt;179&lt;/rec-number&gt;&lt;foreign-keys&gt;&lt;key app="EN" db-id="2xex0erf4eexr4e2dpbxpdd829xttesxxxdr" timestamp="1715075296"&gt;179&lt;/key&gt;&lt;/foreign-keys&gt;&lt;ref-type name="Journal Article"&gt;17&lt;/ref-type&gt;&lt;contributors&gt;&lt;authors&gt;&lt;author&gt;Abild-Pedersen, F.&lt;/author&gt;&lt;author&gt;Greeley, J.&lt;/author&gt;&lt;author&gt;Studt, F.&lt;/author&gt;&lt;author&gt;Rossmeisl, J.&lt;/author&gt;&lt;author&gt;Munter, T. R.&lt;/author&gt;&lt;author&gt;Moses, P. G.&lt;/author&gt;&lt;author&gt;Skúlason, E.&lt;/author&gt;&lt;author&gt;Bligaard, T.&lt;/author&gt;&lt;author&gt;Nørskov, J. K.&lt;/author&gt;&lt;/authors&gt;&lt;/contributors&gt;&lt;titles&gt;&lt;title&gt;Scaling Properties of Adsorption Energies for Hydrogen-Containing Molecules on Transition-Metal Surfaces&lt;/title&gt;&lt;secondary-title&gt;Physical Review Letters&lt;/secondary-title&gt;&lt;/titles&gt;&lt;periodical&gt;&lt;full-title&gt;Physical Review Letters&lt;/full-title&gt;&lt;abbr-1&gt;Phys. Rev. Lett.&lt;/abbr-1&gt;&lt;abbr-2&gt;Phys Rev Lett&lt;/abbr-2&gt;&lt;/periodical&gt;&lt;pages&gt;016105&lt;/pages&gt;&lt;volume&gt;99&lt;/volume&gt;&lt;number&gt;1&lt;/number&gt;&lt;dates&gt;&lt;year&gt;2007&lt;/year&gt;&lt;pub-dates&gt;&lt;date&gt;07/06/&lt;/date&gt;&lt;/pub-dates&gt;&lt;/dates&gt;&lt;publisher&gt;American Physical Society&lt;/publisher&gt;&lt;urls&gt;&lt;related-urls&gt;&lt;url&gt;https://link.aps.org/doi/10.1103/PhysRevLett.99.016105&lt;/url&gt;&lt;/related-urls&gt;&lt;/urls&gt;&lt;electronic-resource-num&gt;10.1103/PhysRevLett.99.016105&lt;/electronic-resource-num&gt;&lt;/record&gt;&lt;/Cite&gt;&lt;/EndNote&gt;</w:instrText>
      </w:r>
      <w:r>
        <w:rPr>
          <w:sz w:val="22"/>
          <w:shd w:val="clear" w:color="auto" w:fill="FFFFFF"/>
        </w:rPr>
        <w:fldChar w:fldCharType="separate"/>
      </w:r>
      <w:r w:rsidR="00FC5BEB" w:rsidRPr="00FC5BEB">
        <w:rPr>
          <w:noProof/>
          <w:sz w:val="22"/>
          <w:shd w:val="clear" w:color="auto" w:fill="FFFFFF"/>
          <w:vertAlign w:val="superscript"/>
        </w:rPr>
        <w:t>181</w:t>
      </w:r>
      <w:r>
        <w:rPr>
          <w:sz w:val="22"/>
          <w:shd w:val="clear" w:color="auto" w:fill="FFFFFF"/>
        </w:rPr>
        <w:fldChar w:fldCharType="end"/>
      </w:r>
      <w:r w:rsidRPr="00EC6E98">
        <w:rPr>
          <w:sz w:val="22"/>
          <w:shd w:val="clear" w:color="auto" w:fill="FFFFFF"/>
        </w:rPr>
        <w:t>.</w:t>
      </w:r>
    </w:p>
    <w:p w14:paraId="5798086A" w14:textId="40092639" w:rsidR="004A6FE9" w:rsidRPr="004A6FE9" w:rsidRDefault="00605198" w:rsidP="00605198">
      <w:pPr>
        <w:jc w:val="center"/>
        <w:rPr>
          <w:lang w:val="en-GB"/>
        </w:rPr>
      </w:pPr>
      <w:r>
        <w:rPr>
          <w:noProof/>
          <w:lang w:val="en-GB"/>
          <w14:ligatures w14:val="standardContextual"/>
        </w:rPr>
        <w:lastRenderedPageBreak/>
        <w:drawing>
          <wp:inline distT="0" distB="0" distL="0" distR="0" wp14:anchorId="3A0C24E9" wp14:editId="5DA580EE">
            <wp:extent cx="4577787" cy="4288189"/>
            <wp:effectExtent l="0" t="0" r="0" b="4445"/>
            <wp:docPr id="138160670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1606702" name="Picture 1381606702"/>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636615" cy="4343295"/>
                    </a:xfrm>
                    <a:prstGeom prst="rect">
                      <a:avLst/>
                    </a:prstGeom>
                  </pic:spPr>
                </pic:pic>
              </a:graphicData>
            </a:graphic>
          </wp:inline>
        </w:drawing>
      </w:r>
    </w:p>
    <w:p w14:paraId="7FAE89E3" w14:textId="253256D6" w:rsidR="00F5313D" w:rsidRPr="00BF0215" w:rsidRDefault="001A79BA" w:rsidP="00BF0215">
      <w:pPr>
        <w:pStyle w:val="Caption"/>
      </w:pPr>
      <w:bookmarkStart w:id="92" w:name="_Ref159515302"/>
      <w:r w:rsidRPr="001A79BA">
        <w:rPr>
          <w:b/>
          <w:bCs w:val="0"/>
          <w:sz w:val="22"/>
        </w:rPr>
        <w:t xml:space="preserve">Figure </w:t>
      </w:r>
      <w:r w:rsidRPr="001A79BA">
        <w:rPr>
          <w:b/>
          <w:bCs w:val="0"/>
          <w:sz w:val="22"/>
        </w:rPr>
        <w:fldChar w:fldCharType="begin"/>
      </w:r>
      <w:r w:rsidRPr="001A79BA">
        <w:rPr>
          <w:b/>
          <w:bCs w:val="0"/>
          <w:sz w:val="22"/>
        </w:rPr>
        <w:instrText xml:space="preserve"> SEQ Figure \* ARABIC </w:instrText>
      </w:r>
      <w:r w:rsidRPr="001A79BA">
        <w:rPr>
          <w:b/>
          <w:bCs w:val="0"/>
          <w:sz w:val="22"/>
        </w:rPr>
        <w:fldChar w:fldCharType="separate"/>
      </w:r>
      <w:r w:rsidR="003255C0">
        <w:rPr>
          <w:b/>
          <w:bCs w:val="0"/>
          <w:noProof/>
          <w:sz w:val="22"/>
        </w:rPr>
        <w:t>16</w:t>
      </w:r>
      <w:r w:rsidRPr="001A79BA">
        <w:rPr>
          <w:b/>
          <w:bCs w:val="0"/>
          <w:sz w:val="22"/>
        </w:rPr>
        <w:fldChar w:fldCharType="end"/>
      </w:r>
      <w:bookmarkEnd w:id="92"/>
      <w:r w:rsidR="00F5313D" w:rsidRPr="00EC6E98">
        <w:rPr>
          <w:sz w:val="22"/>
        </w:rPr>
        <w:t xml:space="preserve"> </w:t>
      </w:r>
      <w:r w:rsidR="00F5313D" w:rsidRPr="004A6FE9">
        <w:rPr>
          <w:szCs w:val="20"/>
        </w:rPr>
        <w:t>Predicted activity trends defined as -</w:t>
      </w:r>
      <w:r w:rsidR="00F5313D" w:rsidRPr="004A6FE9">
        <w:rPr>
          <w:i/>
          <w:szCs w:val="20"/>
        </w:rPr>
        <w:sym w:font="Symbol" w:char="F068"/>
      </w:r>
      <w:r w:rsidR="00F5313D" w:rsidRPr="004A6FE9">
        <w:rPr>
          <w:iCs/>
          <w:szCs w:val="20"/>
          <w:vertAlign w:val="subscript"/>
        </w:rPr>
        <w:t>CHE</w:t>
      </w:r>
      <w:r w:rsidR="00F5313D" w:rsidRPr="004A6FE9">
        <w:rPr>
          <w:szCs w:val="20"/>
        </w:rPr>
        <w:t xml:space="preserve"> plotted against </w:t>
      </w:r>
      <m:oMath>
        <m:d>
          <m:dPr>
            <m:ctrlPr>
              <w:rPr>
                <w:rFonts w:ascii="Cambria Math" w:eastAsia="MS Mincho" w:hAnsi="Cambria Math"/>
                <w:i/>
                <w:iCs/>
                <w:szCs w:val="20"/>
              </w:rPr>
            </m:ctrlPr>
          </m:dPr>
          <m:e>
            <m:r>
              <w:rPr>
                <w:rFonts w:ascii="Cambria Math" w:hAnsi="Cambria Math"/>
                <w:szCs w:val="20"/>
              </w:rPr>
              <m:t>∆</m:t>
            </m:r>
            <m:sSub>
              <m:sSubPr>
                <m:ctrlPr>
                  <w:rPr>
                    <w:rFonts w:ascii="Cambria Math" w:eastAsiaTheme="minorHAnsi" w:hAnsi="Cambria Math"/>
                    <w:i/>
                    <w:iCs/>
                    <w:szCs w:val="20"/>
                  </w:rPr>
                </m:ctrlPr>
              </m:sSubPr>
              <m:e>
                <m:r>
                  <w:rPr>
                    <w:rFonts w:ascii="Cambria Math" w:hAnsi="Cambria Math"/>
                    <w:szCs w:val="20"/>
                  </w:rPr>
                  <m:t>G</m:t>
                </m:r>
              </m:e>
              <m:sub>
                <m:r>
                  <m:rPr>
                    <m:sty m:val="p"/>
                  </m:rPr>
                  <w:rPr>
                    <w:rFonts w:ascii="Cambria Math" w:hAnsi="Cambria Math"/>
                    <w:szCs w:val="20"/>
                  </w:rPr>
                  <m:t>O*</m:t>
                </m:r>
              </m:sub>
            </m:sSub>
            <m:r>
              <w:rPr>
                <w:rFonts w:ascii="Cambria Math" w:hAnsi="Cambria Math"/>
                <w:szCs w:val="20"/>
              </w:rPr>
              <m:t>-∆</m:t>
            </m:r>
            <m:sSub>
              <m:sSubPr>
                <m:ctrlPr>
                  <w:rPr>
                    <w:rFonts w:ascii="Cambria Math" w:eastAsiaTheme="minorHAnsi" w:hAnsi="Cambria Math"/>
                    <w:i/>
                    <w:iCs/>
                    <w:szCs w:val="20"/>
                  </w:rPr>
                </m:ctrlPr>
              </m:sSubPr>
              <m:e>
                <m:r>
                  <w:rPr>
                    <w:rFonts w:ascii="Cambria Math" w:hAnsi="Cambria Math"/>
                    <w:szCs w:val="20"/>
                  </w:rPr>
                  <m:t>G</m:t>
                </m:r>
              </m:e>
              <m:sub>
                <m:r>
                  <m:rPr>
                    <m:sty m:val="p"/>
                  </m:rPr>
                  <w:rPr>
                    <w:rFonts w:ascii="Cambria Math" w:hAnsi="Cambria Math"/>
                    <w:szCs w:val="20"/>
                  </w:rPr>
                  <m:t>HO*</m:t>
                </m:r>
              </m:sub>
            </m:sSub>
          </m:e>
        </m:d>
      </m:oMath>
      <w:r w:rsidR="00F5313D" w:rsidRPr="004A6FE9">
        <w:rPr>
          <w:szCs w:val="20"/>
        </w:rPr>
        <w:t xml:space="preserve"> (a, c) and comparison of predicted and measured overpotentials (b, d) for perovskites (a, b) and rutile-type oxides (</w:t>
      </w:r>
      <w:r w:rsidR="00F5313D" w:rsidRPr="004A6FE9">
        <w:rPr>
          <w:rFonts w:ascii="Cambria Math" w:eastAsia="Cambria Math" w:hAnsi="Cambria Math" w:cs="Cambria Math"/>
          <w:szCs w:val="20"/>
        </w:rPr>
        <w:t>△</w:t>
      </w:r>
      <w:r w:rsidR="00F5313D" w:rsidRPr="004A6FE9">
        <w:rPr>
          <w:szCs w:val="20"/>
        </w:rPr>
        <w:t xml:space="preserve">), </w:t>
      </w:r>
      <w:proofErr w:type="spellStart"/>
      <w:r w:rsidR="00F5313D" w:rsidRPr="004A6FE9">
        <w:rPr>
          <w:szCs w:val="20"/>
        </w:rPr>
        <w:t>Mn</w:t>
      </w:r>
      <w:r w:rsidR="00F5313D" w:rsidRPr="004A6FE9">
        <w:rPr>
          <w:szCs w:val="20"/>
          <w:vertAlign w:val="subscript"/>
        </w:rPr>
        <w:t>x</w:t>
      </w:r>
      <w:r w:rsidR="00F5313D" w:rsidRPr="004A6FE9">
        <w:rPr>
          <w:szCs w:val="20"/>
        </w:rPr>
        <w:t>O</w:t>
      </w:r>
      <w:r w:rsidR="00F5313D" w:rsidRPr="004A6FE9">
        <w:rPr>
          <w:szCs w:val="20"/>
          <w:vertAlign w:val="subscript"/>
        </w:rPr>
        <w:t>y</w:t>
      </w:r>
      <w:proofErr w:type="spellEnd"/>
      <w:r w:rsidR="00F5313D" w:rsidRPr="004A6FE9">
        <w:rPr>
          <w:szCs w:val="20"/>
        </w:rPr>
        <w:t>(□), anatase(</w:t>
      </w:r>
      <w:r w:rsidR="00F5313D" w:rsidRPr="004A6FE9">
        <w:rPr>
          <w:rFonts w:ascii="Segoe UI Symbol" w:hAnsi="Segoe UI Symbol" w:cs="Segoe UI Symbol"/>
          <w:szCs w:val="20"/>
        </w:rPr>
        <w:t>⬦</w:t>
      </w:r>
      <w:r w:rsidR="00F5313D" w:rsidRPr="004A6FE9">
        <w:rPr>
          <w:szCs w:val="20"/>
        </w:rPr>
        <w:t>), Co</w:t>
      </w:r>
      <w:r w:rsidR="00F5313D" w:rsidRPr="004A6FE9">
        <w:rPr>
          <w:szCs w:val="20"/>
          <w:vertAlign w:val="subscript"/>
        </w:rPr>
        <w:t>3</w:t>
      </w:r>
      <w:r w:rsidR="00F5313D" w:rsidRPr="004A6FE9">
        <w:rPr>
          <w:szCs w:val="20"/>
        </w:rPr>
        <w:t>O</w:t>
      </w:r>
      <w:r w:rsidR="00F5313D" w:rsidRPr="004A6FE9">
        <w:rPr>
          <w:szCs w:val="20"/>
          <w:vertAlign w:val="subscript"/>
        </w:rPr>
        <w:t xml:space="preserve">4 </w:t>
      </w:r>
      <w:r w:rsidR="00F5313D" w:rsidRPr="004A6FE9">
        <w:rPr>
          <w:szCs w:val="20"/>
        </w:rPr>
        <w:t xml:space="preserve">(+), and </w:t>
      </w:r>
      <w:proofErr w:type="spellStart"/>
      <w:r w:rsidR="00F5313D" w:rsidRPr="004A6FE9">
        <w:rPr>
          <w:szCs w:val="20"/>
        </w:rPr>
        <w:t>NiO</w:t>
      </w:r>
      <w:proofErr w:type="spellEnd"/>
      <w:r w:rsidR="00F5313D" w:rsidRPr="004A6FE9">
        <w:rPr>
          <w:szCs w:val="20"/>
        </w:rPr>
        <w:t xml:space="preserve"> (c, d). The experimental perovskite data was obtained at 10 mA cm</w:t>
      </w:r>
      <w:r w:rsidR="00F5313D" w:rsidRPr="004A6FE9">
        <w:rPr>
          <w:szCs w:val="20"/>
          <w:vertAlign w:val="superscript"/>
        </w:rPr>
        <w:t>-2</w:t>
      </w:r>
      <w:r w:rsidR="00F5313D" w:rsidRPr="004A6FE9">
        <w:rPr>
          <w:szCs w:val="20"/>
        </w:rPr>
        <w:t xml:space="preserve"> at room temperature and pH=14 </w:t>
      </w:r>
      <w:r w:rsidR="00F5313D" w:rsidRPr="004A6FE9">
        <w:rPr>
          <w:szCs w:val="20"/>
        </w:rPr>
        <w:fldChar w:fldCharType="begin">
          <w:fldData xml:space="preserve">PEVuZE5vdGU+PENpdGU+PEF1dGhvcj5Cb2NrcmlzPC9BdXRob3I+PFllYXI+MTk4NDwvWWVhcj48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</w:fldData>
        </w:fldChar>
      </w:r>
      <w:r w:rsidR="00FC5BEB">
        <w:rPr>
          <w:szCs w:val="20"/>
        </w:rPr>
        <w:instrText xml:space="preserve"> ADDIN EN.CITE </w:instrText>
      </w:r>
      <w:r w:rsidR="00FC5BEB">
        <w:rPr>
          <w:szCs w:val="20"/>
        </w:rPr>
        <w:fldChar w:fldCharType="begin">
          <w:fldData xml:space="preserve">PEVuZE5vdGU+PENpdGU+PEF1dGhvcj5Cb2NrcmlzPC9BdXRob3I+PFllYXI+MTk4NDwvWWVhcj48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</w:fldData>
        </w:fldChar>
      </w:r>
      <w:r w:rsidR="00FC5BEB">
        <w:rPr>
          <w:szCs w:val="20"/>
        </w:rPr>
        <w:instrText xml:space="preserve"> ADDIN EN.CITE.DATA </w:instrText>
      </w:r>
      <w:r w:rsidR="00FC5BEB">
        <w:rPr>
          <w:szCs w:val="20"/>
        </w:rPr>
      </w:r>
      <w:r w:rsidR="00FC5BEB">
        <w:rPr>
          <w:szCs w:val="20"/>
        </w:rPr>
        <w:fldChar w:fldCharType="end"/>
      </w:r>
      <w:r w:rsidR="00F5313D" w:rsidRPr="004A6FE9">
        <w:rPr>
          <w:szCs w:val="20"/>
        </w:rPr>
      </w:r>
      <w:r w:rsidR="00F5313D" w:rsidRPr="004A6FE9">
        <w:rPr>
          <w:szCs w:val="20"/>
        </w:rPr>
        <w:fldChar w:fldCharType="separate"/>
      </w:r>
      <w:r w:rsidR="00FC5BEB" w:rsidRPr="00FC5BEB">
        <w:rPr>
          <w:noProof/>
          <w:szCs w:val="20"/>
          <w:vertAlign w:val="superscript"/>
        </w:rPr>
        <w:t>139, 217</w:t>
      </w:r>
      <w:r w:rsidR="00F5313D" w:rsidRPr="004A6FE9">
        <w:rPr>
          <w:szCs w:val="20"/>
        </w:rPr>
        <w:fldChar w:fldCharType="end"/>
      </w:r>
      <w:r w:rsidR="00F5313D" w:rsidRPr="004A6FE9">
        <w:rPr>
          <w:szCs w:val="20"/>
        </w:rPr>
        <w:t>. The experimental data for the other oxides was obtained at 10 mA cm</w:t>
      </w:r>
      <w:r w:rsidR="00F5313D" w:rsidRPr="004A6FE9">
        <w:rPr>
          <w:szCs w:val="20"/>
          <w:vertAlign w:val="superscript"/>
        </w:rPr>
        <w:t>-2</w:t>
      </w:r>
      <w:r w:rsidR="00F5313D" w:rsidRPr="004A6FE9">
        <w:rPr>
          <w:szCs w:val="20"/>
        </w:rPr>
        <w:t xml:space="preserve"> and room temperature</w:t>
      </w:r>
      <w:r w:rsidR="00F5313D" w:rsidRPr="004A6FE9">
        <w:rPr>
          <w:szCs w:val="20"/>
        </w:rPr>
        <w:fldChar w:fldCharType="begin"/>
      </w:r>
      <w:r w:rsidR="00FC5BEB">
        <w:rPr>
          <w:szCs w:val="20"/>
        </w:rPr>
        <w:instrText xml:space="preserve"> ADDIN EN.CITE &lt;EndNote&gt;&lt;Cite&gt;&lt;Author&gt;Matsumoto&lt;/Author&gt;&lt;Year&gt;1986&lt;/Year&gt;&lt;RecNum&gt;137&lt;/RecNum&gt;&lt;DisplayText&gt;&lt;style face="superscript"&gt;139&lt;/style&gt;&lt;/DisplayText&gt;&lt;record&gt;&lt;rec-number&gt;137&lt;/rec-number&gt;&lt;foreign-keys&gt;&lt;key app="EN" db-id="2xex0erf4eexr4e2dpbxpdd829xttesxxxdr" timestamp="1715075296"&gt;137&lt;/key&gt;&lt;/foreign-keys&gt;&lt;ref-type name="Journal Article"&gt;17&lt;/ref-type&gt;&lt;contributors&gt;&lt;authors&gt;&lt;author&gt;Matsumoto, Y.&lt;/author&gt;&lt;author&gt;Sato, E.&lt;/author&gt;&lt;/authors&gt;&lt;/contributors&gt;&lt;titles&gt;&lt;title&gt;Electrocatalytic properties of transition metal oxides for oxygen evolution reaction&lt;/title&gt;&lt;secondary-title&gt;Materials Chemistry and Physics&lt;/secondary-title&gt;&lt;/titles&gt;&lt;periodical&gt;&lt;full-title&gt;Materials Chemistry and Physics&lt;/full-title&gt;&lt;abbr-1&gt;Mater. Chem. Phys.&lt;/abbr-1&gt;&lt;abbr-2&gt;Mater Chem Phys&lt;/abbr-2&gt;&lt;/periodical&gt;&lt;pages&gt;397-426&lt;/pages&gt;&lt;volume&gt;14&lt;/volume&gt;&lt;number&gt;5&lt;/number&gt;&lt;dates&gt;&lt;year&gt;1986&lt;/year&gt;&lt;pub-dates&gt;&lt;date&gt;1986/05/01/&lt;/date&gt;&lt;/pub-dates&gt;&lt;/dates&gt;&lt;isbn&gt;0254-0584&lt;/isbn&gt;&lt;urls&gt;&lt;related-urls&gt;&lt;url&gt;https://www.sciencedirect.com/science/article/pii/0254058486900453&lt;/url&gt;&lt;/related-urls&gt;&lt;/urls&gt;&lt;electronic-resource-num&gt;https://doi.org/10.1016/0254-0584(86)90045-3&lt;/electronic-resource-num&gt;&lt;/record&gt;&lt;/Cite&gt;&lt;/EndNote&gt;</w:instrText>
      </w:r>
      <w:r w:rsidR="00F5313D" w:rsidRPr="004A6FE9">
        <w:rPr>
          <w:szCs w:val="20"/>
        </w:rPr>
        <w:fldChar w:fldCharType="separate"/>
      </w:r>
      <w:r w:rsidR="00FC5BEB" w:rsidRPr="00FC5BEB">
        <w:rPr>
          <w:noProof/>
          <w:szCs w:val="20"/>
          <w:vertAlign w:val="superscript"/>
        </w:rPr>
        <w:t>139</w:t>
      </w:r>
      <w:r w:rsidR="00F5313D" w:rsidRPr="004A6FE9">
        <w:rPr>
          <w:szCs w:val="20"/>
        </w:rPr>
        <w:fldChar w:fldCharType="end"/>
      </w:r>
      <w:r w:rsidR="00F5313D" w:rsidRPr="004A6FE9">
        <w:rPr>
          <w:szCs w:val="20"/>
        </w:rPr>
        <w:t xml:space="preserve">. Figure </w:t>
      </w:r>
      <w:r w:rsidR="00576F8E">
        <w:rPr>
          <w:szCs w:val="20"/>
        </w:rPr>
        <w:t>r</w:t>
      </w:r>
      <w:r w:rsidR="000757AA" w:rsidRPr="004A6FE9">
        <w:rPr>
          <w:szCs w:val="20"/>
        </w:rPr>
        <w:t>eproduced with permission from Ref.</w:t>
      </w:r>
      <w:r w:rsidR="00F5313D" w:rsidRPr="004A6FE9">
        <w:rPr>
          <w:szCs w:val="20"/>
        </w:rPr>
        <w:t xml:space="preserve"> </w:t>
      </w:r>
      <w:r w:rsidR="00F5313D" w:rsidRPr="004A6FE9">
        <w:rPr>
          <w:szCs w:val="20"/>
        </w:rPr>
        <w:fldChar w:fldCharType="begin"/>
      </w:r>
      <w:r w:rsidR="00FC5BEB">
        <w:rPr>
          <w:szCs w:val="20"/>
        </w:rPr>
        <w:instrText xml:space="preserve"> ADDIN EN.CITE &lt;EndNote&gt;&lt;Cite&gt;&lt;Author&gt;Man&lt;/Author&gt;&lt;Year&gt;2011&lt;/Year&gt;&lt;RecNum&gt;99&lt;/RecNum&gt;&lt;DisplayText&gt;&lt;style face="superscript"&gt;101&lt;/style&gt;&lt;/DisplayText&gt;&lt;record&gt;&lt;rec-number&gt;99&lt;/rec-number&gt;&lt;foreign-keys&gt;&lt;key app="EN" db-id="2xex0erf4eexr4e2dpbxpdd829xttesxxxdr" timestamp="1715075296"&gt;99&lt;/key&gt;&lt;/foreign-keys&gt;&lt;ref-type name="Journal Article"&gt;17&lt;/ref-type&gt;&lt;contributors&gt;&lt;authors&gt;&lt;author&gt;Man, Isabela C.&lt;/author&gt;&lt;author&gt;Su, Hai-Yan&lt;/author&gt;&lt;author&gt;Calle-Vallejo, Federico&lt;/author&gt;&lt;author&gt;Hansen, Heine A.&lt;/author&gt;&lt;author&gt;Martínez, José I.&lt;/author&gt;&lt;author&gt;Inoglu, Nilay G.&lt;/author&gt;&lt;author&gt;Kitchin, John&lt;/author&gt;&lt;author&gt;Jaramillo, Thomas F.&lt;/author&gt;&lt;author&gt;Nørskov, Jens K.&lt;/author&gt;&lt;author&gt;Rossmeisl, Jan&lt;/author&gt;&lt;/authors&gt;&lt;/contributors&gt;&lt;titles&gt;&lt;title&gt;Universality in Oxygen Evolution Electrocatalysis on Oxide Surfaces&lt;/title&gt;&lt;secondary-title&gt;ChemCatChem&lt;/secondary-title&gt;&lt;/titles&gt;&lt;pages&gt;1159-1165&lt;/pages&gt;&lt;volume&gt;3&lt;/volume&gt;&lt;number&gt;7&lt;/number&gt;&lt;dates&gt;&lt;year&gt;2011&lt;/year&gt;&lt;/dates&gt;&lt;isbn&gt;1867-3880&lt;/isbn&gt;&lt;urls&gt;&lt;related-urls&gt;&lt;url&gt;https://chemistry-europe.onlinelibrary.wiley.com/doi/abs/10.1002/cctc.201000397&lt;/url&gt;&lt;/related-urls&gt;&lt;/urls&gt;&lt;electronic-resource-num&gt;https://doi.org/10.1002/cctc.201000397&lt;/electronic-resource-num&gt;&lt;/record&gt;&lt;/Cite&gt;&lt;/EndNote&gt;</w:instrText>
      </w:r>
      <w:r w:rsidR="00F5313D" w:rsidRPr="004A6FE9">
        <w:rPr>
          <w:szCs w:val="20"/>
        </w:rPr>
        <w:fldChar w:fldCharType="separate"/>
      </w:r>
      <w:r w:rsidR="00FC5BEB" w:rsidRPr="00FC5BEB">
        <w:rPr>
          <w:noProof/>
          <w:szCs w:val="20"/>
          <w:vertAlign w:val="superscript"/>
        </w:rPr>
        <w:t>101</w:t>
      </w:r>
      <w:r w:rsidR="00F5313D" w:rsidRPr="004A6FE9">
        <w:rPr>
          <w:szCs w:val="20"/>
        </w:rPr>
        <w:fldChar w:fldCharType="end"/>
      </w:r>
      <w:r w:rsidR="000B5BB6">
        <w:rPr>
          <w:szCs w:val="20"/>
        </w:rPr>
        <w:t xml:space="preserve"> Copyright</w:t>
      </w:r>
      <w:r w:rsidR="00AF126A">
        <w:rPr>
          <w:szCs w:val="20"/>
        </w:rPr>
        <w:t xml:space="preserve"> 2011</w:t>
      </w:r>
      <w:r w:rsidR="000B5BB6">
        <w:rPr>
          <w:szCs w:val="20"/>
        </w:rPr>
        <w:t xml:space="preserve"> </w:t>
      </w:r>
      <w:r w:rsidR="000B5BB6" w:rsidRPr="000B5BB6">
        <w:rPr>
          <w:szCs w:val="20"/>
          <w:lang w:val="en-US"/>
        </w:rPr>
        <w:t>John Wiley and Sons</w:t>
      </w:r>
      <w:r w:rsidR="000B5BB6">
        <w:rPr>
          <w:szCs w:val="20"/>
          <w:lang w:val="en-US"/>
        </w:rPr>
        <w:t>.</w:t>
      </w:r>
    </w:p>
    <w:p w14:paraId="36BC2E2E" w14:textId="5741D167" w:rsidR="00F5313D" w:rsidRDefault="004A6FE9" w:rsidP="00F5313D">
      <w:pPr>
        <w:rPr>
          <w:color w:val="000000" w:themeColor="text1"/>
          <w:szCs w:val="22"/>
        </w:rPr>
      </w:pPr>
      <w:r w:rsidRPr="00EC6E98">
        <w:rPr>
          <w:color w:val="000000" w:themeColor="text1"/>
          <w:szCs w:val="22"/>
        </w:rPr>
        <w:tab/>
        <w:t xml:space="preserve">It should be noted that the above conclusions come from severe assumptions, including, for instance, constrained thermodynamic equilibrium, fully oxidized surface terminations, and, owing to the results from Ref. </w:t>
      </w:r>
      <w:r>
        <w:rPr>
          <w:color w:val="000000" w:themeColor="text1"/>
          <w:szCs w:val="22"/>
        </w:rPr>
        <w:fldChar w:fldCharType="begin"/>
      </w:r>
      <w:r w:rsidR="00FC5BEB">
        <w:rPr>
          <w:color w:val="000000" w:themeColor="text1"/>
          <w:szCs w:val="22"/>
        </w:rPr>
        <w:instrText xml:space="preserve"> ADDIN EN.CITE &lt;EndNote&gt;&lt;Cite&gt;&lt;Author&gt;Rossmeisl&lt;/Author&gt;&lt;Year&gt;2007&lt;/Year&gt;&lt;RecNum&gt;86&lt;/RecNum&gt;&lt;DisplayText&gt;&lt;style face="superscript"&gt;88&lt;/style&gt;&lt;/DisplayText&gt;&lt;record&gt;&lt;rec-number&gt;86&lt;/rec-number&gt;&lt;foreign-keys&gt;&lt;key app="EN" db-id="2xex0erf4eexr4e2dpbxpdd829xttesxxxdr" timestamp="1715075296"&gt;86&lt;/key&gt;&lt;/foreign-keys&gt;&lt;ref-type name="Journal Article"&gt;17&lt;/ref-type&gt;&lt;contributors&gt;&lt;authors&gt;&lt;author&gt;Rossmeisl, J.&lt;/author&gt;&lt;author&gt;Qu, Z. W.&lt;/author&gt;&lt;author&gt;Zhu, H.&lt;/author&gt;&lt;author&gt;Kroes, G. J.&lt;/author&gt;&lt;author&gt;Nørskov, J. K.&lt;/author&gt;&lt;/authors&gt;&lt;/contributors&gt;&lt;titles&gt;&lt;title&gt;Electrolysis of water on oxide surfaces&lt;/title&gt;&lt;secondary-title&gt;Journal of Electroanalytical Chemistry&lt;/secondary-title&gt;&lt;/titles&gt;&lt;periodical&gt;&lt;full-title&gt;Journal of Electroanalytical Chemistry&lt;/full-title&gt;&lt;abbr-1&gt;J. Electroanal. Chem.&lt;/abbr-1&gt;&lt;abbr-2&gt;J Electroanal Chem&lt;/abbr-2&gt;&lt;/periodical&gt;&lt;pages&gt;83-89&lt;/pages&gt;&lt;volume&gt;607&lt;/volume&gt;&lt;number&gt;1&lt;/number&gt;&lt;keywords&gt;&lt;keyword&gt;Electrolysis&lt;/keyword&gt;&lt;keyword&gt;Oxide surfaces&lt;/keyword&gt;&lt;keyword&gt;Density functional theory&lt;/keyword&gt;&lt;keyword&gt;Linear relations&lt;/keyword&gt;&lt;/keywords&gt;&lt;dates&gt;&lt;year&gt;2007&lt;/year&gt;&lt;pub-dates&gt;&lt;date&gt;2007/09/01/&lt;/date&gt;&lt;/pub-dates&gt;&lt;/dates&gt;&lt;isbn&gt;1572-6657&lt;/isbn&gt;&lt;urls&gt;&lt;related-urls&gt;&lt;url&gt;https://www.sciencedirect.com/science/article/pii/S0022072806006371&lt;/url&gt;&lt;/related-urls&gt;&lt;/urls&gt;&lt;electronic-resource-num&gt;https://doi.org/10.1016/j.jelechem.2006.11.008&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88</w:t>
      </w:r>
      <w:r>
        <w:rPr>
          <w:color w:val="000000" w:themeColor="text1"/>
          <w:szCs w:val="22"/>
        </w:rPr>
        <w:fldChar w:fldCharType="end"/>
      </w:r>
      <w:r>
        <w:rPr>
          <w:color w:val="000000" w:themeColor="text1"/>
          <w:szCs w:val="22"/>
        </w:rPr>
        <w:t xml:space="preserve">, </w:t>
      </w:r>
      <w:r w:rsidRPr="00EC6E98">
        <w:rPr>
          <w:color w:val="000000" w:themeColor="text1"/>
          <w:szCs w:val="22"/>
        </w:rPr>
        <w:t>the assumption that double layer effects can be neglected. But perhaps more critical, the coefficients in the BEP relationships implicitly underlying the identification of a kinetic parameter (</w:t>
      </w:r>
      <w:r w:rsidRPr="00EC6E98">
        <w:rPr>
          <w:i/>
          <w:color w:val="000000" w:themeColor="text1"/>
          <w:szCs w:val="22"/>
        </w:rPr>
        <w:sym w:font="Symbol" w:char="F068"/>
      </w:r>
      <w:r w:rsidRPr="00EC6E98">
        <w:rPr>
          <w:iCs/>
          <w:color w:val="000000" w:themeColor="text1"/>
          <w:szCs w:val="22"/>
          <w:vertAlign w:val="subscript"/>
        </w:rPr>
        <w:t>CHE</w:t>
      </w:r>
      <w:r w:rsidRPr="00EC6E98">
        <w:rPr>
          <w:iCs/>
          <w:color w:val="000000" w:themeColor="text1"/>
          <w:szCs w:val="22"/>
        </w:rPr>
        <w:t>) from thermodynamic data</w:t>
      </w:r>
      <w:r w:rsidRPr="00EC6E98">
        <w:rPr>
          <w:color w:val="000000" w:themeColor="text1"/>
          <w:szCs w:val="22"/>
        </w:rPr>
        <w:t xml:space="preserve"> are known to be dependent on an oxide’s crystal structure and adsorption site</w:t>
      </w:r>
      <w:r>
        <w:rPr>
          <w:color w:val="000000" w:themeColor="text1"/>
          <w:szCs w:val="22"/>
        </w:rPr>
        <w:fldChar w:fldCharType="begin"/>
      </w:r>
      <w:r w:rsidR="00FC5BEB">
        <w:rPr>
          <w:color w:val="000000" w:themeColor="text1"/>
          <w:szCs w:val="22"/>
        </w:rPr>
        <w:instrText xml:space="preserve"> ADDIN EN.CITE &lt;EndNote&gt;&lt;Cite&gt;&lt;Author&gt;Vojvodic&lt;/Author&gt;&lt;Year&gt;2011&lt;/Year&gt;&lt;RecNum&gt;216&lt;/RecNum&gt;&lt;DisplayText&gt;&lt;style face="superscript"&gt;218&lt;/style&gt;&lt;/DisplayText&gt;&lt;record&gt;&lt;rec-number&gt;216&lt;/rec-number&gt;&lt;foreign-keys&gt;&lt;key app="EN" db-id="2xex0erf4eexr4e2dpbxpdd829xttesxxxdr" timestamp="1715075296"&gt;216&lt;/key&gt;&lt;/foreign-keys&gt;&lt;ref-type name="Journal Article"&gt;17&lt;/ref-type&gt;&lt;contributors&gt;&lt;authors&gt;&lt;author&gt;Vojvodic, A.&lt;/author&gt;&lt;author&gt;Calle-Vallejo, F.&lt;/author&gt;&lt;author&gt;Guo, W.&lt;/author&gt;&lt;author&gt;Wang, S.&lt;/author&gt;&lt;author&gt;Toftelund, A.&lt;/author&gt;&lt;author&gt;Studt, F.&lt;/author&gt;&lt;author&gt;Martínez, J. I.&lt;/author&gt;&lt;author&gt;Shen, J.&lt;/author&gt;&lt;author&gt;Man, I. C.&lt;/author&gt;&lt;author&gt;Rossmeisl, J.&lt;/author&gt;&lt;author&gt;Bligaard, T.&lt;/author&gt;&lt;author&gt;Nørskov, J. K.&lt;/author&gt;&lt;author&gt;Abild-Pedersen, F.&lt;/author&gt;&lt;/authors&gt;&lt;/contributors&gt;&lt;titles&gt;&lt;title&gt;On the behavior of Brønsted-Evans-Polanyi relations for transition metal oxides&lt;/title&gt;&lt;secondary-title&gt;Journal of Chemical Physics&lt;/secondary-title&gt;&lt;/titles&gt;&lt;periodical&gt;&lt;full-title&gt;Journal of Chemical Physics&lt;/full-title&gt;&lt;abbr-1&gt;J. Chem. Phys.&lt;/abbr-1&gt;&lt;abbr-2&gt;J Chem Phys&lt;/abbr-2&gt;&lt;/periodical&gt;&lt;volume&gt;134&lt;/volume&gt;&lt;number&gt;24&lt;/number&gt;&lt;dates&gt;&lt;year&gt;2011&lt;/year&gt;&lt;/dates&gt;&lt;isbn&gt;0021-9606&lt;/isbn&gt;&lt;urls&gt;&lt;related-urls&gt;&lt;url&gt;https://doi.org/10.1063/1.3602323&lt;/url&gt;&lt;/related-urls&gt;&lt;/urls&gt;&lt;custom1&gt;244509&lt;/custom1&gt;&lt;electronic-resource-num&gt;10.1063/1.3602323&lt;/electronic-resource-num&gt;&lt;access-date&gt;2/7/2024&lt;/access-date&gt;&lt;/record&gt;&lt;/Cite&gt;&lt;/EndNote&gt;</w:instrText>
      </w:r>
      <w:r>
        <w:rPr>
          <w:color w:val="000000" w:themeColor="text1"/>
          <w:szCs w:val="22"/>
        </w:rPr>
        <w:fldChar w:fldCharType="separate"/>
      </w:r>
      <w:r w:rsidR="00FC5BEB" w:rsidRPr="00FC5BEB">
        <w:rPr>
          <w:noProof/>
          <w:color w:val="000000" w:themeColor="text1"/>
          <w:szCs w:val="22"/>
          <w:vertAlign w:val="superscript"/>
        </w:rPr>
        <w:t>218</w:t>
      </w:r>
      <w:r>
        <w:rPr>
          <w:color w:val="000000" w:themeColor="text1"/>
          <w:szCs w:val="22"/>
        </w:rPr>
        <w:fldChar w:fldCharType="end"/>
      </w:r>
      <w:r>
        <w:rPr>
          <w:color w:val="000000" w:themeColor="text1"/>
          <w:szCs w:val="22"/>
        </w:rPr>
        <w:t>,</w:t>
      </w:r>
      <w:r w:rsidRPr="00EC6E98">
        <w:rPr>
          <w:color w:val="000000" w:themeColor="text1"/>
          <w:szCs w:val="22"/>
        </w:rPr>
        <w:t xml:space="preserve"> which opens the possibility that differences in oxide structure may lead to different BEP relationships and different values of </w:t>
      </w:r>
      <w:r w:rsidRPr="00EC6E98">
        <w:rPr>
          <w:i/>
          <w:color w:val="000000" w:themeColor="text1"/>
          <w:szCs w:val="22"/>
        </w:rPr>
        <w:sym w:font="Symbol" w:char="F068"/>
      </w:r>
      <w:r w:rsidRPr="00EC6E98">
        <w:rPr>
          <w:iCs/>
          <w:color w:val="000000" w:themeColor="text1"/>
          <w:szCs w:val="22"/>
          <w:vertAlign w:val="subscript"/>
        </w:rPr>
        <w:t>CHE</w:t>
      </w:r>
      <w:r w:rsidRPr="00EC6E98">
        <w:rPr>
          <w:color w:val="000000" w:themeColor="text1"/>
          <w:szCs w:val="22"/>
        </w:rPr>
        <w:t xml:space="preserve">. Closer inspection of the comparison between theory and experiment in </w:t>
      </w:r>
      <w:r>
        <w:rPr>
          <w:color w:val="000000" w:themeColor="text1"/>
          <w:szCs w:val="22"/>
        </w:rPr>
        <w:fldChar w:fldCharType="begin"/>
      </w:r>
      <w:r>
        <w:rPr>
          <w:color w:val="000000" w:themeColor="text1"/>
          <w:szCs w:val="22"/>
        </w:rPr>
        <w:instrText xml:space="preserve"> REF _Ref159515302 \h </w:instrText>
      </w:r>
      <w:r>
        <w:rPr>
          <w:color w:val="000000" w:themeColor="text1"/>
          <w:szCs w:val="22"/>
        </w:rPr>
      </w:r>
      <w:r>
        <w:rPr>
          <w:color w:val="000000" w:themeColor="text1"/>
          <w:szCs w:val="22"/>
        </w:rPr>
        <w:fldChar w:fldCharType="separate"/>
      </w:r>
      <w:r w:rsidR="003255C0" w:rsidRPr="001A79BA">
        <w:rPr>
          <w:b/>
          <w:bCs/>
        </w:rPr>
        <w:t xml:space="preserve">Figure </w:t>
      </w:r>
      <w:r w:rsidR="003255C0">
        <w:rPr>
          <w:b/>
          <w:bCs/>
          <w:noProof/>
        </w:rPr>
        <w:t>16</w:t>
      </w:r>
      <w:r>
        <w:rPr>
          <w:color w:val="000000" w:themeColor="text1"/>
          <w:szCs w:val="22"/>
        </w:rPr>
        <w:fldChar w:fldCharType="end"/>
      </w:r>
      <w:r w:rsidRPr="00EC6E98">
        <w:rPr>
          <w:color w:val="000000" w:themeColor="text1"/>
          <w:szCs w:val="22"/>
        </w:rPr>
        <w:t>, in fact, reveals rather poor agreement for all systems except the perovskites, with the SnO</w:t>
      </w:r>
      <w:r w:rsidRPr="00EC6E98">
        <w:rPr>
          <w:color w:val="000000" w:themeColor="text1"/>
          <w:szCs w:val="22"/>
          <w:vertAlign w:val="subscript"/>
        </w:rPr>
        <w:t>2</w:t>
      </w:r>
      <w:r w:rsidRPr="00EC6E98">
        <w:rPr>
          <w:color w:val="000000" w:themeColor="text1"/>
          <w:szCs w:val="22"/>
        </w:rPr>
        <w:t xml:space="preserve"> point having excessive influence on the oxide fits. If, for instance, the SnO</w:t>
      </w:r>
      <w:r w:rsidRPr="00EC6E98">
        <w:rPr>
          <w:color w:val="000000" w:themeColor="text1"/>
          <w:szCs w:val="22"/>
          <w:vertAlign w:val="subscript"/>
        </w:rPr>
        <w:t>2</w:t>
      </w:r>
      <w:r w:rsidRPr="00EC6E98">
        <w:rPr>
          <w:color w:val="000000" w:themeColor="text1"/>
          <w:szCs w:val="22"/>
        </w:rPr>
        <w:t xml:space="preserve"> datapoint is ignored, the correlation changes from </w:t>
      </w:r>
      <w:r w:rsidRPr="00EC6E98">
        <w:rPr>
          <w:i/>
          <w:color w:val="000000" w:themeColor="text1"/>
          <w:szCs w:val="22"/>
        </w:rPr>
        <w:sym w:font="Symbol" w:char="F068"/>
      </w:r>
      <w:r w:rsidRPr="00EC6E98">
        <w:rPr>
          <w:iCs/>
          <w:color w:val="000000" w:themeColor="text1"/>
          <w:szCs w:val="22"/>
          <w:vertAlign w:val="subscript"/>
        </w:rPr>
        <w:t>CHE</w:t>
      </w:r>
      <w:r w:rsidRPr="00EC6E98">
        <w:rPr>
          <w:color w:val="000000" w:themeColor="text1"/>
          <w:szCs w:val="22"/>
        </w:rPr>
        <w:t xml:space="preserve"> ~ -0.8</w:t>
      </w:r>
      <w:r w:rsidRPr="00EC6E98">
        <w:rPr>
          <w:i/>
          <w:color w:val="000000" w:themeColor="text1"/>
          <w:szCs w:val="22"/>
        </w:rPr>
        <w:sym w:font="Symbol" w:char="F068"/>
      </w:r>
      <w:r w:rsidRPr="00EC6E98">
        <w:rPr>
          <w:i/>
          <w:color w:val="000000" w:themeColor="text1"/>
          <w:szCs w:val="22"/>
        </w:rPr>
        <w:t xml:space="preserve"> </w:t>
      </w:r>
      <w:r w:rsidRPr="00EC6E98">
        <w:rPr>
          <w:iCs/>
          <w:color w:val="000000" w:themeColor="text1"/>
          <w:szCs w:val="22"/>
        </w:rPr>
        <w:t xml:space="preserve">- 0.2 eV with </w:t>
      </w:r>
      <w:r w:rsidRPr="00EC6E98">
        <w:rPr>
          <w:i/>
          <w:color w:val="000000" w:themeColor="text1"/>
          <w:szCs w:val="22"/>
        </w:rPr>
        <w:t>R</w:t>
      </w:r>
      <w:r w:rsidRPr="00EC6E98">
        <w:rPr>
          <w:iCs/>
          <w:color w:val="000000" w:themeColor="text1"/>
          <w:szCs w:val="22"/>
          <w:vertAlign w:val="superscript"/>
        </w:rPr>
        <w:t>2</w:t>
      </w:r>
      <w:r w:rsidRPr="00EC6E98">
        <w:rPr>
          <w:iCs/>
          <w:color w:val="000000" w:themeColor="text1"/>
          <w:szCs w:val="22"/>
        </w:rPr>
        <w:t xml:space="preserve">~0.8 to </w:t>
      </w:r>
      <w:r w:rsidRPr="00EC6E98">
        <w:rPr>
          <w:i/>
          <w:color w:val="000000" w:themeColor="text1"/>
          <w:szCs w:val="22"/>
        </w:rPr>
        <w:sym w:font="Symbol" w:char="F068"/>
      </w:r>
      <w:r w:rsidRPr="00EC6E98">
        <w:rPr>
          <w:iCs/>
          <w:color w:val="000000" w:themeColor="text1"/>
          <w:szCs w:val="22"/>
          <w:vertAlign w:val="subscript"/>
        </w:rPr>
        <w:t>CHE</w:t>
      </w:r>
      <w:r w:rsidRPr="00EC6E98">
        <w:rPr>
          <w:color w:val="000000" w:themeColor="text1"/>
          <w:szCs w:val="22"/>
        </w:rPr>
        <w:t xml:space="preserve"> ~ -0.5</w:t>
      </w:r>
      <w:r w:rsidRPr="00EC6E98">
        <w:rPr>
          <w:i/>
          <w:color w:val="000000" w:themeColor="text1"/>
          <w:szCs w:val="22"/>
        </w:rPr>
        <w:sym w:font="Symbol" w:char="F068"/>
      </w:r>
      <w:r w:rsidRPr="00EC6E98">
        <w:rPr>
          <w:i/>
          <w:color w:val="000000" w:themeColor="text1"/>
          <w:szCs w:val="22"/>
        </w:rPr>
        <w:t xml:space="preserve"> </w:t>
      </w:r>
      <w:r w:rsidRPr="00EC6E98">
        <w:rPr>
          <w:iCs/>
          <w:color w:val="000000" w:themeColor="text1"/>
          <w:szCs w:val="22"/>
        </w:rPr>
        <w:t xml:space="preserve">- 0.3 eV with </w:t>
      </w:r>
      <w:r w:rsidRPr="00EC6E98">
        <w:rPr>
          <w:i/>
          <w:color w:val="000000" w:themeColor="text1"/>
          <w:szCs w:val="22"/>
        </w:rPr>
        <w:t>R</w:t>
      </w:r>
      <w:r w:rsidRPr="00EC6E98">
        <w:rPr>
          <w:iCs/>
          <w:color w:val="000000" w:themeColor="text1"/>
          <w:szCs w:val="22"/>
          <w:vertAlign w:val="superscript"/>
        </w:rPr>
        <w:t>2</w:t>
      </w:r>
      <w:r w:rsidRPr="00EC6E98">
        <w:rPr>
          <w:iCs/>
          <w:color w:val="000000" w:themeColor="text1"/>
          <w:szCs w:val="22"/>
        </w:rPr>
        <w:t>~0.5. The origin of this disagreement is unclear. It may lie in part with the use of experimental data from varying sources, a breakdown in the basic assumptions underlying the CHE</w:t>
      </w:r>
      <w:r>
        <w:rPr>
          <w:color w:val="000000" w:themeColor="text1"/>
          <w:szCs w:val="22"/>
          <w:shd w:val="clear" w:color="auto" w:fill="FCFCFC"/>
        </w:rPr>
        <w:fldChar w:fldCharType="begin">
          <w:fldData xml:space="preserve">PEVuZE5vdGU+PENpdGU+PEF1dGhvcj5TdGFtcGZsPC9BdXRob3I+PFllYXI+MjAwNTwvWWVhcj48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</w:fldData>
        </w:fldChar>
      </w:r>
      <w:r w:rsidR="00FC5BEB">
        <w:rPr>
          <w:color w:val="000000" w:themeColor="text1"/>
          <w:szCs w:val="22"/>
          <w:shd w:val="clear" w:color="auto" w:fill="FCFCFC"/>
        </w:rPr>
        <w:instrText xml:space="preserve"> ADDIN EN.CITE </w:instrText>
      </w:r>
      <w:r w:rsidR="00FC5BEB">
        <w:rPr>
          <w:color w:val="000000" w:themeColor="text1"/>
          <w:szCs w:val="22"/>
          <w:shd w:val="clear" w:color="auto" w:fill="FCFCFC"/>
        </w:rPr>
        <w:fldChar w:fldCharType="begin">
          <w:fldData xml:space="preserve">PEVuZE5vdGU+PENpdGU+PEF1dGhvcj5TdGFtcGZsPC9BdXRob3I+PFllYXI+MjAwNTwvWWVhcj48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</w:fldData>
        </w:fldChar>
      </w:r>
      <w:r w:rsidR="00FC5BEB">
        <w:rPr>
          <w:color w:val="000000" w:themeColor="text1"/>
          <w:szCs w:val="22"/>
          <w:shd w:val="clear" w:color="auto" w:fill="FCFCFC"/>
        </w:rPr>
        <w:instrText xml:space="preserve"> ADDIN EN.CITE.DATA </w:instrText>
      </w:r>
      <w:r w:rsidR="00FC5BEB">
        <w:rPr>
          <w:color w:val="000000" w:themeColor="text1"/>
          <w:szCs w:val="22"/>
          <w:shd w:val="clear" w:color="auto" w:fill="FCFCFC"/>
        </w:rPr>
      </w:r>
      <w:r w:rsidR="00FC5BEB">
        <w:rPr>
          <w:color w:val="000000" w:themeColor="text1"/>
          <w:szCs w:val="22"/>
          <w:shd w:val="clear" w:color="auto" w:fill="FCFCFC"/>
        </w:rPr>
        <w:fldChar w:fldCharType="end"/>
      </w:r>
      <w:r>
        <w:rPr>
          <w:color w:val="000000" w:themeColor="text1"/>
          <w:szCs w:val="22"/>
          <w:shd w:val="clear" w:color="auto" w:fill="FCFCFC"/>
        </w:rPr>
      </w:r>
      <w:r>
        <w:rPr>
          <w:color w:val="000000" w:themeColor="text1"/>
          <w:szCs w:val="22"/>
          <w:shd w:val="clear" w:color="auto" w:fill="FCFCFC"/>
        </w:rPr>
        <w:fldChar w:fldCharType="separate"/>
      </w:r>
      <w:r w:rsidR="00FC5BEB" w:rsidRPr="00FC5BEB">
        <w:rPr>
          <w:noProof/>
          <w:color w:val="000000" w:themeColor="text1"/>
          <w:szCs w:val="22"/>
          <w:shd w:val="clear" w:color="auto" w:fill="FCFCFC"/>
          <w:vertAlign w:val="superscript"/>
        </w:rPr>
        <w:t>107-109</w:t>
      </w:r>
      <w:r>
        <w:rPr>
          <w:color w:val="000000" w:themeColor="text1"/>
          <w:szCs w:val="22"/>
          <w:shd w:val="clear" w:color="auto" w:fill="FCFCFC"/>
        </w:rPr>
        <w:fldChar w:fldCharType="end"/>
      </w:r>
      <w:r w:rsidRPr="00EC6E98">
        <w:rPr>
          <w:iCs/>
          <w:color w:val="000000" w:themeColor="text1"/>
          <w:szCs w:val="22"/>
        </w:rPr>
        <w:t xml:space="preserve"> and the computation of </w:t>
      </w:r>
      <w:r w:rsidRPr="00EC6E98">
        <w:rPr>
          <w:i/>
          <w:color w:val="000000" w:themeColor="text1"/>
          <w:szCs w:val="22"/>
        </w:rPr>
        <w:sym w:font="Symbol" w:char="F068"/>
      </w:r>
      <w:r w:rsidRPr="00EC6E98">
        <w:rPr>
          <w:iCs/>
          <w:color w:val="000000" w:themeColor="text1"/>
          <w:szCs w:val="22"/>
          <w:vertAlign w:val="subscript"/>
        </w:rPr>
        <w:t>CHE</w:t>
      </w:r>
      <w:r w:rsidRPr="00EC6E98">
        <w:rPr>
          <w:iCs/>
          <w:color w:val="000000" w:themeColor="text1"/>
          <w:szCs w:val="22"/>
        </w:rPr>
        <w:t xml:space="preserve"> </w:t>
      </w:r>
      <w:r>
        <w:rPr>
          <w:iCs/>
          <w:color w:val="000000" w:themeColor="text1"/>
          <w:szCs w:val="22"/>
        </w:rPr>
        <w:fldChar w:fldCharType="begin"/>
      </w:r>
      <w:r w:rsidR="00FC5BEB">
        <w:rPr>
          <w:iCs/>
          <w:color w:val="000000" w:themeColor="text1"/>
          <w:szCs w:val="22"/>
        </w:rPr>
        <w:instrText xml:space="preserve"> ADDIN EN.CITE &lt;EndNote&gt;&lt;Cite&gt;&lt;Author&gt;Vojvodic&lt;/Author&gt;&lt;Year&gt;2011&lt;/Year&gt;&lt;RecNum&gt;216&lt;/RecNum&gt;&lt;DisplayText&gt;&lt;style face="superscript"&gt;218&lt;/style&gt;&lt;/DisplayText&gt;&lt;record&gt;&lt;rec-number&gt;216&lt;/rec-number&gt;&lt;foreign-keys&gt;&lt;key app="EN" db-id="2xex0erf4eexr4e2dpbxpdd829xttesxxxdr" timestamp="1715075296"&gt;216&lt;/key&gt;&lt;/foreign-keys&gt;&lt;ref-type name="Journal Article"&gt;17&lt;/ref-type&gt;&lt;contributors&gt;&lt;authors&gt;&lt;author&gt;Vojvodic, A.&lt;/author&gt;&lt;author&gt;Calle-Vallejo, F.&lt;/author&gt;&lt;author&gt;Guo, W.&lt;/author&gt;&lt;author&gt;Wang, S.&lt;/author&gt;&lt;author&gt;Toftelund, A.&lt;/author&gt;&lt;author&gt;Studt, F.&lt;/author&gt;&lt;author&gt;Martínez, J. I.&lt;/author&gt;&lt;author&gt;Shen, J.&lt;/author&gt;&lt;author&gt;Man, I. C.&lt;/author&gt;&lt;author&gt;Rossmeisl, J.&lt;/author&gt;&lt;author&gt;Bligaard, T.&lt;/author&gt;&lt;author&gt;Nørskov, J. K.&lt;/author&gt;&lt;author&gt;Abild-Pedersen, F.&lt;/author&gt;&lt;/authors&gt;&lt;/contributors&gt;&lt;titles&gt;&lt;title&gt;On the behavior of Brønsted-Evans-Polanyi relations for transition metal oxides&lt;/title&gt;&lt;secondary-title&gt;Journal of Chemical Physics&lt;/secondary-title&gt;&lt;/titles&gt;&lt;periodical&gt;&lt;full-title&gt;Journal of Chemical Physics&lt;/full-title&gt;&lt;abbr-1&gt;J. Chem. Phys.&lt;/abbr-1&gt;&lt;abbr-2&gt;J Chem Phys&lt;/abbr-2&gt;&lt;/periodical&gt;&lt;volume&gt;134&lt;/volume&gt;&lt;number&gt;24&lt;/number&gt;&lt;dates&gt;&lt;year&gt;2011&lt;/year&gt;&lt;/dates&gt;&lt;isbn&gt;0021-9606&lt;/isbn&gt;&lt;urls&gt;&lt;related-urls&gt;&lt;url&gt;https://doi.org/10.1063/1.3602323&lt;/url&gt;&lt;/related-urls&gt;&lt;/urls&gt;&lt;custom1&gt;244509&lt;/custom1&gt;&lt;electronic-resource-num&gt;10.1063/1.3602323&lt;/electronic-resource-num&gt;&lt;access-date&gt;2/7/2024&lt;/access-date&gt;&lt;/record&gt;&lt;/Cite&gt;&lt;/EndNote&gt;</w:instrText>
      </w:r>
      <w:r>
        <w:rPr>
          <w:iCs/>
          <w:color w:val="000000" w:themeColor="text1"/>
          <w:szCs w:val="22"/>
        </w:rPr>
        <w:fldChar w:fldCharType="separate"/>
      </w:r>
      <w:r w:rsidR="00FC5BEB" w:rsidRPr="00FC5BEB">
        <w:rPr>
          <w:iCs/>
          <w:noProof/>
          <w:color w:val="000000" w:themeColor="text1"/>
          <w:szCs w:val="22"/>
          <w:vertAlign w:val="superscript"/>
        </w:rPr>
        <w:t>218</w:t>
      </w:r>
      <w:r>
        <w:rPr>
          <w:iCs/>
          <w:color w:val="000000" w:themeColor="text1"/>
          <w:szCs w:val="22"/>
        </w:rPr>
        <w:fldChar w:fldCharType="end"/>
      </w:r>
      <w:r>
        <w:rPr>
          <w:iCs/>
          <w:color w:val="000000" w:themeColor="text1"/>
          <w:szCs w:val="22"/>
        </w:rPr>
        <w:t>,</w:t>
      </w:r>
      <w:r w:rsidRPr="00EC6E98">
        <w:rPr>
          <w:iCs/>
          <w:color w:val="000000" w:themeColor="text1"/>
          <w:szCs w:val="22"/>
        </w:rPr>
        <w:t xml:space="preserve"> a deficiency in the use of a single descriptor</w:t>
      </w:r>
      <w:r>
        <w:rPr>
          <w:iCs/>
          <w:color w:val="000000" w:themeColor="text1"/>
          <w:szCs w:val="22"/>
        </w:rPr>
        <w:fldChar w:fldCharType="begin"/>
      </w:r>
      <w:r w:rsidR="00FC5BEB">
        <w:rPr>
          <w:iCs/>
          <w:color w:val="000000" w:themeColor="text1"/>
          <w:szCs w:val="22"/>
        </w:rPr>
        <w:instrText xml:space="preserve"> ADDIN EN.CITE &lt;EndNote&gt;&lt;Cite&gt;&lt;Author&gt;Exner&lt;/Author&gt;&lt;Year&gt;2021&lt;/Year&gt;&lt;RecNum&gt;198&lt;/RecNum&gt;&lt;DisplayText&gt;&lt;style face="superscript"&gt;200&lt;/style&gt;&lt;/DisplayText&gt;&lt;record&gt;&lt;rec-number&gt;198&lt;/rec-number&gt;&lt;foreign-keys&gt;&lt;key app="EN" db-id="2xex0erf4eexr4e2dpbxpdd829xttesxxxdr" timestamp="1715075296"&gt;198&lt;/key&gt;&lt;/foreign-keys&gt;&lt;ref-type name="Journal Article"&gt;17&lt;/ref-type&gt;&lt;contributors&gt;&lt;authors&gt;&lt;author&gt;Exner, Kai S.&lt;/author&gt;&lt;/authors&gt;&lt;/contributors&gt;&lt;titles&gt;&lt;title&gt;Why approximating electrocatalytic activity by a single free‐energy change is insufficient&lt;/title&gt;&lt;secondary-title&gt;Electrochimica Acta&lt;/secondary-title&gt;&lt;/titles&gt;&lt;periodical&gt;&lt;full-title&gt;Electrochimica Acta&lt;/full-title&gt;&lt;abbr-1&gt;Electrochim. Acta&lt;/abbr-1&gt;&lt;abbr-2&gt;Electrochim Acta&lt;/abbr-2&gt;&lt;/periodical&gt;&lt;pages&gt;137975&lt;/pages&gt;&lt;volume&gt;375&lt;/volume&gt;&lt;keywords&gt;&lt;keyword&gt;Electrocatalysis&lt;/keyword&gt;&lt;keyword&gt;Oxygen evolution reaction&lt;/keyword&gt;&lt;keyword&gt;Thermodynamic overpotential&lt;/keyword&gt;&lt;keyword&gt;Electrochemical-step symmetry index&lt;/keyword&gt;&lt;keyword&gt;G(η)&lt;/keyword&gt;&lt;/keywords&gt;&lt;dates&gt;&lt;year&gt;2021&lt;/year&gt;&lt;pub-dates&gt;&lt;date&gt;2021/04/10/&lt;/date&gt;&lt;/pub-dates&gt;&lt;/dates&gt;&lt;isbn&gt;0013-4686&lt;/isbn&gt;&lt;urls&gt;&lt;related-urls&gt;&lt;url&gt;https://www.sciencedirect.com/science/article/pii/S0013468621002656&lt;/url&gt;&lt;/related-urls&gt;&lt;/urls&gt;&lt;electronic-resource-num&gt;https://doi.org/10.1016/j.electacta.2021.137975&lt;/electronic-resource-num&gt;&lt;/record&gt;&lt;/Cite&gt;&lt;/EndNote&gt;</w:instrText>
      </w:r>
      <w:r>
        <w:rPr>
          <w:iCs/>
          <w:color w:val="000000" w:themeColor="text1"/>
          <w:szCs w:val="22"/>
        </w:rPr>
        <w:fldChar w:fldCharType="separate"/>
      </w:r>
      <w:r w:rsidR="00FC5BEB" w:rsidRPr="00FC5BEB">
        <w:rPr>
          <w:iCs/>
          <w:noProof/>
          <w:color w:val="000000" w:themeColor="text1"/>
          <w:szCs w:val="22"/>
          <w:vertAlign w:val="superscript"/>
        </w:rPr>
        <w:t>200</w:t>
      </w:r>
      <w:r>
        <w:rPr>
          <w:iCs/>
          <w:color w:val="000000" w:themeColor="text1"/>
          <w:szCs w:val="22"/>
        </w:rPr>
        <w:fldChar w:fldCharType="end"/>
      </w:r>
      <w:r>
        <w:rPr>
          <w:iCs/>
          <w:color w:val="000000" w:themeColor="text1"/>
          <w:szCs w:val="22"/>
        </w:rPr>
        <w:t>,</w:t>
      </w:r>
      <w:r w:rsidRPr="00EC6E98">
        <w:rPr>
          <w:color w:val="000000" w:themeColor="text1"/>
          <w:szCs w:val="22"/>
        </w:rPr>
        <w:t xml:space="preserve"> or even an incorrect mechanism. Regardless, the observed level of agreement between theory and experiment </w:t>
      </w:r>
      <w:r w:rsidRPr="00EC6E98">
        <w:rPr>
          <w:iCs/>
          <w:color w:val="000000" w:themeColor="text1"/>
          <w:szCs w:val="22"/>
        </w:rPr>
        <w:t xml:space="preserve">demonstrates that care is required when trying to relate the thermodynamic calculation of </w:t>
      </w:r>
      <w:r w:rsidRPr="00EC6E98">
        <w:rPr>
          <w:i/>
          <w:color w:val="000000" w:themeColor="text1"/>
          <w:szCs w:val="22"/>
        </w:rPr>
        <w:sym w:font="Symbol" w:char="F068"/>
      </w:r>
      <w:r w:rsidRPr="00EC6E98">
        <w:rPr>
          <w:iCs/>
          <w:color w:val="000000" w:themeColor="text1"/>
          <w:szCs w:val="22"/>
          <w:vertAlign w:val="subscript"/>
        </w:rPr>
        <w:t>CHE</w:t>
      </w:r>
      <w:r w:rsidRPr="00EC6E98">
        <w:rPr>
          <w:color w:val="000000" w:themeColor="text1"/>
          <w:szCs w:val="22"/>
        </w:rPr>
        <w:t xml:space="preserve"> to a measured kinetic parameter like the overpotential.</w:t>
      </w:r>
    </w:p>
    <w:p w14:paraId="1FE4CF7F" w14:textId="77777777" w:rsidR="004F5F82" w:rsidRDefault="004F5F82" w:rsidP="00F5313D">
      <w:pPr>
        <w:rPr>
          <w:color w:val="000000" w:themeColor="text1"/>
          <w:szCs w:val="22"/>
        </w:rPr>
      </w:pPr>
    </w:p>
    <w:p w14:paraId="1152988D" w14:textId="5B5ED6BF" w:rsidR="004F5F82" w:rsidRPr="00DE0E88" w:rsidRDefault="004F5F82" w:rsidP="00DE0E88">
      <w:pPr>
        <w:pStyle w:val="Heading4"/>
        <w:rPr>
          <w:iCs/>
        </w:rPr>
      </w:pPr>
      <w:bookmarkStart w:id="93" w:name="_Toc166441738"/>
      <w:r w:rsidRPr="00DE0E88">
        <w:t>Impact of computational methodology</w:t>
      </w:r>
      <w:bookmarkEnd w:id="93"/>
    </w:p>
    <w:p w14:paraId="66B3D993" w14:textId="77777777" w:rsidR="004A6FE9" w:rsidRPr="00EC6E98" w:rsidRDefault="004A6FE9" w:rsidP="00F5313D">
      <w:pPr>
        <w:rPr>
          <w:color w:val="000000" w:themeColor="text1"/>
          <w:szCs w:val="22"/>
        </w:rPr>
      </w:pPr>
    </w:p>
    <w:p w14:paraId="59EB8CF7" w14:textId="3B8E9EAB" w:rsidR="00F5313D" w:rsidRDefault="00F5313D" w:rsidP="00F5313D">
      <w:pPr>
        <w:rPr>
          <w:color w:val="000000" w:themeColor="text1"/>
          <w:szCs w:val="22"/>
        </w:rPr>
      </w:pPr>
      <w:r w:rsidRPr="00EC6E98">
        <w:rPr>
          <w:color w:val="000000" w:themeColor="text1"/>
          <w:szCs w:val="22"/>
        </w:rPr>
        <w:tab/>
        <w:t xml:space="preserve">While these early studies did not focus heavily on the method of electronic structure calculation, further efforts showed the scaling relationships are not heavily influenced by the methods of calculation but the </w:t>
      </w:r>
      <w:r w:rsidRPr="00EC6E98">
        <w:rPr>
          <w:i/>
          <w:color w:val="000000" w:themeColor="text1"/>
          <w:szCs w:val="22"/>
        </w:rPr>
        <w:sym w:font="Symbol" w:char="F068"/>
      </w:r>
      <w:r w:rsidRPr="00EC6E98">
        <w:rPr>
          <w:iCs/>
          <w:color w:val="000000" w:themeColor="text1"/>
          <w:szCs w:val="22"/>
          <w:vertAlign w:val="subscript"/>
        </w:rPr>
        <w:t>CHE</w:t>
      </w:r>
      <w:r w:rsidRPr="00EC6E98">
        <w:rPr>
          <w:color w:val="000000" w:themeColor="text1"/>
          <w:szCs w:val="22"/>
        </w:rPr>
        <w:t xml:space="preserve"> predicted for a particular material can be. For instance, in Ref. </w:t>
      </w:r>
      <w:r>
        <w:rPr>
          <w:color w:val="000000" w:themeColor="text1"/>
          <w:szCs w:val="22"/>
        </w:rPr>
        <w:fldChar w:fldCharType="begin"/>
      </w:r>
      <w:r w:rsidR="00FC5BEB">
        <w:rPr>
          <w:color w:val="000000" w:themeColor="text1"/>
          <w:szCs w:val="22"/>
        </w:rPr>
        <w:instrText xml:space="preserve"> ADDIN EN.CITE &lt;EndNote&gt;&lt;Cite&gt;&lt;Author&gt;Man&lt;/Author&gt;&lt;Year&gt;2011&lt;/Year&gt;&lt;RecNum&gt;99&lt;/RecNum&gt;&lt;DisplayText&gt;&lt;style face="superscript"&gt;101&lt;/style&gt;&lt;/DisplayText&gt;&lt;record&gt;&lt;rec-number&gt;99&lt;/rec-number&gt;&lt;foreign-keys&gt;&lt;key app="EN" db-id="2xex0erf4eexr4e2dpbxpdd829xttesxxxdr" timestamp="1715075296"&gt;99&lt;/key&gt;&lt;/foreign-keys&gt;&lt;ref-type name="Journal Article"&gt;17&lt;/ref-type&gt;&lt;contributors&gt;&lt;authors&gt;&lt;author&gt;Man, Isabela C.&lt;/author&gt;&lt;author&gt;Su, Hai-Yan&lt;/author&gt;&lt;author&gt;Calle-Vallejo, Federico&lt;/author&gt;&lt;author&gt;Hansen, Heine A.&lt;/author&gt;&lt;author&gt;Martínez, José I.&lt;/author&gt;&lt;author&gt;Inoglu, Nilay G.&lt;/author&gt;&lt;author&gt;Kitchin, John&lt;/author&gt;&lt;author&gt;Jaramillo, Thomas F.&lt;/author&gt;&lt;author&gt;Nørskov, Jens K.&lt;/author&gt;&lt;author&gt;Rossmeisl, Jan&lt;/author&gt;&lt;/authors&gt;&lt;/contributors&gt;&lt;titles&gt;&lt;title&gt;Universality in Oxygen Evolution Electrocatalysis on Oxide Surfaces&lt;/title&gt;&lt;secondary-title&gt;ChemCatChem&lt;/secondary-title&gt;&lt;/titles&gt;&lt;pages&gt;1159-1165&lt;/pages&gt;&lt;volume&gt;3&lt;/volume&gt;&lt;number&gt;7&lt;/number&gt;&lt;dates&gt;&lt;year&gt;2011&lt;/year&gt;&lt;/dates&gt;&lt;isbn&gt;1867-3880&lt;/isbn&gt;&lt;urls&gt;&lt;related-urls&gt;&lt;url&gt;https://chemistry-europe.onlinelibrary.wiley.com/doi/abs/10.1002/cctc.201000397&lt;/url&gt;&lt;/related-urls&gt;&lt;/urls&gt;&lt;electronic-resource-num&gt;https://doi.org/10.1002/cctc.201000397&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101</w:t>
      </w:r>
      <w:r>
        <w:rPr>
          <w:color w:val="000000" w:themeColor="text1"/>
          <w:szCs w:val="22"/>
        </w:rPr>
        <w:fldChar w:fldCharType="end"/>
      </w:r>
      <w:r>
        <w:rPr>
          <w:color w:val="000000" w:themeColor="text1"/>
          <w:szCs w:val="22"/>
        </w:rPr>
        <w:t xml:space="preserve"> </w:t>
      </w:r>
      <w:r w:rsidRPr="00EC6E98">
        <w:rPr>
          <w:color w:val="000000" w:themeColor="text1"/>
          <w:szCs w:val="22"/>
        </w:rPr>
        <w:t xml:space="preserve">spin </w:t>
      </w:r>
      <w:r w:rsidRPr="00EC6E98">
        <w:rPr>
          <w:color w:val="000000" w:themeColor="text1"/>
          <w:szCs w:val="22"/>
        </w:rPr>
        <w:lastRenderedPageBreak/>
        <w:t xml:space="preserve">polarization was only included for magnetic oxides, which cannot capture </w:t>
      </w:r>
      <w:r w:rsidRPr="00EC6E98">
        <w:rPr>
          <w:color w:val="000000" w:themeColor="text1"/>
          <w:szCs w:val="22"/>
        </w:rPr>
        <w:sym w:font="Symbol" w:char="F06D"/>
      </w:r>
      <w:r w:rsidRPr="00EC6E98">
        <w:rPr>
          <w:color w:val="000000" w:themeColor="text1"/>
          <w:szCs w:val="22"/>
          <w:vertAlign w:val="subscript"/>
        </w:rPr>
        <w:t>1</w:t>
      </w:r>
      <w:r w:rsidRPr="00EC6E98">
        <w:rPr>
          <w:color w:val="000000" w:themeColor="text1"/>
          <w:szCs w:val="22"/>
        </w:rPr>
        <w:t xml:space="preserve">-O </w:t>
      </w:r>
      <w:proofErr w:type="spellStart"/>
      <w:r w:rsidRPr="00EC6E98">
        <w:rPr>
          <w:color w:val="000000" w:themeColor="text1"/>
          <w:szCs w:val="22"/>
        </w:rPr>
        <w:t>oxyl</w:t>
      </w:r>
      <w:proofErr w:type="spellEnd"/>
      <w:r w:rsidRPr="00EC6E98">
        <w:rPr>
          <w:color w:val="000000" w:themeColor="text1"/>
          <w:szCs w:val="22"/>
        </w:rPr>
        <w:t xml:space="preserve"> species correctly even on paramagnetic materials</w:t>
      </w:r>
      <w:r>
        <w:rPr>
          <w:color w:val="000000" w:themeColor="text1"/>
          <w:szCs w:val="22"/>
        </w:rPr>
        <w:fldChar w:fldCharType="begin">
          <w:fldData xml:space="preserve">PEVuZE5vdGU+PENpdGU+PEF1dGhvcj5GcmV2ZWw8L0F1dGhvcj48WWVhcj4yMDE5PC9ZZWFyPjxS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</w:fldData>
        </w:fldChar>
      </w:r>
      <w:r w:rsidR="00FC5BEB">
        <w:rPr>
          <w:color w:val="000000" w:themeColor="text1"/>
          <w:szCs w:val="22"/>
        </w:rPr>
        <w:instrText xml:space="preserve"> ADDIN EN.CITE </w:instrText>
      </w:r>
      <w:r w:rsidR="00FC5BEB">
        <w:rPr>
          <w:color w:val="000000" w:themeColor="text1"/>
          <w:szCs w:val="22"/>
        </w:rPr>
        <w:fldChar w:fldCharType="begin">
          <w:fldData xml:space="preserve">PEVuZE5vdGU+PENpdGU+PEF1dGhvcj5GcmV2ZWw8L0F1dGhvcj48WWVhcj4yMDE5PC9ZZWFyPjxS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</w:fldData>
        </w:fldChar>
      </w:r>
      <w:r w:rsidR="00FC5BEB">
        <w:rPr>
          <w:color w:val="000000" w:themeColor="text1"/>
          <w:szCs w:val="22"/>
        </w:rPr>
        <w:instrText xml:space="preserve"> ADDIN EN.CITE.DATA </w:instrText>
      </w:r>
      <w:r w:rsidR="00FC5BEB">
        <w:rPr>
          <w:color w:val="000000" w:themeColor="text1"/>
          <w:szCs w:val="22"/>
        </w:rPr>
      </w:r>
      <w:r w:rsidR="00FC5BEB">
        <w:rPr>
          <w:color w:val="000000" w:themeColor="text1"/>
          <w:szCs w:val="22"/>
        </w:rPr>
        <w:fldChar w:fldCharType="end"/>
      </w:r>
      <w:r>
        <w:rPr>
          <w:color w:val="000000" w:themeColor="text1"/>
          <w:szCs w:val="22"/>
        </w:rPr>
      </w:r>
      <w:r>
        <w:rPr>
          <w:color w:val="000000" w:themeColor="text1"/>
          <w:szCs w:val="22"/>
        </w:rPr>
        <w:fldChar w:fldCharType="separate"/>
      </w:r>
      <w:r w:rsidR="00FC5BEB" w:rsidRPr="00FC5BEB">
        <w:rPr>
          <w:noProof/>
          <w:color w:val="000000" w:themeColor="text1"/>
          <w:szCs w:val="22"/>
          <w:vertAlign w:val="superscript"/>
        </w:rPr>
        <w:t>219, 220</w:t>
      </w:r>
      <w:r>
        <w:rPr>
          <w:color w:val="000000" w:themeColor="text1"/>
          <w:szCs w:val="22"/>
        </w:rPr>
        <w:fldChar w:fldCharType="end"/>
      </w:r>
      <w:r w:rsidRPr="00482AB6">
        <w:rPr>
          <w:rStyle w:val="Hyperlink"/>
          <w:rFonts w:eastAsiaTheme="majorEastAsia"/>
          <w:color w:val="000000" w:themeColor="text1"/>
          <w:szCs w:val="22"/>
          <w:u w:val="none"/>
        </w:rPr>
        <w:t xml:space="preserve">; </w:t>
      </w:r>
      <w:r w:rsidRPr="00EC6E98">
        <w:rPr>
          <w:color w:val="000000" w:themeColor="text1"/>
          <w:szCs w:val="22"/>
        </w:rPr>
        <w:t>calculations using spin polarization showed that while adsorption energies are influenced, the scaling relationships are not altered</w:t>
      </w:r>
      <w:r>
        <w:rPr>
          <w:color w:val="000000" w:themeColor="text1"/>
          <w:szCs w:val="22"/>
        </w:rPr>
        <w:fldChar w:fldCharType="begin"/>
      </w:r>
      <w:r w:rsidR="00FC5BEB">
        <w:rPr>
          <w:color w:val="000000" w:themeColor="text1"/>
          <w:szCs w:val="22"/>
        </w:rPr>
        <w:instrText xml:space="preserve"> ADDIN EN.CITE &lt;EndNote&gt;&lt;Cite&gt;&lt;Author&gt;Mom&lt;/Author&gt;&lt;Year&gt;2014&lt;/Year&gt;&lt;RecNum&gt;219&lt;/RecNum&gt;&lt;DisplayText&gt;&lt;style face="superscript"&gt;221&lt;/style&gt;&lt;/DisplayText&gt;&lt;record&gt;&lt;rec-number&gt;219&lt;/rec-number&gt;&lt;foreign-keys&gt;&lt;key app="EN" db-id="2xex0erf4eexr4e2dpbxpdd829xttesxxxdr" timestamp="1715075296"&gt;219&lt;/key&gt;&lt;/foreign-keys&gt;&lt;ref-type name="Journal Article"&gt;17&lt;/ref-type&gt;&lt;contributors&gt;&lt;authors&gt;&lt;author&gt;Mom, Rik V.&lt;/author&gt;&lt;author&gt;Cheng, Jun&lt;/author&gt;&lt;author&gt;Koper, Marc T. M.&lt;/author&gt;&lt;author&gt;Sprik, Michiel&lt;/author&gt;&lt;/authors&gt;&lt;/contributors&gt;&lt;titles&gt;&lt;title&gt;Modeling the Oxygen Evolution Reaction on Metal Oxides: The Infuence of Unrestricted DFT Calculations&lt;/title&gt;&lt;secondary-title&gt;Journal of Physical Chemistry C&lt;/secondary-title&gt;&lt;/titles&gt;&lt;periodical&gt;&lt;full-title&gt;Journal of Physical Chemistry C&lt;/full-title&gt;&lt;abbr-1&gt;J. Phys. Chem. C&lt;/abbr-1&gt;&lt;/periodical&gt;&lt;pages&gt;4095-4102&lt;/pages&gt;&lt;volume&gt;118&lt;/volume&gt;&lt;number&gt;8&lt;/number&gt;&lt;dates&gt;&lt;year&gt;2014&lt;/year&gt;&lt;pub-dates&gt;&lt;date&gt;2014/02/27&lt;/date&gt;&lt;/pub-dates&gt;&lt;/dates&gt;&lt;publisher&gt;American Chemical Society&lt;/publisher&gt;&lt;isbn&gt;1932-7447&lt;/isbn&gt;&lt;urls&gt;&lt;related-urls&gt;&lt;url&gt;https://doi.org/10.1021/jp409373c&lt;/url&gt;&lt;/related-urls&gt;&lt;/urls&gt;&lt;electronic-resource-num&gt;10.1021/jp409373c&lt;/electronic-resource-num&gt;&lt;/record&gt;&lt;/Cite&gt;&lt;/EndNote&gt;</w:instrText>
      </w:r>
      <w:r>
        <w:rPr>
          <w:color w:val="000000" w:themeColor="text1"/>
          <w:szCs w:val="22"/>
        </w:rPr>
        <w:fldChar w:fldCharType="separate"/>
      </w:r>
      <w:r w:rsidR="00FC5BEB" w:rsidRPr="00FC5BEB">
        <w:rPr>
          <w:noProof/>
          <w:color w:val="000000" w:themeColor="text1"/>
          <w:szCs w:val="22"/>
          <w:vertAlign w:val="superscript"/>
        </w:rPr>
        <w:t>221</w:t>
      </w:r>
      <w:r>
        <w:rPr>
          <w:color w:val="000000" w:themeColor="text1"/>
          <w:szCs w:val="22"/>
        </w:rPr>
        <w:fldChar w:fldCharType="end"/>
      </w:r>
      <w:r>
        <w:rPr>
          <w:color w:val="000000" w:themeColor="text1"/>
          <w:szCs w:val="22"/>
        </w:rPr>
        <w:t xml:space="preserve">. </w:t>
      </w:r>
      <w:r>
        <w:rPr>
          <w:iCs/>
          <w:color w:val="000000" w:themeColor="text1"/>
          <w:szCs w:val="22"/>
        </w:rPr>
        <w:t xml:space="preserve">This behavior is summarized in </w:t>
      </w:r>
      <w:r w:rsidR="0028037F" w:rsidRPr="0028037F">
        <w:rPr>
          <w:b/>
          <w:bCs/>
          <w:iCs/>
          <w:color w:val="000000" w:themeColor="text1"/>
          <w:szCs w:val="22"/>
        </w:rPr>
        <w:fldChar w:fldCharType="begin"/>
      </w:r>
      <w:r w:rsidR="0028037F" w:rsidRPr="0028037F">
        <w:rPr>
          <w:b/>
          <w:bCs/>
          <w:iCs/>
          <w:color w:val="000000" w:themeColor="text1"/>
          <w:szCs w:val="22"/>
        </w:rPr>
        <w:instrText xml:space="preserve"> REF _Ref159515369 \h </w:instrText>
      </w:r>
      <w:r w:rsidR="0028037F">
        <w:rPr>
          <w:b/>
          <w:bCs/>
          <w:iCs/>
          <w:color w:val="000000" w:themeColor="text1"/>
          <w:szCs w:val="22"/>
        </w:rPr>
        <w:instrText xml:space="preserve"> \* MERGEFORMAT </w:instrText>
      </w:r>
      <w:r w:rsidR="0028037F" w:rsidRPr="0028037F">
        <w:rPr>
          <w:b/>
          <w:bCs/>
          <w:iCs/>
          <w:color w:val="000000" w:themeColor="text1"/>
          <w:szCs w:val="22"/>
        </w:rPr>
      </w:r>
      <w:r w:rsidR="0028037F" w:rsidRPr="0028037F">
        <w:rPr>
          <w:b/>
          <w:bCs/>
          <w:iCs/>
          <w:color w:val="000000" w:themeColor="text1"/>
          <w:szCs w:val="22"/>
        </w:rPr>
        <w:fldChar w:fldCharType="separate"/>
      </w:r>
      <w:r w:rsidR="003255C0" w:rsidRPr="003255C0">
        <w:rPr>
          <w:b/>
          <w:bCs/>
          <w:szCs w:val="22"/>
        </w:rPr>
        <w:t xml:space="preserve">Figure </w:t>
      </w:r>
      <w:r w:rsidR="003255C0" w:rsidRPr="003255C0">
        <w:rPr>
          <w:b/>
          <w:bCs/>
          <w:noProof/>
          <w:szCs w:val="22"/>
        </w:rPr>
        <w:t>17</w:t>
      </w:r>
      <w:r w:rsidR="0028037F" w:rsidRPr="0028037F">
        <w:rPr>
          <w:b/>
          <w:bCs/>
          <w:iCs/>
          <w:color w:val="000000" w:themeColor="text1"/>
          <w:szCs w:val="22"/>
        </w:rPr>
        <w:fldChar w:fldCharType="end"/>
      </w:r>
      <w:r>
        <w:rPr>
          <w:iCs/>
          <w:color w:val="000000" w:themeColor="text1"/>
          <w:szCs w:val="22"/>
        </w:rPr>
        <w:t xml:space="preserve">, where panel </w:t>
      </w:r>
      <w:r w:rsidRPr="005327A1">
        <w:rPr>
          <w:b/>
          <w:bCs/>
          <w:iCs/>
          <w:color w:val="000000" w:themeColor="text1"/>
          <w:szCs w:val="22"/>
        </w:rPr>
        <w:t>a</w:t>
      </w:r>
      <w:r>
        <w:rPr>
          <w:iCs/>
          <w:color w:val="000000" w:themeColor="text1"/>
          <w:szCs w:val="22"/>
        </w:rPr>
        <w:t xml:space="preserve"> shows the computed scaling relationships from spin-polarized DFT, panel </w:t>
      </w:r>
      <w:r w:rsidRPr="005327A1">
        <w:rPr>
          <w:b/>
          <w:bCs/>
          <w:iCs/>
          <w:color w:val="000000" w:themeColor="text1"/>
          <w:szCs w:val="22"/>
        </w:rPr>
        <w:t>b</w:t>
      </w:r>
      <w:r>
        <w:rPr>
          <w:iCs/>
          <w:color w:val="000000" w:themeColor="text1"/>
          <w:szCs w:val="22"/>
        </w:rPr>
        <w:t xml:space="preserve"> shows the volcano plot with both spin-polarized and spin-restricted data plotted as a function of </w:t>
      </w:r>
      <w:r w:rsidRPr="00EC6E98">
        <w:rPr>
          <w:color w:val="000000" w:themeColor="text1"/>
          <w:szCs w:val="22"/>
        </w:rPr>
        <w:sym w:font="Symbol" w:char="F044"/>
      </w:r>
      <w:r w:rsidRPr="00EC6E98">
        <w:rPr>
          <w:i/>
          <w:iCs/>
          <w:color w:val="000000" w:themeColor="text1"/>
          <w:szCs w:val="22"/>
        </w:rPr>
        <w:t>G</w:t>
      </w:r>
      <w:r>
        <w:rPr>
          <w:color w:val="000000" w:themeColor="text1"/>
          <w:szCs w:val="22"/>
          <w:vertAlign w:val="subscript"/>
        </w:rPr>
        <w:t>*O</w:t>
      </w:r>
      <w:r>
        <w:rPr>
          <w:iCs/>
          <w:color w:val="000000" w:themeColor="text1"/>
          <w:szCs w:val="22"/>
        </w:rPr>
        <w:t>-</w:t>
      </w:r>
      <w:r w:rsidRPr="00EC6E98">
        <w:rPr>
          <w:color w:val="000000" w:themeColor="text1"/>
          <w:szCs w:val="22"/>
        </w:rPr>
        <w:sym w:font="Symbol" w:char="F044"/>
      </w:r>
      <w:r w:rsidRPr="00EC6E98">
        <w:rPr>
          <w:i/>
          <w:iCs/>
          <w:color w:val="000000" w:themeColor="text1"/>
          <w:szCs w:val="22"/>
        </w:rPr>
        <w:t>G</w:t>
      </w:r>
      <w:r>
        <w:rPr>
          <w:color w:val="000000" w:themeColor="text1"/>
          <w:szCs w:val="22"/>
          <w:vertAlign w:val="subscript"/>
        </w:rPr>
        <w:t>*OH</w:t>
      </w:r>
      <w:r>
        <w:rPr>
          <w:color w:val="000000" w:themeColor="text1"/>
          <w:szCs w:val="22"/>
        </w:rPr>
        <w:t>,</w:t>
      </w:r>
      <w:r>
        <w:rPr>
          <w:iCs/>
          <w:color w:val="000000" w:themeColor="text1"/>
          <w:szCs w:val="22"/>
        </w:rPr>
        <w:t xml:space="preserve"> and panel </w:t>
      </w:r>
      <w:r w:rsidRPr="005327A1">
        <w:rPr>
          <w:b/>
          <w:bCs/>
          <w:iCs/>
          <w:color w:val="000000" w:themeColor="text1"/>
          <w:szCs w:val="22"/>
        </w:rPr>
        <w:t>c</w:t>
      </w:r>
      <w:r>
        <w:rPr>
          <w:iCs/>
          <w:color w:val="000000" w:themeColor="text1"/>
          <w:szCs w:val="22"/>
        </w:rPr>
        <w:t xml:space="preserve"> shows the difference in </w:t>
      </w:r>
      <w:r w:rsidRPr="00EC6E98">
        <w:rPr>
          <w:i/>
          <w:color w:val="000000" w:themeColor="text1"/>
          <w:szCs w:val="22"/>
        </w:rPr>
        <w:sym w:font="Symbol" w:char="F068"/>
      </w:r>
      <w:r w:rsidRPr="00EC6E98">
        <w:rPr>
          <w:iCs/>
          <w:color w:val="000000" w:themeColor="text1"/>
          <w:szCs w:val="22"/>
          <w:vertAlign w:val="subscript"/>
        </w:rPr>
        <w:t>CHE</w:t>
      </w:r>
      <w:r>
        <w:rPr>
          <w:iCs/>
          <w:color w:val="000000" w:themeColor="text1"/>
          <w:szCs w:val="22"/>
          <w:vertAlign w:val="subscript"/>
        </w:rPr>
        <w:t xml:space="preserve"> </w:t>
      </w:r>
      <w:r>
        <w:rPr>
          <w:iCs/>
          <w:color w:val="000000" w:themeColor="text1"/>
          <w:szCs w:val="22"/>
        </w:rPr>
        <w:t xml:space="preserve">computed without and with spin-polarization plotted as a function of </w:t>
      </w:r>
      <w:r w:rsidRPr="00EC6E98">
        <w:rPr>
          <w:color w:val="000000" w:themeColor="text1"/>
          <w:szCs w:val="22"/>
        </w:rPr>
        <w:sym w:font="Symbol" w:char="F044"/>
      </w:r>
      <w:r w:rsidRPr="00EC6E98">
        <w:rPr>
          <w:i/>
          <w:iCs/>
          <w:color w:val="000000" w:themeColor="text1"/>
          <w:szCs w:val="22"/>
        </w:rPr>
        <w:t>G</w:t>
      </w:r>
      <w:r>
        <w:rPr>
          <w:color w:val="000000" w:themeColor="text1"/>
          <w:szCs w:val="22"/>
          <w:vertAlign w:val="subscript"/>
        </w:rPr>
        <w:t>*O</w:t>
      </w:r>
      <w:r>
        <w:rPr>
          <w:iCs/>
          <w:color w:val="000000" w:themeColor="text1"/>
          <w:szCs w:val="22"/>
        </w:rPr>
        <w:t>-</w:t>
      </w:r>
      <w:r w:rsidRPr="00EC6E98">
        <w:rPr>
          <w:color w:val="000000" w:themeColor="text1"/>
          <w:szCs w:val="22"/>
        </w:rPr>
        <w:sym w:font="Symbol" w:char="F044"/>
      </w:r>
      <w:r w:rsidRPr="00EC6E98">
        <w:rPr>
          <w:i/>
          <w:iCs/>
          <w:color w:val="000000" w:themeColor="text1"/>
          <w:szCs w:val="22"/>
        </w:rPr>
        <w:t>G</w:t>
      </w:r>
      <w:r>
        <w:rPr>
          <w:color w:val="000000" w:themeColor="text1"/>
          <w:szCs w:val="22"/>
          <w:vertAlign w:val="subscript"/>
        </w:rPr>
        <w:t>*OH</w:t>
      </w:r>
      <w:r>
        <w:rPr>
          <w:color w:val="000000" w:themeColor="text1"/>
          <w:szCs w:val="22"/>
        </w:rPr>
        <w:t xml:space="preserve">. </w:t>
      </w:r>
    </w:p>
    <w:p w14:paraId="6DF8939B" w14:textId="42B3A742" w:rsidR="004052D0" w:rsidRPr="004052D0" w:rsidRDefault="004052D0" w:rsidP="004052D0">
      <w:pPr>
        <w:rPr>
          <w:rStyle w:val="Hyperlink"/>
          <w:iCs/>
          <w:color w:val="000000" w:themeColor="text1"/>
          <w:szCs w:val="22"/>
          <w:u w:val="none"/>
        </w:rPr>
      </w:pPr>
      <w:r>
        <w:rPr>
          <w:iCs/>
          <w:noProof/>
          <w:color w:val="000000" w:themeColor="text1"/>
          <w:szCs w:val="22"/>
          <w14:ligatures w14:val="standardContextual"/>
        </w:rPr>
        <w:drawing>
          <wp:inline distT="0" distB="0" distL="0" distR="0" wp14:anchorId="012463BA" wp14:editId="7BB0B9A8">
            <wp:extent cx="5731510" cy="1878965"/>
            <wp:effectExtent l="0" t="0" r="0" b="635"/>
            <wp:docPr id="55843948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8439488" name="Picture 558439488"/>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731510" cy="1878965"/>
                    </a:xfrm>
                    <a:prstGeom prst="rect">
                      <a:avLst/>
                    </a:prstGeom>
                  </pic:spPr>
                </pic:pic>
              </a:graphicData>
            </a:graphic>
          </wp:inline>
        </w:drawing>
      </w:r>
    </w:p>
    <w:p w14:paraId="5B5FF969" w14:textId="00873C10" w:rsidR="00F5313D" w:rsidRPr="00F5313D" w:rsidRDefault="0028037F" w:rsidP="0028037F">
      <w:pPr>
        <w:pStyle w:val="Caption"/>
        <w:rPr>
          <w:rStyle w:val="Hyperlink"/>
          <w:rFonts w:eastAsiaTheme="majorEastAsia"/>
          <w:color w:val="000000" w:themeColor="text1"/>
          <w:sz w:val="22"/>
          <w:u w:val="none"/>
        </w:rPr>
      </w:pPr>
      <w:bookmarkStart w:id="94" w:name="_Ref159515369"/>
      <w:r w:rsidRPr="0028037F">
        <w:rPr>
          <w:b/>
          <w:bCs w:val="0"/>
          <w:sz w:val="22"/>
        </w:rPr>
        <w:t xml:space="preserve">Figure </w:t>
      </w:r>
      <w:r w:rsidRPr="0028037F">
        <w:rPr>
          <w:b/>
          <w:bCs w:val="0"/>
          <w:sz w:val="22"/>
        </w:rPr>
        <w:fldChar w:fldCharType="begin"/>
      </w:r>
      <w:r w:rsidRPr="0028037F">
        <w:rPr>
          <w:b/>
          <w:bCs w:val="0"/>
          <w:sz w:val="22"/>
        </w:rPr>
        <w:instrText xml:space="preserve"> SEQ Figure \* ARABIC </w:instrText>
      </w:r>
      <w:r w:rsidRPr="0028037F">
        <w:rPr>
          <w:b/>
          <w:bCs w:val="0"/>
          <w:sz w:val="22"/>
        </w:rPr>
        <w:fldChar w:fldCharType="separate"/>
      </w:r>
      <w:r w:rsidR="003255C0">
        <w:rPr>
          <w:b/>
          <w:bCs w:val="0"/>
          <w:noProof/>
          <w:sz w:val="22"/>
        </w:rPr>
        <w:t>17</w:t>
      </w:r>
      <w:r w:rsidRPr="0028037F">
        <w:rPr>
          <w:b/>
          <w:bCs w:val="0"/>
          <w:sz w:val="22"/>
        </w:rPr>
        <w:fldChar w:fldCharType="end"/>
      </w:r>
      <w:bookmarkEnd w:id="94"/>
      <w:r w:rsidR="00F5313D" w:rsidRPr="00F5313D">
        <w:rPr>
          <w:rStyle w:val="Hyperlink"/>
          <w:rFonts w:eastAsiaTheme="majorEastAsia"/>
          <w:color w:val="000000" w:themeColor="text1"/>
          <w:sz w:val="22"/>
          <w:u w:val="none"/>
        </w:rPr>
        <w:t xml:space="preserve"> </w:t>
      </w:r>
      <w:r w:rsidR="00F5313D" w:rsidRPr="001252AF">
        <w:rPr>
          <w:rStyle w:val="Hyperlink"/>
          <w:rFonts w:eastAsiaTheme="majorEastAsia"/>
          <w:color w:val="000000" w:themeColor="text1"/>
          <w:szCs w:val="20"/>
          <w:u w:val="none"/>
        </w:rPr>
        <w:t xml:space="preserve">Free energy scaling relationships including spin-polarization with </w:t>
      </w:r>
      <w:r w:rsidR="00F5313D" w:rsidRPr="001252AF">
        <w:rPr>
          <w:szCs w:val="20"/>
        </w:rPr>
        <w:t xml:space="preserve">*O shown as triangles, *OH shown as circles, and *OOH shown as squares </w:t>
      </w:r>
      <w:r w:rsidR="00F5313D" w:rsidRPr="001252AF">
        <w:rPr>
          <w:rStyle w:val="Hyperlink"/>
          <w:rFonts w:eastAsiaTheme="majorEastAsia"/>
          <w:color w:val="000000" w:themeColor="text1"/>
          <w:szCs w:val="20"/>
          <w:u w:val="none"/>
        </w:rPr>
        <w:t xml:space="preserve">(a). Volcano plot, or </w:t>
      </w:r>
      <w:r w:rsidR="00F5313D" w:rsidRPr="001252AF">
        <w:rPr>
          <w:szCs w:val="20"/>
        </w:rPr>
        <w:t>activity trends defined as -</w:t>
      </w:r>
      <w:r w:rsidR="00F5313D" w:rsidRPr="001252AF">
        <w:rPr>
          <w:i/>
          <w:szCs w:val="20"/>
        </w:rPr>
        <w:sym w:font="Symbol" w:char="F068"/>
      </w:r>
      <w:r w:rsidR="00F5313D" w:rsidRPr="001252AF">
        <w:rPr>
          <w:iCs/>
          <w:szCs w:val="20"/>
          <w:vertAlign w:val="subscript"/>
        </w:rPr>
        <w:t>CHE</w:t>
      </w:r>
      <w:r w:rsidR="00F5313D" w:rsidRPr="001252AF">
        <w:rPr>
          <w:szCs w:val="20"/>
        </w:rPr>
        <w:t xml:space="preserve"> plotted against </w:t>
      </w:r>
      <m:oMath>
        <m:d>
          <m:dPr>
            <m:ctrlPr>
              <w:rPr>
                <w:rFonts w:ascii="Cambria Math" w:eastAsia="MS Mincho" w:hAnsi="Cambria Math"/>
                <w:i/>
                <w:iCs/>
                <w:szCs w:val="20"/>
              </w:rPr>
            </m:ctrlPr>
          </m:dPr>
          <m:e>
            <m:r>
              <w:rPr>
                <w:rFonts w:ascii="Cambria Math" w:hAnsi="Cambria Math"/>
                <w:szCs w:val="20"/>
              </w:rPr>
              <m:t>∆</m:t>
            </m:r>
            <m:sSub>
              <m:sSubPr>
                <m:ctrlPr>
                  <w:rPr>
                    <w:rFonts w:ascii="Cambria Math" w:eastAsiaTheme="minorHAnsi" w:hAnsi="Cambria Math"/>
                    <w:i/>
                    <w:iCs/>
                    <w:szCs w:val="20"/>
                  </w:rPr>
                </m:ctrlPr>
              </m:sSubPr>
              <m:e>
                <m:r>
                  <w:rPr>
                    <w:rFonts w:ascii="Cambria Math" w:hAnsi="Cambria Math"/>
                    <w:szCs w:val="20"/>
                  </w:rPr>
                  <m:t>G</m:t>
                </m:r>
              </m:e>
              <m:sub>
                <m:r>
                  <m:rPr>
                    <m:sty m:val="p"/>
                  </m:rPr>
                  <w:rPr>
                    <w:rFonts w:ascii="Cambria Math" w:hAnsi="Cambria Math"/>
                    <w:szCs w:val="20"/>
                  </w:rPr>
                  <m:t>O*</m:t>
                </m:r>
              </m:sub>
            </m:sSub>
            <m:r>
              <w:rPr>
                <w:rFonts w:ascii="Cambria Math" w:hAnsi="Cambria Math"/>
                <w:szCs w:val="20"/>
              </w:rPr>
              <m:t>-∆</m:t>
            </m:r>
            <m:sSub>
              <m:sSubPr>
                <m:ctrlPr>
                  <w:rPr>
                    <w:rFonts w:ascii="Cambria Math" w:eastAsiaTheme="minorHAnsi" w:hAnsi="Cambria Math"/>
                    <w:i/>
                    <w:iCs/>
                    <w:szCs w:val="20"/>
                  </w:rPr>
                </m:ctrlPr>
              </m:sSubPr>
              <m:e>
                <m:r>
                  <w:rPr>
                    <w:rFonts w:ascii="Cambria Math" w:hAnsi="Cambria Math"/>
                    <w:szCs w:val="20"/>
                  </w:rPr>
                  <m:t>G</m:t>
                </m:r>
              </m:e>
              <m:sub>
                <m:r>
                  <m:rPr>
                    <m:sty m:val="p"/>
                  </m:rPr>
                  <w:rPr>
                    <w:rFonts w:ascii="Cambria Math" w:hAnsi="Cambria Math"/>
                    <w:szCs w:val="20"/>
                  </w:rPr>
                  <m:t>HO*</m:t>
                </m:r>
              </m:sub>
            </m:sSub>
          </m:e>
        </m:d>
      </m:oMath>
      <w:r w:rsidR="00F5313D" w:rsidRPr="001252AF">
        <w:rPr>
          <w:iCs/>
          <w:szCs w:val="20"/>
        </w:rPr>
        <w:t xml:space="preserve"> for both spin-polarized (triangles) and non-polarized (squares) simulations (b). Difference in </w:t>
      </w:r>
      <w:r w:rsidR="00F5313D" w:rsidRPr="001252AF">
        <w:rPr>
          <w:i/>
          <w:szCs w:val="20"/>
        </w:rPr>
        <w:sym w:font="Symbol" w:char="F068"/>
      </w:r>
      <w:r w:rsidR="00F5313D" w:rsidRPr="001252AF">
        <w:rPr>
          <w:iCs/>
          <w:szCs w:val="20"/>
          <w:vertAlign w:val="subscript"/>
        </w:rPr>
        <w:t>CHE</w:t>
      </w:r>
      <w:r w:rsidR="00F5313D" w:rsidRPr="001252AF">
        <w:rPr>
          <w:iCs/>
          <w:szCs w:val="20"/>
        </w:rPr>
        <w:t xml:space="preserve"> between spin-unrestricted and spin-restricted simulations plotted as a function of </w:t>
      </w:r>
      <w:r w:rsidR="00F5313D" w:rsidRPr="001252AF">
        <w:rPr>
          <w:szCs w:val="20"/>
        </w:rPr>
        <w:t xml:space="preserve"> </w:t>
      </w:r>
      <m:oMath>
        <m:d>
          <m:dPr>
            <m:ctrlPr>
              <w:rPr>
                <w:rFonts w:ascii="Cambria Math" w:eastAsia="MS Mincho" w:hAnsi="Cambria Math"/>
                <w:i/>
                <w:iCs/>
                <w:szCs w:val="20"/>
              </w:rPr>
            </m:ctrlPr>
          </m:dPr>
          <m:e>
            <m:r>
              <w:rPr>
                <w:rFonts w:ascii="Cambria Math" w:hAnsi="Cambria Math"/>
                <w:szCs w:val="20"/>
              </w:rPr>
              <m:t>∆</m:t>
            </m:r>
            <m:sSub>
              <m:sSubPr>
                <m:ctrlPr>
                  <w:rPr>
                    <w:rFonts w:ascii="Cambria Math" w:eastAsiaTheme="minorHAnsi" w:hAnsi="Cambria Math"/>
                    <w:i/>
                    <w:iCs/>
                    <w:szCs w:val="20"/>
                  </w:rPr>
                </m:ctrlPr>
              </m:sSubPr>
              <m:e>
                <m:r>
                  <w:rPr>
                    <w:rFonts w:ascii="Cambria Math" w:hAnsi="Cambria Math"/>
                    <w:szCs w:val="20"/>
                  </w:rPr>
                  <m:t>G</m:t>
                </m:r>
              </m:e>
              <m:sub>
                <m:r>
                  <m:rPr>
                    <m:sty m:val="p"/>
                  </m:rPr>
                  <w:rPr>
                    <w:rFonts w:ascii="Cambria Math" w:hAnsi="Cambria Math"/>
                    <w:szCs w:val="20"/>
                  </w:rPr>
                  <m:t>O*</m:t>
                </m:r>
              </m:sub>
            </m:sSub>
            <m:r>
              <w:rPr>
                <w:rFonts w:ascii="Cambria Math" w:hAnsi="Cambria Math"/>
                <w:szCs w:val="20"/>
              </w:rPr>
              <m:t>-∆</m:t>
            </m:r>
            <m:sSub>
              <m:sSubPr>
                <m:ctrlPr>
                  <w:rPr>
                    <w:rFonts w:ascii="Cambria Math" w:eastAsiaTheme="minorHAnsi" w:hAnsi="Cambria Math"/>
                    <w:i/>
                    <w:iCs/>
                    <w:szCs w:val="20"/>
                  </w:rPr>
                </m:ctrlPr>
              </m:sSubPr>
              <m:e>
                <m:r>
                  <w:rPr>
                    <w:rFonts w:ascii="Cambria Math" w:hAnsi="Cambria Math"/>
                    <w:szCs w:val="20"/>
                  </w:rPr>
                  <m:t>G</m:t>
                </m:r>
              </m:e>
              <m:sub>
                <m:r>
                  <m:rPr>
                    <m:sty m:val="p"/>
                  </m:rPr>
                  <w:rPr>
                    <w:rFonts w:ascii="Cambria Math" w:hAnsi="Cambria Math"/>
                    <w:szCs w:val="20"/>
                  </w:rPr>
                  <m:t>HO*</m:t>
                </m:r>
              </m:sub>
            </m:sSub>
          </m:e>
        </m:d>
        <m:r>
          <w:rPr>
            <w:rFonts w:ascii="Cambria Math" w:eastAsia="MS Mincho" w:hAnsi="Cambria Math"/>
            <w:szCs w:val="20"/>
          </w:rPr>
          <m:t>.</m:t>
        </m:r>
      </m:oMath>
      <w:r w:rsidR="00F5313D" w:rsidRPr="001252AF">
        <w:rPr>
          <w:iCs/>
          <w:szCs w:val="20"/>
        </w:rPr>
        <w:t xml:space="preserve"> </w:t>
      </w:r>
      <w:r w:rsidR="00842E27" w:rsidRPr="00842E27">
        <w:rPr>
          <w:iCs/>
          <w:szCs w:val="20"/>
          <w:lang w:val="en-US"/>
        </w:rPr>
        <w:t xml:space="preserve">Reprinted with permission from </w:t>
      </w:r>
      <w:r w:rsidR="00842E27" w:rsidRPr="001252AF">
        <w:rPr>
          <w:iCs/>
          <w:szCs w:val="20"/>
        </w:rPr>
        <w:t xml:space="preserve">Ref. </w:t>
      </w:r>
      <w:r w:rsidR="00842E27" w:rsidRPr="001252AF">
        <w:rPr>
          <w:szCs w:val="20"/>
        </w:rPr>
        <w:fldChar w:fldCharType="begin"/>
      </w:r>
      <w:r w:rsidR="00842E27">
        <w:rPr>
          <w:szCs w:val="20"/>
        </w:rPr>
        <w:instrText xml:space="preserve"> ADDIN EN.CITE &lt;EndNote&gt;&lt;Cite&gt;&lt;Author&gt;Mom&lt;/Author&gt;&lt;Year&gt;2014&lt;/Year&gt;&lt;RecNum&gt;219&lt;/RecNum&gt;&lt;DisplayText&gt;&lt;style face="superscript"&gt;221&lt;/style&gt;&lt;/DisplayText&gt;&lt;record&gt;&lt;rec-number&gt;219&lt;/rec-number&gt;&lt;foreign-keys&gt;&lt;key app="EN" db-id="2xex0erf4eexr4e2dpbxpdd829xttesxxxdr" timestamp="1715075296"&gt;219&lt;/key&gt;&lt;/foreign-keys&gt;&lt;ref-type name="Journal Article"&gt;17&lt;/ref-type&gt;&lt;contributors&gt;&lt;authors&gt;&lt;author&gt;Mom, Rik V.&lt;/author&gt;&lt;author&gt;Cheng, Jun&lt;/author&gt;&lt;author&gt;Koper, Marc T. M.&lt;/author&gt;&lt;author&gt;Sprik, Michiel&lt;/author&gt;&lt;/authors&gt;&lt;/contributors&gt;&lt;titles&gt;&lt;title&gt;Modeling the Oxygen Evolution Reaction on Metal Oxides: The Infuence of Unrestricted DFT Calculations&lt;/title&gt;&lt;secondary-title&gt;Journal of Physical Chemistry C&lt;/secondary-title&gt;&lt;/titles&gt;&lt;periodical&gt;&lt;full-title&gt;Journal of Physical Chemistry C&lt;/full-title&gt;&lt;abbr-1&gt;J. Phys. Chem. C&lt;/abbr-1&gt;&lt;/periodical&gt;&lt;pages&gt;4095-4102&lt;/pages&gt;&lt;volume&gt;118&lt;/volume&gt;&lt;number&gt;8&lt;/number&gt;&lt;dates&gt;&lt;year&gt;2014&lt;/year&gt;&lt;pub-dates&gt;&lt;date&gt;2014/02/27&lt;/date&gt;&lt;/pub-dates&gt;&lt;/dates&gt;&lt;publisher&gt;American Chemical Society&lt;/publisher&gt;&lt;isbn&gt;1932-7447&lt;/isbn&gt;&lt;urls&gt;&lt;related-urls&gt;&lt;url&gt;https://doi.org/10.1021/jp409373c&lt;/url&gt;&lt;/related-urls&gt;&lt;/urls&gt;&lt;electronic-resource-num&gt;10.1021/jp409373c&lt;/electronic-resource-num&gt;&lt;/record&gt;&lt;/Cite&gt;&lt;/EndNote&gt;</w:instrText>
      </w:r>
      <w:r w:rsidR="00842E27" w:rsidRPr="001252AF">
        <w:rPr>
          <w:szCs w:val="20"/>
        </w:rPr>
        <w:fldChar w:fldCharType="separate"/>
      </w:r>
      <w:r w:rsidR="00842E27" w:rsidRPr="00FC5BEB">
        <w:rPr>
          <w:noProof/>
          <w:szCs w:val="20"/>
          <w:vertAlign w:val="superscript"/>
        </w:rPr>
        <w:t>221</w:t>
      </w:r>
      <w:r w:rsidR="00842E27" w:rsidRPr="001252AF">
        <w:rPr>
          <w:szCs w:val="20"/>
        </w:rPr>
        <w:fldChar w:fldCharType="end"/>
      </w:r>
      <w:r w:rsidR="00842E27">
        <w:rPr>
          <w:iCs/>
          <w:szCs w:val="20"/>
          <w:lang w:val="en-US"/>
        </w:rPr>
        <w:t>.</w:t>
      </w:r>
      <w:r w:rsidR="00842E27" w:rsidRPr="00842E27">
        <w:rPr>
          <w:iCs/>
          <w:szCs w:val="20"/>
          <w:lang w:val="en-US"/>
        </w:rPr>
        <w:t xml:space="preserve"> Copyright </w:t>
      </w:r>
      <w:r w:rsidR="00842E27">
        <w:rPr>
          <w:iCs/>
          <w:szCs w:val="20"/>
          <w:lang w:val="en-US"/>
        </w:rPr>
        <w:t>2014</w:t>
      </w:r>
      <w:r w:rsidR="00842E27" w:rsidRPr="00842E27">
        <w:rPr>
          <w:iCs/>
          <w:szCs w:val="20"/>
          <w:lang w:val="en-US"/>
        </w:rPr>
        <w:t xml:space="preserve"> American Chemical Society.</w:t>
      </w:r>
    </w:p>
    <w:p w14:paraId="203A11FF" w14:textId="349D0000" w:rsidR="003C1A89" w:rsidRPr="00F5313D" w:rsidRDefault="003C1A89" w:rsidP="003C1A89">
      <w:pPr>
        <w:rPr>
          <w:iCs/>
          <w:color w:val="000000" w:themeColor="text1"/>
        </w:rPr>
      </w:pPr>
      <w:r w:rsidRPr="00F5313D">
        <w:rPr>
          <w:rStyle w:val="Hyperlink"/>
          <w:rFonts w:eastAsiaTheme="majorEastAsia"/>
          <w:color w:val="000000" w:themeColor="text1"/>
          <w:szCs w:val="22"/>
          <w:u w:val="none"/>
        </w:rPr>
        <w:t xml:space="preserve">The observation that the scaling relationships are not changed by the inclusion of spin-polarization is perhaps surprising considering that these scaling relationships are argued to originate through bond order conservation. </w:t>
      </w:r>
      <w:r w:rsidRPr="00F5313D">
        <w:rPr>
          <w:color w:val="000000" w:themeColor="text1"/>
        </w:rPr>
        <w:t>Recall that the slope of 0.</w:t>
      </w:r>
      <w:r w:rsidRPr="004B35B6">
        <w:rPr>
          <w:color w:val="000000" w:themeColor="text1"/>
          <w:szCs w:val="22"/>
        </w:rPr>
        <w:t xml:space="preserve">5 in </w:t>
      </w:r>
      <w:r w:rsidRPr="004B35B6">
        <w:rPr>
          <w:color w:val="000000" w:themeColor="text1"/>
          <w:szCs w:val="22"/>
        </w:rPr>
        <w:fldChar w:fldCharType="begin"/>
      </w:r>
      <w:r w:rsidRPr="004B35B6">
        <w:rPr>
          <w:color w:val="000000" w:themeColor="text1"/>
          <w:szCs w:val="22"/>
        </w:rPr>
        <w:instrText xml:space="preserve"> REF _Ref159511717 \h </w:instrText>
      </w:r>
      <w:r>
        <w:rPr>
          <w:color w:val="000000" w:themeColor="text1"/>
          <w:szCs w:val="22"/>
        </w:rPr>
        <w:instrText xml:space="preserve"> \* MERGEFORMAT </w:instrText>
      </w:r>
      <w:r w:rsidRPr="004B35B6">
        <w:rPr>
          <w:color w:val="000000" w:themeColor="text1"/>
          <w:szCs w:val="22"/>
        </w:rPr>
      </w:r>
      <w:r w:rsidRPr="004B35B6">
        <w:rPr>
          <w:color w:val="000000" w:themeColor="text1"/>
          <w:szCs w:val="22"/>
        </w:rPr>
        <w:fldChar w:fldCharType="separate"/>
      </w:r>
      <w:r w:rsidR="003255C0" w:rsidRPr="00245F0C">
        <w:rPr>
          <w:szCs w:val="22"/>
        </w:rPr>
        <w:t xml:space="preserve">Equation </w:t>
      </w:r>
      <w:r w:rsidR="003255C0" w:rsidRPr="00245F0C">
        <w:rPr>
          <w:noProof/>
          <w:szCs w:val="22"/>
        </w:rPr>
        <w:t>48</w:t>
      </w:r>
      <w:r w:rsidRPr="004B35B6">
        <w:rPr>
          <w:color w:val="000000" w:themeColor="text1"/>
          <w:szCs w:val="22"/>
        </w:rPr>
        <w:fldChar w:fldCharType="end"/>
      </w:r>
      <w:r w:rsidRPr="004B35B6">
        <w:rPr>
          <w:color w:val="000000" w:themeColor="text1"/>
          <w:szCs w:val="22"/>
        </w:rPr>
        <w:t>-51</w:t>
      </w:r>
      <w:r>
        <w:rPr>
          <w:color w:val="000000" w:themeColor="text1"/>
        </w:rPr>
        <w:t xml:space="preserve"> </w:t>
      </w:r>
      <w:r w:rsidRPr="00F5313D">
        <w:rPr>
          <w:color w:val="000000" w:themeColor="text1"/>
        </w:rPr>
        <w:t xml:space="preserve">emerges because *OH (or *OOH) is bound to the surface through a single M-O bond while *O is bound by an M=O double bond, yielding </w:t>
      </w:r>
      <w:r w:rsidRPr="00F5313D">
        <w:rPr>
          <w:i/>
          <w:iCs/>
          <w:color w:val="000000" w:themeColor="text1"/>
        </w:rPr>
        <w:t>E</w:t>
      </w:r>
      <w:r w:rsidRPr="00F5313D">
        <w:rPr>
          <w:color w:val="000000" w:themeColor="text1"/>
          <w:vertAlign w:val="subscript"/>
        </w:rPr>
        <w:t>*OH</w:t>
      </w:r>
      <w:r w:rsidRPr="00F5313D">
        <w:rPr>
          <w:color w:val="000000" w:themeColor="text1"/>
        </w:rPr>
        <w:t xml:space="preserve"> = 0.50</w:t>
      </w:r>
      <w:r w:rsidRPr="00F5313D">
        <w:rPr>
          <w:i/>
          <w:iCs/>
          <w:color w:val="000000" w:themeColor="text1"/>
        </w:rPr>
        <w:t>E</w:t>
      </w:r>
      <w:r w:rsidRPr="00F5313D">
        <w:rPr>
          <w:color w:val="000000" w:themeColor="text1"/>
          <w:vertAlign w:val="subscript"/>
        </w:rPr>
        <w:t>*O</w:t>
      </w:r>
      <w:r w:rsidRPr="00F5313D">
        <w:rPr>
          <w:color w:val="000000" w:themeColor="text1"/>
        </w:rPr>
        <w:t xml:space="preserve"> + 0.05 and </w:t>
      </w:r>
      <w:r w:rsidRPr="00F5313D">
        <w:rPr>
          <w:i/>
          <w:iCs/>
          <w:color w:val="000000" w:themeColor="text1"/>
        </w:rPr>
        <w:t>E</w:t>
      </w:r>
      <w:r w:rsidRPr="00F5313D">
        <w:rPr>
          <w:color w:val="000000" w:themeColor="text1"/>
          <w:vertAlign w:val="subscript"/>
        </w:rPr>
        <w:t>*OOH</w:t>
      </w:r>
      <w:r w:rsidRPr="00F5313D">
        <w:rPr>
          <w:color w:val="000000" w:themeColor="text1"/>
        </w:rPr>
        <w:t xml:space="preserve"> = 0.53</w:t>
      </w:r>
      <w:r w:rsidRPr="00F5313D">
        <w:rPr>
          <w:i/>
          <w:iCs/>
          <w:color w:val="000000" w:themeColor="text1"/>
        </w:rPr>
        <w:t>E</w:t>
      </w:r>
      <w:r w:rsidRPr="00F5313D">
        <w:rPr>
          <w:color w:val="000000" w:themeColor="text1"/>
          <w:vertAlign w:val="subscript"/>
        </w:rPr>
        <w:t>*O</w:t>
      </w:r>
      <w:r w:rsidRPr="00F5313D">
        <w:rPr>
          <w:color w:val="000000" w:themeColor="text1"/>
        </w:rPr>
        <w:t xml:space="preserve"> + 3.18. However, terminal </w:t>
      </w:r>
      <w:r w:rsidRPr="00F5313D">
        <w:rPr>
          <w:color w:val="000000" w:themeColor="text1"/>
        </w:rPr>
        <w:sym w:font="Symbol" w:char="F06D"/>
      </w:r>
      <w:r w:rsidRPr="00F5313D">
        <w:rPr>
          <w:color w:val="000000" w:themeColor="text1"/>
          <w:vertAlign w:val="subscript"/>
        </w:rPr>
        <w:t>1</w:t>
      </w:r>
      <w:r w:rsidRPr="00F5313D">
        <w:rPr>
          <w:color w:val="000000" w:themeColor="text1"/>
        </w:rPr>
        <w:t xml:space="preserve">-O species tend to have a high degree of </w:t>
      </w:r>
      <w:proofErr w:type="spellStart"/>
      <w:r w:rsidRPr="00F5313D">
        <w:rPr>
          <w:color w:val="000000" w:themeColor="text1"/>
        </w:rPr>
        <w:t>oxyl</w:t>
      </w:r>
      <w:proofErr w:type="spellEnd"/>
      <w:r w:rsidRPr="00F5313D">
        <w:rPr>
          <w:color w:val="000000" w:themeColor="text1"/>
        </w:rPr>
        <w:t xml:space="preserve"> character </w:t>
      </w:r>
      <w:r w:rsidRPr="00F5313D">
        <w:rPr>
          <w:iCs/>
          <w:color w:val="000000" w:themeColor="text1"/>
        </w:rPr>
        <w:fldChar w:fldCharType="begin">
          <w:fldData xml:space="preserve">PEVuZE5vdGU+PENpdGU+PEF1dGhvcj5Hb256w6FsZXo8L0F1dGhvcj48WWVhcj4yMDIxPC9ZZWFy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</w:fldData>
        </w:fldChar>
      </w:r>
      <w:r w:rsidR="00FC5BEB">
        <w:rPr>
          <w:iCs/>
          <w:color w:val="000000" w:themeColor="text1"/>
        </w:rPr>
        <w:instrText xml:space="preserve"> ADDIN EN.CITE </w:instrText>
      </w:r>
      <w:r w:rsidR="00FC5BEB">
        <w:rPr>
          <w:iCs/>
          <w:color w:val="000000" w:themeColor="text1"/>
        </w:rPr>
        <w:fldChar w:fldCharType="begin">
          <w:fldData xml:space="preserve">PEVuZE5vdGU+PENpdGU+PEF1dGhvcj5Hb256w6FsZXo8L0F1dGhvcj48WWVhcj4yMDIxPC9ZZWFy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</w:fldData>
        </w:fldChar>
      </w:r>
      <w:r w:rsidR="00FC5BEB">
        <w:rPr>
          <w:iCs/>
          <w:color w:val="000000" w:themeColor="text1"/>
        </w:rPr>
        <w:instrText xml:space="preserve"> ADDIN EN.CITE.DATA </w:instrText>
      </w:r>
      <w:r w:rsidR="00FC5BEB">
        <w:rPr>
          <w:iCs/>
          <w:color w:val="000000" w:themeColor="text1"/>
        </w:rPr>
      </w:r>
      <w:r w:rsidR="00FC5BEB">
        <w:rPr>
          <w:iCs/>
          <w:color w:val="000000" w:themeColor="text1"/>
        </w:rPr>
        <w:fldChar w:fldCharType="end"/>
      </w:r>
      <w:r w:rsidRPr="00F5313D">
        <w:rPr>
          <w:iCs/>
          <w:color w:val="000000" w:themeColor="text1"/>
        </w:rPr>
      </w:r>
      <w:r w:rsidRPr="00F5313D">
        <w:rPr>
          <w:iCs/>
          <w:color w:val="000000" w:themeColor="text1"/>
        </w:rPr>
        <w:fldChar w:fldCharType="separate"/>
      </w:r>
      <w:r w:rsidR="00FC5BEB" w:rsidRPr="00FC5BEB">
        <w:rPr>
          <w:iCs/>
          <w:noProof/>
          <w:color w:val="000000" w:themeColor="text1"/>
          <w:vertAlign w:val="superscript"/>
        </w:rPr>
        <w:t>219, 220, 222-225</w:t>
      </w:r>
      <w:r w:rsidRPr="00F5313D">
        <w:rPr>
          <w:iCs/>
          <w:color w:val="000000" w:themeColor="text1"/>
        </w:rPr>
        <w:fldChar w:fldCharType="end"/>
      </w:r>
      <w:r w:rsidRPr="00F5313D">
        <w:rPr>
          <w:iCs/>
          <w:color w:val="000000" w:themeColor="text1"/>
        </w:rPr>
        <w:t>. In such cases oxygen is oxidized to O</w:t>
      </w:r>
      <w:r w:rsidRPr="00F5313D">
        <w:rPr>
          <w:iCs/>
          <w:color w:val="000000" w:themeColor="text1"/>
          <w:vertAlign w:val="superscript"/>
        </w:rPr>
        <w:t>I-</w:t>
      </w:r>
      <w:r w:rsidRPr="00F5313D">
        <w:rPr>
          <w:iCs/>
          <w:color w:val="000000" w:themeColor="text1"/>
        </w:rPr>
        <w:t xml:space="preserve"> to form M</w:t>
      </w:r>
      <w:r w:rsidRPr="00F5313D">
        <w:rPr>
          <w:iCs/>
          <w:color w:val="000000" w:themeColor="text1"/>
          <w:vertAlign w:val="superscript"/>
        </w:rPr>
        <w:t>n+</w:t>
      </w:r>
      <w:r w:rsidRPr="00F5313D">
        <w:rPr>
          <w:iCs/>
          <w:color w:val="000000" w:themeColor="text1"/>
        </w:rPr>
        <w:t>-O</w:t>
      </w:r>
      <w:r w:rsidRPr="00F5313D">
        <w:rPr>
          <w:iCs/>
          <w:color w:val="000000" w:themeColor="text1"/>
          <w:vertAlign w:val="superscript"/>
        </w:rPr>
        <w:t>I-</w:t>
      </w:r>
      <w:r w:rsidRPr="00F5313D">
        <w:rPr>
          <w:iCs/>
          <w:color w:val="000000" w:themeColor="text1"/>
        </w:rPr>
        <w:t xml:space="preserve"> rather than M</w:t>
      </w:r>
      <w:r w:rsidRPr="00F5313D">
        <w:rPr>
          <w:iCs/>
          <w:color w:val="000000" w:themeColor="text1"/>
          <w:vertAlign w:val="superscript"/>
        </w:rPr>
        <w:t>(n+1)+</w:t>
      </w:r>
      <w:r w:rsidRPr="00F5313D">
        <w:rPr>
          <w:iCs/>
          <w:color w:val="000000" w:themeColor="text1"/>
        </w:rPr>
        <w:t>=O</w:t>
      </w:r>
      <w:r w:rsidRPr="00F5313D">
        <w:rPr>
          <w:iCs/>
          <w:color w:val="000000" w:themeColor="text1"/>
          <w:vertAlign w:val="superscript"/>
        </w:rPr>
        <w:t>II-</w:t>
      </w:r>
      <w:r w:rsidRPr="00F5313D">
        <w:rPr>
          <w:iCs/>
          <w:color w:val="000000" w:themeColor="text1"/>
        </w:rPr>
        <w:t xml:space="preserve">, and the </w:t>
      </w:r>
      <w:proofErr w:type="spellStart"/>
      <w:r w:rsidRPr="00F5313D">
        <w:rPr>
          <w:iCs/>
          <w:color w:val="000000" w:themeColor="text1"/>
        </w:rPr>
        <w:t>oxyl</w:t>
      </w:r>
      <w:proofErr w:type="spellEnd"/>
      <w:r w:rsidRPr="00F5313D">
        <w:rPr>
          <w:iCs/>
          <w:color w:val="000000" w:themeColor="text1"/>
        </w:rPr>
        <w:t xml:space="preserve"> is bound to the surface via single M-O bond </w:t>
      </w:r>
      <w:r w:rsidRPr="00F5313D">
        <w:rPr>
          <w:iCs/>
          <w:color w:val="000000" w:themeColor="text1"/>
        </w:rPr>
        <w:fldChar w:fldCharType="begin">
          <w:fldData xml:space="preserve">PEVuZE5vdGU+PENpdGU+PEF1dGhvcj5BbmRyaXM8L0F1dGhvcj48WWVhcj4yMDE5PC9ZZWFyPjxS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</w:fldData>
        </w:fldChar>
      </w:r>
      <w:r w:rsidR="00FC5BEB">
        <w:rPr>
          <w:iCs/>
          <w:color w:val="000000" w:themeColor="text1"/>
        </w:rPr>
        <w:instrText xml:space="preserve"> ADDIN EN.CITE </w:instrText>
      </w:r>
      <w:r w:rsidR="00FC5BEB">
        <w:rPr>
          <w:iCs/>
          <w:color w:val="000000" w:themeColor="text1"/>
        </w:rPr>
        <w:fldChar w:fldCharType="begin">
          <w:fldData xml:space="preserve">PEVuZE5vdGU+PENpdGU+PEF1dGhvcj5BbmRyaXM8L0F1dGhvcj48WWVhcj4yMDE5PC9ZZWFyPjxS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</w:fldData>
        </w:fldChar>
      </w:r>
      <w:r w:rsidR="00FC5BEB">
        <w:rPr>
          <w:iCs/>
          <w:color w:val="000000" w:themeColor="text1"/>
        </w:rPr>
        <w:instrText xml:space="preserve"> ADDIN EN.CITE.DATA </w:instrText>
      </w:r>
      <w:r w:rsidR="00FC5BEB">
        <w:rPr>
          <w:iCs/>
          <w:color w:val="000000" w:themeColor="text1"/>
        </w:rPr>
      </w:r>
      <w:r w:rsidR="00FC5BEB">
        <w:rPr>
          <w:iCs/>
          <w:color w:val="000000" w:themeColor="text1"/>
        </w:rPr>
        <w:fldChar w:fldCharType="end"/>
      </w:r>
      <w:r w:rsidRPr="00F5313D">
        <w:rPr>
          <w:iCs/>
          <w:color w:val="000000" w:themeColor="text1"/>
        </w:rPr>
      </w:r>
      <w:r w:rsidRPr="00F5313D">
        <w:rPr>
          <w:iCs/>
          <w:color w:val="000000" w:themeColor="text1"/>
        </w:rPr>
        <w:fldChar w:fldCharType="separate"/>
      </w:r>
      <w:r w:rsidR="00FC5BEB" w:rsidRPr="00FC5BEB">
        <w:rPr>
          <w:iCs/>
          <w:noProof/>
          <w:color w:val="000000" w:themeColor="text1"/>
          <w:vertAlign w:val="superscript"/>
        </w:rPr>
        <w:t>226, 227</w:t>
      </w:r>
      <w:r w:rsidRPr="00F5313D">
        <w:rPr>
          <w:iCs/>
          <w:color w:val="000000" w:themeColor="text1"/>
        </w:rPr>
        <w:fldChar w:fldCharType="end"/>
      </w:r>
      <w:r w:rsidRPr="00F5313D">
        <w:rPr>
          <w:iCs/>
          <w:color w:val="000000" w:themeColor="text1"/>
        </w:rPr>
        <w:t xml:space="preserve">. Moreover, in Ref. </w:t>
      </w:r>
      <w:r w:rsidRPr="00F5313D">
        <w:rPr>
          <w:iCs/>
          <w:color w:val="000000" w:themeColor="text1"/>
        </w:rPr>
        <w:fldChar w:fldCharType="begin"/>
      </w:r>
      <w:r w:rsidR="00FC5BEB">
        <w:rPr>
          <w:iCs/>
          <w:color w:val="000000" w:themeColor="text1"/>
        </w:rPr>
        <w:instrText xml:space="preserve"> ADDIN EN.CITE &lt;EndNote&gt;&lt;Cite&gt;&lt;Author&gt;Mom&lt;/Author&gt;&lt;Year&gt;2014&lt;/Year&gt;&lt;RecNum&gt;219&lt;/RecNum&gt;&lt;DisplayText&gt;&lt;style face="superscript"&gt;221&lt;/style&gt;&lt;/DisplayText&gt;&lt;record&gt;&lt;rec-number&gt;219&lt;/rec-number&gt;&lt;foreign-keys&gt;&lt;key app="EN" db-id="2xex0erf4eexr4e2dpbxpdd829xttesxxxdr" timestamp="1715075296"&gt;219&lt;/key&gt;&lt;/foreign-keys&gt;&lt;ref-type name="Journal Article"&gt;17&lt;/ref-type&gt;&lt;contributors&gt;&lt;authors&gt;&lt;author&gt;Mom, Rik V.&lt;/author&gt;&lt;author&gt;Cheng, Jun&lt;/author&gt;&lt;author&gt;Koper, Marc T. M.&lt;/author&gt;&lt;author&gt;Sprik, Michiel&lt;/author&gt;&lt;/authors&gt;&lt;/contributors&gt;&lt;titles&gt;&lt;title&gt;Modeling the Oxygen Evolution Reaction on Metal Oxides: The Infuence of Unrestricted DFT Calculations&lt;/title&gt;&lt;secondary-title&gt;Journal of Physical Chemistry C&lt;/secondary-title&gt;&lt;/titles&gt;&lt;periodical&gt;&lt;full-title&gt;Journal of Physical Chemistry C&lt;/full-title&gt;&lt;abbr-1&gt;J. Phys. Chem. C&lt;/abbr-1&gt;&lt;/periodical&gt;&lt;pages&gt;4095-4102&lt;/pages&gt;&lt;volume&gt;118&lt;/volume&gt;&lt;number&gt;8&lt;/number&gt;&lt;dates&gt;&lt;year&gt;2014&lt;/year&gt;&lt;pub-dates&gt;&lt;date&gt;2014/02/27&lt;/date&gt;&lt;/pub-dates&gt;&lt;/dates&gt;&lt;publisher&gt;American Chemical Society&lt;/publisher&gt;&lt;isbn&gt;1932-7447&lt;/isbn&gt;&lt;urls&gt;&lt;related-urls&gt;&lt;url&gt;https://doi.org/10.1021/jp409373c&lt;/url&gt;&lt;/related-urls&gt;&lt;/urls&gt;&lt;electronic-resource-num&gt;10.1021/jp409373c&lt;/electronic-resource-num&gt;&lt;/record&gt;&lt;/Cite&gt;&lt;/EndNote&gt;</w:instrText>
      </w:r>
      <w:r w:rsidRPr="00F5313D">
        <w:rPr>
          <w:iCs/>
          <w:color w:val="000000" w:themeColor="text1"/>
        </w:rPr>
        <w:fldChar w:fldCharType="separate"/>
      </w:r>
      <w:r w:rsidR="00FC5BEB" w:rsidRPr="00FC5BEB">
        <w:rPr>
          <w:iCs/>
          <w:noProof/>
          <w:color w:val="000000" w:themeColor="text1"/>
          <w:vertAlign w:val="superscript"/>
        </w:rPr>
        <w:t>221</w:t>
      </w:r>
      <w:r w:rsidRPr="00F5313D">
        <w:rPr>
          <w:iCs/>
          <w:color w:val="000000" w:themeColor="text1"/>
        </w:rPr>
        <w:fldChar w:fldCharType="end"/>
      </w:r>
      <w:r w:rsidRPr="00F5313D">
        <w:rPr>
          <w:iCs/>
          <w:color w:val="000000" w:themeColor="text1"/>
        </w:rPr>
        <w:t xml:space="preserve"> the authors show the degree of radical character—</w:t>
      </w:r>
      <w:proofErr w:type="spellStart"/>
      <w:r w:rsidRPr="00F5313D">
        <w:rPr>
          <w:iCs/>
          <w:color w:val="000000" w:themeColor="text1"/>
        </w:rPr>
        <w:t>oxyl</w:t>
      </w:r>
      <w:proofErr w:type="spellEnd"/>
      <w:r w:rsidRPr="00F5313D">
        <w:rPr>
          <w:iCs/>
          <w:color w:val="000000" w:themeColor="text1"/>
        </w:rPr>
        <w:t xml:space="preserve">, hydroxyl, (hydro)peroxyl—varies with a species adsorption energy, where more strongly bound adsorbates show increased spin quenching. Thus, *O strongly bound to the surface has little </w:t>
      </w:r>
      <w:proofErr w:type="spellStart"/>
      <w:r w:rsidRPr="00F5313D">
        <w:rPr>
          <w:iCs/>
          <w:color w:val="000000" w:themeColor="text1"/>
        </w:rPr>
        <w:t>oxyl</w:t>
      </w:r>
      <w:proofErr w:type="spellEnd"/>
      <w:r w:rsidRPr="00F5313D">
        <w:rPr>
          <w:iCs/>
          <w:color w:val="000000" w:themeColor="text1"/>
        </w:rPr>
        <w:t xml:space="preserve"> character. In this case the scaling relationship holds and there are little differences between spin restricted and spin unrestricted simulations. Conversely when *O is weakly bound, </w:t>
      </w:r>
      <w:r w:rsidRPr="00F5313D">
        <w:rPr>
          <w:i/>
          <w:color w:val="000000" w:themeColor="text1"/>
        </w:rPr>
        <w:sym w:font="Symbol" w:char="F068"/>
      </w:r>
      <w:r w:rsidRPr="00F5313D">
        <w:rPr>
          <w:iCs/>
          <w:color w:val="000000" w:themeColor="text1"/>
          <w:vertAlign w:val="subscript"/>
        </w:rPr>
        <w:t>CHE</w:t>
      </w:r>
      <w:r w:rsidRPr="00F5313D">
        <w:rPr>
          <w:iCs/>
          <w:color w:val="000000" w:themeColor="text1"/>
        </w:rPr>
        <w:t xml:space="preserve"> varies by over 1 V between spin restricted and spin unrestricted simulations but the volcano shape is fixed by definition</w:t>
      </w:r>
      <w:r w:rsidRPr="00F5313D">
        <w:rPr>
          <w:iCs/>
          <w:color w:val="000000" w:themeColor="text1"/>
        </w:rPr>
        <w:fldChar w:fldCharType="begin"/>
      </w:r>
      <w:r w:rsidR="00FC5BEB">
        <w:rPr>
          <w:iCs/>
          <w:color w:val="000000" w:themeColor="text1"/>
        </w:rPr>
        <w:instrText xml:space="preserve"> ADDIN EN.CITE &lt;EndNote&gt;&lt;Cite&gt;&lt;Author&gt;Mom&lt;/Author&gt;&lt;Year&gt;2014&lt;/Year&gt;&lt;RecNum&gt;219&lt;/RecNum&gt;&lt;DisplayText&gt;&lt;style face="superscript"&gt;221&lt;/style&gt;&lt;/DisplayText&gt;&lt;record&gt;&lt;rec-number&gt;219&lt;/rec-number&gt;&lt;foreign-keys&gt;&lt;key app="EN" db-id="2xex0erf4eexr4e2dpbxpdd829xttesxxxdr" timestamp="1715075296"&gt;219&lt;/key&gt;&lt;/foreign-keys&gt;&lt;ref-type name="Journal Article"&gt;17&lt;/ref-type&gt;&lt;contributors&gt;&lt;authors&gt;&lt;author&gt;Mom, Rik V.&lt;/author&gt;&lt;author&gt;Cheng, Jun&lt;/author&gt;&lt;author&gt;Koper, Marc T. M.&lt;/author&gt;&lt;author&gt;Sprik, Michiel&lt;/author&gt;&lt;/authors&gt;&lt;/contributors&gt;&lt;titles&gt;&lt;title&gt;Modeling the Oxygen Evolution Reaction on Metal Oxides: The Infuence of Unrestricted DFT Calculations&lt;/title&gt;&lt;secondary-title&gt;Journal of Physical Chemistry C&lt;/secondary-title&gt;&lt;/titles&gt;&lt;periodical&gt;&lt;full-title&gt;Journal of Physical Chemistry C&lt;/full-title&gt;&lt;abbr-1&gt;J. Phys. Chem. C&lt;/abbr-1&gt;&lt;/periodical&gt;&lt;pages&gt;4095-4102&lt;/pages&gt;&lt;volume&gt;118&lt;/volume&gt;&lt;number&gt;8&lt;/number&gt;&lt;dates&gt;&lt;year&gt;2014&lt;/year&gt;&lt;pub-dates&gt;&lt;date&gt;2014/02/27&lt;/date&gt;&lt;/pub-dates&gt;&lt;/dates&gt;&lt;publisher&gt;American Chemical Society&lt;/publisher&gt;&lt;isbn&gt;1932-7447&lt;/isbn&gt;&lt;urls&gt;&lt;related-urls&gt;&lt;url&gt;https://doi.org/10.1021/jp409373c&lt;/url&gt;&lt;/related-urls&gt;&lt;/urls&gt;&lt;electronic-resource-num&gt;10.1021/jp409373c&lt;/electronic-resource-num&gt;&lt;/record&gt;&lt;/Cite&gt;&lt;/EndNote&gt;</w:instrText>
      </w:r>
      <w:r w:rsidRPr="00F5313D">
        <w:rPr>
          <w:iCs/>
          <w:color w:val="000000" w:themeColor="text1"/>
        </w:rPr>
        <w:fldChar w:fldCharType="separate"/>
      </w:r>
      <w:r w:rsidR="00FC5BEB" w:rsidRPr="00FC5BEB">
        <w:rPr>
          <w:iCs/>
          <w:noProof/>
          <w:color w:val="000000" w:themeColor="text1"/>
          <w:vertAlign w:val="superscript"/>
        </w:rPr>
        <w:t>221</w:t>
      </w:r>
      <w:r w:rsidRPr="00F5313D">
        <w:rPr>
          <w:iCs/>
          <w:color w:val="000000" w:themeColor="text1"/>
        </w:rPr>
        <w:fldChar w:fldCharType="end"/>
      </w:r>
      <w:r w:rsidRPr="00F5313D">
        <w:rPr>
          <w:iCs/>
          <w:color w:val="000000" w:themeColor="text1"/>
        </w:rPr>
        <w:t xml:space="preserve">. </w:t>
      </w:r>
    </w:p>
    <w:p w14:paraId="0BF01F5E" w14:textId="77777777" w:rsidR="00F5313D" w:rsidRPr="00F5313D" w:rsidRDefault="00F5313D" w:rsidP="00F5313D">
      <w:pPr>
        <w:rPr>
          <w:rStyle w:val="Hyperlink"/>
          <w:rFonts w:eastAsiaTheme="majorEastAsia"/>
          <w:color w:val="000000" w:themeColor="text1"/>
          <w:szCs w:val="22"/>
          <w:u w:val="none"/>
        </w:rPr>
      </w:pPr>
    </w:p>
    <w:p w14:paraId="793B89AC" w14:textId="2D940FDB" w:rsidR="00F5313D" w:rsidRPr="00F5313D" w:rsidRDefault="00F5313D" w:rsidP="00F5313D">
      <w:pPr>
        <w:rPr>
          <w:color w:val="000000" w:themeColor="text1"/>
        </w:rPr>
      </w:pPr>
      <w:r w:rsidRPr="00F5313D">
        <w:rPr>
          <w:rStyle w:val="Hyperlink"/>
          <w:rFonts w:eastAsiaTheme="majorEastAsia"/>
          <w:color w:val="000000" w:themeColor="text1"/>
          <w:szCs w:val="22"/>
          <w:u w:val="none"/>
        </w:rPr>
        <w:t xml:space="preserve">Similar to spin polarization, the choice of exchange and correlation potential was shown to impact computed theoretical overpotentials but not break the scaling relationships; specifically the inclusion of </w:t>
      </w:r>
      <w:r w:rsidR="008D5F96">
        <w:rPr>
          <w:rStyle w:val="Hyperlink"/>
          <w:rFonts w:eastAsiaTheme="majorEastAsia"/>
          <w:color w:val="000000" w:themeColor="text1"/>
          <w:szCs w:val="22"/>
          <w:u w:val="none"/>
        </w:rPr>
        <w:t xml:space="preserve">a </w:t>
      </w:r>
      <w:r w:rsidRPr="00F5313D">
        <w:rPr>
          <w:rStyle w:val="Hyperlink"/>
          <w:rFonts w:eastAsiaTheme="majorEastAsia"/>
          <w:color w:val="000000" w:themeColor="text1"/>
          <w:szCs w:val="22"/>
          <w:u w:val="none"/>
        </w:rPr>
        <w:t xml:space="preserve">Hubbard </w:t>
      </w:r>
      <w:r w:rsidRPr="00F5313D">
        <w:rPr>
          <w:rStyle w:val="Hyperlink"/>
          <w:rFonts w:eastAsiaTheme="majorEastAsia"/>
          <w:i/>
          <w:iCs/>
          <w:color w:val="000000" w:themeColor="text1"/>
          <w:szCs w:val="22"/>
          <w:u w:val="none"/>
        </w:rPr>
        <w:t xml:space="preserve">U </w:t>
      </w:r>
      <w:r w:rsidRPr="00F5313D">
        <w:rPr>
          <w:rStyle w:val="Hyperlink"/>
          <w:rFonts w:eastAsiaTheme="majorEastAsia"/>
          <w:color w:val="000000" w:themeColor="text1"/>
          <w:szCs w:val="22"/>
          <w:u w:val="none"/>
        </w:rPr>
        <w:t xml:space="preserve">to capture onsite dd electron repulsion causes 0.2-0.4 V changes to </w:t>
      </w:r>
      <w:r w:rsidRPr="00F5313D">
        <w:rPr>
          <w:i/>
          <w:color w:val="000000" w:themeColor="text1"/>
        </w:rPr>
        <w:sym w:font="Symbol" w:char="F068"/>
      </w:r>
      <w:r w:rsidRPr="00F5313D">
        <w:rPr>
          <w:iCs/>
          <w:color w:val="000000" w:themeColor="text1"/>
          <w:vertAlign w:val="subscript"/>
        </w:rPr>
        <w:t>CHE</w:t>
      </w:r>
      <w:r w:rsidRPr="00F5313D">
        <w:rPr>
          <w:color w:val="000000" w:themeColor="text1"/>
        </w:rPr>
        <w:fldChar w:fldCharType="begin">
          <w:fldData xml:space="preserve">PEVuZE5vdGU+PENpdGU+PEF1dGhvcj5HYXJjw61hLU1vdGE8L0F1dGhvcj48WWVhcj4yMDEyPC9Z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</w:fldData>
        </w:fldChar>
      </w:r>
      <w:r w:rsidR="00FC5BEB">
        <w:rPr>
          <w:color w:val="000000" w:themeColor="text1"/>
        </w:rPr>
        <w:instrText xml:space="preserve"> ADDIN EN.CITE </w:instrText>
      </w:r>
      <w:r w:rsidR="00FC5BEB">
        <w:rPr>
          <w:color w:val="000000" w:themeColor="text1"/>
        </w:rPr>
        <w:fldChar w:fldCharType="begin">
          <w:fldData xml:space="preserve">PEVuZE5vdGU+PENpdGU+PEF1dGhvcj5HYXJjw61hLU1vdGE8L0F1dGhvcj48WWVhcj4yMDEyPC9Z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</w:fldData>
        </w:fldChar>
      </w:r>
      <w:r w:rsidR="00FC5BEB">
        <w:rPr>
          <w:color w:val="000000" w:themeColor="text1"/>
        </w:rPr>
        <w:instrText xml:space="preserve"> ADDIN EN.CITE.DATA </w:instrText>
      </w:r>
      <w:r w:rsidR="00FC5BEB">
        <w:rPr>
          <w:color w:val="000000" w:themeColor="text1"/>
        </w:rPr>
      </w:r>
      <w:r w:rsidR="00FC5BEB">
        <w:rPr>
          <w:color w:val="000000" w:themeColor="text1"/>
        </w:rPr>
        <w:fldChar w:fldCharType="end"/>
      </w:r>
      <w:r w:rsidRPr="00F5313D">
        <w:rPr>
          <w:color w:val="000000" w:themeColor="text1"/>
        </w:rPr>
      </w:r>
      <w:r w:rsidRPr="00F5313D">
        <w:rPr>
          <w:color w:val="000000" w:themeColor="text1"/>
        </w:rPr>
        <w:fldChar w:fldCharType="separate"/>
      </w:r>
      <w:r w:rsidR="00FC5BEB" w:rsidRPr="00FC5BEB">
        <w:rPr>
          <w:noProof/>
          <w:color w:val="000000" w:themeColor="text1"/>
          <w:vertAlign w:val="superscript"/>
        </w:rPr>
        <w:t>228, 229</w:t>
      </w:r>
      <w:r w:rsidRPr="00F5313D">
        <w:rPr>
          <w:color w:val="000000" w:themeColor="text1"/>
        </w:rPr>
        <w:fldChar w:fldCharType="end"/>
      </w:r>
      <w:r w:rsidR="004E591A">
        <w:rPr>
          <w:color w:val="000000" w:themeColor="text1"/>
        </w:rPr>
        <w:t>;</w:t>
      </w:r>
      <w:r w:rsidRPr="00F5313D">
        <w:rPr>
          <w:rStyle w:val="Hyperlink"/>
          <w:rFonts w:eastAsiaTheme="majorEastAsia"/>
          <w:color w:val="000000" w:themeColor="text1"/>
          <w:szCs w:val="22"/>
          <w:u w:val="none"/>
        </w:rPr>
        <w:t xml:space="preserve"> </w:t>
      </w:r>
      <w:r w:rsidR="004E591A">
        <w:rPr>
          <w:rStyle w:val="Hyperlink"/>
          <w:rFonts w:eastAsiaTheme="majorEastAsia"/>
          <w:color w:val="000000" w:themeColor="text1"/>
          <w:szCs w:val="22"/>
          <w:u w:val="none"/>
        </w:rPr>
        <w:t xml:space="preserve"> note that this Hubbard </w:t>
      </w:r>
      <w:r w:rsidR="004E591A" w:rsidRPr="004E591A">
        <w:rPr>
          <w:rStyle w:val="Hyperlink"/>
          <w:rFonts w:eastAsiaTheme="majorEastAsia"/>
          <w:i/>
          <w:iCs/>
          <w:color w:val="000000" w:themeColor="text1"/>
          <w:szCs w:val="22"/>
          <w:u w:val="none"/>
        </w:rPr>
        <w:t>U</w:t>
      </w:r>
      <w:r w:rsidR="004E591A">
        <w:rPr>
          <w:rStyle w:val="Hyperlink"/>
          <w:rFonts w:eastAsiaTheme="majorEastAsia"/>
          <w:color w:val="000000" w:themeColor="text1"/>
          <w:szCs w:val="22"/>
          <w:u w:val="none"/>
        </w:rPr>
        <w:t xml:space="preserve"> should not be confused with an applied electrochemical bias. </w:t>
      </w:r>
      <w:r w:rsidRPr="004E591A">
        <w:rPr>
          <w:rStyle w:val="Hyperlink"/>
          <w:rFonts w:eastAsiaTheme="majorEastAsia"/>
          <w:color w:val="000000" w:themeColor="text1"/>
          <w:szCs w:val="22"/>
          <w:u w:val="none"/>
        </w:rPr>
        <w:t>These</w:t>
      </w:r>
      <w:r w:rsidRPr="00F5313D">
        <w:rPr>
          <w:rStyle w:val="Hyperlink"/>
          <w:rFonts w:eastAsiaTheme="majorEastAsia"/>
          <w:color w:val="000000" w:themeColor="text1"/>
          <w:szCs w:val="22"/>
          <w:u w:val="none"/>
        </w:rPr>
        <w:t xml:space="preserve"> findings underscore the necessity to capture correlations beyond the GGA level when modeling 3d oxides</w:t>
      </w:r>
      <w:r w:rsidRPr="00F5313D">
        <w:rPr>
          <w:rStyle w:val="Hyperlink"/>
          <w:rFonts w:eastAsiaTheme="majorEastAsia"/>
          <w:color w:val="000000" w:themeColor="text1"/>
          <w:szCs w:val="22"/>
          <w:u w:val="none"/>
        </w:rPr>
        <w:fldChar w:fldCharType="begin">
          <w:fldData xml:space="preserve">PEVuZE5vdGU+PENpdGU+PEF1dGhvcj5CYWpkaWNoPC9BdXRob3I+PFllYXI+MjAxMzwvWWVhcj48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</w:fldData>
        </w:fldChar>
      </w:r>
      <w:r w:rsidR="00FC5BEB">
        <w:rPr>
          <w:rStyle w:val="Hyperlink"/>
          <w:rFonts w:eastAsiaTheme="majorEastAsia"/>
          <w:color w:val="000000" w:themeColor="text1"/>
          <w:szCs w:val="22"/>
          <w:u w:val="none"/>
        </w:rPr>
        <w:instrText xml:space="preserve"> ADDIN EN.CITE </w:instrText>
      </w:r>
      <w:r w:rsidR="00FC5BEB">
        <w:rPr>
          <w:rStyle w:val="Hyperlink"/>
          <w:rFonts w:eastAsiaTheme="majorEastAsia"/>
          <w:color w:val="000000" w:themeColor="text1"/>
          <w:szCs w:val="22"/>
          <w:u w:val="none"/>
        </w:rPr>
        <w:fldChar w:fldCharType="begin">
          <w:fldData xml:space="preserve">PEVuZE5vdGU+PENpdGU+PEF1dGhvcj5CYWpkaWNoPC9BdXRob3I+PFllYXI+MjAxMzwvWWVhcj48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</w:fldData>
        </w:fldChar>
      </w:r>
      <w:r w:rsidR="00FC5BEB">
        <w:rPr>
          <w:rStyle w:val="Hyperlink"/>
          <w:rFonts w:eastAsiaTheme="majorEastAsia"/>
          <w:color w:val="000000" w:themeColor="text1"/>
          <w:szCs w:val="22"/>
          <w:u w:val="none"/>
        </w:rPr>
        <w:instrText xml:space="preserve"> ADDIN EN.CITE.DATA </w:instrText>
      </w:r>
      <w:r w:rsidR="00FC5BEB">
        <w:rPr>
          <w:rStyle w:val="Hyperlink"/>
          <w:rFonts w:eastAsiaTheme="majorEastAsia"/>
          <w:color w:val="000000" w:themeColor="text1"/>
          <w:szCs w:val="22"/>
          <w:u w:val="none"/>
        </w:rPr>
      </w:r>
      <w:r w:rsidR="00FC5BEB">
        <w:rPr>
          <w:rStyle w:val="Hyperlink"/>
          <w:rFonts w:eastAsiaTheme="majorEastAsia"/>
          <w:color w:val="000000" w:themeColor="text1"/>
          <w:szCs w:val="22"/>
          <w:u w:val="none"/>
        </w:rPr>
        <w:fldChar w:fldCharType="end"/>
      </w:r>
      <w:r w:rsidRPr="00F5313D">
        <w:rPr>
          <w:rStyle w:val="Hyperlink"/>
          <w:rFonts w:eastAsiaTheme="majorEastAsia"/>
          <w:color w:val="000000" w:themeColor="text1"/>
          <w:szCs w:val="22"/>
          <w:u w:val="none"/>
        </w:rPr>
      </w:r>
      <w:r w:rsidRPr="00F5313D">
        <w:rPr>
          <w:rStyle w:val="Hyperlink"/>
          <w:rFonts w:eastAsiaTheme="majorEastAsia"/>
          <w:color w:val="000000" w:themeColor="text1"/>
          <w:szCs w:val="22"/>
          <w:u w:val="none"/>
        </w:rPr>
        <w:fldChar w:fldCharType="separate"/>
      </w:r>
      <w:r w:rsidR="00FC5BEB" w:rsidRPr="00FC5BEB">
        <w:rPr>
          <w:rStyle w:val="Hyperlink"/>
          <w:rFonts w:eastAsiaTheme="majorEastAsia"/>
          <w:noProof/>
          <w:color w:val="000000" w:themeColor="text1"/>
          <w:szCs w:val="22"/>
          <w:u w:val="none"/>
          <w:vertAlign w:val="superscript"/>
        </w:rPr>
        <w:t>230, 231</w:t>
      </w:r>
      <w:r w:rsidRPr="00F5313D">
        <w:rPr>
          <w:rStyle w:val="Hyperlink"/>
          <w:rFonts w:eastAsiaTheme="majorEastAsia"/>
          <w:color w:val="000000" w:themeColor="text1"/>
          <w:szCs w:val="22"/>
          <w:u w:val="none"/>
        </w:rPr>
        <w:fldChar w:fldCharType="end"/>
      </w:r>
      <w:r w:rsidRPr="00F5313D">
        <w:rPr>
          <w:color w:val="000000" w:themeColor="text1"/>
        </w:rPr>
        <w:t xml:space="preserve">, where hybrid functionals are expected to yield improved results over the inclusion of a Hubbard </w:t>
      </w:r>
      <w:r w:rsidRPr="00F5313D">
        <w:rPr>
          <w:i/>
          <w:iCs/>
          <w:color w:val="000000" w:themeColor="text1"/>
        </w:rPr>
        <w:t>U</w:t>
      </w:r>
      <w:r w:rsidRPr="00F5313D">
        <w:rPr>
          <w:color w:val="000000" w:themeColor="text1"/>
        </w:rPr>
        <w:fldChar w:fldCharType="begin">
          <w:fldData xml:space="preserve">PEVuZE5vdGU+PENpdGU+PEF1dGhvcj5Hb3ZpbmQgUmFqYW48L0F1dGhvcj48WWVhcj4yMDIwPC9Z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</w:fldData>
        </w:fldChar>
      </w:r>
      <w:r w:rsidR="00FC5BEB">
        <w:rPr>
          <w:color w:val="000000" w:themeColor="text1"/>
        </w:rPr>
        <w:instrText xml:space="preserve"> ADDIN EN.CITE </w:instrText>
      </w:r>
      <w:r w:rsidR="00FC5BEB">
        <w:rPr>
          <w:color w:val="000000" w:themeColor="text1"/>
        </w:rPr>
        <w:fldChar w:fldCharType="begin">
          <w:fldData xml:space="preserve">PEVuZE5vdGU+PENpdGU+PEF1dGhvcj5Hb3ZpbmQgUmFqYW48L0F1dGhvcj48WWVhcj4yMDIwPC9Z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</w:fldData>
        </w:fldChar>
      </w:r>
      <w:r w:rsidR="00FC5BEB">
        <w:rPr>
          <w:color w:val="000000" w:themeColor="text1"/>
        </w:rPr>
        <w:instrText xml:space="preserve"> ADDIN EN.CITE.DATA </w:instrText>
      </w:r>
      <w:r w:rsidR="00FC5BEB">
        <w:rPr>
          <w:color w:val="000000" w:themeColor="text1"/>
        </w:rPr>
      </w:r>
      <w:r w:rsidR="00FC5BEB">
        <w:rPr>
          <w:color w:val="000000" w:themeColor="text1"/>
        </w:rPr>
        <w:fldChar w:fldCharType="end"/>
      </w:r>
      <w:r w:rsidRPr="00F5313D">
        <w:rPr>
          <w:color w:val="000000" w:themeColor="text1"/>
        </w:rPr>
      </w:r>
      <w:r w:rsidRPr="00F5313D">
        <w:rPr>
          <w:color w:val="000000" w:themeColor="text1"/>
        </w:rPr>
        <w:fldChar w:fldCharType="separate"/>
      </w:r>
      <w:r w:rsidR="00FC5BEB" w:rsidRPr="00FC5BEB">
        <w:rPr>
          <w:noProof/>
          <w:color w:val="000000" w:themeColor="text1"/>
          <w:vertAlign w:val="superscript"/>
        </w:rPr>
        <w:t>223, 232-234</w:t>
      </w:r>
      <w:r w:rsidRPr="00F5313D">
        <w:rPr>
          <w:color w:val="000000" w:themeColor="text1"/>
        </w:rPr>
        <w:fldChar w:fldCharType="end"/>
      </w:r>
      <w:r w:rsidRPr="00F5313D">
        <w:rPr>
          <w:color w:val="000000" w:themeColor="text1"/>
          <w:shd w:val="clear" w:color="auto" w:fill="FFFFFF"/>
        </w:rPr>
        <w:t xml:space="preserve">. The largest functional dependence in the CHE, however, emerges in the incorrect description of the OO bond, which motivated efforts to produce a functional independent scaling relationship that differs </w:t>
      </w:r>
      <w:r w:rsidR="0064100C">
        <w:rPr>
          <w:color w:val="000000" w:themeColor="text1"/>
          <w:shd w:val="clear" w:color="auto" w:fill="FFFFFF"/>
        </w:rPr>
        <w:t>from</w:t>
      </w:r>
      <w:r w:rsidR="0064100C" w:rsidRPr="00F5313D">
        <w:rPr>
          <w:color w:val="000000" w:themeColor="text1"/>
          <w:shd w:val="clear" w:color="auto" w:fill="FFFFFF"/>
        </w:rPr>
        <w:t xml:space="preserve"> </w:t>
      </w:r>
      <w:r w:rsidRPr="00F5313D">
        <w:rPr>
          <w:color w:val="000000" w:themeColor="text1"/>
          <w:shd w:val="clear" w:color="auto" w:fill="FFFFFF"/>
        </w:rPr>
        <w:t>the previous relationship by 0.1 eV</w:t>
      </w:r>
      <w:r w:rsidRPr="00F5313D">
        <w:rPr>
          <w:color w:val="000000" w:themeColor="text1"/>
          <w:shd w:val="clear" w:color="auto" w:fill="FFFFFF"/>
        </w:rPr>
        <w:fldChar w:fldCharType="begin"/>
      </w:r>
      <w:r w:rsidR="00FC5BEB">
        <w:rPr>
          <w:color w:val="000000" w:themeColor="text1"/>
          <w:shd w:val="clear" w:color="auto" w:fill="FFFFFF"/>
        </w:rPr>
        <w:instrText xml:space="preserve"> ADDIN EN.CITE &lt;EndNote&gt;&lt;Cite&gt;&lt;Author&gt;Christensen&lt;/Author&gt;&lt;Year&gt;2016&lt;/Year&gt;&lt;RecNum&gt;233&lt;/RecNum&gt;&lt;DisplayText&gt;&lt;style face="superscript"&gt;235&lt;/style&gt;&lt;/DisplayText&gt;&lt;record&gt;&lt;rec-number&gt;233&lt;/rec-number&gt;&lt;foreign-keys&gt;&lt;key app="EN" db-id="2xex0erf4eexr4e2dpbxpdd829xttesxxxdr" timestamp="1715075296"&gt;233&lt;/key&gt;&lt;/foreign-keys&gt;&lt;ref-type name="Journal Article"&gt;17&lt;/ref-type&gt;&lt;contributors&gt;&lt;authors&gt;&lt;author&gt;Christensen, Rune&lt;/author&gt;&lt;author&gt;Hansen, Heine A.&lt;/author&gt;&lt;author&gt;Dickens, Colin F.&lt;/author&gt;&lt;author&gt;Nørskov, Jens K.&lt;/author&gt;&lt;author&gt;Vegge, Tejs&lt;/author&gt;&lt;/authors&gt;&lt;/contributors&gt;&lt;titles&gt;&lt;title&gt;Functional Independent Scaling Relation for ORR/OER Catalysts&lt;/title&gt;&lt;secondary-title&gt;Journal of Physical Chemistry C&lt;/secondary-title&gt;&lt;/titles&gt;&lt;periodical&gt;&lt;full-title&gt;Journal of Physical Chemistry C&lt;/full-title&gt;&lt;abbr-1&gt;J. Phys. Chem. C&lt;/abbr-1&gt;&lt;/periodical&gt;&lt;pages&gt;24910-24916&lt;/pages&gt;&lt;volume&gt;120&lt;/volume&gt;&lt;number&gt;43&lt;/number&gt;&lt;dates&gt;&lt;year&gt;2016&lt;/year&gt;&lt;pub-dates&gt;&lt;date&gt;2016/11/03&lt;/date&gt;&lt;/pub-dates&gt;&lt;/dates&gt;&lt;publisher&gt;American Chemical Society&lt;/publisher&gt;&lt;isbn&gt;1932-7447&lt;/isbn&gt;&lt;urls&gt;&lt;related-urls&gt;&lt;url&gt;https://doi.org/10.1021/acs.jpcc.6b09141&lt;/url&gt;&lt;/related-urls&gt;&lt;/urls&gt;&lt;electronic-resource-num&gt;10.1021/acs.jpcc.6b09141&lt;/electronic-resource-num&gt;&lt;/record&gt;&lt;/Cite&gt;&lt;/EndNote&gt;</w:instrText>
      </w:r>
      <w:r w:rsidRPr="00F5313D">
        <w:rPr>
          <w:color w:val="000000" w:themeColor="text1"/>
          <w:shd w:val="clear" w:color="auto" w:fill="FFFFFF"/>
        </w:rPr>
        <w:fldChar w:fldCharType="separate"/>
      </w:r>
      <w:r w:rsidR="00FC5BEB" w:rsidRPr="00FC5BEB">
        <w:rPr>
          <w:noProof/>
          <w:color w:val="000000" w:themeColor="text1"/>
          <w:shd w:val="clear" w:color="auto" w:fill="FFFFFF"/>
          <w:vertAlign w:val="superscript"/>
        </w:rPr>
        <w:t>235</w:t>
      </w:r>
      <w:r w:rsidRPr="00F5313D">
        <w:rPr>
          <w:color w:val="000000" w:themeColor="text1"/>
          <w:shd w:val="clear" w:color="auto" w:fill="FFFFFF"/>
        </w:rPr>
        <w:fldChar w:fldCharType="end"/>
      </w:r>
      <w:r w:rsidRPr="00F5313D">
        <w:rPr>
          <w:color w:val="000000" w:themeColor="text1"/>
          <w:shd w:val="clear" w:color="auto" w:fill="FFFFFF"/>
        </w:rPr>
        <w:t xml:space="preserve">. </w:t>
      </w:r>
      <w:r w:rsidRPr="00F5313D">
        <w:rPr>
          <w:color w:val="000000" w:themeColor="text1"/>
        </w:rPr>
        <w:t xml:space="preserve">That is, the so-called functional independent scaling relationship is given by </w:t>
      </w:r>
      <w:r w:rsidRPr="00F5313D">
        <w:rPr>
          <w:color w:val="000000" w:themeColor="text1"/>
        </w:rPr>
        <w:sym w:font="Symbol" w:char="F044"/>
      </w:r>
      <w:r w:rsidRPr="00F5313D">
        <w:rPr>
          <w:i/>
          <w:iCs/>
          <w:color w:val="000000" w:themeColor="text1"/>
        </w:rPr>
        <w:t>G</w:t>
      </w:r>
      <w:r w:rsidRPr="00F5313D">
        <w:rPr>
          <w:color w:val="000000" w:themeColor="text1"/>
          <w:vertAlign w:val="subscript"/>
        </w:rPr>
        <w:t>*OOH</w:t>
      </w:r>
      <w:r w:rsidRPr="00F5313D">
        <w:rPr>
          <w:color w:val="000000" w:themeColor="text1"/>
        </w:rPr>
        <w:t xml:space="preserve"> =</w:t>
      </w:r>
      <w:r w:rsidRPr="00F5313D">
        <w:rPr>
          <w:color w:val="000000" w:themeColor="text1"/>
        </w:rPr>
        <w:sym w:font="Symbol" w:char="F044"/>
      </w:r>
      <w:r w:rsidRPr="00F5313D">
        <w:rPr>
          <w:i/>
          <w:iCs/>
          <w:color w:val="000000" w:themeColor="text1"/>
        </w:rPr>
        <w:t>G</w:t>
      </w:r>
      <w:r w:rsidRPr="00F5313D">
        <w:rPr>
          <w:color w:val="000000" w:themeColor="text1"/>
          <w:vertAlign w:val="subscript"/>
        </w:rPr>
        <w:t>*OH</w:t>
      </w:r>
      <w:r w:rsidRPr="00F5313D">
        <w:rPr>
          <w:color w:val="000000" w:themeColor="text1"/>
        </w:rPr>
        <w:t xml:space="preserve">+3.3 eV rather than </w:t>
      </w:r>
      <w:r w:rsidRPr="00F5313D">
        <w:rPr>
          <w:color w:val="000000" w:themeColor="text1"/>
        </w:rPr>
        <w:sym w:font="Symbol" w:char="F044"/>
      </w:r>
      <w:r w:rsidRPr="00F5313D">
        <w:rPr>
          <w:i/>
          <w:iCs/>
          <w:color w:val="000000" w:themeColor="text1"/>
        </w:rPr>
        <w:t>G</w:t>
      </w:r>
      <w:r w:rsidRPr="00F5313D">
        <w:rPr>
          <w:color w:val="000000" w:themeColor="text1"/>
          <w:vertAlign w:val="subscript"/>
        </w:rPr>
        <w:t>*OOH</w:t>
      </w:r>
      <w:r w:rsidRPr="00F5313D">
        <w:rPr>
          <w:color w:val="000000" w:themeColor="text1"/>
        </w:rPr>
        <w:t xml:space="preserve"> =</w:t>
      </w:r>
      <w:r w:rsidRPr="00F5313D">
        <w:rPr>
          <w:color w:val="000000" w:themeColor="text1"/>
        </w:rPr>
        <w:sym w:font="Symbol" w:char="F044"/>
      </w:r>
      <w:r w:rsidRPr="00F5313D">
        <w:rPr>
          <w:i/>
          <w:iCs/>
          <w:color w:val="000000" w:themeColor="text1"/>
        </w:rPr>
        <w:t>G</w:t>
      </w:r>
      <w:r w:rsidRPr="00F5313D">
        <w:rPr>
          <w:color w:val="000000" w:themeColor="text1"/>
          <w:vertAlign w:val="subscript"/>
        </w:rPr>
        <w:t>*OH</w:t>
      </w:r>
      <w:r w:rsidRPr="00F5313D">
        <w:rPr>
          <w:color w:val="000000" w:themeColor="text1"/>
        </w:rPr>
        <w:t xml:space="preserve">+3.2 eV, though it should be noted this relationship is not truly functional independent. </w:t>
      </w:r>
    </w:p>
    <w:p w14:paraId="28109889" w14:textId="77777777" w:rsidR="00CD5739" w:rsidRPr="00F5313D" w:rsidRDefault="00CD5739" w:rsidP="00F5313D">
      <w:pPr>
        <w:rPr>
          <w:color w:val="000000" w:themeColor="text1"/>
        </w:rPr>
      </w:pPr>
    </w:p>
    <w:p w14:paraId="00FB4F37" w14:textId="77FF4C50" w:rsidR="0013432D" w:rsidRPr="0013432D" w:rsidRDefault="00577291" w:rsidP="00577291">
      <w:pPr>
        <w:pStyle w:val="Heading4"/>
      </w:pPr>
      <w:r>
        <w:t xml:space="preserve"> </w:t>
      </w:r>
      <w:bookmarkStart w:id="95" w:name="_Toc166441739"/>
      <w:r w:rsidR="0013432D" w:rsidRPr="0013432D">
        <w:t xml:space="preserve">Further evidence for </w:t>
      </w:r>
      <w:r w:rsidR="004D7F67">
        <w:t>s</w:t>
      </w:r>
      <w:r w:rsidR="0013432D" w:rsidRPr="0013432D">
        <w:t>caling relationships and attempts to break them</w:t>
      </w:r>
      <w:bookmarkEnd w:id="95"/>
    </w:p>
    <w:p w14:paraId="50012E02" w14:textId="77777777" w:rsidR="007C5D34" w:rsidRDefault="0013432D" w:rsidP="0013432D">
      <w:pPr>
        <w:rPr>
          <w:b/>
          <w:bCs/>
        </w:rPr>
      </w:pPr>
      <w:r w:rsidRPr="0013432D">
        <w:rPr>
          <w:b/>
          <w:bCs/>
        </w:rPr>
        <w:tab/>
      </w:r>
    </w:p>
    <w:p w14:paraId="570DADE9" w14:textId="77777777" w:rsidR="00DB5848" w:rsidRDefault="0013432D" w:rsidP="007C5D34">
      <w:pPr>
        <w:ind w:firstLine="720"/>
      </w:pPr>
      <w:r w:rsidRPr="0013432D">
        <w:t xml:space="preserve">The identification of universal scaling relationships mediating </w:t>
      </w:r>
      <w:r w:rsidRPr="0013432D">
        <w:rPr>
          <w:i/>
        </w:rPr>
        <w:sym w:font="Symbol" w:char="F068"/>
      </w:r>
      <w:r w:rsidRPr="0013432D">
        <w:rPr>
          <w:iCs/>
          <w:vertAlign w:val="subscript"/>
        </w:rPr>
        <w:t>CHE</w:t>
      </w:r>
      <w:r w:rsidRPr="0013432D">
        <w:rPr>
          <w:iCs/>
        </w:rPr>
        <w:t xml:space="preserve"> for the OER on oxides established an entire body of literature aimed at identifying strategies to circumvent the observed </w:t>
      </w:r>
      <w:r w:rsidRPr="0013432D">
        <w:rPr>
          <w:iCs/>
        </w:rPr>
        <w:lastRenderedPageBreak/>
        <w:t>scaling relationships</w:t>
      </w:r>
      <w:r w:rsidRPr="0013432D">
        <w:rPr>
          <w:iCs/>
        </w:rPr>
        <w:fldChar w:fldCharType="begin">
          <w:fldData xml:space="preserve">PEVuZE5vdGU+PENpdGU+PEF1dGhvcj5HYXJjw61hLU1vdGE8L0F1dGhvcj48WWVhcj4yMDExPC9Z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</w:fldData>
        </w:fldChar>
      </w:r>
      <w:r w:rsidR="00FC5BEB">
        <w:rPr>
          <w:iCs/>
        </w:rPr>
        <w:instrText xml:space="preserve"> ADDIN EN.CITE </w:instrText>
      </w:r>
      <w:r w:rsidR="00FC5BEB">
        <w:rPr>
          <w:iCs/>
        </w:rPr>
        <w:fldChar w:fldCharType="begin">
          <w:fldData xml:space="preserve">PEVuZE5vdGU+PENpdGU+PEF1dGhvcj5HYXJjw61hLU1vdGE8L0F1dGhvcj48WWVhcj4yMDExPC9Z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</w:fldData>
        </w:fldChar>
      </w:r>
      <w:r w:rsidR="00FC5BEB">
        <w:rPr>
          <w:iCs/>
        </w:rPr>
        <w:instrText xml:space="preserve"> ADDIN EN.CITE.DATA </w:instrText>
      </w:r>
      <w:r w:rsidR="00FC5BEB">
        <w:rPr>
          <w:iCs/>
        </w:rPr>
      </w:r>
      <w:r w:rsidR="00FC5BEB">
        <w:rPr>
          <w:iCs/>
        </w:rPr>
        <w:fldChar w:fldCharType="end"/>
      </w:r>
      <w:r w:rsidRPr="0013432D">
        <w:rPr>
          <w:iCs/>
        </w:rPr>
      </w:r>
      <w:r w:rsidRPr="0013432D">
        <w:rPr>
          <w:iCs/>
        </w:rPr>
        <w:fldChar w:fldCharType="separate"/>
      </w:r>
      <w:r w:rsidR="00FC5BEB" w:rsidRPr="00FC5BEB">
        <w:rPr>
          <w:iCs/>
          <w:noProof/>
          <w:vertAlign w:val="superscript"/>
        </w:rPr>
        <w:t>209, 236-252</w:t>
      </w:r>
      <w:r w:rsidRPr="0013432D">
        <w:fldChar w:fldCharType="end"/>
      </w:r>
      <w:r w:rsidRPr="0013432D">
        <w:rPr>
          <w:iCs/>
        </w:rPr>
        <w:t xml:space="preserve">; for a detailed review see Ref. </w:t>
      </w:r>
      <w:r w:rsidRPr="0013432D">
        <w:rPr>
          <w:iCs/>
        </w:rPr>
        <w:fldChar w:fldCharType="begin"/>
      </w:r>
      <w:r w:rsidR="00FC5BEB">
        <w:rPr>
          <w:iCs/>
        </w:rPr>
        <w:instrText xml:space="preserve"> ADDIN EN.CITE &lt;EndNote&gt;&lt;Cite&gt;&lt;Author&gt;Huang&lt;/Author&gt;&lt;Year&gt;2019&lt;/Year&gt;&lt;RecNum&gt;248&lt;/RecNum&gt;&lt;DisplayText&gt;&lt;style face="superscript"&gt;250&lt;/style&gt;&lt;/DisplayText&gt;&lt;record&gt;&lt;rec-number&gt;248&lt;/rec-number&gt;&lt;foreign-keys&gt;&lt;key app="EN" db-id="2xex0erf4eexr4e2dpbxpdd829xttesxxxdr" timestamp="1715075296"&gt;248&lt;/key&gt;&lt;/foreign-keys&gt;&lt;ref-type name="Journal Article"&gt;17&lt;/ref-type&gt;&lt;contributors&gt;&lt;authors&gt;&lt;author&gt;Huang, Zhen-Feng&lt;/author&gt;&lt;author&gt;Song, Jiajia&lt;/author&gt;&lt;author&gt;Dou, Shuo&lt;/author&gt;&lt;author&gt;Li, Xiaogang&lt;/author&gt;&lt;author&gt;Wang, Jiong&lt;/author&gt;&lt;author&gt;Wang, Xin&lt;/author&gt;&lt;/authors&gt;&lt;/contributors&gt;&lt;titles&gt;&lt;title&gt;Strategies to Break the Scaling Relation toward Enhanced Oxygen Electrocatalysis&lt;/title&gt;&lt;secondary-title&gt;Matter&lt;/secondary-title&gt;&lt;/titles&gt;&lt;pages&gt;1494-1518&lt;/pages&gt;&lt;volume&gt;1&lt;/volume&gt;&lt;number&gt;6&lt;/number&gt;&lt;keywords&gt;&lt;keyword&gt;break scaling relation&lt;/keyword&gt;&lt;keyword&gt;oxygen electrocatalysis&lt;/keyword&gt;&lt;keyword&gt;reaction mechanism&lt;/keyword&gt;&lt;keyword&gt;catalyst design&lt;/keyword&gt;&lt;keyword&gt;hydrogen economy&lt;/keyword&gt;&lt;/keywords&gt;&lt;dates&gt;&lt;year&gt;2019&lt;/year&gt;&lt;pub-dates&gt;&lt;date&gt;2019/12/04/&lt;/date&gt;&lt;/pub-dates&gt;&lt;/dates&gt;&lt;isbn&gt;2590-2385&lt;/isbn&gt;&lt;urls&gt;&lt;related-urls&gt;&lt;url&gt;https://www.sciencedirect.com/science/article/pii/S2590238519302267&lt;/url&gt;&lt;/related-urls&gt;&lt;/urls&gt;&lt;electronic-resource-num&gt;https://doi.org/10.1016/j.matt.2019.09.011&lt;/electronic-resource-num&gt;&lt;/record&gt;&lt;/Cite&gt;&lt;/EndNote&gt;</w:instrText>
      </w:r>
      <w:r w:rsidRPr="0013432D">
        <w:rPr>
          <w:iCs/>
        </w:rPr>
        <w:fldChar w:fldCharType="separate"/>
      </w:r>
      <w:r w:rsidR="00FC5BEB" w:rsidRPr="00FC5BEB">
        <w:rPr>
          <w:iCs/>
          <w:noProof/>
          <w:vertAlign w:val="superscript"/>
        </w:rPr>
        <w:t>250</w:t>
      </w:r>
      <w:r w:rsidRPr="0013432D">
        <w:fldChar w:fldCharType="end"/>
      </w:r>
      <w:r w:rsidRPr="0013432D">
        <w:rPr>
          <w:iCs/>
        </w:rPr>
        <w:t xml:space="preserve">. An early effort sought to investigate how substitutional doping of </w:t>
      </w:r>
      <w:proofErr w:type="spellStart"/>
      <w:r w:rsidRPr="0013432D">
        <w:rPr>
          <w:iCs/>
        </w:rPr>
        <w:t>Ti</w:t>
      </w:r>
      <w:proofErr w:type="spellEnd"/>
      <w:r w:rsidRPr="0013432D">
        <w:rPr>
          <w:iCs/>
        </w:rPr>
        <w:t xml:space="preserve"> in a rutile-type TiO</w:t>
      </w:r>
      <w:r w:rsidRPr="0013432D">
        <w:rPr>
          <w:iCs/>
          <w:vertAlign w:val="subscript"/>
        </w:rPr>
        <w:t>2</w:t>
      </w:r>
      <w:r w:rsidRPr="0013432D">
        <w:rPr>
          <w:iCs/>
        </w:rPr>
        <w:t xml:space="preserve"> (110) surface with various transition metals </w:t>
      </w:r>
      <w:r w:rsidRPr="0013432D">
        <w:t xml:space="preserve">(M=V, Nb, Ta, Cr, Mo, W, Mn, Fe, Ru, </w:t>
      </w:r>
      <w:proofErr w:type="spellStart"/>
      <w:r w:rsidRPr="0013432D">
        <w:t>Ir</w:t>
      </w:r>
      <w:proofErr w:type="spellEnd"/>
      <w:r w:rsidRPr="0013432D">
        <w:t>, Ni) would impact the theoretical OER overpotential</w:t>
      </w:r>
      <w:r w:rsidRPr="0013432D">
        <w:fldChar w:fldCharType="begin"/>
      </w:r>
      <w:r w:rsidR="00FC5BEB">
        <w:instrText xml:space="preserve"> ADDIN EN.CITE &lt;EndNote&gt;&lt;Cite&gt;&lt;Author&gt;García-Mota&lt;/Author&gt;&lt;Year&gt;2011&lt;/Year&gt;&lt;RecNum&gt;234&lt;/RecNum&gt;&lt;DisplayText&gt;&lt;style face="superscript"&gt;236&lt;/style&gt;&lt;/DisplayText&gt;&lt;record&gt;&lt;rec-number&gt;234&lt;/rec-number&gt;&lt;foreign-keys&gt;&lt;key app="EN" db-id="2xex0erf4eexr4e2dpbxpdd829xttesxxxdr" timestamp="1715075296"&gt;234&lt;/key&gt;&lt;/foreign-keys&gt;&lt;ref-type name="Journal Article"&gt;17&lt;/ref-type&gt;&lt;contributors&gt;&lt;authors&gt;&lt;author&gt;García-Mota, Mónica&lt;/author&gt;&lt;author&gt;Vojvodic, Aleksandra&lt;/author&gt;&lt;author&gt;Metiu, Horia&lt;/author&gt;&lt;author&gt;Man, Isabela C.&lt;/author&gt;&lt;author&gt;Su, Hai-Yan&lt;/author&gt;&lt;author&gt;Rossmeisl, Jan&lt;/author&gt;&lt;author&gt;Nørskov, Jens K.&lt;/author&gt;&lt;/authors&gt;&lt;/contributors&gt;&lt;titles&gt;&lt;title&gt;Tailoring the Activity for Oxygen Evolution Electrocatalysis on Rutile TiO2(110) by Transition-Metal Substitution&lt;/title&gt;&lt;secondary-title&gt;ChemCatChem&lt;/secondary-title&gt;&lt;/titles&gt;&lt;pages&gt;1607-1611&lt;/pages&gt;&lt;volume&gt;3&lt;/volume&gt;&lt;number&gt;10&lt;/number&gt;&lt;dates&gt;&lt;year&gt;2011&lt;/year&gt;&lt;/dates&gt;&lt;isbn&gt;1867-3880&lt;/isbn&gt;&lt;urls&gt;&lt;related-urls&gt;&lt;url&gt;https://chemistry-europe.onlinelibrary.wiley.com/doi/abs/10.1002/cctc.201100160&lt;/url&gt;&lt;/related-urls&gt;&lt;/urls&gt;&lt;electronic-resource-num&gt;https://doi.org/10.1002/cctc.201100160&lt;/electronic-resource-num&gt;&lt;/record&gt;&lt;/Cite&gt;&lt;/EndNote&gt;</w:instrText>
      </w:r>
      <w:r w:rsidRPr="0013432D">
        <w:fldChar w:fldCharType="separate"/>
      </w:r>
      <w:r w:rsidR="00FC5BEB" w:rsidRPr="00FC5BEB">
        <w:rPr>
          <w:noProof/>
          <w:vertAlign w:val="superscript"/>
        </w:rPr>
        <w:t>236</w:t>
      </w:r>
      <w:r w:rsidRPr="0013432D">
        <w:fldChar w:fldCharType="end"/>
      </w:r>
      <w:r w:rsidRPr="0013432D">
        <w:t xml:space="preserve">. The authors computed </w:t>
      </w:r>
      <w:r w:rsidRPr="0013432D">
        <w:rPr>
          <w:i/>
        </w:rPr>
        <w:sym w:font="Symbol" w:char="F068"/>
      </w:r>
      <w:r w:rsidRPr="0013432D">
        <w:rPr>
          <w:iCs/>
          <w:vertAlign w:val="subscript"/>
        </w:rPr>
        <w:t>CHE</w:t>
      </w:r>
      <w:r w:rsidRPr="0013432D">
        <w:rPr>
          <w:iCs/>
        </w:rPr>
        <w:t xml:space="preserve"> by calculating the *O, *OH, and *OOH adsorption energies when the dopants were placed in various near surface positions and following the procedure discussed above. They found *OOH/*OH scaling relationships that limit the minimum achievable </w:t>
      </w:r>
      <w:r w:rsidRPr="0013432D">
        <w:rPr>
          <w:i/>
        </w:rPr>
        <w:sym w:font="Symbol" w:char="F068"/>
      </w:r>
      <w:r w:rsidRPr="0013432D">
        <w:rPr>
          <w:iCs/>
          <w:vertAlign w:val="subscript"/>
        </w:rPr>
        <w:t>CHE</w:t>
      </w:r>
      <w:r w:rsidRPr="0013432D">
        <w:rPr>
          <w:iCs/>
        </w:rPr>
        <w:t xml:space="preserve"> remained almost unchanged by doping, see </w:t>
      </w:r>
      <w:r w:rsidR="00F8072E">
        <w:rPr>
          <w:iCs/>
        </w:rPr>
        <w:fldChar w:fldCharType="begin"/>
      </w:r>
      <w:r w:rsidR="00F8072E">
        <w:rPr>
          <w:iCs/>
        </w:rPr>
        <w:instrText xml:space="preserve"> REF _Ref159516560 \h </w:instrText>
      </w:r>
      <w:r w:rsidR="00F8072E">
        <w:rPr>
          <w:iCs/>
        </w:rPr>
      </w:r>
      <w:r w:rsidR="00F8072E">
        <w:rPr>
          <w:iCs/>
        </w:rPr>
        <w:fldChar w:fldCharType="separate"/>
      </w:r>
      <w:r w:rsidR="003255C0" w:rsidRPr="0013432D">
        <w:rPr>
          <w:b/>
          <w:bCs/>
        </w:rPr>
        <w:t xml:space="preserve">Figure </w:t>
      </w:r>
      <w:r w:rsidR="003255C0">
        <w:rPr>
          <w:b/>
          <w:bCs/>
          <w:noProof/>
        </w:rPr>
        <w:t>18</w:t>
      </w:r>
      <w:r w:rsidR="00F8072E">
        <w:rPr>
          <w:iCs/>
        </w:rPr>
        <w:fldChar w:fldCharType="end"/>
      </w:r>
      <w:r w:rsidRPr="0013432D">
        <w:rPr>
          <w:iCs/>
        </w:rPr>
        <w:t xml:space="preserve">, where the red star in </w:t>
      </w:r>
      <w:r w:rsidR="00F8072E">
        <w:rPr>
          <w:iCs/>
        </w:rPr>
        <w:fldChar w:fldCharType="begin"/>
      </w:r>
      <w:r w:rsidR="00F8072E">
        <w:rPr>
          <w:iCs/>
        </w:rPr>
        <w:instrText xml:space="preserve"> REF _Ref159516560 \h </w:instrText>
      </w:r>
      <w:r w:rsidR="00F8072E">
        <w:rPr>
          <w:iCs/>
        </w:rPr>
      </w:r>
      <w:r w:rsidR="00F8072E">
        <w:rPr>
          <w:iCs/>
        </w:rPr>
        <w:fldChar w:fldCharType="separate"/>
      </w:r>
      <w:r w:rsidR="003255C0" w:rsidRPr="0013432D">
        <w:rPr>
          <w:b/>
          <w:bCs/>
        </w:rPr>
        <w:t xml:space="preserve">Figure </w:t>
      </w:r>
      <w:r w:rsidR="003255C0">
        <w:rPr>
          <w:b/>
          <w:bCs/>
          <w:noProof/>
        </w:rPr>
        <w:t>18</w:t>
      </w:r>
      <w:r w:rsidR="00F8072E">
        <w:rPr>
          <w:iCs/>
        </w:rPr>
        <w:fldChar w:fldCharType="end"/>
      </w:r>
      <w:r w:rsidRPr="00967BAD">
        <w:rPr>
          <w:b/>
          <w:bCs/>
          <w:iCs/>
        </w:rPr>
        <w:t>e</w:t>
      </w:r>
      <w:r w:rsidRPr="0013432D">
        <w:rPr>
          <w:iCs/>
        </w:rPr>
        <w:t xml:space="preserve"> indicates the adsorption energies of an ideal catalyst and the dashed line the ideal *OOH/*OH scaling. Thus, as with changing the atomic structure of a defect-free oxide, see </w:t>
      </w:r>
      <w:r w:rsidR="00F8072E">
        <w:rPr>
          <w:iCs/>
        </w:rPr>
        <w:fldChar w:fldCharType="begin"/>
      </w:r>
      <w:r w:rsidR="00F8072E">
        <w:rPr>
          <w:iCs/>
        </w:rPr>
        <w:instrText xml:space="preserve"> REF _Ref159515302 \h </w:instrText>
      </w:r>
      <w:r w:rsidR="00F8072E">
        <w:rPr>
          <w:iCs/>
        </w:rPr>
      </w:r>
      <w:r w:rsidR="00F8072E">
        <w:rPr>
          <w:iCs/>
        </w:rPr>
        <w:fldChar w:fldCharType="separate"/>
      </w:r>
      <w:r w:rsidR="003255C0" w:rsidRPr="001A79BA">
        <w:rPr>
          <w:b/>
          <w:bCs/>
        </w:rPr>
        <w:t xml:space="preserve">Figure </w:t>
      </w:r>
      <w:r w:rsidR="003255C0">
        <w:rPr>
          <w:b/>
          <w:bCs/>
          <w:noProof/>
        </w:rPr>
        <w:t>16</w:t>
      </w:r>
      <w:r w:rsidR="00F8072E">
        <w:rPr>
          <w:iCs/>
        </w:rPr>
        <w:fldChar w:fldCharType="end"/>
      </w:r>
      <w:r w:rsidRPr="0013432D">
        <w:rPr>
          <w:iCs/>
        </w:rPr>
        <w:t>, doping rutile-type TiO</w:t>
      </w:r>
      <w:r w:rsidRPr="0013432D">
        <w:rPr>
          <w:iCs/>
          <w:vertAlign w:val="subscript"/>
        </w:rPr>
        <w:t>2</w:t>
      </w:r>
      <w:r w:rsidRPr="0013432D">
        <w:rPr>
          <w:iCs/>
        </w:rPr>
        <w:t xml:space="preserve"> apparently does not break the *OOH/*OH scaling relationship that limits the minimum achievable </w:t>
      </w:r>
      <w:r w:rsidRPr="0013432D">
        <w:rPr>
          <w:i/>
        </w:rPr>
        <w:sym w:font="Symbol" w:char="F068"/>
      </w:r>
      <w:r w:rsidRPr="0013432D">
        <w:rPr>
          <w:iCs/>
          <w:vertAlign w:val="subscript"/>
        </w:rPr>
        <w:t>CHE</w:t>
      </w:r>
      <w:r w:rsidRPr="0013432D">
        <w:rPr>
          <w:iCs/>
        </w:rPr>
        <w:t xml:space="preserve">. However, the authors did find that doping could significantly reduce </w:t>
      </w:r>
      <w:r w:rsidRPr="0013432D">
        <w:rPr>
          <w:i/>
        </w:rPr>
        <w:sym w:font="Symbol" w:char="F068"/>
      </w:r>
      <w:r w:rsidRPr="0013432D">
        <w:rPr>
          <w:iCs/>
          <w:vertAlign w:val="subscript"/>
        </w:rPr>
        <w:t xml:space="preserve">CHE </w:t>
      </w:r>
      <w:r w:rsidRPr="0013432D">
        <w:rPr>
          <w:iCs/>
        </w:rPr>
        <w:t>on TiO</w:t>
      </w:r>
      <w:r w:rsidRPr="0013432D">
        <w:rPr>
          <w:iCs/>
          <w:vertAlign w:val="subscript"/>
        </w:rPr>
        <w:t>2</w:t>
      </w:r>
      <w:r w:rsidRPr="0013432D">
        <w:rPr>
          <w:iCs/>
        </w:rPr>
        <w:t xml:space="preserve"> (110) while adhering to the scaling relationships, see </w:t>
      </w:r>
      <w:r w:rsidR="00F8072E">
        <w:rPr>
          <w:iCs/>
        </w:rPr>
        <w:fldChar w:fldCharType="begin"/>
      </w:r>
      <w:r w:rsidR="00F8072E">
        <w:rPr>
          <w:iCs/>
        </w:rPr>
        <w:instrText xml:space="preserve"> REF _Ref159516560 \h </w:instrText>
      </w:r>
      <w:r w:rsidR="00F8072E">
        <w:rPr>
          <w:iCs/>
        </w:rPr>
      </w:r>
      <w:r w:rsidR="00F8072E">
        <w:rPr>
          <w:iCs/>
        </w:rPr>
        <w:fldChar w:fldCharType="separate"/>
      </w:r>
      <w:r w:rsidR="003255C0" w:rsidRPr="0013432D">
        <w:rPr>
          <w:b/>
          <w:bCs/>
        </w:rPr>
        <w:t xml:space="preserve">Figure </w:t>
      </w:r>
      <w:r w:rsidR="003255C0">
        <w:rPr>
          <w:b/>
          <w:bCs/>
          <w:noProof/>
        </w:rPr>
        <w:t>18</w:t>
      </w:r>
      <w:r w:rsidR="00F8072E">
        <w:rPr>
          <w:iCs/>
        </w:rPr>
        <w:fldChar w:fldCharType="end"/>
      </w:r>
      <w:r w:rsidRPr="00967BAD">
        <w:rPr>
          <w:b/>
          <w:bCs/>
          <w:iCs/>
        </w:rPr>
        <w:t>f</w:t>
      </w:r>
      <w:r w:rsidRPr="0013432D">
        <w:rPr>
          <w:iCs/>
        </w:rPr>
        <w:t xml:space="preserve">. For each dopant, the reduction in </w:t>
      </w:r>
      <w:r w:rsidRPr="0013432D">
        <w:rPr>
          <w:i/>
        </w:rPr>
        <w:sym w:font="Symbol" w:char="F068"/>
      </w:r>
      <w:r w:rsidRPr="0013432D">
        <w:rPr>
          <w:iCs/>
          <w:vertAlign w:val="subscript"/>
        </w:rPr>
        <w:t>CHE</w:t>
      </w:r>
      <w:r w:rsidRPr="0013432D">
        <w:rPr>
          <w:iCs/>
        </w:rPr>
        <w:t xml:space="preserve"> varied with the substitutional site. Interestingly, for some dopants the largest reduction did not occur for doping at the CUS site assumed to be active. Cr and Mo, in particular, show the largest reduction in </w:t>
      </w:r>
      <w:r w:rsidRPr="0013432D">
        <w:rPr>
          <w:i/>
        </w:rPr>
        <w:sym w:font="Symbol" w:char="F068"/>
      </w:r>
      <w:r w:rsidRPr="0013432D">
        <w:rPr>
          <w:iCs/>
          <w:vertAlign w:val="subscript"/>
        </w:rPr>
        <w:t>CHE</w:t>
      </w:r>
      <w:r w:rsidRPr="0013432D">
        <w:rPr>
          <w:iCs/>
        </w:rPr>
        <w:t xml:space="preserve"> when substituting a surface bridge site </w:t>
      </w:r>
      <w:proofErr w:type="spellStart"/>
      <w:r w:rsidRPr="0013432D">
        <w:rPr>
          <w:iCs/>
        </w:rPr>
        <w:t>Ti</w:t>
      </w:r>
      <w:proofErr w:type="spellEnd"/>
      <w:r w:rsidRPr="0013432D">
        <w:rPr>
          <w:iCs/>
        </w:rPr>
        <w:t xml:space="preserve"> (</w:t>
      </w:r>
      <w:r w:rsidR="00F8072E">
        <w:rPr>
          <w:iCs/>
        </w:rPr>
        <w:fldChar w:fldCharType="begin"/>
      </w:r>
      <w:r w:rsidR="00F8072E">
        <w:rPr>
          <w:iCs/>
        </w:rPr>
        <w:instrText xml:space="preserve"> REF _Ref159516560 \h </w:instrText>
      </w:r>
      <w:r w:rsidR="00F8072E">
        <w:rPr>
          <w:iCs/>
        </w:rPr>
      </w:r>
      <w:r w:rsidR="00F8072E">
        <w:rPr>
          <w:iCs/>
        </w:rPr>
        <w:fldChar w:fldCharType="separate"/>
      </w:r>
      <w:r w:rsidR="003255C0" w:rsidRPr="0013432D">
        <w:rPr>
          <w:b/>
          <w:bCs/>
        </w:rPr>
        <w:t xml:space="preserve">Figure </w:t>
      </w:r>
      <w:r w:rsidR="003255C0">
        <w:rPr>
          <w:b/>
          <w:bCs/>
          <w:noProof/>
        </w:rPr>
        <w:t>18</w:t>
      </w:r>
      <w:r w:rsidR="00F8072E">
        <w:rPr>
          <w:iCs/>
        </w:rPr>
        <w:fldChar w:fldCharType="end"/>
      </w:r>
      <w:r w:rsidRPr="00967BAD">
        <w:rPr>
          <w:b/>
          <w:bCs/>
          <w:iCs/>
        </w:rPr>
        <w:t>b</w:t>
      </w:r>
      <w:r w:rsidRPr="0013432D">
        <w:rPr>
          <w:iCs/>
        </w:rPr>
        <w:t xml:space="preserve">) or the </w:t>
      </w:r>
      <w:proofErr w:type="spellStart"/>
      <w:r w:rsidRPr="0013432D">
        <w:rPr>
          <w:iCs/>
        </w:rPr>
        <w:t>Ti</w:t>
      </w:r>
      <w:proofErr w:type="spellEnd"/>
      <w:r w:rsidRPr="0013432D">
        <w:rPr>
          <w:iCs/>
        </w:rPr>
        <w:t xml:space="preserve"> below the bridge site (</w:t>
      </w:r>
      <w:r w:rsidR="00F8072E">
        <w:rPr>
          <w:iCs/>
        </w:rPr>
        <w:fldChar w:fldCharType="begin"/>
      </w:r>
      <w:r w:rsidR="00F8072E">
        <w:rPr>
          <w:iCs/>
        </w:rPr>
        <w:instrText xml:space="preserve"> REF _Ref159516560 \h </w:instrText>
      </w:r>
      <w:r w:rsidR="00F8072E">
        <w:rPr>
          <w:iCs/>
        </w:rPr>
      </w:r>
      <w:r w:rsidR="00F8072E">
        <w:rPr>
          <w:iCs/>
        </w:rPr>
        <w:fldChar w:fldCharType="separate"/>
      </w:r>
      <w:r w:rsidR="003255C0" w:rsidRPr="0013432D">
        <w:rPr>
          <w:b/>
          <w:bCs/>
        </w:rPr>
        <w:t xml:space="preserve">Figure </w:t>
      </w:r>
      <w:r w:rsidR="003255C0">
        <w:rPr>
          <w:b/>
          <w:bCs/>
          <w:noProof/>
        </w:rPr>
        <w:t>18</w:t>
      </w:r>
      <w:r w:rsidR="00F8072E">
        <w:rPr>
          <w:iCs/>
        </w:rPr>
        <w:fldChar w:fldCharType="end"/>
      </w:r>
      <w:r w:rsidRPr="00967BAD">
        <w:rPr>
          <w:b/>
          <w:bCs/>
          <w:iCs/>
        </w:rPr>
        <w:t>d</w:t>
      </w:r>
      <w:r w:rsidRPr="0013432D">
        <w:rPr>
          <w:iCs/>
        </w:rPr>
        <w:t>), respectively, with the subsurface Mo doping (</w:t>
      </w:r>
      <w:r w:rsidR="00F8072E">
        <w:rPr>
          <w:iCs/>
        </w:rPr>
        <w:fldChar w:fldCharType="begin"/>
      </w:r>
      <w:r w:rsidR="00F8072E">
        <w:rPr>
          <w:iCs/>
        </w:rPr>
        <w:instrText xml:space="preserve"> REF _Ref159516560 \h </w:instrText>
      </w:r>
      <w:r w:rsidR="00F8072E">
        <w:rPr>
          <w:iCs/>
        </w:rPr>
      </w:r>
      <w:r w:rsidR="00F8072E">
        <w:rPr>
          <w:iCs/>
        </w:rPr>
        <w:fldChar w:fldCharType="separate"/>
      </w:r>
      <w:r w:rsidR="003255C0" w:rsidRPr="0013432D">
        <w:rPr>
          <w:b/>
          <w:bCs/>
        </w:rPr>
        <w:t xml:space="preserve">Figure </w:t>
      </w:r>
      <w:r w:rsidR="003255C0">
        <w:rPr>
          <w:b/>
          <w:bCs/>
          <w:noProof/>
        </w:rPr>
        <w:t>18</w:t>
      </w:r>
      <w:r w:rsidR="00F8072E">
        <w:rPr>
          <w:iCs/>
        </w:rPr>
        <w:fldChar w:fldCharType="end"/>
      </w:r>
      <w:r w:rsidRPr="00967BAD">
        <w:rPr>
          <w:b/>
          <w:bCs/>
          <w:iCs/>
        </w:rPr>
        <w:t>d</w:t>
      </w:r>
      <w:r w:rsidRPr="0013432D">
        <w:rPr>
          <w:iCs/>
        </w:rPr>
        <w:t xml:space="preserve">) showing the largest reduction in </w:t>
      </w:r>
      <w:r w:rsidRPr="0013432D">
        <w:rPr>
          <w:i/>
        </w:rPr>
        <w:sym w:font="Symbol" w:char="F068"/>
      </w:r>
      <w:r w:rsidRPr="0013432D">
        <w:rPr>
          <w:iCs/>
          <w:vertAlign w:val="subscript"/>
        </w:rPr>
        <w:t>CHE</w:t>
      </w:r>
      <w:r w:rsidRPr="0013432D">
        <w:rPr>
          <w:iCs/>
        </w:rPr>
        <w:t xml:space="preserve"> of all the investigated structures, see </w:t>
      </w:r>
      <w:r w:rsidR="00F8072E">
        <w:rPr>
          <w:iCs/>
        </w:rPr>
        <w:fldChar w:fldCharType="begin"/>
      </w:r>
      <w:r w:rsidR="00F8072E">
        <w:rPr>
          <w:iCs/>
        </w:rPr>
        <w:instrText xml:space="preserve"> REF _Ref159516560 \h </w:instrText>
      </w:r>
      <w:r w:rsidR="00F8072E">
        <w:rPr>
          <w:iCs/>
        </w:rPr>
      </w:r>
      <w:r w:rsidR="00F8072E">
        <w:rPr>
          <w:iCs/>
        </w:rPr>
        <w:fldChar w:fldCharType="separate"/>
      </w:r>
      <w:r w:rsidR="003255C0" w:rsidRPr="0013432D">
        <w:rPr>
          <w:b/>
          <w:bCs/>
        </w:rPr>
        <w:t xml:space="preserve">Figure </w:t>
      </w:r>
      <w:r w:rsidR="003255C0">
        <w:rPr>
          <w:b/>
          <w:bCs/>
          <w:noProof/>
        </w:rPr>
        <w:t>18</w:t>
      </w:r>
      <w:r w:rsidR="00F8072E">
        <w:rPr>
          <w:iCs/>
        </w:rPr>
        <w:fldChar w:fldCharType="end"/>
      </w:r>
      <w:r w:rsidRPr="00967BAD">
        <w:rPr>
          <w:b/>
          <w:bCs/>
          <w:iCs/>
        </w:rPr>
        <w:t>f</w:t>
      </w:r>
      <w:r w:rsidRPr="0013432D">
        <w:rPr>
          <w:iCs/>
        </w:rPr>
        <w:t xml:space="preserve">. This result suggests modifying the electronic structure at the active site through ligand effects can have a pronounced influence on the computed </w:t>
      </w:r>
      <w:r w:rsidRPr="0013432D">
        <w:rPr>
          <w:i/>
        </w:rPr>
        <w:sym w:font="Symbol" w:char="F068"/>
      </w:r>
      <w:r w:rsidRPr="0013432D">
        <w:rPr>
          <w:iCs/>
          <w:vertAlign w:val="subscript"/>
        </w:rPr>
        <w:t>CHE</w:t>
      </w:r>
      <w:r w:rsidRPr="0013432D">
        <w:rPr>
          <w:iCs/>
        </w:rPr>
        <w:t>. Following this report, this type of behavior has been predicted for a range of OER catalysts, including RuO</w:t>
      </w:r>
      <w:r w:rsidRPr="0013432D">
        <w:rPr>
          <w:iCs/>
          <w:vertAlign w:val="subscript"/>
        </w:rPr>
        <w:t>2</w:t>
      </w:r>
      <w:r w:rsidRPr="0013432D">
        <w:rPr>
          <w:iCs/>
        </w:rPr>
        <w:t xml:space="preserve"> </w:t>
      </w:r>
      <w:r w:rsidRPr="0013432D">
        <w:fldChar w:fldCharType="begin"/>
      </w:r>
      <w:r w:rsidR="00FC5BEB">
        <w:instrText xml:space="preserve"> ADDIN EN.CITE &lt;EndNote&gt;&lt;Cite&gt;&lt;Author&gt;Exner&lt;/Author&gt;&lt;Year&gt;2015&lt;/Year&gt;&lt;RecNum&gt;251&lt;/RecNum&gt;&lt;DisplayText&gt;&lt;style face="superscript"&gt;253&lt;/style&gt;&lt;/DisplayText&gt;&lt;record&gt;&lt;rec-number&gt;251&lt;/rec-number&gt;&lt;foreign-keys&gt;&lt;key app="EN" db-id="2xex0erf4eexr4e2dpbxpdd829xttesxxxdr" timestamp="1715075296"&gt;251&lt;/key&gt;&lt;/foreign-keys&gt;&lt;ref-type name="Journal Article"&gt;17&lt;/ref-type&gt;&lt;contributors&gt;&lt;authors&gt;&lt;author&gt;Exner, Kai S.&lt;/author&gt;&lt;author&gt;Anton, Josef&lt;/author&gt;&lt;author&gt;Jacob, Timo&lt;/author&gt;&lt;author&gt;Over, Herbert&lt;/author&gt;&lt;/authors&gt;&lt;/contributors&gt;&lt;titles&gt;&lt;title&gt;Ligand Effects and Their Impact on Electrocatalytic Processes Exemplified with the Oxygen Evolution Reaction (OER) on RuO2(110)&lt;/title&gt;&lt;secondary-title&gt;ChemElectroChem&lt;/secondary-title&gt;&lt;/titles&gt;&lt;pages&gt;707-713&lt;/pages&gt;&lt;volume&gt;2&lt;/volume&gt;&lt;number&gt;5&lt;/number&gt;&lt;dates&gt;&lt;year&gt;2015&lt;/year&gt;&lt;/dates&gt;&lt;isbn&gt;2196-0216&lt;/isbn&gt;&lt;urls&gt;&lt;related-urls&gt;&lt;url&gt;https://chemistry-europe.onlinelibrary.wiley.com/doi/abs/10.1002/celc.201402430&lt;/url&gt;&lt;/related-urls&gt;&lt;/urls&gt;&lt;electronic-resource-num&gt;https://doi.org/10.1002/celc.201402430&lt;/electronic-resource-num&gt;&lt;/record&gt;&lt;/Cite&gt;&lt;/EndNote&gt;</w:instrText>
      </w:r>
      <w:r w:rsidRPr="0013432D">
        <w:fldChar w:fldCharType="separate"/>
      </w:r>
      <w:r w:rsidR="00FC5BEB" w:rsidRPr="00FC5BEB">
        <w:rPr>
          <w:noProof/>
          <w:vertAlign w:val="superscript"/>
        </w:rPr>
        <w:t>253</w:t>
      </w:r>
      <w:r w:rsidRPr="0013432D">
        <w:fldChar w:fldCharType="end"/>
      </w:r>
      <w:r w:rsidRPr="0013432D">
        <w:t xml:space="preserve"> and </w:t>
      </w:r>
      <w:proofErr w:type="spellStart"/>
      <w:r w:rsidRPr="0013432D">
        <w:t>Ir</w:t>
      </w:r>
      <w:proofErr w:type="spellEnd"/>
      <w:r w:rsidRPr="0013432D">
        <w:t>-based materials</w:t>
      </w:r>
      <w:r w:rsidRPr="0013432D">
        <w:fldChar w:fldCharType="begin"/>
      </w:r>
      <w:r w:rsidR="00FC5BEB">
        <w:instrText xml:space="preserve"> ADDIN EN.CITE &lt;EndNote&gt;&lt;Cite&gt;&lt;Author&gt;Feng&lt;/Author&gt;&lt;Year&gt;2017&lt;/Year&gt;&lt;RecNum&gt;252&lt;/RecNum&gt;&lt;DisplayText&gt;&lt;style face="superscript"&gt;254&lt;/style&gt;&lt;/DisplayText&gt;&lt;record&gt;&lt;rec-number&gt;252&lt;/rec-number&gt;&lt;foreign-keys&gt;&lt;key app="EN" db-id="2xex0erf4eexr4e2dpbxpdd829xttesxxxdr" timestamp="1715075296"&gt;252&lt;/key&gt;&lt;/foreign-keys&gt;&lt;ref-type name="Journal Article"&gt;17&lt;/ref-type&gt;&lt;contributors&gt;&lt;authors&gt;&lt;author&gt;Feng, Jianrui&lt;/author&gt;&lt;author&gt;Lv, Fan&lt;/author&gt;&lt;author&gt;Zhang, Weiyu&lt;/author&gt;&lt;author&gt;Li, Peihao&lt;/author&gt;&lt;author&gt;Wang, Kai&lt;/author&gt;&lt;author&gt;Yang, Chao&lt;/author&gt;&lt;author&gt;Wang, Bin&lt;/author&gt;&lt;author&gt;Yang, Yong&lt;/author&gt;&lt;author&gt;Zhou, Jinhui&lt;/author&gt;&lt;author&gt;Lin, Fei&lt;/author&gt;&lt;author&gt;Wang, Gui-Chang&lt;/author&gt;&lt;author&gt;Guo, Shaojun&lt;/author&gt;&lt;/authors&gt;&lt;/contributors&gt;&lt;titles&gt;&lt;title&gt;Iridium-Based Multimetallic Porous Hollow Nanocrystals for Efficient Overall-Water-Splitting Catalysis&lt;/title&gt;&lt;secondary-title&gt;Advanced Materials&lt;/secondary-title&gt;&lt;/titles&gt;&lt;periodical&gt;&lt;full-title&gt;Advanced Materials&lt;/full-title&gt;&lt;abbr-1&gt;Adv. Mater.&lt;/abbr-1&gt;&lt;abbr-2&gt;Adv Mater&lt;/abbr-2&gt;&lt;/periodical&gt;&lt;pages&gt;1703798&lt;/pages&gt;&lt;volume&gt;29&lt;/volume&gt;&lt;number&gt;47&lt;/number&gt;&lt;dates&gt;&lt;year&gt;2017&lt;/year&gt;&lt;/dates&gt;&lt;isbn&gt;0935-9648&lt;/isbn&gt;&lt;urls&gt;&lt;related-urls&gt;&lt;url&gt;https://onlinelibrary.wiley.com/doi/abs/10.1002/adma.201703798&lt;/url&gt;&lt;/related-urls&gt;&lt;/urls&gt;&lt;electronic-resource-num&gt;https://doi.org/10.1002/adma.201703798&lt;/electronic-resource-num&gt;&lt;/record&gt;&lt;/Cite&gt;&lt;/EndNote&gt;</w:instrText>
      </w:r>
      <w:r w:rsidRPr="0013432D">
        <w:fldChar w:fldCharType="separate"/>
      </w:r>
      <w:r w:rsidR="00FC5BEB" w:rsidRPr="00FC5BEB">
        <w:rPr>
          <w:noProof/>
          <w:vertAlign w:val="superscript"/>
        </w:rPr>
        <w:t>254</w:t>
      </w:r>
      <w:r w:rsidRPr="0013432D">
        <w:fldChar w:fldCharType="end"/>
      </w:r>
      <w:r w:rsidRPr="0013432D">
        <w:t>, as well as single atom catalysts</w:t>
      </w:r>
      <w:r w:rsidRPr="0013432D">
        <w:fldChar w:fldCharType="begin"/>
      </w:r>
      <w:r w:rsidR="00FC5BEB">
        <w:instrText xml:space="preserve"> ADDIN EN.CITE &lt;EndNote&gt;&lt;Cite&gt;&lt;Author&gt;Liu&lt;/Author&gt;&lt;Year&gt;2022&lt;/Year&gt;&lt;RecNum&gt;253&lt;/RecNum&gt;&lt;DisplayText&gt;&lt;style face="superscript"&gt;255&lt;/style&gt;&lt;/DisplayText&gt;&lt;record&gt;&lt;rec-number&gt;253&lt;/rec-number&gt;&lt;foreign-keys&gt;&lt;key app="EN" db-id="2xex0erf4eexr4e2dpbxpdd829xttesxxxdr" timestamp="1715075296"&gt;253&lt;/key&gt;&lt;/foreign-keys&gt;&lt;ref-type name="Journal Article"&gt;17&lt;/ref-type&gt;&lt;contributors&gt;&lt;authors&gt;&lt;author&gt;Liu, Jinlong&lt;/author&gt;&lt;author&gt;Xiao, Juanxiu&lt;/author&gt;&lt;author&gt;Luo, Bingcheng&lt;/author&gt;&lt;author&gt;Tian, Enke&lt;/author&gt;&lt;author&gt;Waterhouse, Geoffrey I. N.&lt;/author&gt;&lt;/authors&gt;&lt;/contributors&gt;&lt;titles&gt;&lt;title&gt;Central metal and ligand effects on oxygen electrocatalysis over 3d transition metal single-atom catalysts: A theoretical investigation&lt;/title&gt;&lt;secondary-title&gt;Chemical Engineering Journal&lt;/secondary-title&gt;&lt;/titles&gt;&lt;periodical&gt;&lt;full-title&gt;Chemical Engineering Journal&lt;/full-title&gt;&lt;abbr-1&gt;Chem. Eng. J.&lt;/abbr-1&gt;&lt;abbr-2&gt;Chem Eng J&lt;/abbr-2&gt;&lt;/periodical&gt;&lt;pages&gt;132038&lt;/pages&gt;&lt;volume&gt;427&lt;/volume&gt;&lt;keywords&gt;&lt;keyword&gt;Single-atom catalyst&lt;/keyword&gt;&lt;keyword&gt;Ligand effect&lt;/keyword&gt;&lt;keyword&gt;Oxygen reduction reaction&lt;/keyword&gt;&lt;keyword&gt;Oxygen evolution reaction&lt;/keyword&gt;&lt;keyword&gt;Density functional theory&lt;/keyword&gt;&lt;/keywords&gt;&lt;dates&gt;&lt;year&gt;2022&lt;/year&gt;&lt;pub-dates&gt;&lt;date&gt;2022/01/01/&lt;/date&gt;&lt;/pub-dates&gt;&lt;/dates&gt;&lt;isbn&gt;1385-8947&lt;/isbn&gt;&lt;urls&gt;&lt;related-urls&gt;&lt;url&gt;https://www.sciencedirect.com/science/article/pii/S1385894721036172&lt;/url&gt;&lt;/related-urls&gt;&lt;/urls&gt;&lt;electronic-resource-num&gt;https://doi.org/10.1016/j.cej.2021.132038&lt;/electronic-resource-num&gt;&lt;/record&gt;&lt;/Cite&gt;&lt;/EndNote&gt;</w:instrText>
      </w:r>
      <w:r w:rsidRPr="0013432D">
        <w:fldChar w:fldCharType="separate"/>
      </w:r>
      <w:r w:rsidR="00FC5BEB" w:rsidRPr="00FC5BEB">
        <w:rPr>
          <w:noProof/>
          <w:vertAlign w:val="superscript"/>
        </w:rPr>
        <w:t>255</w:t>
      </w:r>
      <w:r w:rsidRPr="0013432D">
        <w:fldChar w:fldCharType="end"/>
      </w:r>
      <w:r w:rsidRPr="0013432D">
        <w:t>, Co/Fe oxyhydroxides</w:t>
      </w:r>
      <w:r w:rsidRPr="0013432D">
        <w:fldChar w:fldCharType="begin"/>
      </w:r>
      <w:r w:rsidR="00FC5BEB">
        <w:instrText xml:space="preserve"> ADDIN EN.CITE &lt;EndNote&gt;&lt;Cite&gt;&lt;Author&gt;Huang&lt;/Author&gt;&lt;Year&gt;2022&lt;/Year&gt;&lt;RecNum&gt;254&lt;/RecNum&gt;&lt;DisplayText&gt;&lt;style face="superscript"&gt;256&lt;/style&gt;&lt;/DisplayText&gt;&lt;record&gt;&lt;rec-number&gt;254&lt;/rec-number&gt;&lt;foreign-keys&gt;&lt;key app="EN" db-id="2xex0erf4eexr4e2dpbxpdd829xttesxxxdr" timestamp="1715075296"&gt;254&lt;/key&gt;&lt;/foreign-keys&gt;&lt;ref-type name="Journal Article"&gt;17&lt;/ref-type&gt;&lt;contributors&gt;&lt;authors&gt;&lt;author&gt;Huang, Wenzhong&lt;/author&gt;&lt;author&gt;Li, Jiantao&lt;/author&gt;&lt;author&gt;Liao, Xiaobin&lt;/author&gt;&lt;author&gt;Lu, Ruihu&lt;/author&gt;&lt;author&gt;Ling, Chaohong&lt;/author&gt;&lt;author&gt;Liu, Xiong&lt;/author&gt;&lt;author&gt;Meng, Jiashen&lt;/author&gt;&lt;author&gt;Qu, Longbing&lt;/author&gt;&lt;author&gt;Lin, Mengting&lt;/author&gt;&lt;author&gt;Hong, Xufeng&lt;/author&gt;&lt;author&gt;Zhou, Xunbiao&lt;/author&gt;&lt;author&gt;Liu, Shanlin&lt;/author&gt;&lt;author&gt;Zhao, Yan&lt;/author&gt;&lt;author&gt;Zhou, Liang&lt;/author&gt;&lt;author&gt;Mai, Liqiang&lt;/author&gt;&lt;/authors&gt;&lt;/contributors&gt;&lt;titles&gt;&lt;title&gt;Ligand Modulation of Active Sites to Promote Electrocatalytic Oxygen Evolution&lt;/title&gt;&lt;secondary-title&gt;Advanced Materials&lt;/secondary-title&gt;&lt;/titles&gt;&lt;periodical&gt;&lt;full-title&gt;Advanced Materials&lt;/full-title&gt;&lt;abbr-1&gt;Adv. Mater.&lt;/abbr-1&gt;&lt;abbr-2&gt;Adv Mater&lt;/abbr-2&gt;&lt;/periodical&gt;&lt;pages&gt;2200270&lt;/pages&gt;&lt;volume&gt;34&lt;/volume&gt;&lt;number&gt;18&lt;/number&gt;&lt;dates&gt;&lt;year&gt;2022&lt;/year&gt;&lt;/dates&gt;&lt;isbn&gt;0935-9648&lt;/isbn&gt;&lt;urls&gt;&lt;related-urls&gt;&lt;url&gt;https://onlinelibrary.wiley.com/doi/abs/10.1002/adma.202200270&lt;/url&gt;&lt;/related-urls&gt;&lt;/urls&gt;&lt;electronic-resource-num&gt;https://doi.org/10.1002/adma.202200270&lt;/electronic-resource-num&gt;&lt;/record&gt;&lt;/Cite&gt;&lt;/EndNote&gt;</w:instrText>
      </w:r>
      <w:r w:rsidRPr="0013432D">
        <w:fldChar w:fldCharType="separate"/>
      </w:r>
      <w:r w:rsidR="00FC5BEB" w:rsidRPr="00FC5BEB">
        <w:rPr>
          <w:noProof/>
          <w:vertAlign w:val="superscript"/>
        </w:rPr>
        <w:t>256</w:t>
      </w:r>
      <w:r w:rsidRPr="0013432D">
        <w:fldChar w:fldCharType="end"/>
      </w:r>
      <w:r w:rsidRPr="0013432D">
        <w:t xml:space="preserve">, and such effects have even aided in the design of W doped oxyhydroxide and the development of </w:t>
      </w:r>
      <w:proofErr w:type="spellStart"/>
      <w:r w:rsidRPr="0013432D">
        <w:t>FeCoW</w:t>
      </w:r>
      <w:proofErr w:type="spellEnd"/>
      <w:r w:rsidRPr="0013432D">
        <w:t xml:space="preserve"> oxyhydroxide OER catalysts</w:t>
      </w:r>
      <w:r w:rsidRPr="0013432D">
        <w:fldChar w:fldCharType="begin"/>
      </w:r>
      <w:r w:rsidR="00FC5BEB">
        <w:instrText xml:space="preserve"> ADDIN EN.CITE &lt;EndNote&gt;&lt;Cite&gt;&lt;Author&gt;Zhang&lt;/Author&gt;&lt;Year&gt;2016&lt;/Year&gt;&lt;RecNum&gt;255&lt;/RecNum&gt;&lt;DisplayText&gt;&lt;style face="superscript"&gt;257&lt;/style&gt;&lt;/DisplayText&gt;&lt;record&gt;&lt;rec-number&gt;255&lt;/rec-number&gt;&lt;foreign-keys&gt;&lt;key app="EN" db-id="2xex0erf4eexr4e2dpbxpdd829xttesxxxdr" timestamp="1715075296"&gt;255&lt;/key&gt;&lt;/foreign-keys&gt;&lt;ref-type name="Journal Article"&gt;17&lt;/ref-type&gt;&lt;contributors&gt;&lt;authors&gt;&lt;author&gt;Zhang, Bo&lt;/author&gt;&lt;author&gt;Zheng, Xueli&lt;/author&gt;&lt;author&gt;Voznyy, Oleksandr&lt;/author&gt;&lt;author&gt;Comin, Riccardo&lt;/author&gt;&lt;author&gt;Bajdich, Michal&lt;/author&gt;&lt;author&gt;García-Melchor, Max&lt;/author&gt;&lt;author&gt;Han, Lili&lt;/author&gt;&lt;author&gt;Xu, Jixian&lt;/author&gt;&lt;author&gt;Liu, Min&lt;/author&gt;&lt;author&gt;Zheng, Lirong&lt;/author&gt;&lt;author&gt;García de Arquer, F. Pelayo&lt;/author&gt;&lt;author&gt;Dinh, Cao Thang&lt;/author&gt;&lt;author&gt;Fan, Fengjia&lt;/author&gt;&lt;author&gt;Yuan, Mingjian&lt;/author&gt;&lt;author&gt;Yassitepe, Emre&lt;/author&gt;&lt;author&gt;Chen, Ning&lt;/author&gt;&lt;author&gt;Regier, Tom&lt;/author&gt;&lt;author&gt;Liu, Pengfei&lt;/author&gt;&lt;author&gt;Li, Yuhang&lt;/author&gt;&lt;author&gt;De Luna, Phil&lt;/author&gt;&lt;author&gt;Janmohamed, Alyf&lt;/author&gt;&lt;author&gt;Xin, Huolin L.&lt;/author&gt;&lt;author&gt;Yang, Huagui&lt;/author&gt;&lt;author&gt;Vojvodic, Aleksandra&lt;/author&gt;&lt;author&gt;Sargent, Edward H.&lt;/author&gt;&lt;/authors&gt;&lt;/contributors&gt;&lt;titles&gt;&lt;title&gt;Homogeneously dispersed multimetal oxygen-evolving catalysts&lt;/title&gt;&lt;secondary-title&gt;Science&lt;/secondary-title&gt;&lt;/titles&gt;&lt;periodical&gt;&lt;full-title&gt;Science&lt;/full-title&gt;&lt;abbr-1&gt;Science&lt;/abbr-1&gt;&lt;abbr-2&gt;Science&lt;/abbr-2&gt;&lt;/periodical&gt;&lt;pages&gt;333-337&lt;/pages&gt;&lt;volume&gt;352&lt;/volume&gt;&lt;number&gt;6283&lt;/number&gt;&lt;dates&gt;&lt;year&gt;2016&lt;/year&gt;&lt;/dates&gt;&lt;urls&gt;&lt;related-urls&gt;&lt;url&gt;https://www.science.org/doi/abs/10.1126/science.aaf1525&lt;/url&gt;&lt;/related-urls&gt;&lt;/urls&gt;&lt;electronic-resource-num&gt;doi:10.1126/science.aaf1525&lt;/electronic-resource-num&gt;&lt;/record&gt;&lt;/Cite&gt;&lt;/EndNote&gt;</w:instrText>
      </w:r>
      <w:r w:rsidRPr="0013432D">
        <w:fldChar w:fldCharType="separate"/>
      </w:r>
      <w:r w:rsidR="00FC5BEB" w:rsidRPr="00FC5BEB">
        <w:rPr>
          <w:noProof/>
          <w:vertAlign w:val="superscript"/>
        </w:rPr>
        <w:t>257</w:t>
      </w:r>
      <w:r w:rsidRPr="0013432D">
        <w:fldChar w:fldCharType="end"/>
      </w:r>
      <w:r w:rsidRPr="0013432D">
        <w:t>.</w:t>
      </w:r>
      <w:r w:rsidR="00DB5848" w:rsidRPr="00DB5848">
        <w:t xml:space="preserve"> </w:t>
      </w:r>
    </w:p>
    <w:p w14:paraId="1AF5ADF8" w14:textId="77777777" w:rsidR="00DB5848" w:rsidRDefault="00DB5848" w:rsidP="007C5D34">
      <w:pPr>
        <w:ind w:firstLine="720"/>
      </w:pPr>
    </w:p>
    <w:p w14:paraId="441AA368" w14:textId="42D5B10A" w:rsidR="0013432D" w:rsidRPr="0013432D" w:rsidRDefault="00DB5848" w:rsidP="007C5D34">
      <w:pPr>
        <w:ind w:firstLine="720"/>
      </w:pPr>
      <w:r w:rsidRPr="0013432D">
        <w:t xml:space="preserve">Different effects of ligand atoms have also been found. Rather than alter the energetics of an active site, ligand atoms may also participate directly in the OER. In these cases, the linear scaling relationships established up to this point fail. Take for example Ref. </w:t>
      </w:r>
      <w:r w:rsidRPr="0013432D">
        <w:fldChar w:fldCharType="begin"/>
      </w:r>
      <w:r>
        <w:instrText xml:space="preserve"> ADDIN EN.CITE &lt;EndNote&gt;&lt;Cite&gt;&lt;Author&gt;Halck&lt;/Author&gt;&lt;Year&gt;2014&lt;/Year&gt;&lt;RecNum&gt;238&lt;/RecNum&gt;&lt;DisplayText&gt;&lt;style face="superscript"&gt;240&lt;/style&gt;&lt;/DisplayText&gt;&lt;record&gt;&lt;rec-number&gt;238&lt;/rec-number&gt;&lt;foreign-keys&gt;&lt;key app="EN" db-id="2xex0erf4eexr4e2dpbxpdd829xttesxxxdr" timestamp="1715075296"&gt;238&lt;/key&gt;&lt;/foreign-keys&gt;&lt;ref-type name="Journal Article"&gt;17&lt;/ref-type&gt;&lt;contributors&gt;&lt;authors&gt;&lt;author&gt;Halck, Niels Bendtsen&lt;/author&gt;&lt;author&gt;Petrykin, Valery&lt;/author&gt;&lt;author&gt;Krtil, Petr&lt;/author&gt;&lt;author&gt;Rossmeisl, Jan&lt;/author&gt;&lt;/authors&gt;&lt;/contributors&gt;&lt;titles&gt;&lt;title&gt;Beyond the volcano limitations in electrocatalysis – oxygen evolution reaction&lt;/title&gt;&lt;secondary-title&gt;Physical Chemistry Chemical Physics&lt;/secondary-title&gt;&lt;/titles&gt;&lt;periodical&gt;&lt;full-title&gt;Physical Chemistry Chemical Physics&lt;/full-title&gt;&lt;abbr-1&gt;Phys. Chem. Chem. Phys.&lt;/abbr-1&gt;&lt;abbr-2&gt;Phys Chem Chem Phys&lt;/abbr-2&gt;&lt;/periodical&gt;&lt;pages&gt;13682-13688&lt;/pages&gt;&lt;volume&gt;16&lt;/volume&gt;&lt;number&gt;27&lt;/number&gt;&lt;dates&gt;&lt;year&gt;2014&lt;/year&gt;&lt;/dates&gt;&lt;publisher&gt;The Royal Society of Chemistry&lt;/publisher&gt;&lt;isbn&gt;1463-9076&lt;/isbn&gt;&lt;work-type&gt;10.1039/C4CP00571F&lt;/work-type&gt;&lt;urls&gt;&lt;related-urls&gt;&lt;url&gt;http://dx.doi.org/10.1039/C4CP00571F&lt;/url&gt;&lt;/related-urls&gt;&lt;/urls&gt;&lt;electronic-resource-num&gt;10.1039/C4CP00571F&lt;/electronic-resource-num&gt;&lt;/record&gt;&lt;/Cite&gt;&lt;/EndNote&gt;</w:instrText>
      </w:r>
      <w:r w:rsidRPr="0013432D">
        <w:fldChar w:fldCharType="separate"/>
      </w:r>
      <w:r w:rsidRPr="00FC5BEB">
        <w:rPr>
          <w:noProof/>
          <w:vertAlign w:val="superscript"/>
        </w:rPr>
        <w:t>240</w:t>
      </w:r>
      <w:r w:rsidRPr="0013432D">
        <w:fldChar w:fldCharType="end"/>
      </w:r>
      <w:r w:rsidRPr="0013432D">
        <w:t>, where the OER performance of Co and Ni doped RuO</w:t>
      </w:r>
      <w:r w:rsidRPr="0013432D">
        <w:rPr>
          <w:vertAlign w:val="subscript"/>
        </w:rPr>
        <w:t>2</w:t>
      </w:r>
      <w:r w:rsidRPr="0013432D">
        <w:t xml:space="preserve"> were studied within the CHE model. Doping rutile-type RuO</w:t>
      </w:r>
      <w:r w:rsidRPr="0013432D">
        <w:rPr>
          <w:vertAlign w:val="subscript"/>
        </w:rPr>
        <w:t>2</w:t>
      </w:r>
      <w:r w:rsidRPr="0013432D">
        <w:t xml:space="preserve"> with 3d transition metals is known to result in single phase rutile-type materials for dopant concentrations below 30%</w:t>
      </w:r>
      <w:r w:rsidRPr="0013432D">
        <w:fldChar w:fldCharType="begin">
          <w:fldData xml:space="preserve">PEVuZE5vdGU+PENpdGU+PEF1dGhvcj5QZXRyeWtpbjwvQXV0aG9yPjxZZWFyPjIwMTM8L1llYXI+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</w:fldData>
        </w:fldChar>
      </w:r>
      <w:r>
        <w:instrText xml:space="preserve"> ADDIN EN.CITE </w:instrText>
      </w:r>
      <w:r>
        <w:fldChar w:fldCharType="begin">
          <w:fldData xml:space="preserve">PEVuZE5vdGU+PENpdGU+PEF1dGhvcj5QZXRyeWtpbjwvQXV0aG9yPjxZZWFyPjIwMTM8L1llYXI+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</w:fldData>
        </w:fldChar>
      </w:r>
      <w:r>
        <w:instrText xml:space="preserve"> ADDIN EN.CITE.DATA </w:instrText>
      </w:r>
      <w:r>
        <w:fldChar w:fldCharType="end"/>
      </w:r>
      <w:r w:rsidRPr="0013432D">
        <w:fldChar w:fldCharType="separate"/>
      </w:r>
      <w:r w:rsidRPr="00FC5BEB">
        <w:rPr>
          <w:noProof/>
          <w:vertAlign w:val="superscript"/>
        </w:rPr>
        <w:t>258, 259</w:t>
      </w:r>
      <w:r w:rsidRPr="0013432D">
        <w:fldChar w:fldCharType="end"/>
      </w:r>
      <w:r w:rsidRPr="0013432D">
        <w:t>. In these materials the 3d dopants substitute for Ru(IV) as di- and tri-valent ions; the charge balance is maintained through oxygen vacancy formation</w:t>
      </w:r>
      <w:r w:rsidRPr="0013432D">
        <w:fldChar w:fldCharType="begin">
          <w:fldData xml:space="preserve">PEVuZE5vdGU+PENpdGU+PEF1dGhvcj5NYWthcm92YTwvQXV0aG9yPjxZZWFyPjIwMDg8L1llYXI+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==
</w:fldData>
        </w:fldChar>
      </w:r>
      <w:r>
        <w:instrText xml:space="preserve"> ADDIN EN.CITE </w:instrText>
      </w:r>
      <w:r>
        <w:fldChar w:fldCharType="begin">
          <w:fldData xml:space="preserve">PEVuZE5vdGU+PENpdGU+PEF1dGhvcj5NYWthcm92YTwvQXV0aG9yPjxZZWFyPjIwMDg8L1llYXI+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==
</w:fldData>
        </w:fldChar>
      </w:r>
      <w:r>
        <w:instrText xml:space="preserve"> ADDIN EN.CITE.DATA </w:instrText>
      </w:r>
      <w:r>
        <w:fldChar w:fldCharType="end"/>
      </w:r>
      <w:r w:rsidRPr="0013432D">
        <w:fldChar w:fldCharType="separate"/>
      </w:r>
      <w:r w:rsidRPr="00FC5BEB">
        <w:rPr>
          <w:noProof/>
          <w:vertAlign w:val="superscript"/>
        </w:rPr>
        <w:t>259, 260</w:t>
      </w:r>
      <w:r w:rsidRPr="0013432D">
        <w:fldChar w:fldCharType="end"/>
      </w:r>
      <w:r w:rsidRPr="0013432D">
        <w:t xml:space="preserve"> and a change in ruthenium oxidation state</w:t>
      </w:r>
      <w:r w:rsidRPr="0013432D">
        <w:fldChar w:fldCharType="begin"/>
      </w:r>
      <w:r>
        <w:instrText xml:space="preserve"> ADDIN EN.CITE &lt;EndNote&gt;&lt;Cite&gt;&lt;Author&gt;Makarova&lt;/Author&gt;&lt;Year&gt;2008&lt;/Year&gt;&lt;RecNum&gt;258&lt;/RecNum&gt;&lt;DisplayText&gt;&lt;style face="superscript"&gt;260&lt;/style&gt;&lt;/DisplayText&gt;&lt;record&gt;&lt;rec-number&gt;258&lt;/rec-number&gt;&lt;foreign-keys&gt;&lt;key app="EN" db-id="2xex0erf4eexr4e2dpbxpdd829xttesxxxdr" timestamp="1715075296"&gt;258&lt;/key&gt;&lt;/foreign-keys&gt;&lt;ref-type name="Journal Article"&gt;17&lt;/ref-type&gt;&lt;contributors&gt;&lt;authors&gt;&lt;author&gt;Makarova, Marina V.&lt;/author&gt;&lt;author&gt;Jirkovský, Jakub&lt;/author&gt;&lt;author&gt;Klementová, Mariana&lt;/author&gt;&lt;author&gt;Jirka, Ivan&lt;/author&gt;&lt;author&gt;Macounová, Kateřina&lt;/author&gt;&lt;author&gt;Krtil, Petr&lt;/author&gt;&lt;/authors&gt;&lt;/contributors&gt;&lt;titles&gt;&lt;title&gt;The electrocatalytic behavior of Ru0.8Co0.2O2-x — the effect of particle shape and surface composition&lt;/title&gt;&lt;secondary-title&gt;Electrochimica Acta&lt;/secondary-title&gt;&lt;/titles&gt;&lt;periodical&gt;&lt;full-title&gt;Electrochimica Acta&lt;/full-title&gt;&lt;abbr-1&gt;Electrochim. Acta&lt;/abbr-1&gt;&lt;abbr-2&gt;Electrochim Acta&lt;/abbr-2&gt;&lt;/periodical&gt;&lt;pages&gt;2656-2664&lt;/pages&gt;&lt;volume&gt;53&lt;/volume&gt;&lt;number&gt;5&lt;/number&gt;&lt;keywords&gt;&lt;keyword&gt;OER&lt;/keyword&gt;&lt;keyword&gt;CER&lt;/keyword&gt;&lt;keyword&gt;Particle size effect&lt;/keyword&gt;&lt;keyword&gt;RuO2&lt;/keyword&gt;&lt;keyword&gt;DEMS&lt;/keyword&gt;&lt;/keywords&gt;&lt;dates&gt;&lt;year&gt;2008&lt;/year&gt;&lt;pub-dates&gt;&lt;date&gt;2008/01/01/&lt;/date&gt;&lt;/pub-dates&gt;&lt;/dates&gt;&lt;isbn&gt;0013-4686&lt;/isbn&gt;&lt;urls&gt;&lt;related-urls&gt;&lt;url&gt;https://www.sciencedirect.com/science/article/pii/S0013468607001958&lt;/url&gt;&lt;/related-urls&gt;&lt;/urls&gt;&lt;electronic-resource-num&gt;https://doi.org/10.1016/j.electacta.2007.01.084&lt;/electronic-resource-num&gt;&lt;/record&gt;&lt;/Cite&gt;&lt;/EndNote&gt;</w:instrText>
      </w:r>
      <w:r w:rsidRPr="0013432D">
        <w:fldChar w:fldCharType="separate"/>
      </w:r>
      <w:r w:rsidRPr="00FC5BEB">
        <w:rPr>
          <w:noProof/>
          <w:vertAlign w:val="superscript"/>
        </w:rPr>
        <w:t>260</w:t>
      </w:r>
      <w:r w:rsidRPr="0013432D">
        <w:fldChar w:fldCharType="end"/>
      </w:r>
      <w:r w:rsidRPr="0013432D">
        <w:t xml:space="preserve">. Such doped </w:t>
      </w:r>
      <w:proofErr w:type="spellStart"/>
      <w:r w:rsidRPr="0013432D">
        <w:t>ruthenia</w:t>
      </w:r>
      <w:proofErr w:type="spellEnd"/>
      <w:r w:rsidRPr="0013432D">
        <w:t xml:space="preserve"> catalysts are known to show enhanced OER performance experimentally, but the origins of the enhanced catalytic activity of the doped materials was debated</w:t>
      </w:r>
      <w:r w:rsidRPr="0013432D">
        <w:fldChar w:fldCharType="begin"/>
      </w:r>
      <w:r>
        <w:instrText xml:space="preserve"> ADDIN EN.CITE &lt;EndNote&gt;&lt;Cite&gt;&lt;Author&gt;Jirkovský&lt;/Author&gt;&lt;Year&gt;2006&lt;/Year&gt;&lt;RecNum&gt;259&lt;/RecNum&gt;&lt;DisplayText&gt;&lt;style face="superscript"&gt;261&lt;/style&gt;&lt;/DisplayText&gt;&lt;record&gt;&lt;rec-number&gt;259&lt;/rec-number&gt;&lt;foreign-keys&gt;&lt;key app="EN" db-id="2xex0erf4eexr4e2dpbxpdd829xttesxxxdr" timestamp="1715075296"&gt;259&lt;/key&gt;&lt;/foreign-keys&gt;&lt;ref-type name="Journal Article"&gt;17&lt;/ref-type&gt;&lt;contributors&gt;&lt;authors&gt;&lt;author&gt;Jirkovský, Jakub&lt;/author&gt;&lt;author&gt;Makarova, Marina&lt;/author&gt;&lt;author&gt;Krtil, Petr&lt;/author&gt;&lt;/authors&gt;&lt;/contributors&gt;&lt;titles&gt;&lt;title&gt;Particle size dependence of oxygen evolution reaction on nanocrystalline RuO2 and Ru0.8Co0.2O2-x&lt;/title&gt;&lt;secondary-title&gt;Electrochemistry Communications&lt;/secondary-title&gt;&lt;/titles&gt;&lt;periodical&gt;&lt;full-title&gt;Electrochemistry Communications&lt;/full-title&gt;&lt;abbr-1&gt;Electrochem. Commun.&lt;/abbr-1&gt;&lt;abbr-2&gt;Electrochem Commun&lt;/abbr-2&gt;&lt;/periodical&gt;&lt;pages&gt;1417-1422&lt;/pages&gt;&lt;volume&gt;8&lt;/volume&gt;&lt;number&gt;9&lt;/number&gt;&lt;keywords&gt;&lt;keyword&gt;Ruthenium dioxide&lt;/keyword&gt;&lt;keyword&gt;Electrocatalysis&lt;/keyword&gt;&lt;keyword&gt;Size dependence&lt;/keyword&gt;&lt;keyword&gt;DEMS&lt;/keyword&gt;&lt;/keywords&gt;&lt;dates&gt;&lt;year&gt;2006&lt;/year&gt;&lt;pub-dates&gt;&lt;date&gt;2006/09/01/&lt;/date&gt;&lt;/pub-dates&gt;&lt;/dates&gt;&lt;isbn&gt;1388-2481&lt;/isbn&gt;&lt;urls&gt;&lt;related-urls&gt;&lt;url&gt;https://www.sciencedirect.com/science/article/pii/S1388248106002621&lt;/url&gt;&lt;/related-urls&gt;&lt;/urls&gt;&lt;electronic-resource-num&gt;https://doi.org/10.1016/j.elecom.2006.06.027&lt;/electronic-resource-num&gt;&lt;/record&gt;&lt;/Cite&gt;&lt;/EndNote&gt;</w:instrText>
      </w:r>
      <w:r w:rsidRPr="0013432D">
        <w:fldChar w:fldCharType="separate"/>
      </w:r>
      <w:r w:rsidRPr="00FC5BEB">
        <w:rPr>
          <w:noProof/>
          <w:vertAlign w:val="superscript"/>
        </w:rPr>
        <w:t>261</w:t>
      </w:r>
      <w:r w:rsidRPr="0013432D">
        <w:fldChar w:fldCharType="end"/>
      </w:r>
      <w:r>
        <w:t xml:space="preserve"> </w:t>
      </w:r>
      <w:r w:rsidRPr="0013432D">
        <w:fldChar w:fldCharType="begin">
          <w:fldData xml:space="preserve">PEVuZE5vdGU+PENpdGU+PEF1dGhvcj5NYWNvdW5vdsOhPC9BdXRob3I+PFllYXI+MjAwOTwvWWVh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</w:fldData>
        </w:fldChar>
      </w:r>
      <w:r>
        <w:instrText xml:space="preserve"> ADDIN EN.CITE </w:instrText>
      </w:r>
      <w:r>
        <w:fldChar w:fldCharType="begin">
          <w:fldData xml:space="preserve">PEVuZE5vdGU+PENpdGU+PEF1dGhvcj5NYWNvdW5vdsOhPC9BdXRob3I+PFllYXI+MjAwOTwvWWVh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</w:fldData>
        </w:fldChar>
      </w:r>
      <w:r>
        <w:instrText xml:space="preserve"> ADDIN EN.CITE.DATA </w:instrText>
      </w:r>
      <w:r>
        <w:fldChar w:fldCharType="end"/>
      </w:r>
      <w:r w:rsidRPr="0013432D">
        <w:fldChar w:fldCharType="separate"/>
      </w:r>
      <w:r w:rsidRPr="00FC5BEB">
        <w:rPr>
          <w:noProof/>
          <w:vertAlign w:val="superscript"/>
        </w:rPr>
        <w:t>249, 260, 262-264</w:t>
      </w:r>
      <w:r w:rsidRPr="0013432D">
        <w:fldChar w:fldCharType="end"/>
      </w:r>
      <w:r w:rsidRPr="0013432D">
        <w:t>. In general, the OER was thought to proceed by a mechanism involving the direct coupling of adsorbed oxygen</w:t>
      </w:r>
      <w:r w:rsidRPr="0013432D">
        <w:fldChar w:fldCharType="begin"/>
      </w:r>
      <w:r>
        <w:instrText xml:space="preserve"> ADDIN EN.CITE &lt;EndNote&gt;&lt;Cite&gt;&lt;Author&gt;Jirkovský&lt;/Author&gt;&lt;Year&gt;2006&lt;/Year&gt;&lt;RecNum&gt;259&lt;/RecNum&gt;&lt;DisplayText&gt;&lt;style face="superscript"&gt;261&lt;/style&gt;&lt;/DisplayText&gt;&lt;record&gt;&lt;rec-number&gt;259&lt;/rec-number&gt;&lt;foreign-keys&gt;&lt;key app="EN" db-id="2xex0erf4eexr4e2dpbxpdd829xttesxxxdr" timestamp="1715075296"&gt;259&lt;/key&gt;&lt;/foreign-keys&gt;&lt;ref-type name="Journal Article"&gt;17&lt;/ref-type&gt;&lt;contributors&gt;&lt;authors&gt;&lt;author&gt;Jirkovský, Jakub&lt;/author&gt;&lt;author&gt;Makarova, Marina&lt;/author&gt;&lt;author&gt;Krtil, Petr&lt;/author&gt;&lt;/authors&gt;&lt;/contributors&gt;&lt;titles&gt;&lt;title&gt;Particle size dependence of oxygen evolution reaction on nanocrystalline RuO2 and Ru0.8Co0.2O2-x&lt;/title&gt;&lt;secondary-title&gt;Electrochemistry Communications&lt;/secondary-title&gt;&lt;/titles&gt;&lt;periodical&gt;&lt;full-title&gt;Electrochemistry Communications&lt;/full-title&gt;&lt;abbr-1&gt;Electrochem. Commun.&lt;/abbr-1&gt;&lt;abbr-2&gt;Electrochem Commun&lt;/abbr-2&gt;&lt;/periodical&gt;&lt;pages&gt;1417-1422&lt;/pages&gt;&lt;volume&gt;8&lt;/volume&gt;&lt;number&gt;9&lt;/number&gt;&lt;keywords&gt;&lt;keyword&gt;Ruthenium dioxide&lt;/keyword&gt;&lt;keyword&gt;Electrocatalysis&lt;/keyword&gt;&lt;keyword&gt;Size dependence&lt;/keyword&gt;&lt;keyword&gt;DEMS&lt;/keyword&gt;&lt;/keywords&gt;&lt;dates&gt;&lt;year&gt;2006&lt;/year&gt;&lt;pub-dates&gt;&lt;date&gt;2006/09/01/&lt;/date&gt;&lt;/pub-dates&gt;&lt;/dates&gt;&lt;isbn&gt;1388-2481&lt;/isbn&gt;&lt;urls&gt;&lt;related-urls&gt;&lt;url&gt;https://www.sciencedirect.com/science/article/pii/S1388248106002621&lt;/url&gt;&lt;/related-urls&gt;&lt;/urls&gt;&lt;electronic-resource-num&gt;https://doi.org/10.1016/j.elecom.2006.06.027&lt;/electronic-resource-num&gt;&lt;/record&gt;&lt;/Cite&gt;&lt;/EndNote&gt;</w:instrText>
      </w:r>
      <w:r w:rsidRPr="0013432D">
        <w:fldChar w:fldCharType="separate"/>
      </w:r>
      <w:r w:rsidRPr="00FC5BEB">
        <w:rPr>
          <w:noProof/>
          <w:vertAlign w:val="superscript"/>
        </w:rPr>
        <w:t>261</w:t>
      </w:r>
      <w:r w:rsidRPr="0013432D">
        <w:fldChar w:fldCharType="end"/>
      </w:r>
      <w:r w:rsidRPr="0013432D">
        <w:t>, in which case the stabilization  of Ru(VI) active sites by Co or Ni doping could explain the enhanced performance</w:t>
      </w:r>
      <w:r w:rsidRPr="0013432D">
        <w:fldChar w:fldCharType="begin">
          <w:fldData xml:space="preserve">PEVuZE5vdGU+PENpdGU+PEF1dGhvcj5NYWthcm92YTwvQXV0aG9yPjxZZWFyPjIwMDg8L1llYXI+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==
</w:fldData>
        </w:fldChar>
      </w:r>
      <w:r>
        <w:instrText xml:space="preserve"> ADDIN EN.CITE </w:instrText>
      </w:r>
      <w:r>
        <w:fldChar w:fldCharType="begin">
          <w:fldData xml:space="preserve">PEVuZE5vdGU+PENpdGU+PEF1dGhvcj5NYWthcm92YTwvQXV0aG9yPjxZZWFyPjIwMDg8L1llYXI+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==
</w:fldData>
        </w:fldChar>
      </w:r>
      <w:r>
        <w:instrText xml:space="preserve"> ADDIN EN.CITE.DATA </w:instrText>
      </w:r>
      <w:r>
        <w:fldChar w:fldCharType="end"/>
      </w:r>
      <w:r w:rsidRPr="0013432D">
        <w:fldChar w:fldCharType="separate"/>
      </w:r>
      <w:r w:rsidRPr="00FC5BEB">
        <w:rPr>
          <w:noProof/>
          <w:vertAlign w:val="superscript"/>
        </w:rPr>
        <w:t>260, 261</w:t>
      </w:r>
      <w:r w:rsidRPr="0013432D">
        <w:fldChar w:fldCharType="end"/>
      </w:r>
      <w:r w:rsidRPr="0013432D">
        <w:t>. A very different picture emerged from studying the OER using the CHE model, wherein the ruthenium sites, including the active CUS sites, were not found to be altered by doping. Rather, doping transformed the mechanism from a single-site nucleophilic attack mechanism</w:t>
      </w:r>
      <w:r w:rsidRPr="004B35B6">
        <w:rPr>
          <w:szCs w:val="22"/>
        </w:rPr>
        <w:t xml:space="preserve">, </w:t>
      </w:r>
      <w:r w:rsidRPr="004B35B6">
        <w:rPr>
          <w:szCs w:val="22"/>
        </w:rPr>
        <w:fldChar w:fldCharType="begin"/>
      </w:r>
      <w:r w:rsidRPr="004B35B6">
        <w:rPr>
          <w:szCs w:val="22"/>
        </w:rPr>
        <w:instrText xml:space="preserve"> REF _Ref159510668 \h </w:instrText>
      </w:r>
      <w:r>
        <w:rPr>
          <w:szCs w:val="22"/>
        </w:rPr>
        <w:instrText xml:space="preserve"> \* MERGEFORMAT </w:instrText>
      </w:r>
      <w:r w:rsidRPr="004B35B6">
        <w:rPr>
          <w:szCs w:val="22"/>
        </w:rPr>
      </w:r>
      <w:r w:rsidRPr="004B35B6">
        <w:rPr>
          <w:szCs w:val="22"/>
        </w:rPr>
        <w:fldChar w:fldCharType="separate"/>
      </w:r>
      <w:r w:rsidRPr="00245F0C">
        <w:rPr>
          <w:szCs w:val="22"/>
        </w:rPr>
        <w:t xml:space="preserve">Equation </w:t>
      </w:r>
      <w:r w:rsidRPr="00245F0C">
        <w:rPr>
          <w:noProof/>
          <w:szCs w:val="22"/>
        </w:rPr>
        <w:t>38</w:t>
      </w:r>
      <w:r w:rsidRPr="004B35B6">
        <w:rPr>
          <w:szCs w:val="22"/>
        </w:rPr>
        <w:fldChar w:fldCharType="end"/>
      </w:r>
      <w:r w:rsidRPr="004B35B6">
        <w:rPr>
          <w:szCs w:val="22"/>
        </w:rPr>
        <w:t>-41</w:t>
      </w:r>
      <w:r w:rsidRPr="0013432D">
        <w:t>, to a two-site nucleophilic attack mechanism involving both a CUS Ru/</w:t>
      </w:r>
      <w:r w:rsidRPr="0013432D">
        <w:sym w:font="Symbol" w:char="F06D"/>
      </w:r>
      <w:r w:rsidRPr="0013432D">
        <w:rPr>
          <w:vertAlign w:val="subscript"/>
        </w:rPr>
        <w:t>1</w:t>
      </w:r>
      <w:r w:rsidRPr="0013432D">
        <w:t xml:space="preserve">-O </w:t>
      </w:r>
      <w:proofErr w:type="spellStart"/>
      <w:r w:rsidRPr="0013432D">
        <w:t>oxyl</w:t>
      </w:r>
      <w:proofErr w:type="spellEnd"/>
      <w:r w:rsidRPr="0013432D">
        <w:t xml:space="preserve"> and a bridging oxygen bound to a ruthenium and a dopant atom.</w:t>
      </w:r>
    </w:p>
    <w:p w14:paraId="3344CEFC" w14:textId="15BC0E3D" w:rsidR="0013432D" w:rsidRPr="0013432D" w:rsidRDefault="004052D0" w:rsidP="0013432D">
      <w:r>
        <w:rPr>
          <w:noProof/>
          <w14:ligatures w14:val="standardContextual"/>
        </w:rPr>
        <w:lastRenderedPageBreak/>
        <w:drawing>
          <wp:inline distT="0" distB="0" distL="0" distR="0" wp14:anchorId="6A7AFA4C" wp14:editId="6753249E">
            <wp:extent cx="5731510" cy="6424295"/>
            <wp:effectExtent l="0" t="0" r="0" b="1905"/>
            <wp:docPr id="97491217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4912178" name="Picture 974912178"/>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731510" cy="6424295"/>
                    </a:xfrm>
                    <a:prstGeom prst="rect">
                      <a:avLst/>
                    </a:prstGeom>
                  </pic:spPr>
                </pic:pic>
              </a:graphicData>
            </a:graphic>
          </wp:inline>
        </w:drawing>
      </w:r>
    </w:p>
    <w:p w14:paraId="10C0EBBB" w14:textId="5F17DA59" w:rsidR="0013432D" w:rsidRPr="0013432D" w:rsidRDefault="0013432D" w:rsidP="00DB5848">
      <w:pPr>
        <w:pStyle w:val="Caption"/>
      </w:pPr>
      <w:bookmarkStart w:id="96" w:name="_Ref159516560"/>
      <w:r w:rsidRPr="0013432D">
        <w:rPr>
          <w:b/>
          <w:bCs w:val="0"/>
          <w:sz w:val="22"/>
        </w:rPr>
        <w:t xml:space="preserve">Figure </w:t>
      </w:r>
      <w:r w:rsidRPr="0013432D">
        <w:rPr>
          <w:b/>
          <w:bCs w:val="0"/>
          <w:sz w:val="22"/>
        </w:rPr>
        <w:fldChar w:fldCharType="begin"/>
      </w:r>
      <w:r w:rsidRPr="0013432D">
        <w:rPr>
          <w:b/>
          <w:bCs w:val="0"/>
          <w:sz w:val="22"/>
        </w:rPr>
        <w:instrText xml:space="preserve"> SEQ Figure \* ARABIC </w:instrText>
      </w:r>
      <w:r w:rsidRPr="0013432D">
        <w:rPr>
          <w:b/>
          <w:bCs w:val="0"/>
          <w:sz w:val="22"/>
        </w:rPr>
        <w:fldChar w:fldCharType="separate"/>
      </w:r>
      <w:r w:rsidR="003255C0">
        <w:rPr>
          <w:b/>
          <w:bCs w:val="0"/>
          <w:noProof/>
          <w:sz w:val="22"/>
        </w:rPr>
        <w:t>18</w:t>
      </w:r>
      <w:r w:rsidRPr="0013432D">
        <w:rPr>
          <w:b/>
          <w:bCs w:val="0"/>
          <w:sz w:val="22"/>
        </w:rPr>
        <w:fldChar w:fldCharType="end"/>
      </w:r>
      <w:bookmarkEnd w:id="96"/>
      <w:r w:rsidRPr="0013432D">
        <w:t xml:space="preserve"> </w:t>
      </w:r>
      <w:r w:rsidR="00FA3D7E">
        <w:t>(</w:t>
      </w:r>
      <w:r w:rsidRPr="0013432D">
        <w:t xml:space="preserve">a-d) Ball and stick model of dopant sites with the </w:t>
      </w:r>
      <w:proofErr w:type="spellStart"/>
      <w:r w:rsidRPr="0013432D">
        <w:t>coloring</w:t>
      </w:r>
      <w:proofErr w:type="spellEnd"/>
      <w:r w:rsidRPr="0013432D">
        <w:t xml:space="preserve"> indicated. </w:t>
      </w:r>
      <w:r w:rsidR="00FA3D7E">
        <w:t>(</w:t>
      </w:r>
      <w:r w:rsidRPr="0013432D">
        <w:t xml:space="preserve">e) Correlation between *OOH and *OH adsorption energies. The red star shows the optimal </w:t>
      </w:r>
      <w:r w:rsidR="00256D49" w:rsidRPr="0013432D">
        <w:t>catalyst,</w:t>
      </w:r>
      <w:r w:rsidRPr="0013432D">
        <w:t xml:space="preserve"> and the dashed line shows the optimal *OOH/*OH scaling. </w:t>
      </w:r>
      <w:r w:rsidR="00FA3D7E">
        <w:t>(</w:t>
      </w:r>
      <w:r w:rsidRPr="0013432D">
        <w:t xml:space="preserve">f) A volcano plot showing the computed theoretical overpotential plotted as a function of </w:t>
      </w:r>
      <m:oMath>
        <m:d>
          <m:dPr>
            <m:ctrlPr>
              <w:rPr>
                <w:rFonts w:ascii="Cambria Math" w:hAnsi="Cambria Math"/>
                <w:i/>
                <w:iCs/>
              </w:rPr>
            </m:ctrlPr>
          </m:dPr>
          <m:e>
            <m:r>
              <w:rPr>
                <w:rFonts w:ascii="Cambria Math" w:hAnsi="Cambria Math"/>
              </w:rPr>
              <m:t>∆</m:t>
            </m:r>
            <m:sSub>
              <m:sSubPr>
                <m:ctrlPr>
                  <w:rPr>
                    <w:rFonts w:ascii="Cambria Math" w:hAnsi="Cambria Math"/>
                    <w:i/>
                    <w:iCs/>
                  </w:rPr>
                </m:ctrlPr>
              </m:sSubPr>
              <m:e>
                <m:r>
                  <w:rPr>
                    <w:rFonts w:ascii="Cambria Math" w:hAnsi="Cambria Math"/>
                  </w:rPr>
                  <m:t>G</m:t>
                </m:r>
              </m:e>
              <m:sub>
                <m:r>
                  <m:rPr>
                    <m:sty m:val="p"/>
                  </m:rPr>
                  <w:rPr>
                    <w:rFonts w:ascii="Cambria Math" w:hAnsi="Cambria Math"/>
                  </w:rPr>
                  <m:t>*O</m:t>
                </m:r>
              </m:sub>
            </m:sSub>
            <m:r>
              <w:rPr>
                <w:rFonts w:ascii="Cambria Math" w:hAnsi="Cambria Math"/>
              </w:rPr>
              <m:t>-∆</m:t>
            </m:r>
            <m:sSub>
              <m:sSubPr>
                <m:ctrlPr>
                  <w:rPr>
                    <w:rFonts w:ascii="Cambria Math" w:hAnsi="Cambria Math"/>
                    <w:i/>
                    <w:iCs/>
                  </w:rPr>
                </m:ctrlPr>
              </m:sSubPr>
              <m:e>
                <m:r>
                  <w:rPr>
                    <w:rFonts w:ascii="Cambria Math" w:hAnsi="Cambria Math"/>
                  </w:rPr>
                  <m:t>G</m:t>
                </m:r>
              </m:e>
              <m:sub>
                <m:r>
                  <m:rPr>
                    <m:sty m:val="p"/>
                  </m:rPr>
                  <w:rPr>
                    <w:rFonts w:ascii="Cambria Math" w:hAnsi="Cambria Math"/>
                  </w:rPr>
                  <m:t>*OH</m:t>
                </m:r>
              </m:sub>
            </m:sSub>
          </m:e>
        </m:d>
      </m:oMath>
      <w:r w:rsidRPr="0013432D">
        <w:rPr>
          <w:iCs/>
        </w:rPr>
        <w:t xml:space="preserve">. The solid line shows the scaling relationship result, while the green circles correspond to substitutions at CUS sites (5c-M); the blue triangles correspond to substitutions at surface bridging sites (6c-M); the red triangles correspond to substitutions below the surface CUS site (6c-Ms1); the yellow triangles correspond to substitutions at subsurface sites below the surface bridge positions (6c-Ms2). </w:t>
      </w:r>
      <w:r w:rsidR="000757AA">
        <w:rPr>
          <w:iCs/>
        </w:rPr>
        <w:t>Reproduced with permission from Ref.</w:t>
      </w:r>
      <w:r w:rsidRPr="0013432D">
        <w:rPr>
          <w:iCs/>
        </w:rPr>
        <w:t xml:space="preserve"> </w:t>
      </w:r>
      <w:r w:rsidRPr="0013432D">
        <w:fldChar w:fldCharType="begin"/>
      </w:r>
      <w:r w:rsidR="00FC5BEB">
        <w:instrText xml:space="preserve"> ADDIN EN.CITE &lt;EndNote&gt;&lt;Cite&gt;&lt;Author&gt;García-Mota&lt;/Author&gt;&lt;Year&gt;2011&lt;/Year&gt;&lt;RecNum&gt;234&lt;/RecNum&gt;&lt;DisplayText&gt;&lt;style face="superscript"&gt;236&lt;/style&gt;&lt;/DisplayText&gt;&lt;record&gt;&lt;rec-number&gt;234&lt;/rec-number&gt;&lt;foreign-keys&gt;&lt;key app="EN" db-id="2xex0erf4eexr4e2dpbxpdd829xttesxxxdr" timestamp="1715075296"&gt;234&lt;/key&gt;&lt;/foreign-keys&gt;&lt;ref-type name="Journal Article"&gt;17&lt;/ref-type&gt;&lt;contributors&gt;&lt;authors&gt;&lt;author&gt;García-Mota, Mónica&lt;/author&gt;&lt;author&gt;Vojvodic, Aleksandra&lt;/author&gt;&lt;author&gt;Metiu, Horia&lt;/author&gt;&lt;author&gt;Man, Isabela C.&lt;/author&gt;&lt;author&gt;Su, Hai-Yan&lt;/author&gt;&lt;author&gt;Rossmeisl, Jan&lt;/author&gt;&lt;author&gt;Nørskov, Jens K.&lt;/author&gt;&lt;/authors&gt;&lt;/contributors&gt;&lt;titles&gt;&lt;title&gt;Tailoring the Activity for Oxygen Evolution Electrocatalysis on Rutile TiO2(110) by Transition-Metal Substitution&lt;/title&gt;&lt;secondary-title&gt;ChemCatChem&lt;/secondary-title&gt;&lt;/titles&gt;&lt;pages&gt;1607-1611&lt;/pages&gt;&lt;volume&gt;3&lt;/volume&gt;&lt;number&gt;10&lt;/number&gt;&lt;dates&gt;&lt;year&gt;2011&lt;/year&gt;&lt;/dates&gt;&lt;isbn&gt;1867-3880&lt;/isbn&gt;&lt;urls&gt;&lt;related-urls&gt;&lt;url&gt;https://chemistry-europe.onlinelibrary.wiley.com/doi/abs/10.1002/cctc.201100160&lt;/url&gt;&lt;/related-urls&gt;&lt;/urls&gt;&lt;electronic-resource-num&gt;https://doi.org/10.1002/cctc.201100160&lt;/electronic-resource-num&gt;&lt;/record&gt;&lt;/Cite&gt;&lt;/EndNote&gt;</w:instrText>
      </w:r>
      <w:r w:rsidRPr="0013432D">
        <w:fldChar w:fldCharType="separate"/>
      </w:r>
      <w:r w:rsidR="00FC5BEB" w:rsidRPr="00FC5BEB">
        <w:rPr>
          <w:noProof/>
          <w:vertAlign w:val="superscript"/>
        </w:rPr>
        <w:t>236</w:t>
      </w:r>
      <w:r w:rsidRPr="0013432D">
        <w:fldChar w:fldCharType="end"/>
      </w:r>
      <w:r w:rsidR="00AF126A">
        <w:t xml:space="preserve"> Copyright 2011 </w:t>
      </w:r>
      <w:r w:rsidR="00AF126A" w:rsidRPr="00AF126A">
        <w:rPr>
          <w:lang w:val="en-US"/>
        </w:rPr>
        <w:t>John Wiley and Sons</w:t>
      </w:r>
      <w:r w:rsidR="00AF126A">
        <w:rPr>
          <w:lang w:val="en-US"/>
        </w:rPr>
        <w:t>.</w:t>
      </w:r>
    </w:p>
    <w:p w14:paraId="54202479" w14:textId="77777777" w:rsidR="0013432D" w:rsidRPr="0013432D" w:rsidRDefault="0013432D" w:rsidP="0013432D"/>
    <w:p w14:paraId="70241C7E" w14:textId="76A68A3A" w:rsidR="0013432D" w:rsidRDefault="0013432D" w:rsidP="00A54921">
      <w:pPr>
        <w:ind w:firstLine="720"/>
        <w:rPr>
          <w:iCs/>
        </w:rPr>
      </w:pPr>
      <w:r w:rsidRPr="0013432D">
        <w:t xml:space="preserve">In Ref. </w:t>
      </w:r>
      <w:r w:rsidRPr="0013432D">
        <w:fldChar w:fldCharType="begin"/>
      </w:r>
      <w:r w:rsidR="00FC5BEB">
        <w:instrText xml:space="preserve"> ADDIN EN.CITE &lt;EndNote&gt;&lt;Cite&gt;&lt;Author&gt;Halck&lt;/Author&gt;&lt;Year&gt;2014&lt;/Year&gt;&lt;RecNum&gt;238&lt;/RecNum&gt;&lt;DisplayText&gt;&lt;style face="superscript"&gt;240&lt;/style&gt;&lt;/DisplayText&gt;&lt;record&gt;&lt;rec-number&gt;238&lt;/rec-number&gt;&lt;foreign-keys&gt;&lt;key app="EN" db-id="2xex0erf4eexr4e2dpbxpdd829xttesxxxdr" timestamp="1715075296"&gt;238&lt;/key&gt;&lt;/foreign-keys&gt;&lt;ref-type name="Journal Article"&gt;17&lt;/ref-type&gt;&lt;contributors&gt;&lt;authors&gt;&lt;author&gt;Halck, Niels Bendtsen&lt;/author&gt;&lt;author&gt;Petrykin, Valery&lt;/author&gt;&lt;author&gt;Krtil, Petr&lt;/author&gt;&lt;author&gt;Rossmeisl, Jan&lt;/author&gt;&lt;/authors&gt;&lt;/contributors&gt;&lt;titles&gt;&lt;title&gt;Beyond the volcano limitations in electrocatalysis – oxygen evolution reaction&lt;/title&gt;&lt;secondary-title&gt;Physical Chemistry Chemical Physics&lt;/secondary-title&gt;&lt;/titles&gt;&lt;periodical&gt;&lt;full-title&gt;Physical Chemistry Chemical Physics&lt;/full-title&gt;&lt;abbr-1&gt;Phys. Chem. Chem. Phys.&lt;/abbr-1&gt;&lt;abbr-2&gt;Phys Chem Chem Phys&lt;/abbr-2&gt;&lt;/periodical&gt;&lt;pages&gt;13682-13688&lt;/pages&gt;&lt;volume&gt;16&lt;/volume&gt;&lt;number&gt;27&lt;/number&gt;&lt;dates&gt;&lt;year&gt;2014&lt;/year&gt;&lt;/dates&gt;&lt;publisher&gt;The Royal Society of Chemistry&lt;/publisher&gt;&lt;isbn&gt;1463-9076&lt;/isbn&gt;&lt;work-type&gt;10.1039/C4CP00571F&lt;/work-type&gt;&lt;urls&gt;&lt;related-urls&gt;&lt;url&gt;http://dx.doi.org/10.1039/C4CP00571F&lt;/url&gt;&lt;/related-urls&gt;&lt;/urls&gt;&lt;electronic-resource-num&gt;10.1039/C4CP00571F&lt;/electronic-resource-num&gt;&lt;/record&gt;&lt;/Cite&gt;&lt;/EndNote&gt;</w:instrText>
      </w:r>
      <w:r w:rsidRPr="0013432D">
        <w:fldChar w:fldCharType="separate"/>
      </w:r>
      <w:r w:rsidR="00FC5BEB" w:rsidRPr="00FC5BEB">
        <w:rPr>
          <w:noProof/>
          <w:vertAlign w:val="superscript"/>
        </w:rPr>
        <w:t>240</w:t>
      </w:r>
      <w:r w:rsidRPr="0013432D">
        <w:fldChar w:fldCharType="end"/>
      </w:r>
      <w:r w:rsidRPr="0013432D">
        <w:t>, the authors incorporated Ni and Co into RuO</w:t>
      </w:r>
      <w:r w:rsidRPr="0013432D">
        <w:rPr>
          <w:vertAlign w:val="subscript"/>
        </w:rPr>
        <w:t>2</w:t>
      </w:r>
      <w:r w:rsidRPr="0013432D">
        <w:t xml:space="preserve"> to modify the electrocatalytic activity and compared measured performance with the computed </w:t>
      </w:r>
      <w:r w:rsidRPr="0013432D">
        <w:rPr>
          <w:i/>
        </w:rPr>
        <w:sym w:font="Symbol" w:char="F068"/>
      </w:r>
      <w:r w:rsidRPr="0013432D">
        <w:rPr>
          <w:iCs/>
          <w:vertAlign w:val="subscript"/>
        </w:rPr>
        <w:t>CHE</w:t>
      </w:r>
      <w:r w:rsidRPr="0013432D">
        <w:rPr>
          <w:iCs/>
        </w:rPr>
        <w:t xml:space="preserve">. Using the CHE model, they found that substitution of CUS Ru had no impact on the </w:t>
      </w:r>
      <w:r w:rsidRPr="0013432D">
        <w:rPr>
          <w:i/>
        </w:rPr>
        <w:sym w:font="Symbol" w:char="F068"/>
      </w:r>
      <w:r w:rsidRPr="0013432D">
        <w:rPr>
          <w:iCs/>
          <w:vertAlign w:val="subscript"/>
        </w:rPr>
        <w:t>CHE</w:t>
      </w:r>
      <w:r w:rsidRPr="0013432D">
        <w:rPr>
          <w:iCs/>
        </w:rPr>
        <w:t xml:space="preserve"> computed for the single-site nucleophilic attack mechanism on a neighboring CUS Ru site. The authors did, however, find the substitution of a bridging Ru in RuO</w:t>
      </w:r>
      <w:r w:rsidRPr="0013432D">
        <w:rPr>
          <w:iCs/>
          <w:vertAlign w:val="subscript"/>
        </w:rPr>
        <w:t>2</w:t>
      </w:r>
      <w:r w:rsidRPr="0013432D">
        <w:rPr>
          <w:iCs/>
        </w:rPr>
        <w:t xml:space="preserve">(110) with Co or Ni could optimize the proton donor/acceptor </w:t>
      </w:r>
      <w:r w:rsidRPr="0013432D">
        <w:rPr>
          <w:iCs/>
        </w:rPr>
        <w:lastRenderedPageBreak/>
        <w:t xml:space="preserve">functionality of the doped bridge oxygen sites while leaving the CUS Ru sites unmodified. This change in functionality was predicted to lead to a substantial improvement in </w:t>
      </w:r>
      <w:r w:rsidRPr="0013432D">
        <w:rPr>
          <w:i/>
        </w:rPr>
        <w:sym w:font="Symbol" w:char="F068"/>
      </w:r>
      <w:r w:rsidRPr="0013432D">
        <w:rPr>
          <w:iCs/>
          <w:vertAlign w:val="subscript"/>
        </w:rPr>
        <w:t>CHE</w:t>
      </w:r>
      <w:r w:rsidRPr="0013432D">
        <w:rPr>
          <w:iCs/>
        </w:rPr>
        <w:t xml:space="preserve"> beyond the limitations of the scaling relationships established for single-site nucleophilic attack on the (110) surface of RuO</w:t>
      </w:r>
      <w:r w:rsidRPr="0013432D">
        <w:rPr>
          <w:iCs/>
          <w:vertAlign w:val="subscript"/>
        </w:rPr>
        <w:t>2</w:t>
      </w:r>
      <w:r w:rsidRPr="0013432D">
        <w:rPr>
          <w:iCs/>
        </w:rPr>
        <w:t xml:space="preserve"> </w:t>
      </w:r>
      <w:r w:rsidRPr="0013432D">
        <w:fldChar w:fldCharType="begin">
          <w:fldData xml:space="preserve">PEVuZE5vdGU+PENpdGU+PEF1dGhvcj5NYW48L0F1dGhvcj48WWVhcj4yMDExPC9ZZWFyPjxSZWNO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</w:fldData>
        </w:fldChar>
      </w:r>
      <w:r w:rsidR="00FC5BEB">
        <w:instrText xml:space="preserve"> ADDIN EN.CITE </w:instrText>
      </w:r>
      <w:r w:rsidR="00FC5BEB">
        <w:fldChar w:fldCharType="begin">
          <w:fldData xml:space="preserve">PEVuZE5vdGU+PENpdGU+PEF1dGhvcj5NYW48L0F1dGhvcj48WWVhcj4yMDExPC9ZZWFyPjxSZWNO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</w:fldData>
        </w:fldChar>
      </w:r>
      <w:r w:rsidR="00FC5BEB">
        <w:instrText xml:space="preserve"> ADDIN EN.CITE.DATA </w:instrText>
      </w:r>
      <w:r w:rsidR="00FC5BEB">
        <w:fldChar w:fldCharType="end"/>
      </w:r>
      <w:r w:rsidRPr="0013432D">
        <w:fldChar w:fldCharType="separate"/>
      </w:r>
      <w:r w:rsidR="00FC5BEB" w:rsidRPr="00FC5BEB">
        <w:rPr>
          <w:noProof/>
          <w:vertAlign w:val="superscript"/>
        </w:rPr>
        <w:t>88, 101</w:t>
      </w:r>
      <w:r w:rsidRPr="0013432D">
        <w:fldChar w:fldCharType="end"/>
      </w:r>
      <w:r w:rsidRPr="0013432D">
        <w:t xml:space="preserve">, </w:t>
      </w:r>
      <w:r w:rsidRPr="0013432D">
        <w:rPr>
          <w:iCs/>
        </w:rPr>
        <w:t xml:space="preserve">see </w:t>
      </w:r>
      <w:r w:rsidR="00F8072E">
        <w:rPr>
          <w:iCs/>
        </w:rPr>
        <w:fldChar w:fldCharType="begin"/>
      </w:r>
      <w:r w:rsidR="00F8072E">
        <w:rPr>
          <w:iCs/>
        </w:rPr>
        <w:instrText xml:space="preserve"> REF _Ref159516869 \h </w:instrText>
      </w:r>
      <w:r w:rsidR="00F8072E">
        <w:rPr>
          <w:iCs/>
        </w:rPr>
      </w:r>
      <w:r w:rsidR="00F8072E">
        <w:rPr>
          <w:iCs/>
        </w:rPr>
        <w:fldChar w:fldCharType="separate"/>
      </w:r>
      <w:r w:rsidR="003255C0" w:rsidRPr="00F8072E">
        <w:rPr>
          <w:b/>
          <w:bCs/>
        </w:rPr>
        <w:t xml:space="preserve">Figure </w:t>
      </w:r>
      <w:r w:rsidR="003255C0">
        <w:rPr>
          <w:b/>
          <w:bCs/>
          <w:noProof/>
        </w:rPr>
        <w:t>19</w:t>
      </w:r>
      <w:r w:rsidR="00F8072E">
        <w:rPr>
          <w:iCs/>
        </w:rPr>
        <w:fldChar w:fldCharType="end"/>
      </w:r>
      <w:r w:rsidRPr="0013432D">
        <w:rPr>
          <w:iCs/>
        </w:rPr>
        <w:t xml:space="preserve">. In </w:t>
      </w:r>
      <w:r w:rsidR="00F8072E">
        <w:rPr>
          <w:iCs/>
        </w:rPr>
        <w:fldChar w:fldCharType="begin"/>
      </w:r>
      <w:r w:rsidR="00F8072E">
        <w:rPr>
          <w:iCs/>
        </w:rPr>
        <w:instrText xml:space="preserve"> REF _Ref159516869 \h </w:instrText>
      </w:r>
      <w:r w:rsidR="00F8072E">
        <w:rPr>
          <w:iCs/>
        </w:rPr>
      </w:r>
      <w:r w:rsidR="00F8072E">
        <w:rPr>
          <w:iCs/>
        </w:rPr>
        <w:fldChar w:fldCharType="separate"/>
      </w:r>
      <w:r w:rsidR="003255C0" w:rsidRPr="00F8072E">
        <w:rPr>
          <w:b/>
          <w:bCs/>
        </w:rPr>
        <w:t xml:space="preserve">Figure </w:t>
      </w:r>
      <w:r w:rsidR="003255C0">
        <w:rPr>
          <w:b/>
          <w:bCs/>
          <w:noProof/>
        </w:rPr>
        <w:t>19</w:t>
      </w:r>
      <w:r w:rsidR="00F8072E">
        <w:rPr>
          <w:iCs/>
        </w:rPr>
        <w:fldChar w:fldCharType="end"/>
      </w:r>
      <w:r w:rsidRPr="0013432D">
        <w:rPr>
          <w:iCs/>
        </w:rPr>
        <w:t xml:space="preserve"> the single-site reaction scaling volcano is shown as a function of the free energy change associated with the formation of *O from *OH through the PCET step given </w:t>
      </w:r>
      <w:r w:rsidRPr="004B35B6">
        <w:rPr>
          <w:iCs/>
          <w:szCs w:val="22"/>
        </w:rPr>
        <w:t xml:space="preserve">in </w:t>
      </w:r>
      <w:r w:rsidR="00F8072E" w:rsidRPr="004B35B6">
        <w:rPr>
          <w:iCs/>
          <w:szCs w:val="22"/>
        </w:rPr>
        <w:fldChar w:fldCharType="begin"/>
      </w:r>
      <w:r w:rsidR="00F8072E" w:rsidRPr="004B35B6">
        <w:rPr>
          <w:iCs/>
          <w:szCs w:val="22"/>
        </w:rPr>
        <w:instrText xml:space="preserve"> REF _Ref159509200 \h </w:instrText>
      </w:r>
      <w:r w:rsidR="004B35B6">
        <w:rPr>
          <w:iCs/>
          <w:szCs w:val="22"/>
        </w:rPr>
        <w:instrText xml:space="preserve"> \* MERGEFORMAT </w:instrText>
      </w:r>
      <w:r w:rsidR="00F8072E" w:rsidRPr="004B35B6">
        <w:rPr>
          <w:iCs/>
          <w:szCs w:val="22"/>
        </w:rPr>
      </w:r>
      <w:r w:rsidR="00F8072E" w:rsidRPr="004B35B6">
        <w:rPr>
          <w:iCs/>
          <w:szCs w:val="22"/>
        </w:rPr>
        <w:fldChar w:fldCharType="separate"/>
      </w:r>
      <w:r w:rsidR="003255C0" w:rsidRPr="00245F0C">
        <w:rPr>
          <w:szCs w:val="22"/>
        </w:rPr>
        <w:t xml:space="preserve">Equation </w:t>
      </w:r>
      <w:r w:rsidR="003255C0" w:rsidRPr="00245F0C">
        <w:rPr>
          <w:noProof/>
          <w:szCs w:val="22"/>
        </w:rPr>
        <w:t>37</w:t>
      </w:r>
      <w:r w:rsidR="00F8072E" w:rsidRPr="004B35B6">
        <w:rPr>
          <w:iCs/>
          <w:szCs w:val="22"/>
        </w:rPr>
        <w:fldChar w:fldCharType="end"/>
      </w:r>
      <w:r w:rsidRPr="0013432D">
        <w:rPr>
          <w:iCs/>
        </w:rPr>
        <w:t xml:space="preserve">, </w:t>
      </w:r>
      <m:oMath>
        <m:d>
          <m:dPr>
            <m:ctrlPr>
              <w:rPr>
                <w:rFonts w:ascii="Cambria Math" w:hAnsi="Cambria Math"/>
                <w:i/>
                <w:iCs/>
              </w:rPr>
            </m:ctrlPr>
          </m:dPr>
          <m:e>
            <m:r>
              <w:rPr>
                <w:rFonts w:ascii="Cambria Math" w:hAnsi="Cambria Math"/>
              </w:rPr>
              <m:t xml:space="preserve"> ∆</m:t>
            </m:r>
            <m:sSub>
              <m:sSubPr>
                <m:ctrlPr>
                  <w:rPr>
                    <w:rFonts w:ascii="Cambria Math" w:hAnsi="Cambria Math"/>
                    <w:i/>
                    <w:iCs/>
                  </w:rPr>
                </m:ctrlPr>
              </m:sSubPr>
              <m:e>
                <m:r>
                  <w:rPr>
                    <w:rFonts w:ascii="Cambria Math" w:hAnsi="Cambria Math"/>
                  </w:rPr>
                  <m:t>G</m:t>
                </m:r>
              </m:e>
              <m:sub>
                <m:r>
                  <m:rPr>
                    <m:sty m:val="p"/>
                  </m:rPr>
                  <w:rPr>
                    <w:rFonts w:ascii="Cambria Math" w:hAnsi="Cambria Math"/>
                  </w:rPr>
                  <m:t>*O</m:t>
                </m:r>
              </m:sub>
            </m:sSub>
            <m:r>
              <w:rPr>
                <w:rFonts w:ascii="Cambria Math" w:hAnsi="Cambria Math"/>
              </w:rPr>
              <m:t>-∆</m:t>
            </m:r>
            <m:sSub>
              <m:sSubPr>
                <m:ctrlPr>
                  <w:rPr>
                    <w:rFonts w:ascii="Cambria Math" w:hAnsi="Cambria Math"/>
                    <w:i/>
                    <w:iCs/>
                  </w:rPr>
                </m:ctrlPr>
              </m:sSubPr>
              <m:e>
                <m:r>
                  <w:rPr>
                    <w:rFonts w:ascii="Cambria Math" w:hAnsi="Cambria Math"/>
                  </w:rPr>
                  <m:t>G</m:t>
                </m:r>
              </m:e>
              <m:sub>
                <m:r>
                  <m:rPr>
                    <m:sty m:val="p"/>
                  </m:rPr>
                  <w:rPr>
                    <w:rFonts w:ascii="Cambria Math" w:hAnsi="Cambria Math"/>
                  </w:rPr>
                  <m:t>*OH</m:t>
                </m:r>
              </m:sub>
            </m:sSub>
          </m:e>
        </m:d>
      </m:oMath>
      <w:r w:rsidRPr="0013432D">
        <w:rPr>
          <w:iCs/>
        </w:rPr>
        <w:t xml:space="preserve">. It can be seen that, when either Co or Ni are substituted at a (110) bridge site, the predicted </w:t>
      </w:r>
      <w:r w:rsidRPr="0013432D">
        <w:rPr>
          <w:i/>
        </w:rPr>
        <w:sym w:font="Symbol" w:char="F068"/>
      </w:r>
      <w:r w:rsidRPr="0013432D">
        <w:rPr>
          <w:iCs/>
          <w:vertAlign w:val="subscript"/>
        </w:rPr>
        <w:t>CHE</w:t>
      </w:r>
      <w:r w:rsidRPr="0013432D">
        <w:rPr>
          <w:iCs/>
        </w:rPr>
        <w:t xml:space="preserve"> is significantly reduced. </w:t>
      </w:r>
    </w:p>
    <w:p w14:paraId="07F01457" w14:textId="77777777" w:rsidR="001C1AC5" w:rsidRPr="0013432D" w:rsidRDefault="001C1AC5" w:rsidP="00A54921">
      <w:pPr>
        <w:ind w:firstLine="720"/>
        <w:rPr>
          <w:iCs/>
        </w:rPr>
      </w:pPr>
    </w:p>
    <w:p w14:paraId="346610E6" w14:textId="2B4EE210" w:rsidR="0013432D" w:rsidRPr="0013432D" w:rsidRDefault="00982D2D" w:rsidP="001C1AC5">
      <w:pPr>
        <w:jc w:val="center"/>
      </w:pPr>
      <w:r>
        <w:rPr>
          <w:noProof/>
          <w14:ligatures w14:val="standardContextual"/>
        </w:rPr>
        <w:drawing>
          <wp:inline distT="0" distB="0" distL="0" distR="0" wp14:anchorId="0C43426D" wp14:editId="168BD296">
            <wp:extent cx="4787900" cy="1892300"/>
            <wp:effectExtent l="0" t="0" r="0" b="0"/>
            <wp:docPr id="29863797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637970" name="Picture 298637970"/>
                    <pic:cNvPicPr/>
                  </pic:nvPicPr>
                  <pic:blipFill rotWithShape="1">
                    <a:blip r:embed="rId29" cstate="print">
                      <a:extLst>
                        <a:ext uri="{28A0092B-C50C-407E-A947-70E740481C1C}">
                          <a14:useLocalDpi xmlns:a14="http://schemas.microsoft.com/office/drawing/2010/main" val="0"/>
                        </a:ext>
                      </a:extLst>
                    </a:blip>
                    <a:srcRect l="6093" t="8864" r="10370" b="32440"/>
                    <a:stretch/>
                  </pic:blipFill>
                  <pic:spPr bwMode="auto">
                    <a:xfrm>
                      <a:off x="0" y="0"/>
                      <a:ext cx="4787900" cy="1892300"/>
                    </a:xfrm>
                    <a:prstGeom prst="rect">
                      <a:avLst/>
                    </a:prstGeom>
                    <a:ln>
                      <a:noFill/>
                    </a:ln>
                    <a:extLst>
                      <a:ext uri="{53640926-AAD7-44D8-BBD7-CCE9431645EC}">
                        <a14:shadowObscured xmlns:a14="http://schemas.microsoft.com/office/drawing/2010/main"/>
                      </a:ext>
                    </a:extLst>
                  </pic:spPr>
                </pic:pic>
              </a:graphicData>
            </a:graphic>
          </wp:inline>
        </w:drawing>
      </w:r>
    </w:p>
    <w:p w14:paraId="6E8739E5" w14:textId="43ECDD67" w:rsidR="0013432D" w:rsidRPr="0013432D" w:rsidRDefault="00F8072E" w:rsidP="001C1AC5">
      <w:pPr>
        <w:pStyle w:val="Caption"/>
        <w:spacing w:after="0"/>
      </w:pPr>
      <w:bookmarkStart w:id="97" w:name="_Ref159516869"/>
      <w:r w:rsidRPr="00F8072E">
        <w:rPr>
          <w:b/>
          <w:bCs w:val="0"/>
          <w:sz w:val="22"/>
        </w:rPr>
        <w:t xml:space="preserve">Figure </w:t>
      </w:r>
      <w:r w:rsidRPr="00F8072E">
        <w:rPr>
          <w:b/>
          <w:bCs w:val="0"/>
          <w:sz w:val="22"/>
        </w:rPr>
        <w:fldChar w:fldCharType="begin"/>
      </w:r>
      <w:r w:rsidRPr="00F8072E">
        <w:rPr>
          <w:b/>
          <w:bCs w:val="0"/>
          <w:sz w:val="22"/>
        </w:rPr>
        <w:instrText xml:space="preserve"> SEQ Figure \* ARABIC </w:instrText>
      </w:r>
      <w:r w:rsidRPr="00F8072E">
        <w:rPr>
          <w:b/>
          <w:bCs w:val="0"/>
          <w:sz w:val="22"/>
        </w:rPr>
        <w:fldChar w:fldCharType="separate"/>
      </w:r>
      <w:r w:rsidR="003255C0">
        <w:rPr>
          <w:b/>
          <w:bCs w:val="0"/>
          <w:noProof/>
          <w:sz w:val="22"/>
        </w:rPr>
        <w:t>19</w:t>
      </w:r>
      <w:r w:rsidRPr="00F8072E">
        <w:rPr>
          <w:b/>
          <w:bCs w:val="0"/>
          <w:sz w:val="22"/>
        </w:rPr>
        <w:fldChar w:fldCharType="end"/>
      </w:r>
      <w:bookmarkEnd w:id="97"/>
      <w:r w:rsidR="0013432D" w:rsidRPr="0013432D">
        <w:t xml:space="preserve"> </w:t>
      </w:r>
      <w:r w:rsidR="00FA3D7E">
        <w:t>(</w:t>
      </w:r>
      <w:r w:rsidR="00967BAD">
        <w:t>a</w:t>
      </w:r>
      <w:r w:rsidR="0013432D" w:rsidRPr="0013432D">
        <w:t xml:space="preserve">) Plot of the computed theoretical overpotential against </w:t>
      </w:r>
      <m:oMath>
        <m:d>
          <m:dPr>
            <m:ctrlPr>
              <w:rPr>
                <w:rFonts w:ascii="Cambria Math" w:hAnsi="Cambria Math"/>
                <w:i/>
                <w:iCs/>
              </w:rPr>
            </m:ctrlPr>
          </m:dPr>
          <m:e>
            <m:r>
              <w:rPr>
                <w:rFonts w:ascii="Cambria Math" w:hAnsi="Cambria Math"/>
              </w:rPr>
              <m:t>∆</m:t>
            </m:r>
            <m:sSub>
              <m:sSubPr>
                <m:ctrlPr>
                  <w:rPr>
                    <w:rFonts w:ascii="Cambria Math" w:hAnsi="Cambria Math"/>
                    <w:i/>
                    <w:iCs/>
                  </w:rPr>
                </m:ctrlPr>
              </m:sSubPr>
              <m:e>
                <m:r>
                  <w:rPr>
                    <w:rFonts w:ascii="Cambria Math" w:hAnsi="Cambria Math"/>
                  </w:rPr>
                  <m:t>G</m:t>
                </m:r>
              </m:e>
              <m:sub>
                <m:r>
                  <m:rPr>
                    <m:sty m:val="p"/>
                  </m:rPr>
                  <w:rPr>
                    <w:rFonts w:ascii="Cambria Math" w:hAnsi="Cambria Math"/>
                  </w:rPr>
                  <m:t>*O</m:t>
                </m:r>
              </m:sub>
            </m:sSub>
            <m:r>
              <w:rPr>
                <w:rFonts w:ascii="Cambria Math" w:hAnsi="Cambria Math"/>
              </w:rPr>
              <m:t>-∆</m:t>
            </m:r>
            <m:sSub>
              <m:sSubPr>
                <m:ctrlPr>
                  <w:rPr>
                    <w:rFonts w:ascii="Cambria Math" w:hAnsi="Cambria Math"/>
                    <w:i/>
                    <w:iCs/>
                  </w:rPr>
                </m:ctrlPr>
              </m:sSubPr>
              <m:e>
                <m:r>
                  <w:rPr>
                    <w:rFonts w:ascii="Cambria Math" w:hAnsi="Cambria Math"/>
                  </w:rPr>
                  <m:t>G</m:t>
                </m:r>
              </m:e>
              <m:sub>
                <m:r>
                  <m:rPr>
                    <m:sty m:val="p"/>
                  </m:rPr>
                  <w:rPr>
                    <w:rFonts w:ascii="Cambria Math" w:hAnsi="Cambria Math"/>
                  </w:rPr>
                  <m:t>*OH</m:t>
                </m:r>
              </m:sub>
            </m:sSub>
          </m:e>
        </m:d>
      </m:oMath>
      <w:r w:rsidR="0013432D" w:rsidRPr="0013432D">
        <w:rPr>
          <w:iCs/>
        </w:rPr>
        <w:t xml:space="preserve"> for a series of pristine oxides and rutile-type RuO</w:t>
      </w:r>
      <w:r w:rsidR="0013432D" w:rsidRPr="001252AF">
        <w:rPr>
          <w:iCs/>
          <w:vertAlign w:val="subscript"/>
        </w:rPr>
        <w:t>2</w:t>
      </w:r>
      <w:r w:rsidR="0013432D" w:rsidRPr="0013432D">
        <w:rPr>
          <w:iCs/>
        </w:rPr>
        <w:t xml:space="preserve">(110) with Co or Ni substituting a surface Ru atom in the bridge position next to the active CUS site. The volcano curve shows the </w:t>
      </w:r>
      <w:r w:rsidR="0013432D" w:rsidRPr="0013432D">
        <w:t xml:space="preserve">theoretical overpotential computed from the </w:t>
      </w:r>
      <w:r w:rsidR="0013432D" w:rsidRPr="0013432D">
        <w:rPr>
          <w:iCs/>
        </w:rPr>
        <w:t xml:space="preserve">scaling relationships. As in </w:t>
      </w:r>
      <w:r>
        <w:rPr>
          <w:iCs/>
        </w:rPr>
        <w:fldChar w:fldCharType="begin"/>
      </w:r>
      <w:r>
        <w:rPr>
          <w:iCs/>
        </w:rPr>
        <w:instrText xml:space="preserve"> REF _Ref159515052 \h </w:instrText>
      </w:r>
      <w:r>
        <w:rPr>
          <w:iCs/>
        </w:rPr>
      </w:r>
      <w:r>
        <w:rPr>
          <w:iCs/>
        </w:rPr>
        <w:fldChar w:fldCharType="separate"/>
      </w:r>
      <w:r w:rsidR="003255C0" w:rsidRPr="001A79BA">
        <w:rPr>
          <w:b/>
          <w:bCs w:val="0"/>
          <w:sz w:val="22"/>
        </w:rPr>
        <w:t xml:space="preserve">Figure </w:t>
      </w:r>
      <w:r w:rsidR="003255C0">
        <w:rPr>
          <w:b/>
          <w:bCs w:val="0"/>
          <w:noProof/>
          <w:sz w:val="22"/>
        </w:rPr>
        <w:t>15</w:t>
      </w:r>
      <w:r>
        <w:rPr>
          <w:iCs/>
        </w:rPr>
        <w:fldChar w:fldCharType="end"/>
      </w:r>
      <w:r w:rsidR="0013432D" w:rsidRPr="0013432D">
        <w:rPr>
          <w:iCs/>
        </w:rPr>
        <w:t xml:space="preserve">, the scaling volcano is found as </w:t>
      </w:r>
      <m:oMath>
        <m:sSub>
          <m:sSubPr>
            <m:ctrlPr>
              <w:rPr>
                <w:rFonts w:ascii="Cambria Math" w:hAnsi="Cambria Math"/>
                <w:i/>
                <w:iCs/>
              </w:rPr>
            </m:ctrlPr>
          </m:sSubPr>
          <m:e>
            <m:r>
              <w:rPr>
                <w:rFonts w:ascii="Cambria Math" w:hAnsi="Cambria Math"/>
              </w:rPr>
              <m:t>η</m:t>
            </m:r>
          </m:e>
          <m:sub>
            <m:r>
              <m:rPr>
                <m:sty m:val="p"/>
              </m:rPr>
              <w:rPr>
                <w:rFonts w:ascii="Cambria Math" w:hAnsi="Cambria Math"/>
              </w:rPr>
              <m:t>CHE</m:t>
            </m:r>
          </m:sub>
        </m:sSub>
        <m:r>
          <w:rPr>
            <w:rFonts w:ascii="Cambria Math" w:hAnsi="Cambria Math"/>
          </w:rPr>
          <m:t>=</m:t>
        </m:r>
        <m:f>
          <m:fPr>
            <m:ctrlPr>
              <w:rPr>
                <w:rFonts w:ascii="Cambria Math" w:hAnsi="Cambria Math"/>
                <w:i/>
                <w:iCs/>
              </w:rPr>
            </m:ctrlPr>
          </m:fPr>
          <m:num>
            <m:r>
              <w:rPr>
                <w:rFonts w:ascii="Cambria Math" w:hAnsi="Cambria Math"/>
              </w:rPr>
              <m:t>1</m:t>
            </m:r>
          </m:num>
          <m:den>
            <m:r>
              <w:rPr>
                <w:rFonts w:ascii="Cambria Math" w:hAnsi="Cambria Math"/>
              </w:rPr>
              <m:t>e</m:t>
            </m:r>
          </m:den>
        </m:f>
        <m:r>
          <m:rPr>
            <m:sty m:val="p"/>
          </m:rPr>
          <w:rPr>
            <w:rFonts w:ascii="Cambria Math" w:hAnsi="Cambria Math"/>
          </w:rPr>
          <m:t>max</m:t>
        </m:r>
        <m:sSub>
          <m:sSubPr>
            <m:ctrlPr>
              <w:rPr>
                <w:rFonts w:ascii="Cambria Math" w:hAnsi="Cambria Math"/>
                <w:i/>
                <w:iCs/>
              </w:rPr>
            </m:ctrlPr>
          </m:sSubPr>
          <m:e>
            <m:d>
              <m:dPr>
                <m:begChr m:val="["/>
                <m:endChr m:val="]"/>
                <m:ctrlPr>
                  <w:rPr>
                    <w:rFonts w:ascii="Cambria Math" w:hAnsi="Cambria Math"/>
                    <w:i/>
                    <w:iCs/>
                  </w:rPr>
                </m:ctrlPr>
              </m:dPr>
              <m:e>
                <m:d>
                  <m:dPr>
                    <m:ctrlPr>
                      <w:rPr>
                        <w:rFonts w:ascii="Cambria Math" w:hAnsi="Cambria Math"/>
                        <w:i/>
                        <w:iCs/>
                      </w:rPr>
                    </m:ctrlPr>
                  </m:dPr>
                  <m:e>
                    <m:r>
                      <w:rPr>
                        <w:rFonts w:ascii="Cambria Math" w:hAnsi="Cambria Math"/>
                      </w:rPr>
                      <m:t>∆</m:t>
                    </m:r>
                    <m:sSub>
                      <m:sSubPr>
                        <m:ctrlPr>
                          <w:rPr>
                            <w:rFonts w:ascii="Cambria Math" w:hAnsi="Cambria Math"/>
                            <w:i/>
                            <w:iCs/>
                          </w:rPr>
                        </m:ctrlPr>
                      </m:sSubPr>
                      <m:e>
                        <m:r>
                          <w:rPr>
                            <w:rFonts w:ascii="Cambria Math" w:hAnsi="Cambria Math"/>
                          </w:rPr>
                          <m:t>G</m:t>
                        </m:r>
                      </m:e>
                      <m:sub>
                        <m:r>
                          <m:rPr>
                            <m:sty m:val="p"/>
                          </m:rPr>
                          <w:rPr>
                            <w:rFonts w:ascii="Cambria Math" w:hAnsi="Cambria Math"/>
                          </w:rPr>
                          <m:t>*O</m:t>
                        </m:r>
                      </m:sub>
                    </m:sSub>
                    <m:r>
                      <w:rPr>
                        <w:rFonts w:ascii="Cambria Math" w:hAnsi="Cambria Math"/>
                      </w:rPr>
                      <m:t>-∆</m:t>
                    </m:r>
                    <m:sSub>
                      <m:sSubPr>
                        <m:ctrlPr>
                          <w:rPr>
                            <w:rFonts w:ascii="Cambria Math" w:hAnsi="Cambria Math"/>
                            <w:i/>
                            <w:iCs/>
                          </w:rPr>
                        </m:ctrlPr>
                      </m:sSubPr>
                      <m:e>
                        <m:r>
                          <w:rPr>
                            <w:rFonts w:ascii="Cambria Math" w:hAnsi="Cambria Math"/>
                          </w:rPr>
                          <m:t>G</m:t>
                        </m:r>
                      </m:e>
                      <m:sub>
                        <m:r>
                          <m:rPr>
                            <m:sty m:val="p"/>
                          </m:rPr>
                          <w:rPr>
                            <w:rFonts w:ascii="Cambria Math" w:hAnsi="Cambria Math"/>
                          </w:rPr>
                          <m:t>*OH</m:t>
                        </m:r>
                      </m:sub>
                    </m:sSub>
                  </m:e>
                </m:d>
                <m:r>
                  <w:rPr>
                    <w:rFonts w:ascii="Cambria Math" w:hAnsi="Cambria Math"/>
                  </w:rPr>
                  <m:t xml:space="preserve">,3.2 </m:t>
                </m:r>
                <m:r>
                  <m:rPr>
                    <m:sty m:val="p"/>
                  </m:rPr>
                  <w:rPr>
                    <w:rFonts w:ascii="Cambria Math" w:hAnsi="Cambria Math"/>
                  </w:rPr>
                  <m:t>eV</m:t>
                </m:r>
                <m:r>
                  <w:rPr>
                    <w:rFonts w:ascii="Cambria Math" w:hAnsi="Cambria Math"/>
                  </w:rPr>
                  <m:t>-</m:t>
                </m:r>
                <m:d>
                  <m:dPr>
                    <m:ctrlPr>
                      <w:rPr>
                        <w:rFonts w:ascii="Cambria Math" w:hAnsi="Cambria Math"/>
                        <w:i/>
                        <w:iCs/>
                      </w:rPr>
                    </m:ctrlPr>
                  </m:dPr>
                  <m:e>
                    <m:r>
                      <w:rPr>
                        <w:rFonts w:ascii="Cambria Math" w:hAnsi="Cambria Math"/>
                      </w:rPr>
                      <m:t>∆</m:t>
                    </m:r>
                    <m:sSub>
                      <m:sSubPr>
                        <m:ctrlPr>
                          <w:rPr>
                            <w:rFonts w:ascii="Cambria Math" w:hAnsi="Cambria Math"/>
                            <w:i/>
                            <w:iCs/>
                          </w:rPr>
                        </m:ctrlPr>
                      </m:sSubPr>
                      <m:e>
                        <m:r>
                          <w:rPr>
                            <w:rFonts w:ascii="Cambria Math" w:hAnsi="Cambria Math"/>
                          </w:rPr>
                          <m:t>G</m:t>
                        </m:r>
                      </m:e>
                      <m:sub>
                        <m:r>
                          <m:rPr>
                            <m:sty m:val="p"/>
                          </m:rPr>
                          <w:rPr>
                            <w:rFonts w:ascii="Cambria Math" w:hAnsi="Cambria Math"/>
                          </w:rPr>
                          <m:t>*O</m:t>
                        </m:r>
                      </m:sub>
                    </m:sSub>
                    <m:r>
                      <w:rPr>
                        <w:rFonts w:ascii="Cambria Math" w:hAnsi="Cambria Math"/>
                      </w:rPr>
                      <m:t>-∆</m:t>
                    </m:r>
                    <m:sSub>
                      <m:sSubPr>
                        <m:ctrlPr>
                          <w:rPr>
                            <w:rFonts w:ascii="Cambria Math" w:hAnsi="Cambria Math"/>
                            <w:i/>
                            <w:iCs/>
                          </w:rPr>
                        </m:ctrlPr>
                      </m:sSubPr>
                      <m:e>
                        <m:r>
                          <w:rPr>
                            <w:rFonts w:ascii="Cambria Math" w:hAnsi="Cambria Math"/>
                          </w:rPr>
                          <m:t>G</m:t>
                        </m:r>
                      </m:e>
                      <m:sub>
                        <m:r>
                          <m:rPr>
                            <m:sty m:val="p"/>
                          </m:rPr>
                          <w:rPr>
                            <w:rFonts w:ascii="Cambria Math" w:hAnsi="Cambria Math"/>
                          </w:rPr>
                          <m:t>*OH</m:t>
                        </m:r>
                      </m:sub>
                    </m:sSub>
                  </m:e>
                </m:d>
              </m:e>
            </m:d>
          </m:e>
          <m:sub>
            <m:r>
              <w:rPr>
                <w:rFonts w:ascii="Cambria Math" w:hAnsi="Cambria Math"/>
              </w:rPr>
              <m:t>U=0</m:t>
            </m:r>
          </m:sub>
        </m:sSub>
        <m:r>
          <w:rPr>
            <w:rFonts w:ascii="Cambria Math" w:hAnsi="Cambria Math"/>
          </w:rPr>
          <m:t xml:space="preserve">-1.23 </m:t>
        </m:r>
        <m:r>
          <m:rPr>
            <m:sty m:val="p"/>
          </m:rPr>
          <w:rPr>
            <w:rFonts w:ascii="Cambria Math" w:hAnsi="Cambria Math"/>
          </w:rPr>
          <m:t>V</m:t>
        </m:r>
      </m:oMath>
      <w:r w:rsidR="0013432D" w:rsidRPr="0013432D">
        <w:t xml:space="preserve">. By breaking the </w:t>
      </w:r>
      <w:r w:rsidR="0013432D" w:rsidRPr="0013432D">
        <w:sym w:font="Symbol" w:char="F044"/>
      </w:r>
      <w:r w:rsidR="0013432D" w:rsidRPr="0013432D">
        <w:rPr>
          <w:i/>
          <w:iCs/>
        </w:rPr>
        <w:t>G</w:t>
      </w:r>
      <w:r w:rsidR="0013432D" w:rsidRPr="0013432D">
        <w:rPr>
          <w:vertAlign w:val="subscript"/>
        </w:rPr>
        <w:t>*OOH</w:t>
      </w:r>
      <w:r w:rsidR="0013432D" w:rsidRPr="0013432D">
        <w:t xml:space="preserve"> =</w:t>
      </w:r>
      <w:r w:rsidR="0013432D" w:rsidRPr="0013432D">
        <w:sym w:font="Symbol" w:char="F044"/>
      </w:r>
      <w:r w:rsidR="0013432D" w:rsidRPr="0013432D">
        <w:rPr>
          <w:i/>
          <w:iCs/>
        </w:rPr>
        <w:t>G</w:t>
      </w:r>
      <w:r w:rsidR="0013432D" w:rsidRPr="0013432D">
        <w:rPr>
          <w:vertAlign w:val="subscript"/>
        </w:rPr>
        <w:t>*OOH</w:t>
      </w:r>
      <w:r w:rsidR="0013432D" w:rsidRPr="0013432D">
        <w:t>+3.2 eV scaling relationship, the doped RuO</w:t>
      </w:r>
      <w:r w:rsidR="0013432D" w:rsidRPr="0013432D">
        <w:rPr>
          <w:vertAlign w:val="subscript"/>
        </w:rPr>
        <w:t>2</w:t>
      </w:r>
      <w:r w:rsidR="0013432D" w:rsidRPr="0013432D">
        <w:t xml:space="preserve"> can be seen to follow </w:t>
      </w:r>
      <m:oMath>
        <m:sSub>
          <m:sSubPr>
            <m:ctrlPr>
              <w:rPr>
                <w:rFonts w:ascii="Cambria Math" w:hAnsi="Cambria Math"/>
                <w:i/>
                <w:iCs/>
              </w:rPr>
            </m:ctrlPr>
          </m:sSubPr>
          <m:e>
            <m:r>
              <w:rPr>
                <w:rFonts w:ascii="Cambria Math" w:hAnsi="Cambria Math"/>
              </w:rPr>
              <m:t>η</m:t>
            </m:r>
          </m:e>
          <m:sub>
            <m:r>
              <m:rPr>
                <m:sty m:val="p"/>
              </m:rPr>
              <w:rPr>
                <w:rFonts w:ascii="Cambria Math" w:hAnsi="Cambria Math"/>
              </w:rPr>
              <m:t>CHE</m:t>
            </m:r>
          </m:sub>
        </m:sSub>
        <m:r>
          <w:rPr>
            <w:rFonts w:ascii="Cambria Math" w:hAnsi="Cambria Math"/>
          </w:rPr>
          <m:t>=</m:t>
        </m:r>
        <m:f>
          <m:fPr>
            <m:ctrlPr>
              <w:rPr>
                <w:rFonts w:ascii="Cambria Math" w:hAnsi="Cambria Math"/>
                <w:i/>
                <w:iCs/>
              </w:rPr>
            </m:ctrlPr>
          </m:fPr>
          <m:num>
            <m:r>
              <w:rPr>
                <w:rFonts w:ascii="Cambria Math" w:hAnsi="Cambria Math"/>
              </w:rPr>
              <m:t>1</m:t>
            </m:r>
          </m:num>
          <m:den>
            <m:r>
              <w:rPr>
                <w:rFonts w:ascii="Cambria Math" w:hAnsi="Cambria Math"/>
              </w:rPr>
              <m:t>e</m:t>
            </m:r>
          </m:den>
        </m:f>
        <m:r>
          <m:rPr>
            <m:sty m:val="p"/>
          </m:rPr>
          <w:rPr>
            <w:rFonts w:ascii="Cambria Math" w:hAnsi="Cambria Math"/>
          </w:rPr>
          <m:t>max</m:t>
        </m:r>
        <m:sSub>
          <m:sSubPr>
            <m:ctrlPr>
              <w:rPr>
                <w:rFonts w:ascii="Cambria Math" w:hAnsi="Cambria Math"/>
                <w:i/>
                <w:iCs/>
              </w:rPr>
            </m:ctrlPr>
          </m:sSubPr>
          <m:e>
            <m:d>
              <m:dPr>
                <m:begChr m:val="["/>
                <m:endChr m:val="]"/>
                <m:ctrlPr>
                  <w:rPr>
                    <w:rFonts w:ascii="Cambria Math" w:hAnsi="Cambria Math"/>
                    <w:i/>
                    <w:iCs/>
                  </w:rPr>
                </m:ctrlPr>
              </m:dPr>
              <m:e>
                <m:d>
                  <m:dPr>
                    <m:ctrlPr>
                      <w:rPr>
                        <w:rFonts w:ascii="Cambria Math" w:hAnsi="Cambria Math"/>
                        <w:i/>
                        <w:iCs/>
                      </w:rPr>
                    </m:ctrlPr>
                  </m:dPr>
                  <m:e>
                    <m:r>
                      <w:rPr>
                        <w:rFonts w:ascii="Cambria Math" w:hAnsi="Cambria Math"/>
                      </w:rPr>
                      <m:t>∆</m:t>
                    </m:r>
                    <m:sSub>
                      <m:sSubPr>
                        <m:ctrlPr>
                          <w:rPr>
                            <w:rFonts w:ascii="Cambria Math" w:hAnsi="Cambria Math"/>
                            <w:i/>
                            <w:iCs/>
                          </w:rPr>
                        </m:ctrlPr>
                      </m:sSubPr>
                      <m:e>
                        <m:r>
                          <w:rPr>
                            <w:rFonts w:ascii="Cambria Math" w:hAnsi="Cambria Math"/>
                          </w:rPr>
                          <m:t>G</m:t>
                        </m:r>
                      </m:e>
                      <m:sub>
                        <m:r>
                          <m:rPr>
                            <m:sty m:val="p"/>
                          </m:rPr>
                          <w:rPr>
                            <w:rFonts w:ascii="Cambria Math" w:hAnsi="Cambria Math"/>
                          </w:rPr>
                          <m:t>*O</m:t>
                        </m:r>
                      </m:sub>
                    </m:sSub>
                    <m:r>
                      <w:rPr>
                        <w:rFonts w:ascii="Cambria Math" w:hAnsi="Cambria Math"/>
                      </w:rPr>
                      <m:t>-∆</m:t>
                    </m:r>
                    <m:sSub>
                      <m:sSubPr>
                        <m:ctrlPr>
                          <w:rPr>
                            <w:rFonts w:ascii="Cambria Math" w:hAnsi="Cambria Math"/>
                            <w:i/>
                            <w:iCs/>
                          </w:rPr>
                        </m:ctrlPr>
                      </m:sSubPr>
                      <m:e>
                        <m:r>
                          <w:rPr>
                            <w:rFonts w:ascii="Cambria Math" w:hAnsi="Cambria Math"/>
                          </w:rPr>
                          <m:t>G</m:t>
                        </m:r>
                      </m:e>
                      <m:sub>
                        <m:r>
                          <m:rPr>
                            <m:sty m:val="p"/>
                          </m:rPr>
                          <w:rPr>
                            <w:rFonts w:ascii="Cambria Math" w:hAnsi="Cambria Math"/>
                          </w:rPr>
                          <m:t>*OH</m:t>
                        </m:r>
                      </m:sub>
                    </m:sSub>
                  </m:e>
                </m:d>
              </m:e>
            </m:d>
          </m:e>
          <m:sub>
            <m:r>
              <w:rPr>
                <w:rFonts w:ascii="Cambria Math" w:hAnsi="Cambria Math"/>
              </w:rPr>
              <m:t>U=0</m:t>
            </m:r>
          </m:sub>
        </m:sSub>
        <m:r>
          <w:rPr>
            <w:rFonts w:ascii="Cambria Math" w:hAnsi="Cambria Math"/>
          </w:rPr>
          <m:t xml:space="preserve">-1.23 </m:t>
        </m:r>
        <m:r>
          <m:rPr>
            <m:sty m:val="p"/>
          </m:rPr>
          <w:rPr>
            <w:rFonts w:ascii="Cambria Math" w:hAnsi="Cambria Math"/>
          </w:rPr>
          <m:t>V</m:t>
        </m:r>
      </m:oMath>
      <w:r w:rsidR="0013432D" w:rsidRPr="0013432D">
        <w:t xml:space="preserve"> even at low values of </w:t>
      </w:r>
      <m:oMath>
        <m:d>
          <m:dPr>
            <m:ctrlPr>
              <w:rPr>
                <w:rFonts w:ascii="Cambria Math" w:hAnsi="Cambria Math"/>
                <w:i/>
                <w:iCs/>
              </w:rPr>
            </m:ctrlPr>
          </m:dPr>
          <m:e>
            <m:r>
              <w:rPr>
                <w:rFonts w:ascii="Cambria Math" w:hAnsi="Cambria Math"/>
              </w:rPr>
              <m:t>∆</m:t>
            </m:r>
            <m:sSub>
              <m:sSubPr>
                <m:ctrlPr>
                  <w:rPr>
                    <w:rFonts w:ascii="Cambria Math" w:hAnsi="Cambria Math"/>
                    <w:i/>
                    <w:iCs/>
                  </w:rPr>
                </m:ctrlPr>
              </m:sSubPr>
              <m:e>
                <m:r>
                  <w:rPr>
                    <w:rFonts w:ascii="Cambria Math" w:hAnsi="Cambria Math"/>
                  </w:rPr>
                  <m:t>G</m:t>
                </m:r>
              </m:e>
              <m:sub>
                <m:r>
                  <m:rPr>
                    <m:sty m:val="p"/>
                  </m:rPr>
                  <w:rPr>
                    <w:rFonts w:ascii="Cambria Math" w:hAnsi="Cambria Math"/>
                  </w:rPr>
                  <m:t>*O</m:t>
                </m:r>
              </m:sub>
            </m:sSub>
            <m:r>
              <w:rPr>
                <w:rFonts w:ascii="Cambria Math" w:hAnsi="Cambria Math"/>
              </w:rPr>
              <m:t>-∆</m:t>
            </m:r>
            <m:sSub>
              <m:sSubPr>
                <m:ctrlPr>
                  <w:rPr>
                    <w:rFonts w:ascii="Cambria Math" w:hAnsi="Cambria Math"/>
                    <w:i/>
                    <w:iCs/>
                  </w:rPr>
                </m:ctrlPr>
              </m:sSubPr>
              <m:e>
                <m:r>
                  <w:rPr>
                    <w:rFonts w:ascii="Cambria Math" w:hAnsi="Cambria Math"/>
                  </w:rPr>
                  <m:t>G</m:t>
                </m:r>
              </m:e>
              <m:sub>
                <m:r>
                  <m:rPr>
                    <m:sty m:val="p"/>
                  </m:rPr>
                  <w:rPr>
                    <w:rFonts w:ascii="Cambria Math" w:hAnsi="Cambria Math"/>
                  </w:rPr>
                  <m:t>*OH</m:t>
                </m:r>
              </m:sub>
            </m:sSub>
          </m:e>
        </m:d>
        <m:r>
          <w:rPr>
            <w:rFonts w:ascii="Cambria Math" w:hAnsi="Cambria Math"/>
          </w:rPr>
          <m:t>.</m:t>
        </m:r>
      </m:oMath>
      <w:r w:rsidR="0013432D" w:rsidRPr="0013432D">
        <w:t xml:space="preserve"> </w:t>
      </w:r>
      <w:r w:rsidR="0013432D" w:rsidRPr="0013432D">
        <w:rPr>
          <w:iCs/>
        </w:rPr>
        <w:t xml:space="preserve">The dashed line shows the continuation of the </w:t>
      </w:r>
      <m:oMath>
        <m:d>
          <m:dPr>
            <m:ctrlPr>
              <w:rPr>
                <w:rFonts w:ascii="Cambria Math" w:hAnsi="Cambria Math"/>
                <w:i/>
                <w:iCs/>
              </w:rPr>
            </m:ctrlPr>
          </m:dPr>
          <m:e>
            <m:r>
              <w:rPr>
                <w:rFonts w:ascii="Cambria Math" w:hAnsi="Cambria Math"/>
              </w:rPr>
              <m:t>∆</m:t>
            </m:r>
            <m:sSub>
              <m:sSubPr>
                <m:ctrlPr>
                  <w:rPr>
                    <w:rFonts w:ascii="Cambria Math" w:hAnsi="Cambria Math"/>
                    <w:i/>
                    <w:iCs/>
                  </w:rPr>
                </m:ctrlPr>
              </m:sSubPr>
              <m:e>
                <m:r>
                  <w:rPr>
                    <w:rFonts w:ascii="Cambria Math" w:hAnsi="Cambria Math"/>
                  </w:rPr>
                  <m:t>G</m:t>
                </m:r>
              </m:e>
              <m:sub>
                <m:r>
                  <m:rPr>
                    <m:sty m:val="p"/>
                  </m:rPr>
                  <w:rPr>
                    <w:rFonts w:ascii="Cambria Math" w:hAnsi="Cambria Math"/>
                  </w:rPr>
                  <m:t>*O</m:t>
                </m:r>
              </m:sub>
            </m:sSub>
            <m:r>
              <w:rPr>
                <w:rFonts w:ascii="Cambria Math" w:hAnsi="Cambria Math"/>
              </w:rPr>
              <m:t>-∆</m:t>
            </m:r>
            <m:sSub>
              <m:sSubPr>
                <m:ctrlPr>
                  <w:rPr>
                    <w:rFonts w:ascii="Cambria Math" w:hAnsi="Cambria Math"/>
                    <w:i/>
                    <w:iCs/>
                  </w:rPr>
                </m:ctrlPr>
              </m:sSubPr>
              <m:e>
                <m:r>
                  <w:rPr>
                    <w:rFonts w:ascii="Cambria Math" w:hAnsi="Cambria Math"/>
                  </w:rPr>
                  <m:t>G</m:t>
                </m:r>
              </m:e>
              <m:sub>
                <m:r>
                  <m:rPr>
                    <m:sty m:val="p"/>
                  </m:rPr>
                  <w:rPr>
                    <w:rFonts w:ascii="Cambria Math" w:hAnsi="Cambria Math"/>
                  </w:rPr>
                  <m:t>*OH</m:t>
                </m:r>
              </m:sub>
            </m:sSub>
          </m:e>
        </m:d>
      </m:oMath>
      <w:r w:rsidR="0013432D" w:rsidRPr="0013432D">
        <w:rPr>
          <w:iCs/>
        </w:rPr>
        <w:t xml:space="preserve"> line to </w:t>
      </w:r>
      <w:r w:rsidR="0013432D" w:rsidRPr="0013432D">
        <w:rPr>
          <w:i/>
        </w:rPr>
        <w:sym w:font="Symbol" w:char="F068"/>
      </w:r>
      <w:r w:rsidR="0013432D" w:rsidRPr="0013432D">
        <w:rPr>
          <w:iCs/>
          <w:vertAlign w:val="subscript"/>
        </w:rPr>
        <w:t>CHE</w:t>
      </w:r>
      <w:r w:rsidR="0013432D" w:rsidRPr="0013432D">
        <w:rPr>
          <w:iCs/>
        </w:rPr>
        <w:t xml:space="preserve">=0, see </w:t>
      </w:r>
      <w:r>
        <w:rPr>
          <w:iCs/>
        </w:rPr>
        <w:fldChar w:fldCharType="begin"/>
      </w:r>
      <w:r>
        <w:rPr>
          <w:iCs/>
        </w:rPr>
        <w:instrText xml:space="preserve"> REF _Ref159515052 \h </w:instrText>
      </w:r>
      <w:r>
        <w:rPr>
          <w:iCs/>
        </w:rPr>
      </w:r>
      <w:r>
        <w:rPr>
          <w:iCs/>
        </w:rPr>
        <w:fldChar w:fldCharType="separate"/>
      </w:r>
      <w:r w:rsidR="003255C0" w:rsidRPr="001A79BA">
        <w:rPr>
          <w:b/>
          <w:bCs w:val="0"/>
          <w:sz w:val="22"/>
        </w:rPr>
        <w:t xml:space="preserve">Figure </w:t>
      </w:r>
      <w:r w:rsidR="003255C0">
        <w:rPr>
          <w:b/>
          <w:bCs w:val="0"/>
          <w:noProof/>
          <w:sz w:val="22"/>
        </w:rPr>
        <w:t>15</w:t>
      </w:r>
      <w:r>
        <w:rPr>
          <w:iCs/>
        </w:rPr>
        <w:fldChar w:fldCharType="end"/>
      </w:r>
      <w:r w:rsidR="0013432D" w:rsidRPr="0013432D">
        <w:rPr>
          <w:iCs/>
        </w:rPr>
        <w:t xml:space="preserve"> for more details. </w:t>
      </w:r>
      <w:r w:rsidR="00FA3D7E">
        <w:rPr>
          <w:iCs/>
        </w:rPr>
        <w:t>(</w:t>
      </w:r>
      <w:r w:rsidR="00967BAD">
        <w:rPr>
          <w:iCs/>
        </w:rPr>
        <w:t>b</w:t>
      </w:r>
      <w:r w:rsidR="0013432D" w:rsidRPr="0013432D">
        <w:rPr>
          <w:iCs/>
        </w:rPr>
        <w:t xml:space="preserve">) The correlation between the measured current density measured at 1.6 V (vs. RHE) and the theoretical overpotential for different oxides. For the mixed oxides a concentration of Ni or Co of 0.05 is chosen to represent the activity per site for the cation modified </w:t>
      </w:r>
      <w:proofErr w:type="spellStart"/>
      <w:r w:rsidR="0013432D" w:rsidRPr="0013432D">
        <w:rPr>
          <w:iCs/>
        </w:rPr>
        <w:t>ruthenia</w:t>
      </w:r>
      <w:proofErr w:type="spellEnd"/>
      <w:r w:rsidR="0013432D" w:rsidRPr="0013432D">
        <w:rPr>
          <w:iCs/>
        </w:rPr>
        <w:t xml:space="preserve">. The </w:t>
      </w:r>
      <w:r w:rsidR="00705F6E">
        <w:t>f</w:t>
      </w:r>
      <w:r w:rsidR="0013432D" w:rsidRPr="0013432D">
        <w:t xml:space="preserve">igure </w:t>
      </w:r>
      <w:r w:rsidR="00705F6E">
        <w:t>r</w:t>
      </w:r>
      <w:r w:rsidR="000757AA">
        <w:t>eproduced from Ref.</w:t>
      </w:r>
      <w:r w:rsidR="0013432D" w:rsidRPr="0013432D">
        <w:t xml:space="preserve"> </w:t>
      </w:r>
      <w:r w:rsidR="0013432D" w:rsidRPr="0013432D">
        <w:fldChar w:fldCharType="begin"/>
      </w:r>
      <w:r w:rsidR="00FC5BEB">
        <w:instrText xml:space="preserve"> ADDIN EN.CITE &lt;EndNote&gt;&lt;Cite&gt;&lt;Author&gt;Halck&lt;/Author&gt;&lt;Year&gt;2014&lt;/Year&gt;&lt;RecNum&gt;238&lt;/RecNum&gt;&lt;DisplayText&gt;&lt;style face="superscript"&gt;240&lt;/style&gt;&lt;/DisplayText&gt;&lt;record&gt;&lt;rec-number&gt;238&lt;/rec-number&gt;&lt;foreign-keys&gt;&lt;key app="EN" db-id="2xex0erf4eexr4e2dpbxpdd829xttesxxxdr" timestamp="1715075296"&gt;238&lt;/key&gt;&lt;/foreign-keys&gt;&lt;ref-type name="Journal Article"&gt;17&lt;/ref-type&gt;&lt;contributors&gt;&lt;authors&gt;&lt;author&gt;Halck, Niels Bendtsen&lt;/author&gt;&lt;author&gt;Petrykin, Valery&lt;/author&gt;&lt;author&gt;Krtil, Petr&lt;/author&gt;&lt;author&gt;Rossmeisl, Jan&lt;/author&gt;&lt;/authors&gt;&lt;/contributors&gt;&lt;titles&gt;&lt;title&gt;Beyond the volcano limitations in electrocatalysis – oxygen evolution reaction&lt;/title&gt;&lt;secondary-title&gt;Physical Chemistry Chemical Physics&lt;/secondary-title&gt;&lt;/titles&gt;&lt;periodical&gt;&lt;full-title&gt;Physical Chemistry Chemical Physics&lt;/full-title&gt;&lt;abbr-1&gt;Phys. Chem. Chem. Phys.&lt;/abbr-1&gt;&lt;abbr-2&gt;Phys Chem Chem Phys&lt;/abbr-2&gt;&lt;/periodical&gt;&lt;pages&gt;13682-13688&lt;/pages&gt;&lt;volume&gt;16&lt;/volume&gt;&lt;number&gt;27&lt;/number&gt;&lt;dates&gt;&lt;year&gt;2014&lt;/year&gt;&lt;/dates&gt;&lt;publisher&gt;The Royal Society of Chemistry&lt;/publisher&gt;&lt;isbn&gt;1463-9076&lt;/isbn&gt;&lt;work-type&gt;10.1039/C4CP00571F&lt;/work-type&gt;&lt;urls&gt;&lt;related-urls&gt;&lt;url&gt;http://dx.doi.org/10.1039/C4CP00571F&lt;/url&gt;&lt;/related-urls&gt;&lt;/urls&gt;&lt;electronic-resource-num&gt;10.1039/C4CP00571F&lt;/electronic-resource-num&gt;&lt;/record&gt;&lt;/Cite&gt;&lt;/EndNote&gt;</w:instrText>
      </w:r>
      <w:r w:rsidR="0013432D" w:rsidRPr="0013432D">
        <w:fldChar w:fldCharType="separate"/>
      </w:r>
      <w:r w:rsidR="00FC5BEB" w:rsidRPr="00FC5BEB">
        <w:rPr>
          <w:noProof/>
          <w:vertAlign w:val="superscript"/>
        </w:rPr>
        <w:t>240</w:t>
      </w:r>
      <w:r w:rsidR="0013432D" w:rsidRPr="0013432D">
        <w:fldChar w:fldCharType="end"/>
      </w:r>
      <w:r w:rsidR="00794428">
        <w:t xml:space="preserve"> </w:t>
      </w:r>
      <w:r w:rsidR="00794428" w:rsidRPr="00794428">
        <w:rPr>
          <w:lang w:val="en-US"/>
        </w:rPr>
        <w:t>with permission from the PCCP Owner Societies.</w:t>
      </w:r>
    </w:p>
    <w:p w14:paraId="06494410" w14:textId="77777777" w:rsidR="00DE0E88" w:rsidRDefault="00DE0E88" w:rsidP="00A54921">
      <w:pPr>
        <w:ind w:firstLine="720"/>
      </w:pPr>
    </w:p>
    <w:p w14:paraId="54C50964" w14:textId="186309A9" w:rsidR="0013432D" w:rsidRPr="0013432D" w:rsidRDefault="0013432D" w:rsidP="00A54921">
      <w:pPr>
        <w:ind w:firstLine="720"/>
        <w:rPr>
          <w:iCs/>
        </w:rPr>
      </w:pPr>
      <w:r w:rsidRPr="0013432D">
        <w:t xml:space="preserve">The reason for the significant change in </w:t>
      </w:r>
      <w:r w:rsidRPr="0013432D">
        <w:rPr>
          <w:i/>
        </w:rPr>
        <w:sym w:font="Symbol" w:char="F068"/>
      </w:r>
      <w:r w:rsidRPr="0013432D">
        <w:rPr>
          <w:iCs/>
          <w:vertAlign w:val="subscript"/>
        </w:rPr>
        <w:t>CHE</w:t>
      </w:r>
      <w:r w:rsidRPr="0013432D">
        <w:rPr>
          <w:iCs/>
        </w:rPr>
        <w:t xml:space="preserve"> of RuO</w:t>
      </w:r>
      <w:r w:rsidRPr="0013432D">
        <w:rPr>
          <w:iCs/>
          <w:vertAlign w:val="subscript"/>
        </w:rPr>
        <w:t>2</w:t>
      </w:r>
      <w:r w:rsidRPr="0013432D">
        <w:rPr>
          <w:iCs/>
        </w:rPr>
        <w:t xml:space="preserve"> (110) with Co or Ni doping lies in the activation of bridge sites, as the presence of Co or Ni in the bridge does not alter the oxygen adsorption energy on the Ru CUS site. Rather, by activating a bridge site, the dopants</w:t>
      </w:r>
      <w:r w:rsidRPr="0013432D">
        <w:t xml:space="preserve"> </w:t>
      </w:r>
      <w:r w:rsidRPr="0013432D">
        <w:rPr>
          <w:iCs/>
        </w:rPr>
        <w:t xml:space="preserve">remove the problem that the free energy of the intermediates scales in the same fashion that gives rise to the scaling relationship seen in </w:t>
      </w:r>
      <w:r w:rsidR="00F8072E">
        <w:rPr>
          <w:iCs/>
        </w:rPr>
        <w:fldChar w:fldCharType="begin"/>
      </w:r>
      <w:r w:rsidR="00F8072E">
        <w:rPr>
          <w:iCs/>
        </w:rPr>
        <w:instrText xml:space="preserve"> REF _Ref159515052 \h </w:instrText>
      </w:r>
      <w:r w:rsidR="00F8072E">
        <w:rPr>
          <w:iCs/>
        </w:rPr>
      </w:r>
      <w:r w:rsidR="00F8072E">
        <w:rPr>
          <w:iCs/>
        </w:rPr>
        <w:fldChar w:fldCharType="separate"/>
      </w:r>
      <w:r w:rsidR="003255C0" w:rsidRPr="001A79BA">
        <w:rPr>
          <w:b/>
          <w:bCs/>
        </w:rPr>
        <w:t xml:space="preserve">Figure </w:t>
      </w:r>
      <w:r w:rsidR="003255C0">
        <w:rPr>
          <w:b/>
          <w:bCs/>
          <w:noProof/>
        </w:rPr>
        <w:t>15</w:t>
      </w:r>
      <w:r w:rsidR="00F8072E">
        <w:rPr>
          <w:iCs/>
        </w:rPr>
        <w:fldChar w:fldCharType="end"/>
      </w:r>
      <w:r w:rsidRPr="0013432D">
        <w:rPr>
          <w:iCs/>
        </w:rPr>
        <w:t xml:space="preserve"> and </w:t>
      </w:r>
      <w:r w:rsidR="00F8072E">
        <w:rPr>
          <w:iCs/>
        </w:rPr>
        <w:fldChar w:fldCharType="begin"/>
      </w:r>
      <w:r w:rsidR="00F8072E">
        <w:rPr>
          <w:iCs/>
        </w:rPr>
        <w:instrText xml:space="preserve"> REF _Ref159515302 \h </w:instrText>
      </w:r>
      <w:r w:rsidR="00F8072E">
        <w:rPr>
          <w:iCs/>
        </w:rPr>
      </w:r>
      <w:r w:rsidR="00F8072E">
        <w:rPr>
          <w:iCs/>
        </w:rPr>
        <w:fldChar w:fldCharType="separate"/>
      </w:r>
      <w:r w:rsidR="003255C0" w:rsidRPr="001A79BA">
        <w:rPr>
          <w:b/>
          <w:bCs/>
        </w:rPr>
        <w:t xml:space="preserve">Figure </w:t>
      </w:r>
      <w:r w:rsidR="003255C0">
        <w:rPr>
          <w:b/>
          <w:bCs/>
          <w:noProof/>
        </w:rPr>
        <w:t>16</w:t>
      </w:r>
      <w:r w:rsidR="00F8072E">
        <w:rPr>
          <w:iCs/>
        </w:rPr>
        <w:fldChar w:fldCharType="end"/>
      </w:r>
      <w:r w:rsidRPr="0013432D">
        <w:rPr>
          <w:iCs/>
        </w:rPr>
        <w:t xml:space="preserve">. </w:t>
      </w:r>
      <w:r w:rsidR="00F8072E">
        <w:rPr>
          <w:iCs/>
        </w:rPr>
        <w:fldChar w:fldCharType="begin"/>
      </w:r>
      <w:r w:rsidR="00F8072E">
        <w:rPr>
          <w:iCs/>
        </w:rPr>
        <w:instrText xml:space="preserve"> REF _Ref159517047 \h </w:instrText>
      </w:r>
      <w:r w:rsidR="00F8072E">
        <w:rPr>
          <w:iCs/>
        </w:rPr>
      </w:r>
      <w:r w:rsidR="00F8072E">
        <w:rPr>
          <w:iCs/>
        </w:rPr>
        <w:fldChar w:fldCharType="separate"/>
      </w:r>
      <w:r w:rsidR="003255C0" w:rsidRPr="00F8072E">
        <w:rPr>
          <w:b/>
          <w:bCs/>
        </w:rPr>
        <w:t xml:space="preserve">Figure </w:t>
      </w:r>
      <w:r w:rsidR="003255C0">
        <w:rPr>
          <w:b/>
          <w:bCs/>
          <w:noProof/>
        </w:rPr>
        <w:t>20</w:t>
      </w:r>
      <w:r w:rsidR="00F8072E">
        <w:rPr>
          <w:iCs/>
        </w:rPr>
        <w:fldChar w:fldCharType="end"/>
      </w:r>
      <w:r w:rsidRPr="0013432D">
        <w:rPr>
          <w:iCs/>
        </w:rPr>
        <w:t xml:space="preserve"> shows what is meant by bridge site activation. The typical single-site nucleophilic attack mechanism is depicted for RuO</w:t>
      </w:r>
      <w:r w:rsidRPr="0013432D">
        <w:rPr>
          <w:iCs/>
          <w:vertAlign w:val="subscript"/>
        </w:rPr>
        <w:t>2</w:t>
      </w:r>
      <w:r w:rsidRPr="0013432D">
        <w:rPr>
          <w:iCs/>
        </w:rPr>
        <w:t xml:space="preserve"> (110) in the top panels. Here, all PCET </w:t>
      </w:r>
      <w:r w:rsidRPr="004B35B6">
        <w:rPr>
          <w:iCs/>
          <w:szCs w:val="22"/>
        </w:rPr>
        <w:t xml:space="preserve">reactions, </w:t>
      </w:r>
      <w:r w:rsidR="00F8072E" w:rsidRPr="004B35B6">
        <w:rPr>
          <w:iCs/>
          <w:szCs w:val="22"/>
        </w:rPr>
        <w:fldChar w:fldCharType="begin"/>
      </w:r>
      <w:r w:rsidR="00F8072E" w:rsidRPr="004B35B6">
        <w:rPr>
          <w:iCs/>
          <w:szCs w:val="22"/>
        </w:rPr>
        <w:instrText xml:space="preserve"> REF _Ref159510668 \h </w:instrText>
      </w:r>
      <w:r w:rsidR="004B35B6">
        <w:rPr>
          <w:iCs/>
          <w:szCs w:val="22"/>
        </w:rPr>
        <w:instrText xml:space="preserve"> \* MERGEFORMAT </w:instrText>
      </w:r>
      <w:r w:rsidR="00F8072E" w:rsidRPr="004B35B6">
        <w:rPr>
          <w:iCs/>
          <w:szCs w:val="22"/>
        </w:rPr>
      </w:r>
      <w:r w:rsidR="00F8072E" w:rsidRPr="004B35B6">
        <w:rPr>
          <w:iCs/>
          <w:szCs w:val="22"/>
        </w:rPr>
        <w:fldChar w:fldCharType="separate"/>
      </w:r>
      <w:r w:rsidR="003255C0" w:rsidRPr="00245F0C">
        <w:rPr>
          <w:szCs w:val="22"/>
        </w:rPr>
        <w:t xml:space="preserve">Equation </w:t>
      </w:r>
      <w:r w:rsidR="003255C0" w:rsidRPr="00245F0C">
        <w:rPr>
          <w:noProof/>
          <w:szCs w:val="22"/>
        </w:rPr>
        <w:t>38</w:t>
      </w:r>
      <w:r w:rsidR="00F8072E" w:rsidRPr="004B35B6">
        <w:rPr>
          <w:iCs/>
          <w:szCs w:val="22"/>
        </w:rPr>
        <w:fldChar w:fldCharType="end"/>
      </w:r>
      <w:r w:rsidR="00F8072E" w:rsidRPr="004B35B6">
        <w:rPr>
          <w:iCs/>
          <w:szCs w:val="22"/>
        </w:rPr>
        <w:t>-41</w:t>
      </w:r>
      <w:r w:rsidRPr="004B35B6">
        <w:rPr>
          <w:iCs/>
          <w:szCs w:val="22"/>
        </w:rPr>
        <w:t xml:space="preserve">, occur only on the CUS site, as with </w:t>
      </w:r>
      <w:r w:rsidR="00F8072E" w:rsidRPr="004B35B6">
        <w:rPr>
          <w:iCs/>
          <w:szCs w:val="22"/>
        </w:rPr>
        <w:fldChar w:fldCharType="begin"/>
      </w:r>
      <w:r w:rsidR="00F8072E" w:rsidRPr="004B35B6">
        <w:rPr>
          <w:iCs/>
          <w:szCs w:val="22"/>
        </w:rPr>
        <w:instrText xml:space="preserve"> REF _Ref159515052 \h </w:instrText>
      </w:r>
      <w:r w:rsidR="004B35B6">
        <w:rPr>
          <w:iCs/>
          <w:szCs w:val="22"/>
        </w:rPr>
        <w:instrText xml:space="preserve"> \* MERGEFORMAT </w:instrText>
      </w:r>
      <w:r w:rsidR="00F8072E" w:rsidRPr="004B35B6">
        <w:rPr>
          <w:iCs/>
          <w:szCs w:val="22"/>
        </w:rPr>
      </w:r>
      <w:r w:rsidR="00F8072E" w:rsidRPr="004B35B6">
        <w:rPr>
          <w:iCs/>
          <w:szCs w:val="22"/>
        </w:rPr>
        <w:fldChar w:fldCharType="separate"/>
      </w:r>
      <w:r w:rsidR="003255C0" w:rsidRPr="003255C0">
        <w:rPr>
          <w:b/>
          <w:bCs/>
          <w:szCs w:val="22"/>
        </w:rPr>
        <w:t xml:space="preserve">Figure </w:t>
      </w:r>
      <w:r w:rsidR="003255C0" w:rsidRPr="003255C0">
        <w:rPr>
          <w:b/>
          <w:bCs/>
          <w:noProof/>
          <w:szCs w:val="22"/>
        </w:rPr>
        <w:t>15</w:t>
      </w:r>
      <w:r w:rsidR="00F8072E" w:rsidRPr="004B35B6">
        <w:rPr>
          <w:iCs/>
          <w:szCs w:val="22"/>
        </w:rPr>
        <w:fldChar w:fldCharType="end"/>
      </w:r>
      <w:r w:rsidRPr="004B35B6">
        <w:rPr>
          <w:iCs/>
          <w:szCs w:val="22"/>
        </w:rPr>
        <w:t xml:space="preserve"> and </w:t>
      </w:r>
      <w:r w:rsidR="00F8072E" w:rsidRPr="004B35B6">
        <w:rPr>
          <w:iCs/>
          <w:szCs w:val="22"/>
        </w:rPr>
        <w:fldChar w:fldCharType="begin"/>
      </w:r>
      <w:r w:rsidR="00F8072E" w:rsidRPr="004B35B6">
        <w:rPr>
          <w:iCs/>
          <w:szCs w:val="22"/>
        </w:rPr>
        <w:instrText xml:space="preserve"> REF _Ref159515302 \h </w:instrText>
      </w:r>
      <w:r w:rsidR="004B35B6">
        <w:rPr>
          <w:iCs/>
          <w:szCs w:val="22"/>
        </w:rPr>
        <w:instrText xml:space="preserve"> \* MERGEFORMAT </w:instrText>
      </w:r>
      <w:r w:rsidR="00F8072E" w:rsidRPr="004B35B6">
        <w:rPr>
          <w:iCs/>
          <w:szCs w:val="22"/>
        </w:rPr>
      </w:r>
      <w:r w:rsidR="00F8072E" w:rsidRPr="004B35B6">
        <w:rPr>
          <w:iCs/>
          <w:szCs w:val="22"/>
        </w:rPr>
        <w:fldChar w:fldCharType="separate"/>
      </w:r>
      <w:r w:rsidR="003255C0" w:rsidRPr="003255C0">
        <w:rPr>
          <w:b/>
          <w:bCs/>
          <w:szCs w:val="22"/>
        </w:rPr>
        <w:t xml:space="preserve">Figure </w:t>
      </w:r>
      <w:r w:rsidR="003255C0" w:rsidRPr="003255C0">
        <w:rPr>
          <w:b/>
          <w:bCs/>
          <w:noProof/>
          <w:szCs w:val="22"/>
        </w:rPr>
        <w:t>16</w:t>
      </w:r>
      <w:r w:rsidR="00F8072E" w:rsidRPr="004B35B6">
        <w:rPr>
          <w:iCs/>
          <w:szCs w:val="22"/>
        </w:rPr>
        <w:fldChar w:fldCharType="end"/>
      </w:r>
      <w:r w:rsidRPr="004B35B6">
        <w:rPr>
          <w:iCs/>
          <w:szCs w:val="22"/>
        </w:rPr>
        <w:t>. When an Ru atom in a bridge position near this CUS site is substituted with Co or Ni, however, the energy of the *OH and *OOH intermediates can be lowered by placing the H from these species on the Ru-O-</w:t>
      </w:r>
      <w:proofErr w:type="gramStart"/>
      <w:r w:rsidRPr="004B35B6">
        <w:rPr>
          <w:iCs/>
          <w:szCs w:val="22"/>
        </w:rPr>
        <w:t>Co(</w:t>
      </w:r>
      <w:proofErr w:type="gramEnd"/>
      <w:r w:rsidRPr="004B35B6">
        <w:rPr>
          <w:iCs/>
          <w:szCs w:val="22"/>
        </w:rPr>
        <w:t>Ni) bridge site. Comparing the undoped and doped materials shows that this hydrogen transfer changes the PDS from *OOH formation for pristine RuO</w:t>
      </w:r>
      <w:r w:rsidRPr="004B35B6">
        <w:rPr>
          <w:iCs/>
          <w:szCs w:val="22"/>
          <w:vertAlign w:val="subscript"/>
        </w:rPr>
        <w:t>2</w:t>
      </w:r>
      <w:r w:rsidRPr="004B35B6">
        <w:rPr>
          <w:iCs/>
          <w:szCs w:val="22"/>
        </w:rPr>
        <w:t xml:space="preserve">, to *O formation on the Ni doped material, and *OH formation for the Co doped material. The Co doped material in particular falls outside the scaling relationships identified for perfect oxides as the PDSs in those cases are always *O or *OOH formation, see </w:t>
      </w:r>
      <w:r w:rsidR="00A54921" w:rsidRPr="004B35B6">
        <w:rPr>
          <w:iCs/>
          <w:szCs w:val="22"/>
        </w:rPr>
        <w:fldChar w:fldCharType="begin"/>
      </w:r>
      <w:r w:rsidR="00A54921" w:rsidRPr="004B35B6">
        <w:rPr>
          <w:iCs/>
          <w:szCs w:val="22"/>
        </w:rPr>
        <w:instrText xml:space="preserve"> REF _Ref159517156 \h </w:instrText>
      </w:r>
      <w:r w:rsidR="004B35B6">
        <w:rPr>
          <w:iCs/>
          <w:szCs w:val="22"/>
        </w:rPr>
        <w:instrText xml:space="preserve"> \* MERGEFORMAT </w:instrText>
      </w:r>
      <w:r w:rsidR="00A54921" w:rsidRPr="004B35B6">
        <w:rPr>
          <w:iCs/>
          <w:szCs w:val="22"/>
        </w:rPr>
      </w:r>
      <w:r w:rsidR="00A54921" w:rsidRPr="004B35B6">
        <w:rPr>
          <w:iCs/>
          <w:szCs w:val="22"/>
        </w:rPr>
        <w:fldChar w:fldCharType="separate"/>
      </w:r>
      <w:r w:rsidR="003255C0" w:rsidRPr="00245F0C">
        <w:rPr>
          <w:szCs w:val="22"/>
        </w:rPr>
        <w:t xml:space="preserve">Equation </w:t>
      </w:r>
      <w:r w:rsidR="003255C0" w:rsidRPr="00245F0C">
        <w:rPr>
          <w:noProof/>
          <w:szCs w:val="22"/>
        </w:rPr>
        <w:t>69</w:t>
      </w:r>
      <w:r w:rsidR="00A54921" w:rsidRPr="004B35B6">
        <w:rPr>
          <w:iCs/>
          <w:szCs w:val="22"/>
        </w:rPr>
        <w:fldChar w:fldCharType="end"/>
      </w:r>
      <w:r w:rsidRPr="004B35B6">
        <w:rPr>
          <w:iCs/>
          <w:szCs w:val="22"/>
        </w:rPr>
        <w:t>. By</w:t>
      </w:r>
      <w:r w:rsidRPr="0013432D">
        <w:rPr>
          <w:iCs/>
        </w:rPr>
        <w:t xml:space="preserve"> breaking the scaling relationships, doping with Ni or Co then causes a large change in the theoretical overpotential, </w:t>
      </w:r>
      <w:r w:rsidRPr="0013432D">
        <w:rPr>
          <w:i/>
        </w:rPr>
        <w:sym w:font="Symbol" w:char="F068"/>
      </w:r>
      <w:r w:rsidRPr="0013432D">
        <w:rPr>
          <w:iCs/>
          <w:vertAlign w:val="subscript"/>
        </w:rPr>
        <w:t>CHE.</w:t>
      </w:r>
      <w:r w:rsidRPr="0013432D">
        <w:rPr>
          <w:iCs/>
        </w:rPr>
        <w:t xml:space="preserve"> The computed values of </w:t>
      </w:r>
      <w:r w:rsidRPr="0013432D">
        <w:rPr>
          <w:i/>
        </w:rPr>
        <w:sym w:font="Symbol" w:char="F068"/>
      </w:r>
      <w:r w:rsidRPr="0013432D">
        <w:rPr>
          <w:iCs/>
          <w:vertAlign w:val="subscript"/>
        </w:rPr>
        <w:t>CHE</w:t>
      </w:r>
      <w:r w:rsidRPr="0013432D">
        <w:rPr>
          <w:iCs/>
        </w:rPr>
        <w:t xml:space="preserve"> from </w:t>
      </w:r>
      <w:r w:rsidR="00F8072E">
        <w:rPr>
          <w:iCs/>
        </w:rPr>
        <w:fldChar w:fldCharType="begin"/>
      </w:r>
      <w:r w:rsidR="00F8072E">
        <w:rPr>
          <w:iCs/>
        </w:rPr>
        <w:instrText xml:space="preserve"> REF _Ref159517047 \h </w:instrText>
      </w:r>
      <w:r w:rsidR="00F8072E">
        <w:rPr>
          <w:iCs/>
        </w:rPr>
      </w:r>
      <w:r w:rsidR="00F8072E">
        <w:rPr>
          <w:iCs/>
        </w:rPr>
        <w:fldChar w:fldCharType="separate"/>
      </w:r>
      <w:r w:rsidR="003255C0" w:rsidRPr="00F8072E">
        <w:rPr>
          <w:b/>
          <w:bCs/>
        </w:rPr>
        <w:t xml:space="preserve">Figure </w:t>
      </w:r>
      <w:r w:rsidR="003255C0">
        <w:rPr>
          <w:b/>
          <w:bCs/>
          <w:noProof/>
        </w:rPr>
        <w:t>20</w:t>
      </w:r>
      <w:r w:rsidR="00F8072E">
        <w:rPr>
          <w:iCs/>
        </w:rPr>
        <w:fldChar w:fldCharType="end"/>
      </w:r>
      <w:r w:rsidRPr="0013432D">
        <w:rPr>
          <w:iCs/>
        </w:rPr>
        <w:t xml:space="preserve"> are 0.39 V for RuO</w:t>
      </w:r>
      <w:r w:rsidRPr="0013432D">
        <w:rPr>
          <w:iCs/>
          <w:vertAlign w:val="subscript"/>
        </w:rPr>
        <w:t>2</w:t>
      </w:r>
      <w:r w:rsidRPr="0013432D">
        <w:rPr>
          <w:iCs/>
        </w:rPr>
        <w:t>, O.26 V for Ni doped RuO</w:t>
      </w:r>
      <w:r w:rsidRPr="0013432D">
        <w:rPr>
          <w:iCs/>
          <w:vertAlign w:val="subscript"/>
        </w:rPr>
        <w:t>2</w:t>
      </w:r>
      <w:r w:rsidRPr="0013432D">
        <w:rPr>
          <w:iCs/>
        </w:rPr>
        <w:t>, and 0.10 V for Co doped RuO</w:t>
      </w:r>
      <w:r w:rsidRPr="0013432D">
        <w:rPr>
          <w:iCs/>
          <w:vertAlign w:val="subscript"/>
        </w:rPr>
        <w:t>2</w:t>
      </w:r>
      <w:r w:rsidRPr="0013432D">
        <w:rPr>
          <w:iCs/>
        </w:rPr>
        <w:t xml:space="preserve">. </w:t>
      </w:r>
    </w:p>
    <w:p w14:paraId="26061D44" w14:textId="77777777" w:rsidR="0013432D" w:rsidRPr="0013432D" w:rsidRDefault="0013432D" w:rsidP="0013432D">
      <w:pPr>
        <w:rPr>
          <w:iCs/>
        </w:rPr>
      </w:pPr>
    </w:p>
    <w:p w14:paraId="539D8EAC" w14:textId="77777777" w:rsidR="0013432D" w:rsidRPr="0013432D" w:rsidRDefault="0013432D" w:rsidP="001C1AC5">
      <w:pPr>
        <w:jc w:val="center"/>
      </w:pPr>
      <w:r w:rsidRPr="0013432D">
        <w:lastRenderedPageBreak/>
        <w:fldChar w:fldCharType="begin"/>
      </w:r>
      <w:r w:rsidRPr="0013432D">
        <w:instrText xml:space="preserve"> INCLUDEPICTURE "/Users/trjones/Library/Group Containers/UBF8T346G9.ms/WebArchiveCopyPasteTempFiles/com.microsoft.Word/c4cp00571f-f2_hi-res.gif" \* MERGEFORMATINET </w:instrText>
      </w:r>
      <w:r w:rsidRPr="0013432D">
        <w:fldChar w:fldCharType="separate"/>
      </w:r>
      <w:r w:rsidRPr="0013432D">
        <w:rPr>
          <w:noProof/>
        </w:rPr>
        <w:drawing>
          <wp:inline distT="0" distB="0" distL="0" distR="0" wp14:anchorId="546C3EDC" wp14:editId="57B47043">
            <wp:extent cx="3125972" cy="2350824"/>
            <wp:effectExtent l="0" t="0" r="0" b="0"/>
            <wp:docPr id="2929917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142934" cy="2363580"/>
                    </a:xfrm>
                    <a:prstGeom prst="rect">
                      <a:avLst/>
                    </a:prstGeom>
                    <a:noFill/>
                    <a:ln>
                      <a:noFill/>
                    </a:ln>
                  </pic:spPr>
                </pic:pic>
              </a:graphicData>
            </a:graphic>
          </wp:inline>
        </w:drawing>
      </w:r>
      <w:r w:rsidRPr="0013432D">
        <w:fldChar w:fldCharType="end"/>
      </w:r>
    </w:p>
    <w:p w14:paraId="6289BC01" w14:textId="70F694A7" w:rsidR="004950D9" w:rsidRPr="0013432D" w:rsidRDefault="00F8072E" w:rsidP="004950D9">
      <w:pPr>
        <w:pStyle w:val="Caption"/>
        <w:spacing w:after="0"/>
      </w:pPr>
      <w:bookmarkStart w:id="98" w:name="_Ref159517047"/>
      <w:r w:rsidRPr="00F8072E">
        <w:rPr>
          <w:b/>
          <w:bCs w:val="0"/>
          <w:sz w:val="22"/>
        </w:rPr>
        <w:t xml:space="preserve">Figure </w:t>
      </w:r>
      <w:r w:rsidRPr="00F8072E">
        <w:rPr>
          <w:b/>
          <w:bCs w:val="0"/>
          <w:sz w:val="22"/>
        </w:rPr>
        <w:fldChar w:fldCharType="begin"/>
      </w:r>
      <w:r w:rsidRPr="00F8072E">
        <w:rPr>
          <w:b/>
          <w:bCs w:val="0"/>
          <w:sz w:val="22"/>
        </w:rPr>
        <w:instrText xml:space="preserve"> SEQ Figure \* ARABIC </w:instrText>
      </w:r>
      <w:r w:rsidRPr="00F8072E">
        <w:rPr>
          <w:b/>
          <w:bCs w:val="0"/>
          <w:sz w:val="22"/>
        </w:rPr>
        <w:fldChar w:fldCharType="separate"/>
      </w:r>
      <w:r w:rsidR="003255C0">
        <w:rPr>
          <w:b/>
          <w:bCs w:val="0"/>
          <w:noProof/>
          <w:sz w:val="22"/>
        </w:rPr>
        <w:t>20</w:t>
      </w:r>
      <w:r w:rsidRPr="00F8072E">
        <w:rPr>
          <w:b/>
          <w:bCs w:val="0"/>
          <w:sz w:val="22"/>
        </w:rPr>
        <w:fldChar w:fldCharType="end"/>
      </w:r>
      <w:bookmarkEnd w:id="98"/>
      <w:r w:rsidR="0013432D" w:rsidRPr="0013432D">
        <w:t xml:space="preserve"> Reaction mechanism considered for the OER on the pristine (110) surface of rutile-type RuO</w:t>
      </w:r>
      <w:r w:rsidR="0013432D" w:rsidRPr="0013432D">
        <w:rPr>
          <w:vertAlign w:val="subscript"/>
        </w:rPr>
        <w:t>2</w:t>
      </w:r>
      <w:r w:rsidR="0013432D" w:rsidRPr="0013432D">
        <w:t xml:space="preserve"> (top) and on the surface with Ni or Co substituting a Ru atom in the surface bridge position. Oxygen atoms are shown as red, ruthenium as blue, hydrogen as white, and Co/Ni as cyan. The schematic at the bottom of the figure shows the adsorption sites involved in the reactions. The green stripes indicate CUS sites and the blue stripes indicate bridge sites. Ni and Co can be seen to activate bridging oxygen such that the bridging oxygen accept a proton from adsorbed *OH and *OOH, resulting in a multi-site mechanism. Figure </w:t>
      </w:r>
      <w:r w:rsidR="00967BAD">
        <w:t>r</w:t>
      </w:r>
      <w:r w:rsidR="000757AA">
        <w:t>eproduced from Ref.</w:t>
      </w:r>
      <w:r w:rsidR="0013432D" w:rsidRPr="0013432D">
        <w:t xml:space="preserve"> </w:t>
      </w:r>
      <w:r w:rsidR="0013432D" w:rsidRPr="0013432D">
        <w:fldChar w:fldCharType="begin"/>
      </w:r>
      <w:r w:rsidR="00FC5BEB">
        <w:instrText xml:space="preserve"> ADDIN EN.CITE &lt;EndNote&gt;&lt;Cite&gt;&lt;Author&gt;Halck&lt;/Author&gt;&lt;Year&gt;2014&lt;/Year&gt;&lt;RecNum&gt;238&lt;/RecNum&gt;&lt;DisplayText&gt;&lt;style face="superscript"&gt;240&lt;/style&gt;&lt;/DisplayText&gt;&lt;record&gt;&lt;rec-number&gt;238&lt;/rec-number&gt;&lt;foreign-keys&gt;&lt;key app="EN" db-id="2xex0erf4eexr4e2dpbxpdd829xttesxxxdr" timestamp="1715075296"&gt;238&lt;/key&gt;&lt;/foreign-keys&gt;&lt;ref-type name="Journal Article"&gt;17&lt;/ref-type&gt;&lt;contributors&gt;&lt;authors&gt;&lt;author&gt;Halck, Niels Bendtsen&lt;/author&gt;&lt;author&gt;Petrykin, Valery&lt;/author&gt;&lt;author&gt;Krtil, Petr&lt;/author&gt;&lt;author&gt;Rossmeisl, Jan&lt;/author&gt;&lt;/authors&gt;&lt;/contributors&gt;&lt;titles&gt;&lt;title&gt;Beyond the volcano limitations in electrocatalysis – oxygen evolution reaction&lt;/title&gt;&lt;secondary-title&gt;Physical Chemistry Chemical Physics&lt;/secondary-title&gt;&lt;/titles&gt;&lt;periodical&gt;&lt;full-title&gt;Physical Chemistry Chemical Physics&lt;/full-title&gt;&lt;abbr-1&gt;Phys. Chem. Chem. Phys.&lt;/abbr-1&gt;&lt;abbr-2&gt;Phys Chem Chem Phys&lt;/abbr-2&gt;&lt;/periodical&gt;&lt;pages&gt;13682-13688&lt;/pages&gt;&lt;volume&gt;16&lt;/volume&gt;&lt;number&gt;27&lt;/number&gt;&lt;dates&gt;&lt;year&gt;2014&lt;/year&gt;&lt;/dates&gt;&lt;publisher&gt;The Royal Society of Chemistry&lt;/publisher&gt;&lt;isbn&gt;1463-9076&lt;/isbn&gt;&lt;work-type&gt;10.1039/C4CP00571F&lt;/work-type&gt;&lt;urls&gt;&lt;related-urls&gt;&lt;url&gt;http://dx.doi.org/10.1039/C4CP00571F&lt;/url&gt;&lt;/related-urls&gt;&lt;/urls&gt;&lt;electronic-resource-num&gt;10.1039/C4CP00571F&lt;/electronic-resource-num&gt;&lt;/record&gt;&lt;/Cite&gt;&lt;/EndNote&gt;</w:instrText>
      </w:r>
      <w:r w:rsidR="0013432D" w:rsidRPr="0013432D">
        <w:fldChar w:fldCharType="separate"/>
      </w:r>
      <w:r w:rsidR="00FC5BEB" w:rsidRPr="00FC5BEB">
        <w:rPr>
          <w:noProof/>
          <w:vertAlign w:val="superscript"/>
        </w:rPr>
        <w:t>240</w:t>
      </w:r>
      <w:r w:rsidR="0013432D" w:rsidRPr="0013432D">
        <w:fldChar w:fldCharType="end"/>
      </w:r>
      <w:r w:rsidR="004950D9">
        <w:t xml:space="preserve"> </w:t>
      </w:r>
      <w:r w:rsidR="004950D9" w:rsidRPr="00794428">
        <w:rPr>
          <w:lang w:val="en-US"/>
        </w:rPr>
        <w:t>with permission from the PCCP Owner Societies.</w:t>
      </w:r>
    </w:p>
    <w:p w14:paraId="5E773593" w14:textId="3EB1BB83" w:rsidR="0013432D" w:rsidRPr="0013432D" w:rsidRDefault="0013432D" w:rsidP="00F8072E">
      <w:pPr>
        <w:pStyle w:val="Caption"/>
      </w:pPr>
    </w:p>
    <w:p w14:paraId="1E4F211F" w14:textId="77777777" w:rsidR="0013432D" w:rsidRPr="0013432D" w:rsidRDefault="0013432D" w:rsidP="0013432D"/>
    <w:p w14:paraId="5CB65822" w14:textId="2C8FA838" w:rsidR="0013432D" w:rsidRPr="0013432D" w:rsidRDefault="0013432D" w:rsidP="00A54921">
      <w:pPr>
        <w:ind w:firstLine="720"/>
        <w:rPr>
          <w:iCs/>
        </w:rPr>
      </w:pPr>
      <w:r w:rsidRPr="0013432D">
        <w:rPr>
          <w:iCs/>
        </w:rPr>
        <w:t xml:space="preserve">The results of Ref. </w:t>
      </w:r>
      <w:r w:rsidRPr="0013432D">
        <w:fldChar w:fldCharType="begin"/>
      </w:r>
      <w:r w:rsidR="00FC5BEB">
        <w:instrText xml:space="preserve"> ADDIN EN.CITE &lt;EndNote&gt;&lt;Cite&gt;&lt;Author&gt;Halck&lt;/Author&gt;&lt;Year&gt;2014&lt;/Year&gt;&lt;RecNum&gt;238&lt;/RecNum&gt;&lt;DisplayText&gt;&lt;style face="superscript"&gt;240&lt;/style&gt;&lt;/DisplayText&gt;&lt;record&gt;&lt;rec-number&gt;238&lt;/rec-number&gt;&lt;foreign-keys&gt;&lt;key app="EN" db-id="2xex0erf4eexr4e2dpbxpdd829xttesxxxdr" timestamp="1715075296"&gt;238&lt;/key&gt;&lt;/foreign-keys&gt;&lt;ref-type name="Journal Article"&gt;17&lt;/ref-type&gt;&lt;contributors&gt;&lt;authors&gt;&lt;author&gt;Halck, Niels Bendtsen&lt;/author&gt;&lt;author&gt;Petrykin, Valery&lt;/author&gt;&lt;author&gt;Krtil, Petr&lt;/author&gt;&lt;author&gt;Rossmeisl, Jan&lt;/author&gt;&lt;/authors&gt;&lt;/contributors&gt;&lt;titles&gt;&lt;title&gt;Beyond the volcano limitations in electrocatalysis – oxygen evolution reaction&lt;/title&gt;&lt;secondary-title&gt;Physical Chemistry Chemical Physics&lt;/secondary-title&gt;&lt;/titles&gt;&lt;periodical&gt;&lt;full-title&gt;Physical Chemistry Chemical Physics&lt;/full-title&gt;&lt;abbr-1&gt;Phys. Chem. Chem. Phys.&lt;/abbr-1&gt;&lt;abbr-2&gt;Phys Chem Chem Phys&lt;/abbr-2&gt;&lt;/periodical&gt;&lt;pages&gt;13682-13688&lt;/pages&gt;&lt;volume&gt;16&lt;/volume&gt;&lt;number&gt;27&lt;/number&gt;&lt;dates&gt;&lt;year&gt;2014&lt;/year&gt;&lt;/dates&gt;&lt;publisher&gt;The Royal Society of Chemistry&lt;/publisher&gt;&lt;isbn&gt;1463-9076&lt;/isbn&gt;&lt;work-type&gt;10.1039/C4CP00571F&lt;/work-type&gt;&lt;urls&gt;&lt;related-urls&gt;&lt;url&gt;http://dx.doi.org/10.1039/C4CP00571F&lt;/url&gt;&lt;/related-urls&gt;&lt;/urls&gt;&lt;electronic-resource-num&gt;10.1039/C4CP00571F&lt;/electronic-resource-num&gt;&lt;/record&gt;&lt;/Cite&gt;&lt;/EndNote&gt;</w:instrText>
      </w:r>
      <w:r w:rsidRPr="0013432D">
        <w:fldChar w:fldCharType="separate"/>
      </w:r>
      <w:r w:rsidR="00FC5BEB" w:rsidRPr="00FC5BEB">
        <w:rPr>
          <w:noProof/>
          <w:vertAlign w:val="superscript"/>
        </w:rPr>
        <w:t>240</w:t>
      </w:r>
      <w:r w:rsidRPr="0013432D">
        <w:fldChar w:fldCharType="end"/>
      </w:r>
      <w:r w:rsidRPr="0013432D">
        <w:t xml:space="preserve"> suggest that multi-site nucleophilic mechanisms may circumvent or alter the scaling relationships found for single-site nucleophilic attack, and while those results were used to rationalize the improved performance of Co and Ni doped </w:t>
      </w:r>
      <w:proofErr w:type="spellStart"/>
      <w:r w:rsidRPr="0013432D">
        <w:t>ruthenia</w:t>
      </w:r>
      <w:proofErr w:type="spellEnd"/>
      <w:r w:rsidRPr="0013432D">
        <w:t>, other results suggest the OER may occur through a multi-site mechanism even on undoped catalysts</w:t>
      </w:r>
      <w:r w:rsidRPr="0013432D">
        <w:fldChar w:fldCharType="begin">
          <w:fldData xml:space="preserve">PEVuZE5vdGU+PENpdGU+PEF1dGhvcj5QaW5nPC9BdXRob3I+PFllYXI+MjAxNzwvWWVhcj48UmVj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</w:fldData>
        </w:fldChar>
      </w:r>
      <w:r w:rsidR="00FC5BEB">
        <w:instrText xml:space="preserve"> ADDIN EN.CITE </w:instrText>
      </w:r>
      <w:r w:rsidR="00FC5BEB">
        <w:fldChar w:fldCharType="begin">
          <w:fldData xml:space="preserve">PEVuZE5vdGU+PENpdGU+PEF1dGhvcj5QaW5nPC9BdXRob3I+PFllYXI+MjAxNzwvWWVhcj48UmVj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</w:fldData>
        </w:fldChar>
      </w:r>
      <w:r w:rsidR="00FC5BEB">
        <w:instrText xml:space="preserve"> ADDIN EN.CITE.DATA </w:instrText>
      </w:r>
      <w:r w:rsidR="00FC5BEB">
        <w:fldChar w:fldCharType="end"/>
      </w:r>
      <w:r w:rsidRPr="0013432D">
        <w:fldChar w:fldCharType="separate"/>
      </w:r>
      <w:r w:rsidR="00FC5BEB" w:rsidRPr="00FC5BEB">
        <w:rPr>
          <w:noProof/>
          <w:vertAlign w:val="superscript"/>
        </w:rPr>
        <w:t>63, 175, 176, 265, 266</w:t>
      </w:r>
      <w:r w:rsidRPr="0013432D">
        <w:fldChar w:fldCharType="end"/>
      </w:r>
      <w:r w:rsidRPr="0013432D">
        <w:t>. For instance, the bridge sites on undoped RuO</w:t>
      </w:r>
      <w:r w:rsidRPr="0013432D">
        <w:rPr>
          <w:vertAlign w:val="subscript"/>
        </w:rPr>
        <w:t>2</w:t>
      </w:r>
      <w:r w:rsidRPr="0013432D">
        <w:t xml:space="preserve"> (110) have been suggested to be active in removing a proton from *OOH </w:t>
      </w:r>
      <w:r w:rsidRPr="0013432D">
        <w:fldChar w:fldCharType="begin">
          <w:fldData xml:space="preserve">PEVuZE5vdGU+PENpdGU+PEF1dGhvcj5SYW88L0F1dGhvcj48WWVhcj4yMDIwPC9ZZWFyPjxSZWNO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==
</w:fldData>
        </w:fldChar>
      </w:r>
      <w:r w:rsidR="00FC5BEB">
        <w:instrText xml:space="preserve"> ADDIN EN.CITE </w:instrText>
      </w:r>
      <w:r w:rsidR="00FC5BEB">
        <w:fldChar w:fldCharType="begin">
          <w:fldData xml:space="preserve">PEVuZE5vdGU+PENpdGU+PEF1dGhvcj5SYW88L0F1dGhvcj48WWVhcj4yMDIwPC9ZZWFyPjxSZWNO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==
</w:fldData>
        </w:fldChar>
      </w:r>
      <w:r w:rsidR="00FC5BEB">
        <w:instrText xml:space="preserve"> ADDIN EN.CITE.DATA </w:instrText>
      </w:r>
      <w:r w:rsidR="00FC5BEB">
        <w:fldChar w:fldCharType="end"/>
      </w:r>
      <w:r w:rsidRPr="0013432D">
        <w:fldChar w:fldCharType="separate"/>
      </w:r>
      <w:r w:rsidR="00FC5BEB" w:rsidRPr="00FC5BEB">
        <w:rPr>
          <w:noProof/>
          <w:vertAlign w:val="superscript"/>
        </w:rPr>
        <w:t>175, 176</w:t>
      </w:r>
      <w:r w:rsidRPr="0013432D">
        <w:fldChar w:fldCharType="end"/>
      </w:r>
      <w:r w:rsidRPr="0013432D">
        <w:t xml:space="preserve"> </w:t>
      </w:r>
      <w:r w:rsidRPr="0013432D">
        <w:fldChar w:fldCharType="begin"/>
      </w:r>
      <w:r w:rsidR="00FC5BEB">
        <w:instrText xml:space="preserve"> ADDIN EN.CITE &lt;EndNote&gt;&lt;Cite&gt;&lt;Author&gt;Divanis&lt;/Author&gt;&lt;Year&gt;2021&lt;/Year&gt;&lt;RecNum&gt;196&lt;/RecNum&gt;&lt;DisplayText&gt;&lt;style face="superscript"&gt;198&lt;/style&gt;&lt;/DisplayText&gt;&lt;record&gt;&lt;rec-number&gt;196&lt;/rec-number&gt;&lt;foreign-keys&gt;&lt;key app="EN" db-id="2xex0erf4eexr4e2dpbxpdd829xttesxxxdr" timestamp="1715075296"&gt;196&lt;/key&gt;&lt;/foreign-keys&gt;&lt;ref-type name="Journal Article"&gt;17&lt;/ref-type&gt;&lt;contributors&gt;&lt;authors&gt;&lt;author&gt;Divanis, Spyridon&lt;/author&gt;&lt;author&gt;Frandsen, Adrian Malthe&lt;/author&gt;&lt;author&gt;Kutlusoy, Tugce&lt;/author&gt;&lt;author&gt;Rossmeisl, Jan&lt;/author&gt;&lt;/authors&gt;&lt;/contributors&gt;&lt;titles&gt;&lt;title&gt;Lifting the discrepancy between experimental results and the theoretical predictions for the catalytic activity of RuO2(110) towards oxygen evolution reaction&lt;/title&gt;&lt;secondary-title&gt;Physical Chemistry Chemical Physics&lt;/secondary-title&gt;&lt;/titles&gt;&lt;periodical&gt;&lt;full-title&gt;Physical Chemistry Chemical Physics&lt;/full-title&gt;&lt;abbr-1&gt;Phys. Chem. Chem. Phys.&lt;/abbr-1&gt;&lt;abbr-2&gt;Phys Chem Chem Phys&lt;/abbr-2&gt;&lt;/periodical&gt;&lt;pages&gt;19141-19145&lt;/pages&gt;&lt;volume&gt;23&lt;/volume&gt;&lt;number&gt;35&lt;/number&gt;&lt;dates&gt;&lt;year&gt;2021&lt;/year&gt;&lt;/dates&gt;&lt;publisher&gt;The Royal Society of Chemistry&lt;/publisher&gt;&lt;isbn&gt;1463-9076&lt;/isbn&gt;&lt;work-type&gt;10.1039/D1CP02999A&lt;/work-type&gt;&lt;urls&gt;&lt;related-urls&gt;&lt;url&gt;http://dx.doi.org/10.1039/D1CP02999A&lt;/url&gt;&lt;/related-urls&gt;&lt;/urls&gt;&lt;electronic-resource-num&gt;10.1039/D1CP02999A&lt;/electronic-resource-num&gt;&lt;/record&gt;&lt;/Cite&gt;&lt;/EndNote&gt;</w:instrText>
      </w:r>
      <w:r w:rsidRPr="0013432D">
        <w:fldChar w:fldCharType="separate"/>
      </w:r>
      <w:r w:rsidR="00FC5BEB" w:rsidRPr="00FC5BEB">
        <w:rPr>
          <w:noProof/>
          <w:vertAlign w:val="superscript"/>
        </w:rPr>
        <w:t>198</w:t>
      </w:r>
      <w:r w:rsidRPr="0013432D">
        <w:fldChar w:fldCharType="end"/>
      </w:r>
      <w:r w:rsidRPr="0013432D">
        <w:t xml:space="preserve">, which make the deprotonation of the bridge *OH the PDS and impacts the scaling relationships. Thus, while the prospect of using scaling relationships and the CHE for design appears powerful, the mechanistic reasons for the observed improvements Co and Ni doped </w:t>
      </w:r>
      <w:proofErr w:type="spellStart"/>
      <w:r w:rsidRPr="0013432D">
        <w:t>ruthenia</w:t>
      </w:r>
      <w:proofErr w:type="spellEnd"/>
      <w:r w:rsidRPr="0013432D">
        <w:t xml:space="preserve"> may not be </w:t>
      </w:r>
      <w:r w:rsidRPr="0013432D">
        <w:rPr>
          <w:iCs/>
        </w:rPr>
        <w:t>bridge site activation. They could, for instance, be linked to Ru(VI) formation as experiments have suggested</w:t>
      </w:r>
      <w:r w:rsidRPr="0013432D">
        <w:fldChar w:fldCharType="begin">
          <w:fldData xml:space="preserve">PEVuZE5vdGU+PENpdGU+PEF1dGhvcj5NYWthcm92YTwvQXV0aG9yPjxZZWFyPjIwMDg8L1llYXI+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==
</w:fldData>
        </w:fldChar>
      </w:r>
      <w:r w:rsidR="00FC5BEB">
        <w:instrText xml:space="preserve"> ADDIN EN.CITE </w:instrText>
      </w:r>
      <w:r w:rsidR="00FC5BEB">
        <w:fldChar w:fldCharType="begin">
          <w:fldData xml:space="preserve">PEVuZE5vdGU+PENpdGU+PEF1dGhvcj5NYWthcm92YTwvQXV0aG9yPjxZZWFyPjIwMDg8L1llYXI+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==
</w:fldData>
        </w:fldChar>
      </w:r>
      <w:r w:rsidR="00FC5BEB">
        <w:instrText xml:space="preserve"> ADDIN EN.CITE.DATA </w:instrText>
      </w:r>
      <w:r w:rsidR="00FC5BEB">
        <w:fldChar w:fldCharType="end"/>
      </w:r>
      <w:r w:rsidRPr="0013432D">
        <w:fldChar w:fldCharType="separate"/>
      </w:r>
      <w:r w:rsidR="00FC5BEB" w:rsidRPr="00FC5BEB">
        <w:rPr>
          <w:noProof/>
          <w:vertAlign w:val="superscript"/>
        </w:rPr>
        <w:t>260, 261</w:t>
      </w:r>
      <w:r w:rsidRPr="0013432D">
        <w:fldChar w:fldCharType="end"/>
      </w:r>
      <w:r w:rsidRPr="0013432D">
        <w:t>,</w:t>
      </w:r>
      <w:r w:rsidRPr="0013432D">
        <w:rPr>
          <w:iCs/>
        </w:rPr>
        <w:t xml:space="preserve"> which would be more in-line with the formation of new sites due to Ni and Co dissolution under the acidic OER conditions, similar to what has been suggested for Ni doped </w:t>
      </w:r>
      <w:proofErr w:type="spellStart"/>
      <w:r w:rsidRPr="0013432D">
        <w:rPr>
          <w:iCs/>
        </w:rPr>
        <w:t>Ir</w:t>
      </w:r>
      <w:proofErr w:type="spellEnd"/>
      <w:r w:rsidRPr="0013432D">
        <w:rPr>
          <w:iCs/>
        </w:rPr>
        <w:t>-based materials</w:t>
      </w:r>
      <w:r w:rsidRPr="0013432D">
        <w:rPr>
          <w:iCs/>
        </w:rPr>
        <w:fldChar w:fldCharType="begin">
          <w:fldData xml:space="preserve">PEVuZE5vdGU+PENpdGU+PEF1dGhvcj5SZWllcjwvQXV0aG9yPjxZZWFyPjIwMTU8L1llYXI+PFJl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</w:fldData>
        </w:fldChar>
      </w:r>
      <w:r w:rsidR="00FC5BEB">
        <w:rPr>
          <w:iCs/>
        </w:rPr>
        <w:instrText xml:space="preserve"> ADDIN EN.CITE </w:instrText>
      </w:r>
      <w:r w:rsidR="00FC5BEB">
        <w:rPr>
          <w:iCs/>
        </w:rPr>
        <w:fldChar w:fldCharType="begin">
          <w:fldData xml:space="preserve">PEVuZE5vdGU+PENpdGU+PEF1dGhvcj5SZWllcjwvQXV0aG9yPjxZZWFyPjIwMTU8L1llYXI+PFJl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</w:fldData>
        </w:fldChar>
      </w:r>
      <w:r w:rsidR="00FC5BEB">
        <w:rPr>
          <w:iCs/>
        </w:rPr>
        <w:instrText xml:space="preserve"> ADDIN EN.CITE.DATA </w:instrText>
      </w:r>
      <w:r w:rsidR="00FC5BEB">
        <w:rPr>
          <w:iCs/>
        </w:rPr>
      </w:r>
      <w:r w:rsidR="00FC5BEB">
        <w:rPr>
          <w:iCs/>
        </w:rPr>
        <w:fldChar w:fldCharType="end"/>
      </w:r>
      <w:r w:rsidRPr="0013432D">
        <w:rPr>
          <w:iCs/>
        </w:rPr>
      </w:r>
      <w:r w:rsidRPr="0013432D">
        <w:rPr>
          <w:iCs/>
        </w:rPr>
        <w:fldChar w:fldCharType="separate"/>
      </w:r>
      <w:r w:rsidR="00FC5BEB" w:rsidRPr="00FC5BEB">
        <w:rPr>
          <w:iCs/>
          <w:noProof/>
          <w:vertAlign w:val="superscript"/>
        </w:rPr>
        <w:t>267, 268</w:t>
      </w:r>
      <w:r w:rsidRPr="0013432D">
        <w:fldChar w:fldCharType="end"/>
      </w:r>
      <w:r w:rsidRPr="0013432D">
        <w:rPr>
          <w:iCs/>
        </w:rPr>
        <w:t xml:space="preserve"> and strontium leached SrIrO</w:t>
      </w:r>
      <w:r w:rsidRPr="0013432D">
        <w:rPr>
          <w:iCs/>
          <w:vertAlign w:val="subscript"/>
        </w:rPr>
        <w:t>3</w:t>
      </w:r>
      <w:r w:rsidRPr="0013432D">
        <w:rPr>
          <w:iCs/>
        </w:rPr>
        <w:t xml:space="preserve"> </w:t>
      </w:r>
      <w:r w:rsidRPr="0013432D">
        <w:fldChar w:fldCharType="begin">
          <w:fldData xml:space="preserve">PEVuZE5vdGU+PENpdGU+PEF1dGhvcj5TZWl0ejwvQXV0aG9yPjxZZWFyPjIwMTY8L1llYXI+PFJl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</w:fldData>
        </w:fldChar>
      </w:r>
      <w:r w:rsidR="00FC5BEB">
        <w:instrText xml:space="preserve"> ADDIN EN.CITE </w:instrText>
      </w:r>
      <w:r w:rsidR="00FC5BEB">
        <w:fldChar w:fldCharType="begin">
          <w:fldData xml:space="preserve">PEVuZE5vdGU+PENpdGU+PEF1dGhvcj5TZWl0ejwvQXV0aG9yPjxZZWFyPjIwMTY8L1llYXI+PFJl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</w:fldData>
        </w:fldChar>
      </w:r>
      <w:r w:rsidR="00FC5BEB">
        <w:instrText xml:space="preserve"> ADDIN EN.CITE.DATA </w:instrText>
      </w:r>
      <w:r w:rsidR="00FC5BEB">
        <w:fldChar w:fldCharType="end"/>
      </w:r>
      <w:r w:rsidRPr="0013432D">
        <w:fldChar w:fldCharType="separate"/>
      </w:r>
      <w:r w:rsidR="00FC5BEB" w:rsidRPr="00FC5BEB">
        <w:rPr>
          <w:noProof/>
          <w:vertAlign w:val="superscript"/>
        </w:rPr>
        <w:t>269-271</w:t>
      </w:r>
      <w:r w:rsidRPr="0013432D">
        <w:fldChar w:fldCharType="end"/>
      </w:r>
      <w:r w:rsidRPr="0013432D">
        <w:t>. Beyond this, recent work has even shown that breaking *OH/*OOH scaling may not improve predicted performance</w:t>
      </w:r>
      <w:r w:rsidRPr="0013432D">
        <w:fldChar w:fldCharType="begin"/>
      </w:r>
      <w:r w:rsidR="00FC5BEB">
        <w:instrText xml:space="preserve"> ADDIN EN.CITE &lt;EndNote&gt;&lt;Cite&gt;&lt;Author&gt;Govindarajan&lt;/Author&gt;&lt;Year&gt;2019&lt;/Year&gt;&lt;RecNum&gt;250&lt;/RecNum&gt;&lt;DisplayText&gt;&lt;style face="superscript"&gt;252&lt;/style&gt;&lt;/DisplayText&gt;&lt;record&gt;&lt;rec-number&gt;250&lt;/rec-number&gt;&lt;foreign-keys&gt;&lt;key app="EN" db-id="2xex0erf4eexr4e2dpbxpdd829xttesxxxdr" timestamp="1715075296"&gt;250&lt;/key&gt;&lt;/foreign-keys&gt;&lt;ref-type name="Journal Article"&gt;17&lt;/ref-type&gt;&lt;contributors&gt;&lt;authors&gt;&lt;author&gt;Govindarajan, Nitish&lt;/author&gt;&lt;author&gt;Koper, Marc T. M.&lt;/author&gt;&lt;author&gt;Meijer, Evert Jan&lt;/author&gt;&lt;author&gt;Calle-Vallejo, Federico&lt;/author&gt;&lt;/authors&gt;&lt;/contributors&gt;&lt;titles&gt;&lt;title&gt;Outlining the Scaling-Based and Scaling-Free Optimization of Electrocatalysts&lt;/title&gt;&lt;secondary-title&gt;ACS Catal.&lt;/secondary-title&gt;&lt;/titles&gt;&lt;periodical&gt;&lt;full-title&gt;ACS Catal.&lt;/full-title&gt;&lt;/periodical&gt;&lt;pages&gt;4218-4225&lt;/pages&gt;&lt;volume&gt;9&lt;/volume&gt;&lt;number&gt;5&lt;/number&gt;&lt;dates&gt;&lt;year&gt;2019&lt;/year&gt;&lt;pub-dates&gt;&lt;date&gt;2019/05/03&lt;/date&gt;&lt;/pub-dates&gt;&lt;/dates&gt;&lt;publisher&gt;American Chemical Society&lt;/publisher&gt;&lt;urls&gt;&lt;related-urls&gt;&lt;url&gt;https://doi.org/10.1021/acscatal.9b00532&lt;/url&gt;&lt;/related-urls&gt;&lt;/urls&gt;&lt;electronic-resource-num&gt;10.1021/acscatal.9b00532&lt;/electronic-resource-num&gt;&lt;/record&gt;&lt;/Cite&gt;&lt;/EndNote&gt;</w:instrText>
      </w:r>
      <w:r w:rsidRPr="0013432D">
        <w:fldChar w:fldCharType="separate"/>
      </w:r>
      <w:r w:rsidR="00FC5BEB" w:rsidRPr="00FC5BEB">
        <w:rPr>
          <w:noProof/>
          <w:vertAlign w:val="superscript"/>
        </w:rPr>
        <w:t>252</w:t>
      </w:r>
      <w:r w:rsidRPr="0013432D">
        <w:fldChar w:fldCharType="end"/>
      </w:r>
      <w:r w:rsidRPr="0013432D">
        <w:t xml:space="preserve">. </w:t>
      </w:r>
      <w:r w:rsidRPr="0013432D">
        <w:rPr>
          <w:iCs/>
        </w:rPr>
        <w:t>Thus, care must be taken when attempting to use scaling relationships and the thermodynamic based CHE for the design of new catalysts or when rationalizing experimental results.</w:t>
      </w:r>
    </w:p>
    <w:p w14:paraId="5A600131" w14:textId="77777777" w:rsidR="0013432D" w:rsidRPr="0013432D" w:rsidRDefault="0013432D" w:rsidP="0013432D">
      <w:pPr>
        <w:rPr>
          <w:iCs/>
        </w:rPr>
      </w:pPr>
    </w:p>
    <w:p w14:paraId="301AA3C5" w14:textId="562CAA89" w:rsidR="0013432D" w:rsidRPr="0013432D" w:rsidRDefault="0013432D" w:rsidP="0013432D">
      <w:r w:rsidRPr="0013432D">
        <w:tab/>
        <w:t>Despite the evidence against the relevance of the single-site nucleophilic attack mechanism</w:t>
      </w:r>
      <w:r w:rsidRPr="0013432D">
        <w:fldChar w:fldCharType="begin">
          <w:fldData xml:space="preserve">PEVuZE5vdGU+PENpdGU+PEF1dGhvcj5QaW5nPC9BdXRob3I+PFllYXI+MjAxNzwvWWVhcj48UmVj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</w:fldData>
        </w:fldChar>
      </w:r>
      <w:r w:rsidR="00FC5BEB">
        <w:instrText xml:space="preserve"> ADDIN EN.CITE </w:instrText>
      </w:r>
      <w:r w:rsidR="00FC5BEB">
        <w:fldChar w:fldCharType="begin">
          <w:fldData xml:space="preserve">PEVuZE5vdGU+PENpdGU+PEF1dGhvcj5QaW5nPC9BdXRob3I+PFllYXI+MjAxNzwvWWVhcj48UmVj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</w:fldData>
        </w:fldChar>
      </w:r>
      <w:r w:rsidR="00FC5BEB">
        <w:instrText xml:space="preserve"> ADDIN EN.CITE.DATA </w:instrText>
      </w:r>
      <w:r w:rsidR="00FC5BEB">
        <w:fldChar w:fldCharType="end"/>
      </w:r>
      <w:r w:rsidRPr="0013432D">
        <w:fldChar w:fldCharType="separate"/>
      </w:r>
      <w:r w:rsidR="00FC5BEB" w:rsidRPr="00FC5BEB">
        <w:rPr>
          <w:noProof/>
          <w:vertAlign w:val="superscript"/>
        </w:rPr>
        <w:t>63, 175, 176, 265, 266, 272, 273</w:t>
      </w:r>
      <w:r w:rsidRPr="0013432D">
        <w:fldChar w:fldCharType="end"/>
      </w:r>
      <w:r w:rsidRPr="0013432D">
        <w:t>, it remains a mainstay in the literature, and the possibility to break the scaling relationships associated with it through the participation of multiple sites has prompted significant research into multi-site mechanisms within the CHE. These range from the cooperative effects of dopants</w:t>
      </w:r>
      <w:r w:rsidRPr="0013432D">
        <w:fldChar w:fldCharType="begin">
          <w:fldData xml:space="preserve">PEVuZE5vdGU+PENpdGU+PEF1dGhvcj5MaWFvPC9BdXRob3I+PFllYXI+MjAxMjwvWWVhcj48UmVj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</w:fldData>
        </w:fldChar>
      </w:r>
      <w:r w:rsidR="00FC5BEB">
        <w:instrText xml:space="preserve"> ADDIN EN.CITE </w:instrText>
      </w:r>
      <w:r w:rsidR="00FC5BEB">
        <w:fldChar w:fldCharType="begin">
          <w:fldData xml:space="preserve">PEVuZE5vdGU+PENpdGU+PEF1dGhvcj5MaWFvPC9BdXRob3I+PFllYXI+MjAxMjwvWWVhcj48UmVj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</w:fldData>
        </w:fldChar>
      </w:r>
      <w:r w:rsidR="00FC5BEB">
        <w:instrText xml:space="preserve"> ADDIN EN.CITE.DATA </w:instrText>
      </w:r>
      <w:r w:rsidR="00FC5BEB">
        <w:fldChar w:fldCharType="end"/>
      </w:r>
      <w:r w:rsidRPr="0013432D">
        <w:fldChar w:fldCharType="separate"/>
      </w:r>
      <w:r w:rsidR="00FC5BEB" w:rsidRPr="00FC5BEB">
        <w:rPr>
          <w:noProof/>
          <w:vertAlign w:val="superscript"/>
        </w:rPr>
        <w:t>274-278</w:t>
      </w:r>
      <w:r w:rsidRPr="0013432D">
        <w:fldChar w:fldCharType="end"/>
      </w:r>
      <w:r w:rsidR="00C34936">
        <w:t xml:space="preserve"> </w:t>
      </w:r>
      <w:r w:rsidRPr="0013432D">
        <w:fldChar w:fldCharType="begin">
          <w:fldData xml:space="preserve">PEVuZE5vdGU+PENpdGU+PEF1dGhvcj5Ua2FseWNoPC9BdXRob3I+PFllYXI+MjAxODwvWWVhcj48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</w:fldData>
        </w:fldChar>
      </w:r>
      <w:r w:rsidR="00FC5BEB">
        <w:instrText xml:space="preserve"> ADDIN EN.CITE </w:instrText>
      </w:r>
      <w:r w:rsidR="00FC5BEB">
        <w:fldChar w:fldCharType="begin">
          <w:fldData xml:space="preserve">PEVuZE5vdGU+PENpdGU+PEF1dGhvcj5Ua2FseWNoPC9BdXRob3I+PFllYXI+MjAxODwvWWVhcj48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</w:fldData>
        </w:fldChar>
      </w:r>
      <w:r w:rsidR="00FC5BEB">
        <w:instrText xml:space="preserve"> ADDIN EN.CITE.DATA </w:instrText>
      </w:r>
      <w:r w:rsidR="00FC5BEB">
        <w:fldChar w:fldCharType="end"/>
      </w:r>
      <w:r w:rsidRPr="0013432D">
        <w:fldChar w:fldCharType="separate"/>
      </w:r>
      <w:r w:rsidR="00FC5BEB" w:rsidRPr="00FC5BEB">
        <w:rPr>
          <w:noProof/>
          <w:vertAlign w:val="superscript"/>
        </w:rPr>
        <w:t>231, 249</w:t>
      </w:r>
      <w:r w:rsidRPr="0013432D">
        <w:fldChar w:fldCharType="end"/>
      </w:r>
      <w:r w:rsidRPr="0013432D">
        <w:t xml:space="preserve"> and vacancies</w:t>
      </w:r>
      <w:r w:rsidRPr="0013432D">
        <w:fldChar w:fldCharType="begin">
          <w:fldData xml:space="preserve">PEVuZE5vdGU+PENpdGU+PEF1dGhvcj5aaGFpPC9BdXRob3I+PFllYXI+MjAyMzwvWWVhcj48UmVj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</w:fldData>
        </w:fldChar>
      </w:r>
      <w:r w:rsidR="00FC5BEB">
        <w:instrText xml:space="preserve"> ADDIN EN.CITE </w:instrText>
      </w:r>
      <w:r w:rsidR="00FC5BEB">
        <w:fldChar w:fldCharType="begin">
          <w:fldData xml:space="preserve">PEVuZE5vdGU+PENpdGU+PEF1dGhvcj5aaGFpPC9BdXRob3I+PFllYXI+MjAyMzwvWWVhcj48UmVj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</w:fldData>
        </w:fldChar>
      </w:r>
      <w:r w:rsidR="00FC5BEB">
        <w:instrText xml:space="preserve"> ADDIN EN.CITE.DATA </w:instrText>
      </w:r>
      <w:r w:rsidR="00FC5BEB">
        <w:fldChar w:fldCharType="end"/>
      </w:r>
      <w:r w:rsidRPr="0013432D">
        <w:fldChar w:fldCharType="separate"/>
      </w:r>
      <w:r w:rsidR="00FC5BEB" w:rsidRPr="00FC5BEB">
        <w:rPr>
          <w:noProof/>
          <w:vertAlign w:val="superscript"/>
        </w:rPr>
        <w:t>279-284</w:t>
      </w:r>
      <w:r w:rsidRPr="0013432D">
        <w:fldChar w:fldCharType="end"/>
      </w:r>
      <w:r w:rsidRPr="0013432D">
        <w:t>, to metal ions in different oxidation states</w:t>
      </w:r>
      <w:r w:rsidRPr="0013432D">
        <w:fldChar w:fldCharType="begin">
          <w:fldData xml:space="preserve">PEVuZE5vdGU+PENpdGU+PEF1dGhvcj5LYW5nPC9BdXRob3I+PFllYXI+MjAyMzwvWWVhcj48UmVj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</w:fldData>
        </w:fldChar>
      </w:r>
      <w:r w:rsidR="00FC5BEB">
        <w:instrText xml:space="preserve"> ADDIN EN.CITE </w:instrText>
      </w:r>
      <w:r w:rsidR="00FC5BEB">
        <w:fldChar w:fldCharType="begin">
          <w:fldData xml:space="preserve">PEVuZE5vdGU+PENpdGU+PEF1dGhvcj5LYW5nPC9BdXRob3I+PFllYXI+MjAyMzwvWWVhcj48UmVj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</w:fldData>
        </w:fldChar>
      </w:r>
      <w:r w:rsidR="00FC5BEB">
        <w:instrText xml:space="preserve"> ADDIN EN.CITE.DATA </w:instrText>
      </w:r>
      <w:r w:rsidR="00FC5BEB">
        <w:fldChar w:fldCharType="end"/>
      </w:r>
      <w:r w:rsidRPr="0013432D">
        <w:fldChar w:fldCharType="separate"/>
      </w:r>
      <w:r w:rsidR="00FC5BEB" w:rsidRPr="00FC5BEB">
        <w:rPr>
          <w:noProof/>
          <w:vertAlign w:val="superscript"/>
        </w:rPr>
        <w:t>285, 286</w:t>
      </w:r>
      <w:r w:rsidRPr="0013432D">
        <w:fldChar w:fldCharType="end"/>
      </w:r>
      <w:r w:rsidRPr="0013432D">
        <w:t>, to using interfaces as the source of multiple sites</w:t>
      </w:r>
      <w:r w:rsidRPr="0013432D">
        <w:fldChar w:fldCharType="begin">
          <w:fldData xml:space="preserve">PEVuZE5vdGU+PENpdGU+PEF1dGhvcj5TdXJ5YW50bzwvQXV0aG9yPjxZZWFyPjIwMTk8L1llYXI+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</w:fldData>
        </w:fldChar>
      </w:r>
      <w:r w:rsidR="00FC5BEB">
        <w:instrText xml:space="preserve"> ADDIN EN.CITE </w:instrText>
      </w:r>
      <w:r w:rsidR="00FC5BEB">
        <w:fldChar w:fldCharType="begin">
          <w:fldData xml:space="preserve">PEVuZE5vdGU+PENpdGU+PEF1dGhvcj5TdXJ5YW50bzwvQXV0aG9yPjxZZWFyPjIwMTk8L1llYXI+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</w:fldData>
        </w:fldChar>
      </w:r>
      <w:r w:rsidR="00FC5BEB">
        <w:instrText xml:space="preserve"> ADDIN EN.CITE.DATA </w:instrText>
      </w:r>
      <w:r w:rsidR="00FC5BEB">
        <w:fldChar w:fldCharType="end"/>
      </w:r>
      <w:r w:rsidRPr="0013432D">
        <w:fldChar w:fldCharType="separate"/>
      </w:r>
      <w:r w:rsidR="00FC5BEB" w:rsidRPr="00FC5BEB">
        <w:rPr>
          <w:noProof/>
          <w:vertAlign w:val="superscript"/>
        </w:rPr>
        <w:t>254, 280, 287, 288</w:t>
      </w:r>
      <w:r w:rsidRPr="0013432D">
        <w:fldChar w:fldCharType="end"/>
      </w:r>
      <w:r w:rsidRPr="0013432D">
        <w:t>. Strain and geometric distortion too have often been invoked as possible means of breaking scaling relationships and increasing catalytic activity</w:t>
      </w:r>
      <w:r w:rsidRPr="0013432D">
        <w:fldChar w:fldCharType="begin">
          <w:fldData xml:space="preserve">PEVuZE5vdGU+PENpdGU+PEF1dGhvcj5LdW88L0F1dGhvcj48WWVhcj4yMDE4PC9ZZWFyPjxSZWNO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</w:fldData>
        </w:fldChar>
      </w:r>
      <w:r w:rsidR="00FC5BEB">
        <w:instrText xml:space="preserve"> ADDIN EN.CITE </w:instrText>
      </w:r>
      <w:r w:rsidR="00FC5BEB">
        <w:fldChar w:fldCharType="begin">
          <w:fldData xml:space="preserve">PEVuZE5vdGU+PENpdGU+PEF1dGhvcj5LdW88L0F1dGhvcj48WWVhcj4yMDE4PC9ZZWFyPjxSZWNO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</w:fldData>
        </w:fldChar>
      </w:r>
      <w:r w:rsidR="00FC5BEB">
        <w:instrText xml:space="preserve"> ADDIN EN.CITE.DATA </w:instrText>
      </w:r>
      <w:r w:rsidR="00FC5BEB">
        <w:fldChar w:fldCharType="end"/>
      </w:r>
      <w:r w:rsidRPr="0013432D">
        <w:fldChar w:fldCharType="separate"/>
      </w:r>
      <w:r w:rsidR="00FC5BEB" w:rsidRPr="00FC5BEB">
        <w:rPr>
          <w:noProof/>
          <w:vertAlign w:val="superscript"/>
        </w:rPr>
        <w:t>241-248, 289-291</w:t>
      </w:r>
      <w:r w:rsidRPr="0013432D">
        <w:fldChar w:fldCharType="end"/>
      </w:r>
      <w:r w:rsidRPr="0013432D">
        <w:t xml:space="preserve">. However, all such studies ultimately rely on both the assumptions underlying the CHE and the accuracy of the assumed mechanism, </w:t>
      </w:r>
      <w:r w:rsidRPr="0013432D">
        <w:rPr>
          <w:iCs/>
        </w:rPr>
        <w:t xml:space="preserve">but there is often limited mechanistic proof. </w:t>
      </w:r>
      <w:r w:rsidRPr="0013432D">
        <w:t>Without mechanistic evidence supporting the predictions made using the CHE, design may be accomplished more readily with other descriptions. Here too DFT has played a role, with various authors having attempted to develop physically sound descriptors that may offer intuitive insight into design</w:t>
      </w:r>
      <w:r w:rsidRPr="0013432D">
        <w:fldChar w:fldCharType="begin">
          <w:fldData xml:space="preserve">PEVuZE5vdGU+PENpdGU+PEF1dGhvcj5TdW50aXZpY2g8L0F1dGhvcj48WWVhcj4yMDExPC9ZZWFy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</w:fldData>
        </w:fldChar>
      </w:r>
      <w:r w:rsidR="00FC5BEB">
        <w:instrText xml:space="preserve"> ADDIN EN.CITE </w:instrText>
      </w:r>
      <w:r w:rsidR="00FC5BEB">
        <w:fldChar w:fldCharType="begin">
          <w:fldData xml:space="preserve">PEVuZE5vdGU+PENpdGU+PEF1dGhvcj5TdW50aXZpY2g8L0F1dGhvcj48WWVhcj4yMDExPC9ZZWFy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</w:fldData>
        </w:fldChar>
      </w:r>
      <w:r w:rsidR="00FC5BEB">
        <w:instrText xml:space="preserve"> ADDIN EN.CITE.DATA </w:instrText>
      </w:r>
      <w:r w:rsidR="00FC5BEB">
        <w:fldChar w:fldCharType="end"/>
      </w:r>
      <w:r w:rsidRPr="0013432D">
        <w:fldChar w:fldCharType="separate"/>
      </w:r>
      <w:r w:rsidR="00FC5BEB" w:rsidRPr="00FC5BEB">
        <w:rPr>
          <w:noProof/>
          <w:vertAlign w:val="superscript"/>
        </w:rPr>
        <w:t>194, 292-294</w:t>
      </w:r>
      <w:r w:rsidRPr="0013432D">
        <w:fldChar w:fldCharType="end"/>
      </w:r>
      <w:r w:rsidR="00C34936">
        <w:t xml:space="preserve"> </w:t>
      </w:r>
      <w:r w:rsidRPr="0013432D">
        <w:fldChar w:fldCharType="begin">
          <w:fldData xml:space="preserve">PEVuZE5vdGU+PENpdGU+PEF1dGhvcj5Ib25nPC9BdXRob3I+PFllYXI+MjAxNzwvWWVhcj48UmVj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</w:fldData>
        </w:fldChar>
      </w:r>
      <w:r w:rsidR="00FC5BEB">
        <w:instrText xml:space="preserve"> ADDIN EN.CITE </w:instrText>
      </w:r>
      <w:r w:rsidR="00FC5BEB">
        <w:fldChar w:fldCharType="begin">
          <w:fldData xml:space="preserve">PEVuZE5vdGU+PENpdGU+PEF1dGhvcj5Ib25nPC9BdXRob3I+PFllYXI+MjAxNzwvWWVhcj48UmVj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</w:fldData>
        </w:fldChar>
      </w:r>
      <w:r w:rsidR="00FC5BEB">
        <w:instrText xml:space="preserve"> ADDIN EN.CITE.DATA </w:instrText>
      </w:r>
      <w:r w:rsidR="00FC5BEB">
        <w:fldChar w:fldCharType="end"/>
      </w:r>
      <w:r w:rsidRPr="0013432D">
        <w:fldChar w:fldCharType="separate"/>
      </w:r>
      <w:r w:rsidR="00FC5BEB" w:rsidRPr="00FC5BEB">
        <w:rPr>
          <w:noProof/>
          <w:vertAlign w:val="superscript"/>
        </w:rPr>
        <w:t>295, 296</w:t>
      </w:r>
      <w:r w:rsidRPr="0013432D">
        <w:fldChar w:fldCharType="end"/>
      </w:r>
      <w:r w:rsidRPr="0013432D">
        <w:rPr>
          <w:iCs/>
        </w:rPr>
        <w:t xml:space="preserve"> </w:t>
      </w:r>
      <w:r w:rsidRPr="0013432D">
        <w:t>or rationalizing</w:t>
      </w:r>
      <w:r w:rsidRPr="0013432D">
        <w:fldChar w:fldCharType="begin"/>
      </w:r>
      <w:r w:rsidR="00FC5BEB">
        <w:instrText xml:space="preserve"> ADDIN EN.CITE &lt;EndNote&gt;&lt;Cite&gt;&lt;Author&gt;Calle-Vallejo&lt;/Author&gt;&lt;Year&gt;2015&lt;/Year&gt;&lt;RecNum&gt;295&lt;/RecNum&gt;&lt;DisplayText&gt;&lt;style face="superscript"&gt;297&lt;/style&gt;&lt;/DisplayText&gt;&lt;record&gt;&lt;rec-number&gt;295&lt;/rec-number&gt;&lt;foreign-keys&gt;&lt;key app="EN" db-id="2xex0erf4eexr4e2dpbxpdd829xttesxxxdr" timestamp="1715075296"&gt;295&lt;/key&gt;&lt;/foreign-keys&gt;&lt;ref-type name="Journal Article"&gt;17&lt;/ref-type&gt;&lt;contributors&gt;&lt;authors&gt;&lt;author&gt;Calle-Vallejo, Federico&lt;/author&gt;&lt;author&gt;Díaz-Morales, Oscar A.&lt;/author&gt;&lt;author&gt;Kolb, Manuel J.&lt;/author&gt;&lt;author&gt;Koper, Marc T. M.&lt;/author&gt;&lt;/authors&gt;&lt;/contributors&gt;&lt;titles&gt;&lt;title&gt;Why Is Bulk Thermochemistry a Good Descriptor for the Electrocatalytic Activity of Transition Metal Oxides?&lt;/title&gt;&lt;secondary-title&gt;ACS Catal.&lt;/secondary-title&gt;&lt;/titles&gt;&lt;periodical&gt;&lt;full-title&gt;ACS Catal.&lt;/full-title&gt;&lt;/periodical&gt;&lt;pages&gt;869-873&lt;/pages&gt;&lt;volume&gt;5&lt;/volume&gt;&lt;number&gt;2&lt;/number&gt;&lt;dates&gt;&lt;year&gt;2015&lt;/year&gt;&lt;pub-dates&gt;&lt;date&gt;2015/02/06&lt;/date&gt;&lt;/pub-dates&gt;&lt;/dates&gt;&lt;publisher&gt;American Chemical Society&lt;/publisher&gt;&lt;urls&gt;&lt;related-urls&gt;&lt;url&gt;https://doi.org/10.1021/cs5016657&lt;/url&gt;&lt;/related-urls&gt;&lt;/urls&gt;&lt;electronic-resource-num&gt;10.1021/cs5016657&lt;/electronic-resource-num&gt;&lt;/record&gt;&lt;/Cite&gt;&lt;/EndNote&gt;</w:instrText>
      </w:r>
      <w:r w:rsidRPr="0013432D">
        <w:fldChar w:fldCharType="separate"/>
      </w:r>
      <w:r w:rsidR="00FC5BEB" w:rsidRPr="00FC5BEB">
        <w:rPr>
          <w:noProof/>
          <w:vertAlign w:val="superscript"/>
        </w:rPr>
        <w:t>297</w:t>
      </w:r>
      <w:r w:rsidRPr="0013432D">
        <w:fldChar w:fldCharType="end"/>
      </w:r>
      <w:r w:rsidRPr="0013432D">
        <w:t xml:space="preserve"> descriptors that are easier to access from experiment</w:t>
      </w:r>
      <w:r w:rsidRPr="0013432D">
        <w:fldChar w:fldCharType="begin"/>
      </w:r>
      <w:r w:rsidR="00FC5BEB">
        <w:instrText xml:space="preserve"> ADDIN EN.CITE &lt;EndNote&gt;&lt;Cite&gt;&lt;Author&gt;Trasatti&lt;/Author&gt;&lt;Year&gt;1980&lt;/Year&gt;&lt;RecNum&gt;296&lt;/RecNum&gt;&lt;DisplayText&gt;&lt;style face="superscript"&gt;294, 298&lt;/style&gt;&lt;/DisplayText&gt;&lt;record&gt;&lt;rec-number&gt;296&lt;/rec-number&gt;&lt;foreign-keys&gt;&lt;key app="EN" db-id="2xex0erf4eexr4e2dpbxpdd829xttesxxxdr" timestamp="1715075296"&gt;296&lt;/key&gt;&lt;/foreign-keys&gt;&lt;ref-type name="Journal Article"&gt;17&lt;/ref-type&gt;&lt;contributors&gt;&lt;authors&gt;&lt;author&gt;Trasatti, Sergio&lt;/author&gt;&lt;/authors&gt;&lt;/contributors&gt;&lt;titles&gt;&lt;title&gt;Electrocatalysis by oxides — Attempt at a unifying approach&lt;/title&gt;&lt;secondary-title&gt;J. Electroanal. Chem. Interfacial Electrochem.&lt;/secondary-title&gt;&lt;/titles&gt;&lt;periodical&gt;&lt;full-title&gt;J. Electroanal. Chem. Interfacial Electrochem.&lt;/full-title&gt;&lt;/periodical&gt;&lt;pages&gt;125-131&lt;/pages&gt;&lt;volume&gt;111&lt;/volume&gt;&lt;number&gt;1&lt;/number&gt;&lt;dates&gt;&lt;year&gt;1980&lt;/year&gt;&lt;pub-dates&gt;&lt;date&gt;1980/07/25/&lt;/date&gt;&lt;/pub-dates&gt;&lt;/dates&gt;&lt;isbn&gt;0022-0728&lt;/isbn&gt;&lt;urls&gt;&lt;related-urls&gt;&lt;url&gt;https://www.sciencedirect.com/science/article/pii/S0022072880800842&lt;/url&gt;&lt;/related-urls&gt;&lt;/urls&gt;&lt;electronic-resource-num&gt;https://doi.org/10.1016/S0022-0728(80)80084-2&lt;/electronic-resource-num&gt;&lt;/record&gt;&lt;/Cite&gt;&lt;Cite&gt;&lt;Author&gt;Zaffran&lt;/Author&gt;&lt;Year&gt;2016&lt;/Year&gt;&lt;RecNum&gt;292&lt;/RecNum&gt;&lt;record&gt;&lt;rec-number&gt;292&lt;/rec-number&gt;&lt;foreign-keys&gt;&lt;key app="EN" db-id="2xex0erf4eexr4e2dpbxpdd829xttesxxxdr" timestamp="1715075296"&gt;292&lt;/key&gt;&lt;/foreign-keys&gt;&lt;ref-type name="Journal Article"&gt;17&lt;/ref-type&gt;&lt;contributors&gt;&lt;authors&gt;&lt;author&gt;Zaffran, Jeremie&lt;/author&gt;&lt;author&gt;Toroker, Maytal Caspary&lt;/author&gt;&lt;/authors&gt;&lt;/contributors&gt;&lt;titles&gt;&lt;title&gt;Metal–Oxygen Bond Ionicity as an Efficient Descriptor for Doped NiOOH Photocatalytic Activity&lt;/title&gt;&lt;secondary-title&gt;ChemPhysChem&lt;/secondary-title&gt;&lt;/titles&gt;&lt;pages&gt;1630-1636&lt;/pages&gt;&lt;volume&gt;17&lt;/volume&gt;&lt;number&gt;11&lt;/number&gt;&lt;dates&gt;&lt;year&gt;2016&lt;/year&gt;&lt;/dates&gt;&lt;isbn&gt;1439-4235&lt;/isbn&gt;&lt;urls&gt;&lt;related-urls&gt;&lt;url&gt;https://chemistry-europe.onlinelibrary.wiley.com/doi/abs/10.1002/cphc.201600049&lt;/url&gt;&lt;/related-urls&gt;&lt;/urls&gt;&lt;electronic-resource-num&gt;https://doi.org/10.1002/cphc.201600049&lt;/electronic-resource-num&gt;&lt;/record&gt;&lt;/Cite&gt;&lt;/EndNote&gt;</w:instrText>
      </w:r>
      <w:r w:rsidRPr="0013432D">
        <w:fldChar w:fldCharType="separate"/>
      </w:r>
      <w:r w:rsidR="00FC5BEB" w:rsidRPr="00FC5BEB">
        <w:rPr>
          <w:noProof/>
          <w:vertAlign w:val="superscript"/>
        </w:rPr>
        <w:t>294, 298</w:t>
      </w:r>
      <w:r w:rsidRPr="0013432D">
        <w:fldChar w:fldCharType="end"/>
      </w:r>
      <w:r w:rsidRPr="0013432D">
        <w:t xml:space="preserve"> and theory</w:t>
      </w:r>
      <w:r w:rsidRPr="0013432D">
        <w:fldChar w:fldCharType="begin"/>
      </w:r>
      <w:r w:rsidR="00FC5BEB">
        <w:instrText xml:space="preserve"> ADDIN EN.CITE &lt;EndNote&gt;&lt;Cite&gt;&lt;Author&gt;Calle-Vallejo&lt;/Author&gt;&lt;Year&gt;2015&lt;/Year&gt;&lt;RecNum&gt;295&lt;/RecNum&gt;&lt;DisplayText&gt;&lt;style face="superscript"&gt;297&lt;/style&gt;&lt;/DisplayText&gt;&lt;record&gt;&lt;rec-number&gt;295&lt;/rec-number&gt;&lt;foreign-keys&gt;&lt;key app="EN" db-id="2xex0erf4eexr4e2dpbxpdd829xttesxxxdr" timestamp="1715075296"&gt;295&lt;/key&gt;&lt;/foreign-keys&gt;&lt;ref-type name="Journal Article"&gt;17&lt;/ref-type&gt;&lt;contributors&gt;&lt;authors&gt;&lt;author&gt;Calle-Vallejo, Federico&lt;/author&gt;&lt;author&gt;Díaz-Morales, Oscar A.&lt;/author&gt;&lt;author&gt;Kolb, Manuel J.&lt;/author&gt;&lt;author&gt;Koper, Marc T. M.&lt;/author&gt;&lt;/authors&gt;&lt;/contributors&gt;&lt;titles&gt;&lt;title&gt;Why Is Bulk Thermochemistry a Good Descriptor for the Electrocatalytic Activity of Transition Metal Oxides?&lt;/title&gt;&lt;secondary-title&gt;ACS Catal.&lt;/secondary-title&gt;&lt;/titles&gt;&lt;periodical&gt;&lt;full-title&gt;ACS Catal.&lt;/full-title&gt;&lt;/periodical&gt;&lt;pages&gt;869-873&lt;/pages&gt;&lt;volume&gt;5&lt;/volume&gt;&lt;number&gt;2&lt;/number&gt;&lt;dates&gt;&lt;year&gt;2015&lt;/year&gt;&lt;pub-dates&gt;&lt;date&gt;2015/02/06&lt;/date&gt;&lt;/pub-dates&gt;&lt;/dates&gt;&lt;publisher&gt;American Chemical Society&lt;/publisher&gt;&lt;urls&gt;&lt;related-urls&gt;&lt;url&gt;https://doi.org/10.1021/cs5016657&lt;/url&gt;&lt;/related-urls&gt;&lt;/urls&gt;&lt;electronic-resource-num&gt;10.1021/cs5016657&lt;/electronic-resource-num&gt;&lt;/record&gt;&lt;/Cite&gt;&lt;/EndNote&gt;</w:instrText>
      </w:r>
      <w:r w:rsidRPr="0013432D">
        <w:fldChar w:fldCharType="separate"/>
      </w:r>
      <w:r w:rsidR="00FC5BEB" w:rsidRPr="00FC5BEB">
        <w:rPr>
          <w:noProof/>
          <w:vertAlign w:val="superscript"/>
        </w:rPr>
        <w:t>297</w:t>
      </w:r>
      <w:r w:rsidRPr="0013432D">
        <w:fldChar w:fldCharType="end"/>
      </w:r>
      <w:r w:rsidRPr="0013432D">
        <w:t>. However, the ultimate aim of many researchers remains to develop mechanistic understanding of the OER.</w:t>
      </w:r>
    </w:p>
    <w:p w14:paraId="090996C9" w14:textId="77777777" w:rsidR="0013432D" w:rsidRPr="0013432D" w:rsidRDefault="0013432D" w:rsidP="0013432D"/>
    <w:p w14:paraId="4FEA44CE" w14:textId="15B6BF18" w:rsidR="0013432D" w:rsidRPr="0013432D" w:rsidRDefault="0013432D" w:rsidP="00A54921">
      <w:pPr>
        <w:ind w:firstLine="720"/>
      </w:pPr>
      <w:r w:rsidRPr="0013432D">
        <w:t>At this juncture, let us revisit some of the results we have seen in this section. RuO</w:t>
      </w:r>
      <w:r w:rsidRPr="0013432D">
        <w:rPr>
          <w:vertAlign w:val="subscript"/>
        </w:rPr>
        <w:t>2</w:t>
      </w:r>
      <w:r w:rsidRPr="0013432D">
        <w:t xml:space="preserve"> is known to be one of the best OER catalysts, though its stability is not sufficient for industrial applications.</w:t>
      </w:r>
      <w:r w:rsidRPr="0013432D">
        <w:fldChar w:fldCharType="begin"/>
      </w:r>
      <w:r w:rsidR="00FC5BEB">
        <w:instrText xml:space="preserve"> ADDIN EN.CITE &lt;EndNote&gt;&lt;Cite&gt;&lt;Author&gt;Wu&lt;/Author&gt;&lt;Year&gt;2023&lt;/Year&gt;&lt;RecNum&gt;297&lt;/RecNum&gt;&lt;DisplayText&gt;&lt;style face="superscript"&gt;299&lt;/style&gt;&lt;/DisplayText&gt;&lt;record&gt;&lt;rec-number&gt;297&lt;/rec-number&gt;&lt;foreign-keys&gt;&lt;key app="EN" db-id="2xex0erf4eexr4e2dpbxpdd829xttesxxxdr" timestamp="1715075296"&gt;297&lt;/key&gt;&lt;/foreign-keys&gt;&lt;ref-type name="Journal Article"&gt;17&lt;/ref-type&gt;&lt;contributors&gt;&lt;authors&gt;&lt;author&gt;Wu, Qiannan&lt;/author&gt;&lt;author&gt;Wang, Yuannan&lt;/author&gt;&lt;author&gt;Zhang, Kexin&lt;/author&gt;&lt;author&gt;Xie, Zhoubing&lt;/author&gt;&lt;author&gt;Sun, Ke&lt;/author&gt;&lt;author&gt;An, Wei&lt;/author&gt;&lt;author&gt;Liang, Xiao&lt;/author&gt;&lt;author&gt;Zou, Xiaoxin&lt;/author&gt;&lt;/authors&gt;&lt;/contributors&gt;&lt;titles&gt;&lt;title&gt;Advances and status of anode catalysts for proton exchange membrane water electrolysis technology&lt;/title&gt;&lt;secondary-title&gt;Mater. Chem. Front.&lt;/secondary-title&gt;&lt;/titles&gt;&lt;periodical&gt;&lt;full-title&gt;Mater. Chem. Front.&lt;/full-title&gt;&lt;/periodical&gt;&lt;pages&gt;1025-1045&lt;/pages&gt;&lt;volume&gt;7&lt;/volume&gt;&lt;number&gt;6&lt;/number&gt;&lt;dates&gt;&lt;year&gt;2023&lt;/year&gt;&lt;/dates&gt;&lt;publisher&gt;The Royal Society of Chemistry&lt;/publisher&gt;&lt;work-type&gt;10.1039/D3QM00010A&lt;/work-type&gt;&lt;urls&gt;&lt;related-urls&gt;&lt;url&gt;http://dx.doi.org/10.1039/D3QM00010A&lt;/url&gt;&lt;/related-urls&gt;&lt;/urls&gt;&lt;electronic-resource-num&gt;10.1039/D3QM00010A&lt;/electronic-resource-num&gt;&lt;/record&gt;&lt;/Cite&gt;&lt;/EndNote&gt;</w:instrText>
      </w:r>
      <w:r w:rsidRPr="0013432D">
        <w:fldChar w:fldCharType="separate"/>
      </w:r>
      <w:r w:rsidR="00FC5BEB" w:rsidRPr="00FC5BEB">
        <w:rPr>
          <w:noProof/>
          <w:vertAlign w:val="superscript"/>
        </w:rPr>
        <w:t>299</w:t>
      </w:r>
      <w:r w:rsidRPr="0013432D">
        <w:fldChar w:fldCharType="end"/>
      </w:r>
      <w:r w:rsidRPr="0013432D">
        <w:t xml:space="preserve"> As we have seen in </w:t>
      </w:r>
      <w:r w:rsidR="00A54921">
        <w:fldChar w:fldCharType="begin"/>
      </w:r>
      <w:r w:rsidR="00A54921">
        <w:instrText xml:space="preserve"> REF _Ref159515052 \h </w:instrText>
      </w:r>
      <w:r w:rsidR="00A54921">
        <w:fldChar w:fldCharType="separate"/>
      </w:r>
      <w:r w:rsidR="003255C0" w:rsidRPr="001A79BA">
        <w:rPr>
          <w:b/>
          <w:bCs/>
        </w:rPr>
        <w:t xml:space="preserve">Figure </w:t>
      </w:r>
      <w:r w:rsidR="003255C0">
        <w:rPr>
          <w:b/>
          <w:bCs/>
          <w:noProof/>
        </w:rPr>
        <w:t>15</w:t>
      </w:r>
      <w:r w:rsidR="00A54921">
        <w:fldChar w:fldCharType="end"/>
      </w:r>
      <w:r w:rsidRPr="0013432D">
        <w:t xml:space="preserve">, </w:t>
      </w:r>
      <w:proofErr w:type="spellStart"/>
      <w:r w:rsidRPr="0013432D">
        <w:t>Rossmeisl</w:t>
      </w:r>
      <w:proofErr w:type="spellEnd"/>
      <w:r w:rsidRPr="0013432D">
        <w:t xml:space="preserve"> et al.</w:t>
      </w:r>
      <w:r w:rsidRPr="0013432D">
        <w:fldChar w:fldCharType="begin"/>
      </w:r>
      <w:r w:rsidR="00FC5BEB">
        <w:instrText xml:space="preserve"> ADDIN EN.CITE &lt;EndNote&gt;&lt;Cite&gt;&lt;Author&gt;Rossmeisl&lt;/Author&gt;&lt;Year&gt;2007&lt;/Year&gt;&lt;RecNum&gt;86&lt;/RecNum&gt;&lt;DisplayText&gt;&lt;style face="superscript"&gt;88&lt;/style&gt;&lt;/DisplayText&gt;&lt;record&gt;&lt;rec-number&gt;86&lt;/rec-number&gt;&lt;foreign-keys&gt;&lt;key app="EN" db-id="2xex0erf4eexr4e2dpbxpdd829xttesxxxdr" timestamp="1715075296"&gt;86&lt;/key&gt;&lt;/foreign-keys&gt;&lt;ref-type name="Journal Article"&gt;17&lt;/ref-type&gt;&lt;contributors&gt;&lt;authors&gt;&lt;author&gt;Rossmeisl, J.&lt;/author&gt;&lt;author&gt;Qu, Z. W.&lt;/author&gt;&lt;author&gt;Zhu, H.&lt;/author&gt;&lt;author&gt;Kroes, G. J.&lt;/author&gt;&lt;author&gt;Nørskov, J. K.&lt;/author&gt;&lt;/authors&gt;&lt;/contributors&gt;&lt;titles&gt;&lt;title&gt;Electrolysis of water on oxide surfaces&lt;/title&gt;&lt;secondary-title&gt;Journal of Electroanalytical Chemistry&lt;/secondary-title&gt;&lt;/titles&gt;&lt;periodical&gt;&lt;full-title&gt;Journal of Electroanalytical Chemistry&lt;/full-title&gt;&lt;abbr-1&gt;J. Electroanal. Chem.&lt;/abbr-1&gt;&lt;abbr-2&gt;J Electroanal Chem&lt;/abbr-2&gt;&lt;/periodical&gt;&lt;pages&gt;83-89&lt;/pages&gt;&lt;volume&gt;607&lt;/volume&gt;&lt;number&gt;1&lt;/number&gt;&lt;keywords&gt;&lt;keyword&gt;Electrolysis&lt;/keyword&gt;&lt;keyword&gt;Oxide surfaces&lt;/keyword&gt;&lt;keyword&gt;Density functional theory&lt;/keyword&gt;&lt;keyword&gt;Linear relations&lt;/keyword&gt;&lt;/keywords&gt;&lt;dates&gt;&lt;year&gt;2007&lt;/year&gt;&lt;pub-dates&gt;&lt;date&gt;2007/09/01/&lt;/date&gt;&lt;/pub-dates&gt;&lt;/dates&gt;&lt;isbn&gt;1572-6657&lt;/isbn&gt;&lt;urls&gt;&lt;related-urls&gt;&lt;url&gt;https://www.sciencedirect.com/science/article/pii/S0022072806006371&lt;/url&gt;&lt;/related-urls&gt;&lt;/urls&gt;&lt;electronic-resource-num&gt;https://doi.org/10.1016/j.jelechem.2006.11.008&lt;/electronic-resource-num&gt;&lt;/record&gt;&lt;/Cite&gt;&lt;/EndNote&gt;</w:instrText>
      </w:r>
      <w:r w:rsidRPr="0013432D">
        <w:fldChar w:fldCharType="separate"/>
      </w:r>
      <w:r w:rsidR="00FC5BEB" w:rsidRPr="00FC5BEB">
        <w:rPr>
          <w:noProof/>
          <w:vertAlign w:val="superscript"/>
        </w:rPr>
        <w:t>88</w:t>
      </w:r>
      <w:r w:rsidRPr="0013432D">
        <w:fldChar w:fldCharType="end"/>
      </w:r>
      <w:r w:rsidRPr="0013432D">
        <w:t xml:space="preserve"> correctly located RuO</w:t>
      </w:r>
      <w:r w:rsidRPr="0013432D">
        <w:rPr>
          <w:vertAlign w:val="subscript"/>
        </w:rPr>
        <w:t>2</w:t>
      </w:r>
      <w:r w:rsidRPr="0013432D">
        <w:t xml:space="preserve"> close to the top of the theoretical overpotential volcano. Unfortunately, numerous later studies, even from the same author</w:t>
      </w:r>
      <w:r w:rsidR="00B80B41">
        <w:t>s</w:t>
      </w:r>
      <w:r w:rsidRPr="0013432D">
        <w:t>, predicted much larger overpotentials, some up to 1.2 V.</w:t>
      </w:r>
      <w:r w:rsidRPr="0013432D">
        <w:fldChar w:fldCharType="begin">
          <w:fldData xml:space="preserve">PEVuZE5vdGU+PENpdGU+PEF1dGhvcj5YdTwvQXV0aG9yPjxZZWFyPjIwMTU8L1llYXI+PFJlY051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</w:fldData>
        </w:fldChar>
      </w:r>
      <w:r w:rsidR="00FC5BEB">
        <w:instrText xml:space="preserve"> ADDIN EN.CITE </w:instrText>
      </w:r>
      <w:r w:rsidR="00FC5BEB">
        <w:fldChar w:fldCharType="begin">
          <w:fldData xml:space="preserve">PEVuZE5vdGU+PENpdGU+PEF1dGhvcj5YdTwvQXV0aG9yPjxZZWFyPjIwMTU8L1llYXI+PFJlY051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</w:fldData>
        </w:fldChar>
      </w:r>
      <w:r w:rsidR="00FC5BEB">
        <w:instrText xml:space="preserve"> ADDIN EN.CITE.DATA </w:instrText>
      </w:r>
      <w:r w:rsidR="00FC5BEB">
        <w:fldChar w:fldCharType="end"/>
      </w:r>
      <w:r w:rsidRPr="0013432D">
        <w:fldChar w:fldCharType="separate"/>
      </w:r>
      <w:r w:rsidR="00FC5BEB" w:rsidRPr="00FC5BEB">
        <w:rPr>
          <w:noProof/>
          <w:vertAlign w:val="superscript"/>
        </w:rPr>
        <w:t>198, 199, 229</w:t>
      </w:r>
      <w:r w:rsidRPr="0013432D">
        <w:fldChar w:fldCharType="end"/>
      </w:r>
      <w:r w:rsidRPr="0013432D">
        <w:t xml:space="preserve"> Briquet et al.</w:t>
      </w:r>
      <w:r w:rsidRPr="0013432D">
        <w:fldChar w:fldCharType="begin"/>
      </w:r>
      <w:r w:rsidR="00FC5BEB">
        <w:instrText xml:space="preserve"> ADDIN EN.CITE &lt;EndNote&gt;&lt;Cite&gt;&lt;Author&gt;Briquet&lt;/Author&gt;&lt;Year&gt;2017&lt;/Year&gt;&lt;RecNum&gt;197&lt;/RecNum&gt;&lt;DisplayText&gt;&lt;style face="superscript"&gt;199&lt;/style&gt;&lt;/DisplayText&gt;&lt;record&gt;&lt;rec-number&gt;197&lt;/rec-number&gt;&lt;foreign-keys&gt;&lt;key app="EN" db-id="2xex0erf4eexr4e2dpbxpdd829xttesxxxdr" timestamp="1715075296"&gt;197&lt;/key&gt;&lt;/foreign-keys&gt;&lt;ref-type name="Journal Article"&gt;17&lt;/ref-type&gt;&lt;contributors&gt;&lt;authors&gt;&lt;author&gt;Briquet, Ludovic G. V.&lt;/author&gt;&lt;author&gt;Sarwar, Misbah&lt;/author&gt;&lt;author&gt;Mugo, Jane&lt;/author&gt;&lt;author&gt;Jones, Glenn&lt;/author&gt;&lt;author&gt;Calle-Vallejo, Federico&lt;/author&gt;&lt;/authors&gt;&lt;/contributors&gt;&lt;titles&gt;&lt;title&gt;A New Type of Scaling Relations to Assess the Accuracy of Computational Predictions of Catalytic Activities Applied to the Oxygen Evolution Reaction&lt;/title&gt;&lt;secondary-title&gt;ChemCatChem&lt;/secondary-title&gt;&lt;/titles&gt;&lt;pages&gt;1261-1268&lt;/pages&gt;&lt;volume&gt;9&lt;/volume&gt;&lt;number&gt;7&lt;/number&gt;&lt;dates&gt;&lt;year&gt;2017&lt;/year&gt;&lt;/dates&gt;&lt;isbn&gt;1867-3880&lt;/isbn&gt;&lt;urls&gt;&lt;related-urls&gt;&lt;url&gt;https://chemistry-europe.onlinelibrary.wiley.com/doi/abs/10.1002/cctc.201601662&lt;/url&gt;&lt;/related-urls&gt;&lt;/urls&gt;&lt;electronic-resource-num&gt;https://doi.org/10.1002/cctc.201601662&lt;/electronic-resource-num&gt;&lt;/record&gt;&lt;/Cite&gt;&lt;/EndNote&gt;</w:instrText>
      </w:r>
      <w:r w:rsidRPr="0013432D">
        <w:fldChar w:fldCharType="separate"/>
      </w:r>
      <w:r w:rsidR="00FC5BEB" w:rsidRPr="00FC5BEB">
        <w:rPr>
          <w:noProof/>
          <w:vertAlign w:val="superscript"/>
        </w:rPr>
        <w:t>199</w:t>
      </w:r>
      <w:r w:rsidRPr="0013432D">
        <w:fldChar w:fldCharType="end"/>
      </w:r>
      <w:r w:rsidRPr="0013432D">
        <w:t xml:space="preserve"> using the </w:t>
      </w:r>
      <w:proofErr w:type="spellStart"/>
      <w:r w:rsidRPr="0013432D">
        <w:t>Perdew</w:t>
      </w:r>
      <w:proofErr w:type="spellEnd"/>
      <w:r w:rsidRPr="0013432D">
        <w:t>–Burke–</w:t>
      </w:r>
      <w:proofErr w:type="spellStart"/>
      <w:r w:rsidRPr="0013432D">
        <w:t>Ernzerhof</w:t>
      </w:r>
      <w:proofErr w:type="spellEnd"/>
      <w:r w:rsidRPr="0013432D">
        <w:t xml:space="preserve"> (PBE) and revised-PBE functionals from six different codes and various types of pseudopotentials has shown that IrO</w:t>
      </w:r>
      <w:r w:rsidRPr="0013432D">
        <w:rPr>
          <w:vertAlign w:val="subscript"/>
        </w:rPr>
        <w:t>2</w:t>
      </w:r>
      <w:r w:rsidRPr="0013432D">
        <w:t xml:space="preserve"> was predicted with reasonable consistently, but the predictions of RuO</w:t>
      </w:r>
      <w:r w:rsidRPr="0013432D">
        <w:rPr>
          <w:vertAlign w:val="subscript"/>
        </w:rPr>
        <w:t>2</w:t>
      </w:r>
      <w:r w:rsidRPr="0013432D">
        <w:t xml:space="preserve"> were very poor, with </w:t>
      </w:r>
      <m:oMath>
        <m:sSub>
          <m:sSubPr>
            <m:ctrlPr>
              <w:rPr>
                <w:rFonts w:ascii="Cambria Math" w:hAnsi="Cambria Math"/>
                <w:i/>
                <w:iCs/>
              </w:rPr>
            </m:ctrlPr>
          </m:sSubPr>
          <m:e>
            <m:r>
              <w:rPr>
                <w:rFonts w:ascii="Cambria Math" w:hAnsi="Cambria Math"/>
              </w:rPr>
              <m:t>η</m:t>
            </m:r>
          </m:e>
          <m:sub>
            <m:r>
              <m:rPr>
                <m:sty m:val="p"/>
              </m:rPr>
              <w:rPr>
                <w:rFonts w:ascii="Cambria Math" w:hAnsi="Cambria Math"/>
              </w:rPr>
              <m:t>CHE</m:t>
            </m:r>
          </m:sub>
        </m:sSub>
        <m:r>
          <w:rPr>
            <w:rFonts w:ascii="Cambria Math" w:hAnsi="Cambria Math"/>
          </w:rPr>
          <m:t xml:space="preserve"> </m:t>
        </m:r>
      </m:oMath>
      <w:r w:rsidRPr="0013432D">
        <w:t>ranging from 0.4-1.2 V. The inaccurate prediction for RuO</w:t>
      </w:r>
      <w:r w:rsidRPr="0013432D">
        <w:rPr>
          <w:vertAlign w:val="subscript"/>
        </w:rPr>
        <w:t>2</w:t>
      </w:r>
      <w:r w:rsidRPr="0013432D">
        <w:t xml:space="preserve"> was attributed to the anomaly in the adsorption energies of OER intermediates. The predictions for RuO</w:t>
      </w:r>
      <w:r w:rsidRPr="0013432D">
        <w:rPr>
          <w:vertAlign w:val="subscript"/>
        </w:rPr>
        <w:t>2</w:t>
      </w:r>
      <w:r w:rsidRPr="0013432D">
        <w:t xml:space="preserve"> were deemed to be correct if explicit water solvation and van der Waals interactions were included in the simulations. The effect of solvation is going to be the topic of a later section</w:t>
      </w:r>
      <w:r w:rsidR="00C80B22">
        <w:t xml:space="preserve"> (</w:t>
      </w:r>
      <w:r w:rsidR="00C80B22">
        <w:fldChar w:fldCharType="begin"/>
      </w:r>
      <w:r w:rsidR="00C80B22">
        <w:instrText xml:space="preserve"> REF _Ref159882658 \r \h </w:instrText>
      </w:r>
      <w:r w:rsidR="00C80B22">
        <w:fldChar w:fldCharType="separate"/>
      </w:r>
      <w:r w:rsidR="003255C0">
        <w:t>5.1</w:t>
      </w:r>
      <w:r w:rsidR="00C80B22">
        <w:fldChar w:fldCharType="end"/>
      </w:r>
      <w:r w:rsidR="00C80B22">
        <w:t>)</w:t>
      </w:r>
      <w:r w:rsidRPr="0013432D">
        <w:t xml:space="preserve">. Other theoretical explanations, like the need to include a Hubbard </w:t>
      </w:r>
      <w:r w:rsidRPr="001252AF">
        <w:rPr>
          <w:i/>
          <w:iCs/>
        </w:rPr>
        <w:t>U</w:t>
      </w:r>
      <w:r w:rsidRPr="0013432D">
        <w:t xml:space="preserve"> term</w:t>
      </w:r>
      <w:r w:rsidRPr="0013432D">
        <w:fldChar w:fldCharType="begin"/>
      </w:r>
      <w:r w:rsidR="00FC5BEB">
        <w:instrText xml:space="preserve"> ADDIN EN.CITE &lt;EndNote&gt;&lt;Cite&gt;&lt;Author&gt;Xu&lt;/Author&gt;&lt;Year&gt;2015&lt;/Year&gt;&lt;RecNum&gt;227&lt;/RecNum&gt;&lt;DisplayText&gt;&lt;style face="superscript"&gt;229&lt;/style&gt;&lt;/DisplayText&gt;&lt;record&gt;&lt;rec-number&gt;227&lt;/rec-number&gt;&lt;foreign-keys&gt;&lt;key app="EN" db-id="2xex0erf4eexr4e2dpbxpdd829xttesxxxdr" timestamp="1715075296"&gt;227&lt;/key&gt;&lt;/foreign-keys&gt;&lt;ref-type name="Journal Article"&gt;17&lt;/ref-type&gt;&lt;contributors&gt;&lt;authors&gt;&lt;author&gt;Xu, Zhongnan&lt;/author&gt;&lt;author&gt;Rossmeisl, Jan&lt;/author&gt;&lt;author&gt;Kitchin, John R.&lt;/author&gt;&lt;/authors&gt;&lt;/contributors&gt;&lt;titles&gt;&lt;title&gt;A Linear Response DFT+U Study of Trends in the Oxygen Evolution Activity of Transition Metal Rutile Dioxides&lt;/title&gt;&lt;secondary-title&gt;Journal of Physical Chemistry C&lt;/secondary-title&gt;&lt;/titles&gt;&lt;periodical&gt;&lt;full-title&gt;Journal of Physical Chemistry C&lt;/full-title&gt;&lt;abbr-1&gt;J. Phys. Chem. C&lt;/abbr-1&gt;&lt;/periodical&gt;&lt;pages&gt;4827-4833&lt;/pages&gt;&lt;volume&gt;119&lt;/volume&gt;&lt;number&gt;9&lt;/number&gt;&lt;dates&gt;&lt;year&gt;2015&lt;/year&gt;&lt;pub-dates&gt;&lt;date&gt;2015/03/05&lt;/date&gt;&lt;/pub-dates&gt;&lt;/dates&gt;&lt;publisher&gt;American Chemical Society&lt;/publisher&gt;&lt;isbn&gt;1932-7447&lt;/isbn&gt;&lt;urls&gt;&lt;related-urls&gt;&lt;url&gt;https://doi.org/10.1021/jp511426q&lt;/url&gt;&lt;/related-urls&gt;&lt;/urls&gt;&lt;electronic-resource-num&gt;10.1021/jp511426q&lt;/electronic-resource-num&gt;&lt;/record&gt;&lt;/Cite&gt;&lt;/EndNote&gt;</w:instrText>
      </w:r>
      <w:r w:rsidRPr="0013432D">
        <w:fldChar w:fldCharType="separate"/>
      </w:r>
      <w:r w:rsidR="00FC5BEB" w:rsidRPr="00FC5BEB">
        <w:rPr>
          <w:noProof/>
          <w:vertAlign w:val="superscript"/>
        </w:rPr>
        <w:t>229</w:t>
      </w:r>
      <w:r w:rsidRPr="0013432D">
        <w:fldChar w:fldCharType="end"/>
      </w:r>
      <w:r w:rsidRPr="0013432D">
        <w:t xml:space="preserve"> to account for d</w:t>
      </w:r>
      <w:r w:rsidR="007017C4">
        <w:t>-</w:t>
      </w:r>
      <w:r w:rsidRPr="0013432D">
        <w:t>d electron repulsion, magnetic ordering</w:t>
      </w:r>
      <w:r w:rsidRPr="0013432D">
        <w:fldChar w:fldCharType="begin"/>
      </w:r>
      <w:r w:rsidR="00FC5BEB">
        <w:instrText xml:space="preserve"> ADDIN EN.CITE &lt;EndNote&gt;&lt;Cite&gt;&lt;Author&gt;Liang&lt;/Author&gt;&lt;Year&gt;2022&lt;/Year&gt;&lt;RecNum&gt;298&lt;/RecNum&gt;&lt;DisplayText&gt;&lt;style face="superscript"&gt;300&lt;/style&gt;&lt;/DisplayText&gt;&lt;record&gt;&lt;rec-number&gt;298&lt;/rec-number&gt;&lt;foreign-keys&gt;&lt;key app="EN" db-id="2xex0erf4eexr4e2dpbxpdd829xttesxxxdr" timestamp="1715075296"&gt;298&lt;/key&gt;&lt;/foreign-keys&gt;&lt;ref-type name="Journal Article"&gt;17&lt;/ref-type&gt;&lt;contributors&gt;&lt;authors&gt;&lt;author&gt;Liang, Qiuhua&lt;/author&gt;&lt;author&gt;Bieberle-Hütter, Anja&lt;/author&gt;&lt;author&gt;Brocks, Geert&lt;/author&gt;&lt;/authors&gt;&lt;/contributors&gt;&lt;titles&gt;&lt;title&gt;Anti-Ferromagnetic RuO2: A Stable and Robust OER Catalyst over a Large Range of Surface Terminations&lt;/title&gt;&lt;secondary-title&gt;Journal of Physical Chemistry C&lt;/secondary-title&gt;&lt;/titles&gt;&lt;periodical&gt;&lt;full-title&gt;Journal of Physical Chemistry C&lt;/full-title&gt;&lt;abbr-1&gt;J. Phys. Chem. C&lt;/abbr-1&gt;&lt;/periodical&gt;&lt;pages&gt;1337-1345&lt;/pages&gt;&lt;volume&gt;126&lt;/volume&gt;&lt;number&gt;3&lt;/number&gt;&lt;dates&gt;&lt;year&gt;2022&lt;/year&gt;&lt;pub-dates&gt;&lt;date&gt;2022/01/27&lt;/date&gt;&lt;/pub-dates&gt;&lt;/dates&gt;&lt;publisher&gt;American Chemical Society&lt;/publisher&gt;&lt;isbn&gt;1932-7447&lt;/isbn&gt;&lt;urls&gt;&lt;related-urls&gt;&lt;url&gt;https://doi.org/10.1021/acs.jpcc.1c08700&lt;/url&gt;&lt;/related-urls&gt;&lt;/urls&gt;&lt;electronic-resource-num&gt;10.1021/acs.jpcc.1c08700&lt;/electronic-resource-num&gt;&lt;/record&gt;&lt;/Cite&gt;&lt;/EndNote&gt;</w:instrText>
      </w:r>
      <w:r w:rsidRPr="0013432D">
        <w:fldChar w:fldCharType="separate"/>
      </w:r>
      <w:r w:rsidR="00FC5BEB" w:rsidRPr="00FC5BEB">
        <w:rPr>
          <w:noProof/>
          <w:vertAlign w:val="superscript"/>
        </w:rPr>
        <w:t>300</w:t>
      </w:r>
      <w:r w:rsidRPr="0013432D">
        <w:fldChar w:fldCharType="end"/>
      </w:r>
      <w:r w:rsidRPr="0013432D">
        <w:t>, defects</w:t>
      </w:r>
      <w:r w:rsidRPr="0013432D">
        <w:fldChar w:fldCharType="begin"/>
      </w:r>
      <w:r w:rsidR="00FC5BEB">
        <w:instrText xml:space="preserve"> ADDIN EN.CITE &lt;EndNote&gt;&lt;Cite&gt;&lt;Author&gt;Dickens&lt;/Author&gt;&lt;Year&gt;2017&lt;/Year&gt;&lt;RecNum&gt;299&lt;/RecNum&gt;&lt;DisplayText&gt;&lt;style face="superscript"&gt;301&lt;/style&gt;&lt;/DisplayText&gt;&lt;record&gt;&lt;rec-number&gt;299&lt;/rec-number&gt;&lt;foreign-keys&gt;&lt;key app="EN" db-id="2xex0erf4eexr4e2dpbxpdd829xttesxxxdr" timestamp="1715075296"&gt;299&lt;/key&gt;&lt;/foreign-keys&gt;&lt;ref-type name="Journal Article"&gt;17&lt;/ref-type&gt;&lt;contributors&gt;&lt;authors&gt;&lt;author&gt;Dickens, Colin F.&lt;/author&gt;&lt;author&gt;Nørskov, Jens K.&lt;/author&gt;&lt;/authors&gt;&lt;/contributors&gt;&lt;titles&gt;&lt;title&gt;A Theoretical Investigation into the Role of Surface Defects for Oxygen Evolution on RuO2&lt;/title&gt;&lt;secondary-title&gt;Journal of Physical Chemistry C&lt;/secondary-title&gt;&lt;/titles&gt;&lt;periodical&gt;&lt;full-title&gt;Journal of Physical Chemistry C&lt;/full-title&gt;&lt;abbr-1&gt;J. Phys. Chem. C&lt;/abbr-1&gt;&lt;/periodical&gt;&lt;pages&gt;18516-18524&lt;/pages&gt;&lt;volume&gt;121&lt;/volume&gt;&lt;number&gt;34&lt;/number&gt;&lt;dates&gt;&lt;year&gt;2017&lt;/year&gt;&lt;pub-dates&gt;&lt;date&gt;2017/08/31&lt;/date&gt;&lt;/pub-dates&gt;&lt;/dates&gt;&lt;publisher&gt;American Chemical Society&lt;/publisher&gt;&lt;isbn&gt;1932-7447&lt;/isbn&gt;&lt;urls&gt;&lt;related-urls&gt;&lt;url&gt;https://doi.org/10.1021/acs.jpcc.7b03481&lt;/url&gt;&lt;/related-urls&gt;&lt;/urls&gt;&lt;electronic-resource-num&gt;10.1021/acs.jpcc.7b03481&lt;/electronic-resource-num&gt;&lt;/record&gt;&lt;/Cite&gt;&lt;/EndNote&gt;</w:instrText>
      </w:r>
      <w:r w:rsidRPr="0013432D">
        <w:fldChar w:fldCharType="separate"/>
      </w:r>
      <w:r w:rsidR="00FC5BEB" w:rsidRPr="00FC5BEB">
        <w:rPr>
          <w:noProof/>
          <w:vertAlign w:val="superscript"/>
        </w:rPr>
        <w:t>301</w:t>
      </w:r>
      <w:r w:rsidRPr="0013432D">
        <w:fldChar w:fldCharType="end"/>
      </w:r>
      <w:r w:rsidRPr="0013432D">
        <w:t xml:space="preserve"> surface terminations</w:t>
      </w:r>
      <w:r w:rsidRPr="0013432D">
        <w:fldChar w:fldCharType="begin"/>
      </w:r>
      <w:r w:rsidR="00FC5BEB">
        <w:instrText xml:space="preserve"> ADDIN EN.CITE &lt;EndNote&gt;&lt;Cite&gt;&lt;Author&gt;Stoerzinger&lt;/Author&gt;&lt;Year&gt;2017&lt;/Year&gt;&lt;RecNum&gt;300&lt;/RecNum&gt;&lt;DisplayText&gt;&lt;style face="superscript"&gt;302&lt;/style&gt;&lt;/DisplayText&gt;&lt;record&gt;&lt;rec-number&gt;300&lt;/rec-number&gt;&lt;foreign-keys&gt;&lt;key app="EN" db-id="2xex0erf4eexr4e2dpbxpdd829xttesxxxdr" timestamp="1715075296"&gt;300&lt;/key&gt;&lt;/foreign-keys&gt;&lt;ref-type name="Journal Article"&gt;17&lt;/ref-type&gt;&lt;contributors&gt;&lt;authors&gt;&lt;author&gt;Stoerzinger, Kelsey A.&lt;/author&gt;&lt;author&gt;Diaz-Morales, Oscar&lt;/author&gt;&lt;author&gt;Kolb, Manuel&lt;/author&gt;&lt;author&gt;Rao, Reshma R.&lt;/author&gt;&lt;author&gt;Frydendal, Rasmus&lt;/author&gt;&lt;author&gt;Qiao, Liang&lt;/author&gt;&lt;author&gt;Wang, Xiao Renshaw&lt;/author&gt;&lt;author&gt;Halck, Niels Bendtsen&lt;/author&gt;&lt;author&gt;Rossmeisl, Jan&lt;/author&gt;&lt;author&gt;Hansen, Heine A.&lt;/author&gt;&lt;author&gt;Vegge, Tejs&lt;/author&gt;&lt;author&gt;Stephens, Ifan E. L.&lt;/author&gt;&lt;author&gt;Koper, Marc T. M.&lt;/author&gt;&lt;author&gt;Shao-Horn, Yang&lt;/author&gt;&lt;/authors&gt;&lt;/contributors&gt;&lt;titles&gt;&lt;title&gt;Orientation-Dependent Oxygen Evolution on RuO2 without Lattice Exchange&lt;/title&gt;&lt;secondary-title&gt;ACS Energy Lett.&lt;/secondary-title&gt;&lt;/titles&gt;&lt;periodical&gt;&lt;full-title&gt;ACS Energy Lett.&lt;/full-title&gt;&lt;/periodical&gt;&lt;pages&gt;876-881&lt;/pages&gt;&lt;volume&gt;2&lt;/volume&gt;&lt;number&gt;4&lt;/number&gt;&lt;dates&gt;&lt;year&gt;2017&lt;/year&gt;&lt;pub-dates&gt;&lt;date&gt;2017/04/14&lt;/date&gt;&lt;/pub-dates&gt;&lt;/dates&gt;&lt;publisher&gt;American Chemical Society&lt;/publisher&gt;&lt;urls&gt;&lt;related-urls&gt;&lt;url&gt;https://doi.org/10.1021/acsenergylett.7b00135&lt;/url&gt;&lt;/related-urls&gt;&lt;/urls&gt;&lt;electronic-resource-num&gt;10.1021/acsenergylett.7b00135&lt;/electronic-resource-num&gt;&lt;/record&gt;&lt;/Cite&gt;&lt;/EndNote&gt;</w:instrText>
      </w:r>
      <w:r w:rsidRPr="0013432D">
        <w:fldChar w:fldCharType="separate"/>
      </w:r>
      <w:r w:rsidR="00FC5BEB" w:rsidRPr="00FC5BEB">
        <w:rPr>
          <w:noProof/>
          <w:vertAlign w:val="superscript"/>
        </w:rPr>
        <w:t>302</w:t>
      </w:r>
      <w:r w:rsidRPr="0013432D">
        <w:fldChar w:fldCharType="end"/>
      </w:r>
      <w:r w:rsidRPr="0013432D">
        <w:t xml:space="preserve"> and the role of dissolution intermediates</w:t>
      </w:r>
      <w:r w:rsidRPr="0013432D">
        <w:fldChar w:fldCharType="begin"/>
      </w:r>
      <w:r w:rsidR="00FC5BEB">
        <w:instrText xml:space="preserve"> ADDIN EN.CITE &lt;EndNote&gt;&lt;Cite&gt;&lt;Author&gt;Klyukin&lt;/Author&gt;&lt;Year&gt;2019&lt;/Year&gt;&lt;RecNum&gt;301&lt;/RecNum&gt;&lt;DisplayText&gt;&lt;style face="superscript"&gt;303&lt;/style&gt;&lt;/DisplayText&gt;&lt;record&gt;&lt;rec-number&gt;301&lt;/rec-number&gt;&lt;foreign-keys&gt;&lt;key app="EN" db-id="2xex0erf4eexr4e2dpbxpdd829xttesxxxdr" timestamp="1715075296"&gt;301&lt;/key&gt;&lt;/foreign-keys&gt;&lt;ref-type name="Journal Article"&gt;17&lt;/ref-type&gt;&lt;contributors&gt;&lt;authors&gt;&lt;author&gt;Klyukin, Konstantin&lt;/author&gt;&lt;author&gt;Zagalskaya, Alexandra&lt;/author&gt;&lt;author&gt;Alexandrov, Vitaly&lt;/author&gt;&lt;/authors&gt;&lt;/contributors&gt;&lt;titles&gt;&lt;title&gt;Role of Dissolution Intermediates in Promoting Oxygen Evolution Reaction at RuO2(110) Surface&lt;/title&gt;&lt;secondary-title&gt;Journal of Physical Chemistry C&lt;/secondary-title&gt;&lt;/titles&gt;&lt;periodical&gt;&lt;full-title&gt;Journal of Physical Chemistry C&lt;/full-title&gt;&lt;abbr-1&gt;J. Phys. Chem. C&lt;/abbr-1&gt;&lt;/periodical&gt;&lt;pages&gt;22151-22157&lt;/pages&gt;&lt;volume&gt;123&lt;/volume&gt;&lt;number&gt;36&lt;/number&gt;&lt;dates&gt;&lt;year&gt;2019&lt;/year&gt;&lt;pub-dates&gt;&lt;date&gt;2019/09/12&lt;/date&gt;&lt;/pub-dates&gt;&lt;/dates&gt;&lt;publisher&gt;American Chemical Society&lt;/publisher&gt;&lt;isbn&gt;1932-7447&lt;/isbn&gt;&lt;urls&gt;&lt;related-urls&gt;&lt;url&gt;https://doi.org/10.1021/acs.jpcc.9b03418&lt;/url&gt;&lt;/related-urls&gt;&lt;/urls&gt;&lt;electronic-resource-num&gt;10.1021/acs.jpcc.9b03418&lt;/electronic-resource-num&gt;&lt;/record&gt;&lt;/Cite&gt;&lt;/EndNote&gt;</w:instrText>
      </w:r>
      <w:r w:rsidRPr="0013432D">
        <w:fldChar w:fldCharType="separate"/>
      </w:r>
      <w:r w:rsidR="00FC5BEB" w:rsidRPr="00FC5BEB">
        <w:rPr>
          <w:noProof/>
          <w:vertAlign w:val="superscript"/>
        </w:rPr>
        <w:t>303</w:t>
      </w:r>
      <w:r w:rsidRPr="0013432D">
        <w:fldChar w:fldCharType="end"/>
      </w:r>
      <w:r w:rsidRPr="0013432D">
        <w:t>, or a bi-functional mechanism using proton acceptor sites at bridging O position</w:t>
      </w:r>
      <w:r w:rsidRPr="0013432D">
        <w:fldChar w:fldCharType="begin"/>
      </w:r>
      <w:r w:rsidR="00FC5BEB">
        <w:instrText xml:space="preserve"> ADDIN EN.CITE &lt;EndNote&gt;&lt;Cite&gt;&lt;Author&gt;Divanis&lt;/Author&gt;&lt;Year&gt;2021&lt;/Year&gt;&lt;RecNum&gt;196&lt;/RecNum&gt;&lt;DisplayText&gt;&lt;style face="superscript"&gt;198&lt;/style&gt;&lt;/DisplayText&gt;&lt;record&gt;&lt;rec-number&gt;196&lt;/rec-number&gt;&lt;foreign-keys&gt;&lt;key app="EN" db-id="2xex0erf4eexr4e2dpbxpdd829xttesxxxdr" timestamp="1715075296"&gt;196&lt;/key&gt;&lt;/foreign-keys&gt;&lt;ref-type name="Journal Article"&gt;17&lt;/ref-type&gt;&lt;contributors&gt;&lt;authors&gt;&lt;author&gt;Divanis, Spyridon&lt;/author&gt;&lt;author&gt;Frandsen, Adrian Malthe&lt;/author&gt;&lt;author&gt;Kutlusoy, Tugce&lt;/author&gt;&lt;author&gt;Rossmeisl, Jan&lt;/author&gt;&lt;/authors&gt;&lt;/contributors&gt;&lt;titles&gt;&lt;title&gt;Lifting the discrepancy between experimental results and the theoretical predictions for the catalytic activity of RuO2(110) towards oxygen evolution reaction&lt;/title&gt;&lt;secondary-title&gt;Physical Chemistry Chemical Physics&lt;/secondary-title&gt;&lt;/titles&gt;&lt;periodical&gt;&lt;full-title&gt;Physical Chemistry Chemical Physics&lt;/full-title&gt;&lt;abbr-1&gt;Phys. Chem. Chem. Phys.&lt;/abbr-1&gt;&lt;abbr-2&gt;Phys Chem Chem Phys&lt;/abbr-2&gt;&lt;/periodical&gt;&lt;pages&gt;19141-19145&lt;/pages&gt;&lt;volume&gt;23&lt;/volume&gt;&lt;number&gt;35&lt;/number&gt;&lt;dates&gt;&lt;year&gt;2021&lt;/year&gt;&lt;/dates&gt;&lt;publisher&gt;The Royal Society of Chemistry&lt;/publisher&gt;&lt;isbn&gt;1463-9076&lt;/isbn&gt;&lt;work-type&gt;10.1039/D1CP02999A&lt;/work-type&gt;&lt;urls&gt;&lt;related-urls&gt;&lt;url&gt;http://dx.doi.org/10.1039/D1CP02999A&lt;/url&gt;&lt;/related-urls&gt;&lt;/urls&gt;&lt;electronic-resource-num&gt;10.1039/D1CP02999A&lt;/electronic-resource-num&gt;&lt;/record&gt;&lt;/Cite&gt;&lt;/EndNote&gt;</w:instrText>
      </w:r>
      <w:r w:rsidRPr="0013432D">
        <w:fldChar w:fldCharType="separate"/>
      </w:r>
      <w:r w:rsidR="00FC5BEB" w:rsidRPr="00FC5BEB">
        <w:rPr>
          <w:noProof/>
          <w:vertAlign w:val="superscript"/>
        </w:rPr>
        <w:t>198</w:t>
      </w:r>
      <w:r w:rsidRPr="0013432D">
        <w:fldChar w:fldCharType="end"/>
      </w:r>
      <w:r w:rsidRPr="0013432D">
        <w:t xml:space="preserve"> were also considered. Another aspect of inconsistency is the location of RuO</w:t>
      </w:r>
      <w:r w:rsidRPr="0013432D">
        <w:rPr>
          <w:vertAlign w:val="subscript"/>
        </w:rPr>
        <w:t>2</w:t>
      </w:r>
      <w:r w:rsidRPr="0013432D">
        <w:t xml:space="preserve"> on the weak or strong binding side of the volcano. While the original publication located RuO</w:t>
      </w:r>
      <w:r w:rsidRPr="0013432D">
        <w:rPr>
          <w:vertAlign w:val="subscript"/>
        </w:rPr>
        <w:t>2</w:t>
      </w:r>
      <w:r w:rsidRPr="0013432D">
        <w:t xml:space="preserve"> on the weak O binding side, later publications pushed its position to strong binding side</w:t>
      </w:r>
      <w:r w:rsidRPr="0013432D">
        <w:fldChar w:fldCharType="begin"/>
      </w:r>
      <w:r w:rsidR="00FC5BEB">
        <w:instrText xml:space="preserve"> ADDIN EN.CITE &lt;EndNote&gt;&lt;Cite&gt;&lt;Author&gt;Divanis&lt;/Author&gt;&lt;Year&gt;2021&lt;/Year&gt;&lt;RecNum&gt;196&lt;/RecNum&gt;&lt;DisplayText&gt;&lt;style face="superscript"&gt;198&lt;/style&gt;&lt;/DisplayText&gt;&lt;record&gt;&lt;rec-number&gt;196&lt;/rec-number&gt;&lt;foreign-keys&gt;&lt;key app="EN" db-id="2xex0erf4eexr4e2dpbxpdd829xttesxxxdr" timestamp="1715075296"&gt;196&lt;/key&gt;&lt;/foreign-keys&gt;&lt;ref-type name="Journal Article"&gt;17&lt;/ref-type&gt;&lt;contributors&gt;&lt;authors&gt;&lt;author&gt;Divanis, Spyridon&lt;/author&gt;&lt;author&gt;Frandsen, Adrian Malthe&lt;/author&gt;&lt;author&gt;Kutlusoy, Tugce&lt;/author&gt;&lt;author&gt;Rossmeisl, Jan&lt;/author&gt;&lt;/authors&gt;&lt;/contributors&gt;&lt;titles&gt;&lt;title&gt;Lifting the discrepancy between experimental results and the theoretical predictions for the catalytic activity of RuO2(110) towards oxygen evolution reaction&lt;/title&gt;&lt;secondary-title&gt;Physical Chemistry Chemical Physics&lt;/secondary-title&gt;&lt;/titles&gt;&lt;periodical&gt;&lt;full-title&gt;Physical Chemistry Chemical Physics&lt;/full-title&gt;&lt;abbr-1&gt;Phys. Chem. Chem. Phys.&lt;/abbr-1&gt;&lt;abbr-2&gt;Phys Chem Chem Phys&lt;/abbr-2&gt;&lt;/periodical&gt;&lt;pages&gt;19141-19145&lt;/pages&gt;&lt;volume&gt;23&lt;/volume&gt;&lt;number&gt;35&lt;/number&gt;&lt;dates&gt;&lt;year&gt;2021&lt;/year&gt;&lt;/dates&gt;&lt;publisher&gt;The Royal Society of Chemistry&lt;/publisher&gt;&lt;isbn&gt;1463-9076&lt;/isbn&gt;&lt;work-type&gt;10.1039/D1CP02999A&lt;/work-type&gt;&lt;urls&gt;&lt;related-urls&gt;&lt;url&gt;http://dx.doi.org/10.1039/D1CP02999A&lt;/url&gt;&lt;/related-urls&gt;&lt;/urls&gt;&lt;electronic-resource-num&gt;10.1039/D1CP02999A&lt;/electronic-resource-num&gt;&lt;/record&gt;&lt;/Cite&gt;&lt;/EndNote&gt;</w:instrText>
      </w:r>
      <w:r w:rsidRPr="0013432D">
        <w:fldChar w:fldCharType="separate"/>
      </w:r>
      <w:r w:rsidR="00FC5BEB" w:rsidRPr="00FC5BEB">
        <w:rPr>
          <w:noProof/>
          <w:vertAlign w:val="superscript"/>
        </w:rPr>
        <w:t>198</w:t>
      </w:r>
      <w:r w:rsidRPr="0013432D">
        <w:fldChar w:fldCharType="end"/>
      </w:r>
      <w:r w:rsidRPr="0013432D">
        <w:t>, even significantly beyond that of IrO</w:t>
      </w:r>
      <w:r w:rsidRPr="0013432D">
        <w:rPr>
          <w:vertAlign w:val="subscript"/>
        </w:rPr>
        <w:t>2</w:t>
      </w:r>
      <w:r w:rsidRPr="0013432D">
        <w:fldChar w:fldCharType="begin"/>
      </w:r>
      <w:r w:rsidR="00FC5BEB">
        <w:instrText xml:space="preserve"> ADDIN EN.CITE &lt;EndNote&gt;&lt;Cite&gt;&lt;Author&gt;Briquet&lt;/Author&gt;&lt;Year&gt;2017&lt;/Year&gt;&lt;RecNum&gt;197&lt;/RecNum&gt;&lt;DisplayText&gt;&lt;style face="superscript"&gt;199&lt;/style&gt;&lt;/DisplayText&gt;&lt;record&gt;&lt;rec-number&gt;197&lt;/rec-number&gt;&lt;foreign-keys&gt;&lt;key app="EN" db-id="2xex0erf4eexr4e2dpbxpdd829xttesxxxdr" timestamp="1715075296"&gt;197&lt;/key&gt;&lt;/foreign-keys&gt;&lt;ref-type name="Journal Article"&gt;17&lt;/ref-type&gt;&lt;contributors&gt;&lt;authors&gt;&lt;author&gt;Briquet, Ludovic G. V.&lt;/author&gt;&lt;author&gt;Sarwar, Misbah&lt;/author&gt;&lt;author&gt;Mugo, Jane&lt;/author&gt;&lt;author&gt;Jones, Glenn&lt;/author&gt;&lt;author&gt;Calle-Vallejo, Federico&lt;/author&gt;&lt;/authors&gt;&lt;/contributors&gt;&lt;titles&gt;&lt;title&gt;A New Type of Scaling Relations to Assess the Accuracy of Computational Predictions of Catalytic Activities Applied to the Oxygen Evolution Reaction&lt;/title&gt;&lt;secondary-title&gt;ChemCatChem&lt;/secondary-title&gt;&lt;/titles&gt;&lt;pages&gt;1261-1268&lt;/pages&gt;&lt;volume&gt;9&lt;/volume&gt;&lt;number&gt;7&lt;/number&gt;&lt;dates&gt;&lt;year&gt;2017&lt;/year&gt;&lt;/dates&gt;&lt;isbn&gt;1867-3880&lt;/isbn&gt;&lt;urls&gt;&lt;related-urls&gt;&lt;url&gt;https://chemistry-europe.onlinelibrary.wiley.com/doi/abs/10.1002/cctc.201601662&lt;/url&gt;&lt;/related-urls&gt;&lt;/urls&gt;&lt;electronic-resource-num&gt;https://doi.org/10.1002/cctc.201601662&lt;/electronic-resource-num&gt;&lt;/record&gt;&lt;/Cite&gt;&lt;/EndNote&gt;</w:instrText>
      </w:r>
      <w:r w:rsidRPr="0013432D">
        <w:fldChar w:fldCharType="separate"/>
      </w:r>
      <w:r w:rsidR="00FC5BEB" w:rsidRPr="00FC5BEB">
        <w:rPr>
          <w:noProof/>
          <w:vertAlign w:val="superscript"/>
        </w:rPr>
        <w:t>199</w:t>
      </w:r>
      <w:r w:rsidRPr="0013432D">
        <w:fldChar w:fldCharType="end"/>
      </w:r>
      <w:r w:rsidRPr="0013432D">
        <w:t>.</w:t>
      </w:r>
    </w:p>
    <w:p w14:paraId="695E7DFB" w14:textId="77777777" w:rsidR="0013432D" w:rsidRPr="0013432D" w:rsidRDefault="0013432D" w:rsidP="0013432D"/>
    <w:p w14:paraId="6913FCA5" w14:textId="2AB77639" w:rsidR="0013432D" w:rsidRPr="0013432D" w:rsidRDefault="00A54921" w:rsidP="00A54921">
      <w:pPr>
        <w:ind w:firstLine="720"/>
      </w:pPr>
      <w:r w:rsidRPr="00967BAD">
        <w:rPr>
          <w:b/>
          <w:bCs/>
        </w:rPr>
        <w:fldChar w:fldCharType="begin"/>
      </w:r>
      <w:r w:rsidRPr="00967BAD">
        <w:rPr>
          <w:b/>
          <w:bCs/>
        </w:rPr>
        <w:instrText xml:space="preserve"> REF _Ref159515302 \h </w:instrText>
      </w:r>
      <w:r w:rsidR="00967BAD">
        <w:rPr>
          <w:b/>
          <w:bCs/>
        </w:rPr>
        <w:instrText xml:space="preserve"> \* MERGEFORMAT </w:instrText>
      </w:r>
      <w:r w:rsidRPr="00967BAD">
        <w:rPr>
          <w:b/>
          <w:bCs/>
        </w:rPr>
      </w:r>
      <w:r w:rsidRPr="00967BAD">
        <w:rPr>
          <w:b/>
          <w:bCs/>
        </w:rPr>
        <w:fldChar w:fldCharType="separate"/>
      </w:r>
      <w:r w:rsidR="003255C0" w:rsidRPr="003255C0">
        <w:rPr>
          <w:b/>
          <w:bCs/>
          <w:szCs w:val="22"/>
        </w:rPr>
        <w:t xml:space="preserve">Figure </w:t>
      </w:r>
      <w:r w:rsidR="003255C0">
        <w:rPr>
          <w:b/>
          <w:bCs/>
          <w:noProof/>
        </w:rPr>
        <w:t>16</w:t>
      </w:r>
      <w:r w:rsidRPr="00967BAD">
        <w:rPr>
          <w:b/>
          <w:bCs/>
        </w:rPr>
        <w:fldChar w:fldCharType="end"/>
      </w:r>
      <w:proofErr w:type="gramStart"/>
      <w:r w:rsidR="0013432D" w:rsidRPr="00967BAD">
        <w:rPr>
          <w:b/>
          <w:bCs/>
        </w:rPr>
        <w:t>b,d</w:t>
      </w:r>
      <w:proofErr w:type="gramEnd"/>
      <w:r w:rsidR="0013432D" w:rsidRPr="0013432D">
        <w:t xml:space="preserve"> and </w:t>
      </w:r>
      <w:r>
        <w:fldChar w:fldCharType="begin"/>
      </w:r>
      <w:r>
        <w:instrText xml:space="preserve"> REF _Ref159516869 \h </w:instrText>
      </w:r>
      <w:r>
        <w:fldChar w:fldCharType="separate"/>
      </w:r>
      <w:r w:rsidR="003255C0" w:rsidRPr="00F8072E">
        <w:rPr>
          <w:b/>
          <w:bCs/>
        </w:rPr>
        <w:t xml:space="preserve">Figure </w:t>
      </w:r>
      <w:r w:rsidR="003255C0">
        <w:rPr>
          <w:b/>
          <w:bCs/>
          <w:noProof/>
        </w:rPr>
        <w:t>19</w:t>
      </w:r>
      <w:r>
        <w:fldChar w:fldCharType="end"/>
      </w:r>
      <w:r w:rsidR="0013432D" w:rsidRPr="00967BAD">
        <w:rPr>
          <w:b/>
          <w:bCs/>
        </w:rPr>
        <w:t>b</w:t>
      </w:r>
      <w:r w:rsidR="0013432D" w:rsidRPr="0013432D">
        <w:t xml:space="preserve"> show some interesting comparison between predicted overpotentials and experiments. As mentioned already, when the SnO</w:t>
      </w:r>
      <w:r w:rsidR="0013432D" w:rsidRPr="0013432D">
        <w:rPr>
          <w:vertAlign w:val="subscript"/>
        </w:rPr>
        <w:t>2</w:t>
      </w:r>
      <w:r w:rsidR="0013432D" w:rsidRPr="0013432D">
        <w:t xml:space="preserve"> datapoint is ignored in </w:t>
      </w:r>
      <w:r>
        <w:fldChar w:fldCharType="begin"/>
      </w:r>
      <w:r>
        <w:instrText xml:space="preserve"> REF _Ref159515302 \h </w:instrText>
      </w:r>
      <w:r>
        <w:fldChar w:fldCharType="separate"/>
      </w:r>
      <w:r w:rsidR="003255C0" w:rsidRPr="001A79BA">
        <w:rPr>
          <w:b/>
          <w:bCs/>
        </w:rPr>
        <w:t xml:space="preserve">Figure </w:t>
      </w:r>
      <w:r w:rsidR="003255C0">
        <w:rPr>
          <w:b/>
          <w:bCs/>
          <w:noProof/>
        </w:rPr>
        <w:t>16</w:t>
      </w:r>
      <w:r>
        <w:fldChar w:fldCharType="end"/>
      </w:r>
      <w:r w:rsidR="0013432D" w:rsidRPr="00967BAD">
        <w:rPr>
          <w:b/>
          <w:bCs/>
        </w:rPr>
        <w:t>d</w:t>
      </w:r>
      <w:r w:rsidR="0013432D" w:rsidRPr="0013432D">
        <w:t xml:space="preserve">, the trend is </w:t>
      </w:r>
      <m:oMath>
        <m:sSub>
          <m:sSubPr>
            <m:ctrlPr>
              <w:rPr>
                <w:rFonts w:ascii="Cambria Math" w:hAnsi="Cambria Math"/>
                <w:i/>
                <w:iCs/>
              </w:rPr>
            </m:ctrlPr>
          </m:sSubPr>
          <m:e>
            <m:r>
              <w:rPr>
                <w:rFonts w:ascii="Cambria Math" w:hAnsi="Cambria Math"/>
              </w:rPr>
              <m:t>η</m:t>
            </m:r>
          </m:e>
          <m:sub>
            <m:r>
              <m:rPr>
                <m:sty m:val="p"/>
              </m:rPr>
              <w:rPr>
                <w:rFonts w:ascii="Cambria Math" w:hAnsi="Cambria Math"/>
              </w:rPr>
              <m:t>CHE</m:t>
            </m:r>
          </m:sub>
        </m:sSub>
        <m:r>
          <w:rPr>
            <w:rFonts w:ascii="Cambria Math" w:hAnsi="Cambria Math"/>
          </w:rPr>
          <m:t xml:space="preserve"> </m:t>
        </m:r>
      </m:oMath>
      <w:r w:rsidR="0013432D" w:rsidRPr="0013432D">
        <w:t>~ -0.5</w:t>
      </w:r>
      <m:oMath>
        <m:r>
          <w:rPr>
            <w:rFonts w:ascii="Cambria Math" w:hAnsi="Cambria Math"/>
          </w:rPr>
          <m:t>η</m:t>
        </m:r>
      </m:oMath>
      <w:r w:rsidR="0013432D" w:rsidRPr="0013432D">
        <w:t xml:space="preserve"> - 0.3 eV, with a weak correlation. The intercept of 0.3 eV we might interpret as the overpotential wall baked</w:t>
      </w:r>
      <w:r w:rsidR="006E1CDF">
        <w:t xml:space="preserve"> </w:t>
      </w:r>
      <w:r w:rsidR="0013432D" w:rsidRPr="0013432D">
        <w:t xml:space="preserve">into the single site adsorbate evolution mechanism. The slope however suggests an intrinsic issue, CHE predicts only half of the reported overpotentials. In </w:t>
      </w:r>
      <w:r>
        <w:fldChar w:fldCharType="begin"/>
      </w:r>
      <w:r>
        <w:instrText xml:space="preserve"> REF _Ref159515302 \h </w:instrText>
      </w:r>
      <w:r>
        <w:fldChar w:fldCharType="separate"/>
      </w:r>
      <w:r w:rsidR="003255C0" w:rsidRPr="001A79BA">
        <w:rPr>
          <w:b/>
          <w:bCs/>
        </w:rPr>
        <w:t xml:space="preserve">Figure </w:t>
      </w:r>
      <w:r w:rsidR="003255C0">
        <w:rPr>
          <w:b/>
          <w:bCs/>
          <w:noProof/>
        </w:rPr>
        <w:t>16</w:t>
      </w:r>
      <w:r>
        <w:fldChar w:fldCharType="end"/>
      </w:r>
      <w:r w:rsidR="0013432D" w:rsidRPr="00967BAD">
        <w:rPr>
          <w:b/>
          <w:bCs/>
        </w:rPr>
        <w:t>b</w:t>
      </w:r>
      <w:r w:rsidR="0013432D" w:rsidRPr="0013432D">
        <w:t xml:space="preserve"> with 5 perovskites, we see however just the opposite: the intercept is on the other side of the theoretical </w:t>
      </w:r>
      <w:proofErr w:type="gramStart"/>
      <w:r w:rsidR="0013432D" w:rsidRPr="0013432D">
        <w:t>overpotential</w:t>
      </w:r>
      <w:proofErr w:type="gramEnd"/>
      <w:r w:rsidR="0013432D" w:rsidRPr="0013432D">
        <w:t xml:space="preserve"> and the slope is now approximately 2.4, CHE strongly overestimating the experimental overpotential. As the experimental overpotential values were compiled from more than one publication, we searched for a number of publications in which some of these theoretically calculated perovskites were tested in the OER.</w:t>
      </w:r>
      <w:r w:rsidR="006E1CDF">
        <w:t xml:space="preserve"> </w:t>
      </w:r>
      <w:r w:rsidR="006E1CDF">
        <w:fldChar w:fldCharType="begin"/>
      </w:r>
      <w:r w:rsidR="006E1CDF">
        <w:instrText xml:space="preserve"> REF _Ref159942200 \h </w:instrText>
      </w:r>
      <w:r w:rsidR="006E1CDF">
        <w:fldChar w:fldCharType="separate"/>
      </w:r>
      <w:r w:rsidR="003255C0" w:rsidRPr="0013432D">
        <w:rPr>
          <w:b/>
          <w:bCs/>
        </w:rPr>
        <w:t xml:space="preserve">Table </w:t>
      </w:r>
      <w:r w:rsidR="003255C0">
        <w:rPr>
          <w:b/>
          <w:bCs/>
          <w:noProof/>
        </w:rPr>
        <w:t>2</w:t>
      </w:r>
      <w:r w:rsidR="006E1CDF">
        <w:fldChar w:fldCharType="end"/>
      </w:r>
      <w:r w:rsidR="0013432D" w:rsidRPr="0013432D">
        <w:t xml:space="preserve"> compares the predicted thermodynamic overpotential (</w:t>
      </w:r>
      <m:oMath>
        <m:sSub>
          <m:sSubPr>
            <m:ctrlPr>
              <w:rPr>
                <w:rFonts w:ascii="Cambria Math" w:hAnsi="Cambria Math"/>
                <w:i/>
                <w:iCs/>
              </w:rPr>
            </m:ctrlPr>
          </m:sSubPr>
          <m:e>
            <m:r>
              <w:rPr>
                <w:rFonts w:ascii="Cambria Math" w:hAnsi="Cambria Math"/>
              </w:rPr>
              <m:t>η</m:t>
            </m:r>
          </m:e>
          <m:sub>
            <m:r>
              <m:rPr>
                <m:sty m:val="p"/>
              </m:rPr>
              <w:rPr>
                <w:rFonts w:ascii="Cambria Math" w:hAnsi="Cambria Math"/>
              </w:rPr>
              <m:t>CHE</m:t>
            </m:r>
          </m:sub>
        </m:sSub>
      </m:oMath>
      <w:r w:rsidR="0013432D" w:rsidRPr="0013432D">
        <w:t xml:space="preserve">) and the experimental estimates. From the compiled data we can draw at least two conclusions. (1) The experimental data selected in Ref </w:t>
      </w:r>
      <w:r w:rsidR="0013432D" w:rsidRPr="0013432D">
        <w:fldChar w:fldCharType="begin"/>
      </w:r>
      <w:r w:rsidR="00FC5BEB">
        <w:instrText xml:space="preserve"> ADDIN EN.CITE &lt;EndNote&gt;&lt;Cite&gt;&lt;Author&gt;Man&lt;/Author&gt;&lt;Year&gt;2011&lt;/Year&gt;&lt;RecNum&gt;99&lt;/RecNum&gt;&lt;DisplayText&gt;&lt;style face="superscript"&gt;101&lt;/style&gt;&lt;/DisplayText&gt;&lt;record&gt;&lt;rec-number&gt;99&lt;/rec-number&gt;&lt;foreign-keys&gt;&lt;key app="EN" db-id="2xex0erf4eexr4e2dpbxpdd829xttesxxxdr" timestamp="1715075296"&gt;99&lt;/key&gt;&lt;/foreign-keys&gt;&lt;ref-type name="Journal Article"&gt;17&lt;/ref-type&gt;&lt;contributors&gt;&lt;authors&gt;&lt;author&gt;Man, Isabela C.&lt;/author&gt;&lt;author&gt;Su, Hai-Yan&lt;/author&gt;&lt;author&gt;Calle-Vallejo, Federico&lt;/author&gt;&lt;author&gt;Hansen, Heine A.&lt;/author&gt;&lt;author&gt;Martínez, José I.&lt;/author&gt;&lt;author&gt;Inoglu, Nilay G.&lt;/author&gt;&lt;author&gt;Kitchin, John&lt;/author&gt;&lt;author&gt;Jaramillo, Thomas F.&lt;/author&gt;&lt;author&gt;Nørskov, Jens K.&lt;/author&gt;&lt;author&gt;Rossmeisl, Jan&lt;/author&gt;&lt;/authors&gt;&lt;/contributors&gt;&lt;titles&gt;&lt;title&gt;Universality in Oxygen Evolution Electrocatalysis on Oxide Surfaces&lt;/title&gt;&lt;secondary-title&gt;ChemCatChem&lt;/secondary-title&gt;&lt;/titles&gt;&lt;pages&gt;1159-1165&lt;/pages&gt;&lt;volume&gt;3&lt;/volume&gt;&lt;number&gt;7&lt;/number&gt;&lt;dates&gt;&lt;year&gt;2011&lt;/year&gt;&lt;/dates&gt;&lt;isbn&gt;1867-3880&lt;/isbn&gt;&lt;urls&gt;&lt;related-urls&gt;&lt;url&gt;https://chemistry-europe.onlinelibrary.wiley.com/doi/abs/10.1002/cctc.201000397&lt;/url&gt;&lt;/related-urls&gt;&lt;/urls&gt;&lt;electronic-resource-num&gt;https://doi.org/10.1002/cctc.201000397&lt;/electronic-resource-num&gt;&lt;/record&gt;&lt;/Cite&gt;&lt;/EndNote&gt;</w:instrText>
      </w:r>
      <w:r w:rsidR="0013432D" w:rsidRPr="0013432D">
        <w:fldChar w:fldCharType="separate"/>
      </w:r>
      <w:r w:rsidR="00FC5BEB" w:rsidRPr="00FC5BEB">
        <w:rPr>
          <w:noProof/>
          <w:vertAlign w:val="superscript"/>
        </w:rPr>
        <w:t>101</w:t>
      </w:r>
      <w:r w:rsidR="0013432D" w:rsidRPr="0013432D">
        <w:fldChar w:fldCharType="end"/>
      </w:r>
      <w:r w:rsidR="0013432D" w:rsidRPr="0013432D">
        <w:t xml:space="preserve"> might not perfectly match data when the experiment comes from one single laboratory, but with some minor deviations the data are comparable to the those in the selected publications. (2) Based on the compilation, but especially on the data of Suntivich</w:t>
      </w:r>
      <w:r w:rsidR="0013432D" w:rsidRPr="0013432D">
        <w:fldChar w:fldCharType="begin"/>
      </w:r>
      <w:r w:rsidR="00FC5BEB">
        <w:instrText xml:space="preserve"> ADDIN EN.CITE &lt;EndNote&gt;&lt;Cite&gt;&lt;Author&gt;Suntivich&lt;/Author&gt;&lt;Year&gt;2011&lt;/Year&gt;&lt;RecNum&gt;290&lt;/RecNum&gt;&lt;DisplayText&gt;&lt;style face="superscript"&gt;292&lt;/style&gt;&lt;/DisplayText&gt;&lt;record&gt;&lt;rec-number&gt;290&lt;/rec-number&gt;&lt;foreign-keys&gt;&lt;key app="EN" db-id="2xex0erf4eexr4e2dpbxpdd829xttesxxxdr" timestamp="1715075296"&gt;290&lt;/key&gt;&lt;/foreign-keys&gt;&lt;ref-type name="Journal Article"&gt;17&lt;/ref-type&gt;&lt;contributors&gt;&lt;authors&gt;&lt;author&gt;Suntivich, Jin&lt;/author&gt;&lt;author&gt;May, Kevin J.&lt;/author&gt;&lt;author&gt;Gasteiger, Hubert A.&lt;/author&gt;&lt;author&gt;Goodenough, John B.&lt;/author&gt;&lt;author&gt;Shao-Horn, Yang&lt;/author&gt;&lt;/authors&gt;&lt;/contributors&gt;&lt;titles&gt;&lt;title&gt;A Perovskite Oxide Optimized for Oxygen Evolution Catalysis from Molecular Orbital Principles&lt;/title&gt;&lt;secondary-title&gt;Science&lt;/secondary-title&gt;&lt;/titles&gt;&lt;periodical&gt;&lt;full-title&gt;Science&lt;/full-title&gt;&lt;abbr-1&gt;Science&lt;/abbr-1&gt;&lt;abbr-2&gt;Science&lt;/abbr-2&gt;&lt;/periodical&gt;&lt;pages&gt;1383-1385&lt;/pages&gt;&lt;volume&gt;334&lt;/volume&gt;&lt;number&gt;6061&lt;/number&gt;&lt;dates&gt;&lt;year&gt;2011&lt;/year&gt;&lt;/dates&gt;&lt;urls&gt;&lt;related-urls&gt;&lt;url&gt;https://www.science.org/doi/abs/10.1126/science.1212858&lt;/url&gt;&lt;/related-urls&gt;&lt;/urls&gt;&lt;electronic-resource-num&gt;doi:10.1126/science.1212858&lt;/electronic-resource-num&gt;&lt;/record&gt;&lt;/Cite&gt;&lt;/EndNote&gt;</w:instrText>
      </w:r>
      <w:r w:rsidR="0013432D" w:rsidRPr="0013432D">
        <w:fldChar w:fldCharType="separate"/>
      </w:r>
      <w:r w:rsidR="00FC5BEB" w:rsidRPr="00FC5BEB">
        <w:rPr>
          <w:noProof/>
          <w:vertAlign w:val="superscript"/>
        </w:rPr>
        <w:t>292</w:t>
      </w:r>
      <w:r w:rsidR="0013432D" w:rsidRPr="0013432D">
        <w:fldChar w:fldCharType="end"/>
      </w:r>
      <w:r w:rsidR="0013432D" w:rsidRPr="0013432D">
        <w:t xml:space="preserve"> and Yamada</w:t>
      </w:r>
      <w:r w:rsidR="0013432D" w:rsidRPr="0013432D">
        <w:fldChar w:fldCharType="begin"/>
      </w:r>
      <w:r w:rsidR="00FC5BEB">
        <w:instrText xml:space="preserve"> ADDIN EN.CITE &lt;EndNote&gt;&lt;Cite&gt;&lt;Author&gt;Yamada&lt;/Author&gt;&lt;Year&gt;2018&lt;/Year&gt;&lt;RecNum&gt;302&lt;/RecNum&gt;&lt;DisplayText&gt;&lt;style face="superscript"&gt;304&lt;/style&gt;&lt;/DisplayText&gt;&lt;record&gt;&lt;rec-number&gt;302&lt;/rec-number&gt;&lt;foreign-keys&gt;&lt;key app="EN" db-id="2xex0erf4eexr4e2dpbxpdd829xttesxxxdr" timestamp="1715075296"&gt;302&lt;/key&gt;&lt;/foreign-keys&gt;&lt;ref-type name="Journal Article"&gt;17&lt;/ref-type&gt;&lt;contributors&gt;&lt;authors&gt;&lt;author&gt;Yamada, Ikuya&lt;/author&gt;&lt;author&gt;Takamatsu, Akihiko&lt;/author&gt;&lt;author&gt;Asai, Kaisei&lt;/author&gt;&lt;author&gt;Shirakawa, Takuto&lt;/author&gt;&lt;author&gt;Ohzuku, Hideo&lt;/author&gt;&lt;author&gt;Seno, Akihiro&lt;/author&gt;&lt;author&gt;Uchimura, Tasuku&lt;/author&gt;&lt;author&gt;Fujii, Hiroshi&lt;/author&gt;&lt;author&gt;Kawaguchi, Shogo&lt;/author&gt;&lt;author&gt;Wada, Kouhei&lt;/author&gt;&lt;author&gt;Ikeno, Hidekazu&lt;/author&gt;&lt;author&gt;Yagi, Shunsuke&lt;/author&gt;&lt;/authors&gt;&lt;/contributors&gt;&lt;titles&gt;&lt;title&gt;Systematic Study of Descriptors for Oxygen Evolution Reaction Catalysis in Perovskite Oxides&lt;/title&gt;&lt;secondary-title&gt;Journal of Physical Chemistry C&lt;/secondary-title&gt;&lt;/titles&gt;&lt;periodical&gt;&lt;full-title&gt;Journal of Physical Chemistry C&lt;/full-title&gt;&lt;abbr-1&gt;J. Phys. Chem. C&lt;/abbr-1&gt;&lt;/periodical&gt;&lt;pages&gt;27885-27892&lt;/pages&gt;&lt;volume&gt;122&lt;/volume&gt;&lt;number&gt;49&lt;/number&gt;&lt;dates&gt;&lt;year&gt;2018&lt;/year&gt;&lt;pub-dates&gt;&lt;date&gt;2018/12/13&lt;/date&gt;&lt;/pub-dates&gt;&lt;/dates&gt;&lt;publisher&gt;American Chemical Society&lt;/publisher&gt;&lt;isbn&gt;1932-7447&lt;/isbn&gt;&lt;urls&gt;&lt;related-urls&gt;&lt;url&gt;https://doi.org/10.1021/acs.jpcc.8b09287&lt;/url&gt;&lt;/related-urls&gt;&lt;/urls&gt;&lt;electronic-resource-num&gt;10.1021/acs.jpcc.8b09287&lt;/electronic-resource-num&gt;&lt;/record&gt;&lt;/Cite&gt;&lt;/EndNote&gt;</w:instrText>
      </w:r>
      <w:r w:rsidR="0013432D" w:rsidRPr="0013432D">
        <w:fldChar w:fldCharType="separate"/>
      </w:r>
      <w:r w:rsidR="00FC5BEB" w:rsidRPr="00FC5BEB">
        <w:rPr>
          <w:noProof/>
          <w:vertAlign w:val="superscript"/>
        </w:rPr>
        <w:t>304</w:t>
      </w:r>
      <w:r w:rsidR="0013432D" w:rsidRPr="0013432D">
        <w:fldChar w:fldCharType="end"/>
      </w:r>
      <w:r w:rsidR="0013432D" w:rsidRPr="0013432D">
        <w:t xml:space="preserve">, which </w:t>
      </w:r>
      <w:r w:rsidR="00F333B9">
        <w:t>report</w:t>
      </w:r>
      <w:r w:rsidR="00F333B9" w:rsidRPr="0013432D">
        <w:t xml:space="preserve"> </w:t>
      </w:r>
      <w:r w:rsidR="0013432D" w:rsidRPr="0013432D">
        <w:t xml:space="preserve">oxide surface area normalized overpotentials, theory seems to overestimate the overpotential of those materials that are less active, even more so than what is plotted in </w:t>
      </w:r>
      <w:r>
        <w:fldChar w:fldCharType="begin"/>
      </w:r>
      <w:r>
        <w:instrText xml:space="preserve"> REF _Ref159515302 \h </w:instrText>
      </w:r>
      <w:r>
        <w:fldChar w:fldCharType="separate"/>
      </w:r>
      <w:r w:rsidR="003255C0" w:rsidRPr="001A79BA">
        <w:rPr>
          <w:b/>
          <w:bCs/>
        </w:rPr>
        <w:t xml:space="preserve">Figure </w:t>
      </w:r>
      <w:r w:rsidR="003255C0">
        <w:rPr>
          <w:b/>
          <w:bCs/>
          <w:noProof/>
        </w:rPr>
        <w:t>16</w:t>
      </w:r>
      <w:r>
        <w:fldChar w:fldCharType="end"/>
      </w:r>
      <w:r w:rsidR="0013432D" w:rsidRPr="00967BAD">
        <w:rPr>
          <w:b/>
          <w:bCs/>
        </w:rPr>
        <w:t>b</w:t>
      </w:r>
      <w:r w:rsidR="0013432D" w:rsidRPr="0013432D">
        <w:t>. This suggests that either the CHE systematically overestimates the thermodynamic overpotential, maybe because it uses an unrealistic model or mechanism, or the experiment overestimates the OER activity of the targeted perovskites. This latter case may occur when the surfaces of these materials under OER conditions are no longer like the as-prepared perovskite surfaces. As we shall see, both of these possibilities are likely.</w:t>
      </w:r>
    </w:p>
    <w:p w14:paraId="5AF7957E" w14:textId="77777777" w:rsidR="00982D2D" w:rsidRPr="0013432D" w:rsidRDefault="00982D2D" w:rsidP="0013432D"/>
    <w:p w14:paraId="525FE1D1" w14:textId="0FC04C01" w:rsidR="0013432D" w:rsidRPr="0013432D" w:rsidRDefault="0013432D" w:rsidP="0013432D">
      <w:pPr>
        <w:pStyle w:val="Caption"/>
        <w:keepNext/>
      </w:pPr>
      <w:bookmarkStart w:id="99" w:name="_Ref159942200"/>
      <w:bookmarkStart w:id="100" w:name="_Ref159516395"/>
      <w:r w:rsidRPr="0013432D">
        <w:rPr>
          <w:b/>
          <w:bCs w:val="0"/>
          <w:sz w:val="22"/>
        </w:rPr>
        <w:t xml:space="preserve">Table </w:t>
      </w:r>
      <w:r w:rsidRPr="0013432D">
        <w:rPr>
          <w:b/>
          <w:bCs w:val="0"/>
          <w:sz w:val="22"/>
        </w:rPr>
        <w:fldChar w:fldCharType="begin"/>
      </w:r>
      <w:r w:rsidRPr="0013432D">
        <w:rPr>
          <w:b/>
          <w:bCs w:val="0"/>
          <w:sz w:val="22"/>
        </w:rPr>
        <w:instrText xml:space="preserve"> SEQ Table \* ARABIC </w:instrText>
      </w:r>
      <w:r w:rsidRPr="0013432D">
        <w:rPr>
          <w:b/>
          <w:bCs w:val="0"/>
          <w:sz w:val="22"/>
        </w:rPr>
        <w:fldChar w:fldCharType="separate"/>
      </w:r>
      <w:r w:rsidR="003255C0">
        <w:rPr>
          <w:b/>
          <w:bCs w:val="0"/>
          <w:noProof/>
          <w:sz w:val="22"/>
        </w:rPr>
        <w:t>2</w:t>
      </w:r>
      <w:r w:rsidRPr="0013432D">
        <w:rPr>
          <w:b/>
          <w:bCs w:val="0"/>
          <w:sz w:val="22"/>
        </w:rPr>
        <w:fldChar w:fldCharType="end"/>
      </w:r>
      <w:bookmarkEnd w:id="99"/>
      <w:r w:rsidRPr="0013432D">
        <w:t xml:space="preserve"> comparison of thermodynamic overpotentials (</w:t>
      </w:r>
      <m:oMath>
        <m:sSub>
          <m:sSubPr>
            <m:ctrlPr>
              <w:rPr>
                <w:rFonts w:ascii="Cambria Math" w:hAnsi="Cambria Math"/>
                <w:i/>
                <w:iCs/>
              </w:rPr>
            </m:ctrlPr>
          </m:sSubPr>
          <m:e>
            <m:r>
              <w:rPr>
                <w:rFonts w:ascii="Cambria Math" w:hAnsi="Cambria Math"/>
              </w:rPr>
              <m:t>η</m:t>
            </m:r>
          </m:e>
          <m:sub>
            <m:r>
              <m:rPr>
                <m:sty m:val="p"/>
              </m:rPr>
              <w:rPr>
                <w:rFonts w:ascii="Cambria Math" w:hAnsi="Cambria Math"/>
              </w:rPr>
              <m:t>CHE</m:t>
            </m:r>
          </m:sub>
        </m:sSub>
      </m:oMath>
      <w:r w:rsidRPr="0013432D">
        <w:t>) and experimental estimates, in V.</w:t>
      </w:r>
      <w:bookmarkEnd w:id="10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36"/>
        <w:gridCol w:w="1242"/>
        <w:gridCol w:w="1062"/>
        <w:gridCol w:w="1413"/>
        <w:gridCol w:w="1359"/>
        <w:gridCol w:w="1408"/>
        <w:gridCol w:w="1206"/>
      </w:tblGrid>
      <w:tr w:rsidR="00083336" w:rsidRPr="0013432D" w14:paraId="1F9EAFA5" w14:textId="77777777" w:rsidTr="0013432D">
        <w:tc>
          <w:tcPr>
            <w:tcW w:w="1387" w:type="dxa"/>
            <w:tcBorders>
              <w:top w:val="single" w:sz="4" w:space="0" w:color="auto"/>
              <w:bottom w:val="single" w:sz="4" w:space="0" w:color="auto"/>
            </w:tcBorders>
          </w:tcPr>
          <w:p w14:paraId="4366F92D" w14:textId="77777777" w:rsidR="0013432D" w:rsidRPr="0013432D" w:rsidRDefault="0013432D" w:rsidP="0013432D">
            <w:r w:rsidRPr="0013432D">
              <w:t>Materials</w:t>
            </w:r>
          </w:p>
        </w:tc>
        <w:tc>
          <w:tcPr>
            <w:tcW w:w="1306" w:type="dxa"/>
            <w:tcBorders>
              <w:top w:val="single" w:sz="4" w:space="0" w:color="auto"/>
              <w:bottom w:val="single" w:sz="4" w:space="0" w:color="auto"/>
            </w:tcBorders>
          </w:tcPr>
          <w:p w14:paraId="6071FC8D" w14:textId="0C45CE45" w:rsidR="0013432D" w:rsidRPr="0013432D" w:rsidRDefault="00000000" w:rsidP="0013432D">
            <m:oMath>
              <m:sSub>
                <m:sSubPr>
                  <m:ctrlPr>
                    <w:rPr>
                      <w:rFonts w:ascii="Cambria Math" w:hAnsi="Cambria Math"/>
                      <w:i/>
                      <w:iCs/>
                    </w:rPr>
                  </m:ctrlPr>
                </m:sSubPr>
                <m:e>
                  <m:r>
                    <w:rPr>
                      <w:rFonts w:ascii="Cambria Math" w:hAnsi="Cambria Math"/>
                    </w:rPr>
                    <m:t>η</m:t>
                  </m:r>
                </m:e>
                <m:sub>
                  <m:r>
                    <m:rPr>
                      <m:sty m:val="p"/>
                    </m:rPr>
                    <w:rPr>
                      <w:rFonts w:ascii="Cambria Math" w:hAnsi="Cambria Math"/>
                    </w:rPr>
                    <m:t>CHE</m:t>
                  </m:r>
                </m:sub>
              </m:sSub>
            </m:oMath>
            <w:r w:rsidR="0013432D" w:rsidRPr="0013432D">
              <w:rPr>
                <w:iCs/>
                <w:vertAlign w:val="superscript"/>
              </w:rPr>
              <w:fldChar w:fldCharType="begin"/>
            </w:r>
            <w:r w:rsidR="00FC5BEB">
              <w:rPr>
                <w:iCs/>
                <w:vertAlign w:val="superscript"/>
              </w:rPr>
              <w:instrText xml:space="preserve"> ADDIN EN.CITE &lt;EndNote&gt;&lt;Cite&gt;&lt;Author&gt;Man&lt;/Author&gt;&lt;Year&gt;2011&lt;/Year&gt;&lt;RecNum&gt;99&lt;/RecNum&gt;&lt;DisplayText&gt;&lt;style face="superscript"&gt;101&lt;/style&gt;&lt;/DisplayText&gt;&lt;record&gt;&lt;rec-number&gt;99&lt;/rec-number&gt;&lt;foreign-keys&gt;&lt;key app="EN" db-id="2xex0erf4eexr4e2dpbxpdd829xttesxxxdr" timestamp="1715075296"&gt;99&lt;/key&gt;&lt;/foreign-keys&gt;&lt;ref-type name="Journal Article"&gt;17&lt;/ref-type&gt;&lt;contributors&gt;&lt;authors&gt;&lt;author&gt;Man, Isabela C.&lt;/author&gt;&lt;author&gt;Su, Hai-Yan&lt;/author&gt;&lt;author&gt;Calle-Vallejo, Federico&lt;/author&gt;&lt;author&gt;Hansen, Heine A.&lt;/author&gt;&lt;author&gt;Martínez, José I.&lt;/author&gt;&lt;author&gt;Inoglu, Nilay G.&lt;/author&gt;&lt;author&gt;Kitchin, John&lt;/author&gt;&lt;author&gt;Jaramillo, Thomas F.&lt;/author&gt;&lt;author&gt;Nørskov, Jens K.&lt;/author&gt;&lt;author&gt;Rossmeisl, Jan&lt;/author&gt;&lt;/authors&gt;&lt;/contributors&gt;&lt;titles&gt;&lt;title&gt;Universality in Oxygen Evolution Electrocatalysis on Oxide Surfaces&lt;/title&gt;&lt;secondary-title&gt;ChemCatChem&lt;/secondary-title&gt;&lt;/titles&gt;&lt;pages&gt;1159-1165&lt;/pages&gt;&lt;volume&gt;3&lt;/volume&gt;&lt;number&gt;7&lt;/number&gt;&lt;dates&gt;&lt;year&gt;2011&lt;/year&gt;&lt;/dates&gt;&lt;isbn&gt;1867-3880&lt;/isbn&gt;&lt;urls&gt;&lt;related-urls&gt;&lt;url&gt;https://chemistry-europe.onlinelibrary.wiley.com/doi/abs/10.1002/cctc.201000397&lt;/url&gt;&lt;/related-urls&gt;&lt;/urls&gt;&lt;electronic-resource-num&gt;https://doi.org/10.1002/cctc.201000397&lt;/electronic-resource-num&gt;&lt;/record&gt;&lt;/Cite&gt;&lt;/EndNote&gt;</w:instrText>
            </w:r>
            <w:r w:rsidR="0013432D" w:rsidRPr="0013432D">
              <w:rPr>
                <w:iCs/>
                <w:vertAlign w:val="superscript"/>
              </w:rPr>
              <w:fldChar w:fldCharType="separate"/>
            </w:r>
            <w:r w:rsidR="00FC5BEB">
              <w:rPr>
                <w:iCs/>
                <w:noProof/>
                <w:vertAlign w:val="superscript"/>
              </w:rPr>
              <w:t>101</w:t>
            </w:r>
            <w:r w:rsidR="0013432D" w:rsidRPr="0013432D">
              <w:fldChar w:fldCharType="end"/>
            </w:r>
          </w:p>
        </w:tc>
        <w:tc>
          <w:tcPr>
            <w:tcW w:w="1111" w:type="dxa"/>
            <w:tcBorders>
              <w:top w:val="single" w:sz="4" w:space="0" w:color="auto"/>
              <w:bottom w:val="single" w:sz="4" w:space="0" w:color="auto"/>
            </w:tcBorders>
          </w:tcPr>
          <w:p w14:paraId="0FF298D3" w14:textId="5A11C8E1" w:rsidR="0013432D" w:rsidRPr="0013432D" w:rsidRDefault="0013432D" w:rsidP="0013432D">
            <w:r w:rsidRPr="0013432D">
              <w:t>Exp</w:t>
            </w:r>
            <w:r w:rsidRPr="0013432D">
              <w:fldChar w:fldCharType="begin"/>
            </w:r>
            <w:r w:rsidR="00FC5BEB">
              <w:instrText xml:space="preserve"> ADDIN EN.CITE &lt;EndNote&gt;&lt;Cite&gt;&lt;Author&gt;Man&lt;/Author&gt;&lt;Year&gt;2011&lt;/Year&gt;&lt;RecNum&gt;99&lt;/RecNum&gt;&lt;DisplayText&gt;&lt;style face="superscript"&gt;101&lt;/style&gt;&lt;/DisplayText&gt;&lt;record&gt;&lt;rec-number&gt;99&lt;/rec-number&gt;&lt;foreign-keys&gt;&lt;key app="EN" db-id="2xex0erf4eexr4e2dpbxpdd829xttesxxxdr" timestamp="1715075296"&gt;99&lt;/key&gt;&lt;/foreign-keys&gt;&lt;ref-type name="Journal Article"&gt;17&lt;/ref-type&gt;&lt;contributors&gt;&lt;authors&gt;&lt;author&gt;Man, Isabela C.&lt;/author&gt;&lt;author&gt;Su, Hai-Yan&lt;/author&gt;&lt;author&gt;Calle-Vallejo, Federico&lt;/author&gt;&lt;author&gt;Hansen, Heine A.&lt;/author&gt;&lt;author&gt;Martínez, José I.&lt;/author&gt;&lt;author&gt;Inoglu, Nilay G.&lt;/author&gt;&lt;author&gt;Kitchin, John&lt;/author&gt;&lt;author&gt;Jaramillo, Thomas F.&lt;/author&gt;&lt;author&gt;Nørskov, Jens K.&lt;/author&gt;&lt;author&gt;Rossmeisl, Jan&lt;/author&gt;&lt;/authors&gt;&lt;/contributors&gt;&lt;titles&gt;&lt;title&gt;Universality in Oxygen Evolution Electrocatalysis on Oxide Surfaces&lt;/title&gt;&lt;secondary-title&gt;ChemCatChem&lt;/secondary-title&gt;&lt;/titles&gt;&lt;pages&gt;1159-1165&lt;/pages&gt;&lt;volume&gt;3&lt;/volume&gt;&lt;number&gt;7&lt;/number&gt;&lt;dates&gt;&lt;year&gt;2011&lt;/year&gt;&lt;/dates&gt;&lt;isbn&gt;1867-3880&lt;/isbn&gt;&lt;urls&gt;&lt;related-urls&gt;&lt;url&gt;https://chemistry-europe.onlinelibrary.wiley.com/doi/abs/10.1002/cctc.201000397&lt;/url&gt;&lt;/related-urls&gt;&lt;/urls&gt;&lt;electronic-resource-num&gt;https://doi.org/10.1002/cctc.201000397&lt;/electronic-resource-num&gt;&lt;/record&gt;&lt;/Cite&gt;&lt;/EndNote&gt;</w:instrText>
            </w:r>
            <w:r w:rsidRPr="0013432D">
              <w:fldChar w:fldCharType="separate"/>
            </w:r>
            <w:r w:rsidR="00FC5BEB" w:rsidRPr="00FC5BEB">
              <w:rPr>
                <w:noProof/>
                <w:vertAlign w:val="superscript"/>
              </w:rPr>
              <w:t>101</w:t>
            </w:r>
            <w:r w:rsidRPr="0013432D">
              <w:fldChar w:fldCharType="end"/>
            </w:r>
          </w:p>
        </w:tc>
        <w:tc>
          <w:tcPr>
            <w:tcW w:w="1438" w:type="dxa"/>
            <w:tcBorders>
              <w:top w:val="single" w:sz="4" w:space="0" w:color="auto"/>
              <w:bottom w:val="single" w:sz="4" w:space="0" w:color="auto"/>
            </w:tcBorders>
          </w:tcPr>
          <w:p w14:paraId="68DD83D5" w14:textId="04DBF502" w:rsidR="0013432D" w:rsidRPr="0013432D" w:rsidRDefault="0013432D" w:rsidP="0013432D">
            <w:r w:rsidRPr="0013432D">
              <w:t>Suntivich</w:t>
            </w:r>
            <w:r w:rsidRPr="0013432D">
              <w:fldChar w:fldCharType="begin"/>
            </w:r>
            <w:r w:rsidR="00FC5BEB">
              <w:instrText xml:space="preserve"> ADDIN EN.CITE &lt;EndNote&gt;&lt;Cite&gt;&lt;Author&gt;Suntivich&lt;/Author&gt;&lt;Year&gt;2011&lt;/Year&gt;&lt;RecNum&gt;290&lt;/RecNum&gt;&lt;DisplayText&gt;&lt;style face="superscript"&gt;292&lt;/style&gt;&lt;/DisplayText&gt;&lt;record&gt;&lt;rec-number&gt;290&lt;/rec-number&gt;&lt;foreign-keys&gt;&lt;key app="EN" db-id="2xex0erf4eexr4e2dpbxpdd829xttesxxxdr" timestamp="1715075296"&gt;290&lt;/key&gt;&lt;/foreign-keys&gt;&lt;ref-type name="Journal Article"&gt;17&lt;/ref-type&gt;&lt;contributors&gt;&lt;authors&gt;&lt;author&gt;Suntivich, Jin&lt;/author&gt;&lt;author&gt;May, Kevin J.&lt;/author&gt;&lt;author&gt;Gasteiger, Hubert A.&lt;/author&gt;&lt;author&gt;Goodenough, John B.&lt;/author&gt;&lt;author&gt;Shao-Horn, Yang&lt;/author&gt;&lt;/authors&gt;&lt;/contributors&gt;&lt;titles&gt;&lt;title&gt;A Perovskite Oxide Optimized for Oxygen Evolution Catalysis from Molecular Orbital Principles&lt;/title&gt;&lt;secondary-title&gt;Science&lt;/secondary-title&gt;&lt;/titles&gt;&lt;periodical&gt;&lt;full-title&gt;Science&lt;/full-title&gt;&lt;abbr-1&gt;Science&lt;/abbr-1&gt;&lt;abbr-2&gt;Science&lt;/abbr-2&gt;&lt;/periodical&gt;&lt;pages&gt;1383-1385&lt;/pages&gt;&lt;volume&gt;334&lt;/volume&gt;&lt;number&gt;6061&lt;/number&gt;&lt;dates&gt;&lt;year&gt;2011&lt;/year&gt;&lt;/dates&gt;&lt;urls&gt;&lt;related-urls&gt;&lt;url&gt;https://www.science.org/doi/abs/10.1126/science.1212858&lt;/url&gt;&lt;/related-urls&gt;&lt;/urls&gt;&lt;electronic-resource-num&gt;doi:10.1126/science.1212858&lt;/electronic-resource-num&gt;&lt;/record&gt;&lt;/Cite&gt;&lt;/EndNote&gt;</w:instrText>
            </w:r>
            <w:r w:rsidRPr="0013432D">
              <w:fldChar w:fldCharType="separate"/>
            </w:r>
            <w:r w:rsidR="00FC5BEB" w:rsidRPr="00FC5BEB">
              <w:rPr>
                <w:noProof/>
                <w:vertAlign w:val="superscript"/>
              </w:rPr>
              <w:t>292</w:t>
            </w:r>
            <w:r w:rsidRPr="0013432D">
              <w:fldChar w:fldCharType="end"/>
            </w:r>
          </w:p>
        </w:tc>
        <w:tc>
          <w:tcPr>
            <w:tcW w:w="1394" w:type="dxa"/>
            <w:tcBorders>
              <w:top w:val="single" w:sz="4" w:space="0" w:color="auto"/>
              <w:bottom w:val="single" w:sz="4" w:space="0" w:color="auto"/>
            </w:tcBorders>
          </w:tcPr>
          <w:p w14:paraId="15177087" w14:textId="036DC898" w:rsidR="0013432D" w:rsidRPr="0013432D" w:rsidRDefault="0013432D" w:rsidP="0013432D">
            <w:r w:rsidRPr="0013432D">
              <w:t>Yamada</w:t>
            </w:r>
            <w:r w:rsidRPr="0013432D">
              <w:fldChar w:fldCharType="begin"/>
            </w:r>
            <w:r w:rsidR="00FC5BEB">
              <w:instrText xml:space="preserve"> ADDIN EN.CITE &lt;EndNote&gt;&lt;Cite&gt;&lt;Author&gt;Yamada&lt;/Author&gt;&lt;Year&gt;2018&lt;/Year&gt;&lt;RecNum&gt;302&lt;/RecNum&gt;&lt;DisplayText&gt;&lt;style face="superscript"&gt;304&lt;/style&gt;&lt;/DisplayText&gt;&lt;record&gt;&lt;rec-number&gt;302&lt;/rec-number&gt;&lt;foreign-keys&gt;&lt;key app="EN" db-id="2xex0erf4eexr4e2dpbxpdd829xttesxxxdr" timestamp="1715075296"&gt;302&lt;/key&gt;&lt;/foreign-keys&gt;&lt;ref-type name="Journal Article"&gt;17&lt;/ref-type&gt;&lt;contributors&gt;&lt;authors&gt;&lt;author&gt;Yamada, Ikuya&lt;/author&gt;&lt;author&gt;Takamatsu, Akihiko&lt;/author&gt;&lt;author&gt;Asai, Kaisei&lt;/author&gt;&lt;author&gt;Shirakawa, Takuto&lt;/author&gt;&lt;author&gt;Ohzuku, Hideo&lt;/author&gt;&lt;author&gt;Seno, Akihiro&lt;/author&gt;&lt;author&gt;Uchimura, Tasuku&lt;/author&gt;&lt;author&gt;Fujii, Hiroshi&lt;/author&gt;&lt;author&gt;Kawaguchi, Shogo&lt;/author&gt;&lt;author&gt;Wada, Kouhei&lt;/author&gt;&lt;author&gt;Ikeno, Hidekazu&lt;/author&gt;&lt;author&gt;Yagi, Shunsuke&lt;/author&gt;&lt;/authors&gt;&lt;/contributors&gt;&lt;titles&gt;&lt;title&gt;Systematic Study of Descriptors for Oxygen Evolution Reaction Catalysis in Perovskite Oxides&lt;/title&gt;&lt;secondary-title&gt;Journal of Physical Chemistry C&lt;/secondary-title&gt;&lt;/titles&gt;&lt;periodical&gt;&lt;full-title&gt;Journal of Physical Chemistry C&lt;/full-title&gt;&lt;abbr-1&gt;J. Phys. Chem. C&lt;/abbr-1&gt;&lt;/periodical&gt;&lt;pages&gt;27885-27892&lt;/pages&gt;&lt;volume&gt;122&lt;/volume&gt;&lt;number&gt;49&lt;/number&gt;&lt;dates&gt;&lt;year&gt;2018&lt;/year&gt;&lt;pub-dates&gt;&lt;date&gt;2018/12/13&lt;/date&gt;&lt;/pub-dates&gt;&lt;/dates&gt;&lt;publisher&gt;American Chemical Society&lt;/publisher&gt;&lt;isbn&gt;1932-7447&lt;/isbn&gt;&lt;urls&gt;&lt;related-urls&gt;&lt;url&gt;https://doi.org/10.1021/acs.jpcc.8b09287&lt;/url&gt;&lt;/related-urls&gt;&lt;/urls&gt;&lt;electronic-resource-num&gt;10.1021/acs.jpcc.8b09287&lt;/electronic-resource-num&gt;&lt;/record&gt;&lt;/Cite&gt;&lt;/EndNote&gt;</w:instrText>
            </w:r>
            <w:r w:rsidRPr="0013432D">
              <w:fldChar w:fldCharType="separate"/>
            </w:r>
            <w:r w:rsidR="00FC5BEB" w:rsidRPr="00FC5BEB">
              <w:rPr>
                <w:noProof/>
                <w:vertAlign w:val="superscript"/>
              </w:rPr>
              <w:t>304</w:t>
            </w:r>
            <w:r w:rsidRPr="0013432D">
              <w:fldChar w:fldCharType="end"/>
            </w:r>
          </w:p>
        </w:tc>
        <w:tc>
          <w:tcPr>
            <w:tcW w:w="1435" w:type="dxa"/>
            <w:tcBorders>
              <w:top w:val="single" w:sz="4" w:space="0" w:color="auto"/>
              <w:bottom w:val="single" w:sz="4" w:space="0" w:color="auto"/>
            </w:tcBorders>
          </w:tcPr>
          <w:p w14:paraId="3F449EF8" w14:textId="2A429180" w:rsidR="0013432D" w:rsidRPr="0013432D" w:rsidRDefault="0013432D" w:rsidP="0013432D">
            <w:r w:rsidRPr="0013432D">
              <w:t>Matienzo</w:t>
            </w:r>
            <w:r w:rsidRPr="0013432D">
              <w:fldChar w:fldCharType="begin"/>
            </w:r>
            <w:r w:rsidR="00FC5BEB">
              <w:instrText xml:space="preserve"> ADDIN EN.CITE &lt;EndNote&gt;&lt;Cite&gt;&lt;Author&gt;Matienzo&lt;/Author&gt;&lt;Year&gt;2020&lt;/Year&gt;&lt;RecNum&gt;303&lt;/RecNum&gt;&lt;DisplayText&gt;&lt;style face="superscript"&gt;305&lt;/style&gt;&lt;/DisplayText&gt;&lt;record&gt;&lt;rec-number&gt;303&lt;/rec-number&gt;&lt;foreign-keys&gt;&lt;key app="EN" db-id="2xex0erf4eexr4e2dpbxpdd829xttesxxxdr" timestamp="1715075296"&gt;303&lt;/key&gt;&lt;/foreign-keys&gt;&lt;ref-type name="Journal Article"&gt;17&lt;/ref-type&gt;&lt;contributors&gt;&lt;authors&gt;&lt;author&gt;Matienzo, Dj Donn&lt;/author&gt;&lt;author&gt;Kutlusoy, Tugce&lt;/author&gt;&lt;author&gt;Divanis, Spiros&lt;/author&gt;&lt;author&gt;Bari, Chiara&lt;/author&gt;&lt;author&gt;Instuli, Emanuele&lt;/author&gt;&lt;/authors&gt;&lt;/contributors&gt;&lt;titles&gt;&lt;title&gt;Benchmarking Perovskite Electrocatalysts’ OER Activity as Candidate Materials for Industrial Alkaline Water Electrolysis&lt;/title&gt;&lt;secondary-title&gt;Catalysts&lt;/secondary-title&gt;&lt;/titles&gt;&lt;pages&gt;1387&lt;/pages&gt;&lt;volume&gt;10(12)&lt;/volume&gt;&lt;dates&gt;&lt;year&gt;2020&lt;/year&gt;&lt;pub-dates&gt;&lt;date&gt;11/28&lt;/date&gt;&lt;/pub-dates&gt;&lt;/dates&gt;&lt;urls&gt;&lt;/urls&gt;&lt;electronic-resource-num&gt;10.3390/catal10121387&lt;/electronic-resource-num&gt;&lt;/record&gt;&lt;/Cite&gt;&lt;/EndNote&gt;</w:instrText>
            </w:r>
            <w:r w:rsidRPr="0013432D">
              <w:fldChar w:fldCharType="separate"/>
            </w:r>
            <w:r w:rsidR="00FC5BEB" w:rsidRPr="00FC5BEB">
              <w:rPr>
                <w:noProof/>
                <w:vertAlign w:val="superscript"/>
              </w:rPr>
              <w:t>305</w:t>
            </w:r>
            <w:r w:rsidRPr="0013432D">
              <w:fldChar w:fldCharType="end"/>
            </w:r>
          </w:p>
        </w:tc>
        <w:tc>
          <w:tcPr>
            <w:tcW w:w="1279" w:type="dxa"/>
            <w:tcBorders>
              <w:top w:val="single" w:sz="4" w:space="0" w:color="auto"/>
              <w:bottom w:val="single" w:sz="4" w:space="0" w:color="auto"/>
            </w:tcBorders>
          </w:tcPr>
          <w:p w14:paraId="46936536" w14:textId="22A94862" w:rsidR="0013432D" w:rsidRPr="0013432D" w:rsidRDefault="0013432D" w:rsidP="0013432D">
            <w:r w:rsidRPr="0013432D">
              <w:t>Gao</w:t>
            </w:r>
            <w:r w:rsidRPr="0013432D">
              <w:fldChar w:fldCharType="begin"/>
            </w:r>
            <w:r w:rsidR="00FC5BEB">
              <w:instrText xml:space="preserve"> ADDIN EN.CITE &lt;EndNote&gt;&lt;Cite&gt;&lt;Author&gt;Gao&lt;/Author&gt;&lt;Year&gt;2020&lt;/Year&gt;&lt;RecNum&gt;304&lt;/RecNum&gt;&lt;DisplayText&gt;&lt;style face="superscript"&gt;306&lt;/style&gt;&lt;/DisplayText&gt;&lt;record&gt;&lt;rec-number&gt;304&lt;/rec-number&gt;&lt;foreign-keys&gt;&lt;key app="EN" db-id="2xex0erf4eexr4e2dpbxpdd829xttesxxxdr" timestamp="1715075296"&gt;304&lt;/key&gt;&lt;/foreign-keys&gt;&lt;ref-type name="Journal Article"&gt;17&lt;/ref-type&gt;&lt;contributors&gt;&lt;authors&gt;&lt;author&gt;Gao, Xiaoping&lt;/author&gt;&lt;author&gt;Sun, Zhimin&lt;/author&gt;&lt;author&gt;Ran, Jiaqi&lt;/author&gt;&lt;author&gt;Li, Jufu&lt;/author&gt;&lt;author&gt;Zhang, Jingyan&lt;/author&gt;&lt;author&gt;Gao, Daqiang&lt;/author&gt;&lt;/authors&gt;&lt;/contributors&gt;&lt;titles&gt;&lt;title&gt;High efficiency electrocatalyst of LaCr0.5Fe0.5O3 nanoparticles on oxygen-evolution reaction&lt;/title&gt;&lt;secondary-title&gt;Sci. Rep.&lt;/secondary-title&gt;&lt;/titles&gt;&lt;periodical&gt;&lt;full-title&gt;Sci. Rep.&lt;/full-title&gt;&lt;/periodical&gt;&lt;pages&gt;13395&lt;/pages&gt;&lt;volume&gt;10&lt;/volume&gt;&lt;number&gt;1&lt;/number&gt;&lt;dates&gt;&lt;year&gt;2020&lt;/year&gt;&lt;pub-dates&gt;&lt;date&gt;2020/08/07&lt;/date&gt;&lt;/pub-dates&gt;&lt;/dates&gt;&lt;isbn&gt;2045-2322&lt;/isbn&gt;&lt;urls&gt;&lt;related-urls&gt;&lt;url&gt;https://doi.org/10.1038/s41598-020-70283-9&lt;/url&gt;&lt;/related-urls&gt;&lt;/urls&gt;&lt;electronic-resource-num&gt;10.1038/s41598-020-70283-9&lt;/electronic-resource-num&gt;&lt;/record&gt;&lt;/Cite&gt;&lt;/EndNote&gt;</w:instrText>
            </w:r>
            <w:r w:rsidRPr="0013432D">
              <w:fldChar w:fldCharType="separate"/>
            </w:r>
            <w:r w:rsidR="00FC5BEB" w:rsidRPr="00FC5BEB">
              <w:rPr>
                <w:noProof/>
                <w:vertAlign w:val="superscript"/>
              </w:rPr>
              <w:t>306</w:t>
            </w:r>
            <w:r w:rsidRPr="0013432D">
              <w:fldChar w:fldCharType="end"/>
            </w:r>
          </w:p>
        </w:tc>
      </w:tr>
      <w:tr w:rsidR="00083336" w:rsidRPr="0013432D" w14:paraId="0F6CA46D" w14:textId="77777777" w:rsidTr="0013432D">
        <w:tc>
          <w:tcPr>
            <w:tcW w:w="1387" w:type="dxa"/>
            <w:tcBorders>
              <w:top w:val="single" w:sz="4" w:space="0" w:color="auto"/>
            </w:tcBorders>
          </w:tcPr>
          <w:p w14:paraId="25C51D6B" w14:textId="77777777" w:rsidR="0013432D" w:rsidRPr="0013432D" w:rsidRDefault="0013432D" w:rsidP="0013432D">
            <w:r w:rsidRPr="0013432D">
              <w:t>LaNiO</w:t>
            </w:r>
            <w:r w:rsidRPr="0013432D">
              <w:rPr>
                <w:vertAlign w:val="subscript"/>
              </w:rPr>
              <w:t>3</w:t>
            </w:r>
          </w:p>
        </w:tc>
        <w:tc>
          <w:tcPr>
            <w:tcW w:w="1306" w:type="dxa"/>
            <w:tcBorders>
              <w:top w:val="single" w:sz="4" w:space="0" w:color="auto"/>
            </w:tcBorders>
          </w:tcPr>
          <w:p w14:paraId="1606487F" w14:textId="77777777" w:rsidR="0013432D" w:rsidRPr="0013432D" w:rsidRDefault="0013432D" w:rsidP="0013432D">
            <w:r w:rsidRPr="0013432D">
              <w:t>0.32</w:t>
            </w:r>
          </w:p>
        </w:tc>
        <w:tc>
          <w:tcPr>
            <w:tcW w:w="1111" w:type="dxa"/>
            <w:tcBorders>
              <w:top w:val="single" w:sz="4" w:space="0" w:color="auto"/>
            </w:tcBorders>
          </w:tcPr>
          <w:p w14:paraId="0A17F393" w14:textId="77777777" w:rsidR="0013432D" w:rsidRPr="0013432D" w:rsidRDefault="0013432D" w:rsidP="0013432D">
            <w:r w:rsidRPr="0013432D">
              <w:t>0.27</w:t>
            </w:r>
          </w:p>
        </w:tc>
        <w:tc>
          <w:tcPr>
            <w:tcW w:w="1438" w:type="dxa"/>
            <w:tcBorders>
              <w:top w:val="single" w:sz="4" w:space="0" w:color="auto"/>
            </w:tcBorders>
          </w:tcPr>
          <w:p w14:paraId="53E81429" w14:textId="77777777" w:rsidR="0013432D" w:rsidRPr="0013432D" w:rsidRDefault="0013432D" w:rsidP="0013432D">
            <w:r w:rsidRPr="0013432D">
              <w:t>0.34</w:t>
            </w:r>
          </w:p>
        </w:tc>
        <w:tc>
          <w:tcPr>
            <w:tcW w:w="1394" w:type="dxa"/>
            <w:tcBorders>
              <w:top w:val="single" w:sz="4" w:space="0" w:color="auto"/>
            </w:tcBorders>
          </w:tcPr>
          <w:p w14:paraId="095A46DC" w14:textId="12538DDE" w:rsidR="0013432D" w:rsidRPr="0013432D" w:rsidRDefault="0013432D" w:rsidP="0013432D">
            <w:r w:rsidRPr="0013432D">
              <w:t>0.3</w:t>
            </w:r>
            <w:r w:rsidR="00D9231D">
              <w:t>7</w:t>
            </w:r>
          </w:p>
        </w:tc>
        <w:tc>
          <w:tcPr>
            <w:tcW w:w="1435" w:type="dxa"/>
            <w:tcBorders>
              <w:top w:val="single" w:sz="4" w:space="0" w:color="auto"/>
            </w:tcBorders>
          </w:tcPr>
          <w:p w14:paraId="675D10DB" w14:textId="77777777" w:rsidR="0013432D" w:rsidRPr="0013432D" w:rsidRDefault="0013432D" w:rsidP="0013432D">
            <w:r w:rsidRPr="0013432D">
              <w:t>0.47</w:t>
            </w:r>
          </w:p>
        </w:tc>
        <w:tc>
          <w:tcPr>
            <w:tcW w:w="1279" w:type="dxa"/>
            <w:tcBorders>
              <w:top w:val="single" w:sz="4" w:space="0" w:color="auto"/>
            </w:tcBorders>
          </w:tcPr>
          <w:p w14:paraId="785C7E77" w14:textId="77777777" w:rsidR="0013432D" w:rsidRPr="0013432D" w:rsidRDefault="0013432D" w:rsidP="0013432D">
            <w:r w:rsidRPr="0013432D">
              <w:t>-</w:t>
            </w:r>
          </w:p>
        </w:tc>
      </w:tr>
      <w:tr w:rsidR="00083336" w:rsidRPr="0013432D" w14:paraId="7C516943" w14:textId="77777777" w:rsidTr="0013432D">
        <w:tc>
          <w:tcPr>
            <w:tcW w:w="1387" w:type="dxa"/>
          </w:tcPr>
          <w:p w14:paraId="55ECB38D" w14:textId="77777777" w:rsidR="0013432D" w:rsidRPr="0013432D" w:rsidRDefault="0013432D" w:rsidP="0013432D">
            <w:r w:rsidRPr="0013432D">
              <w:t>SrFeO</w:t>
            </w:r>
            <w:r w:rsidRPr="0013432D">
              <w:rPr>
                <w:vertAlign w:val="subscript"/>
              </w:rPr>
              <w:t>3</w:t>
            </w:r>
          </w:p>
        </w:tc>
        <w:tc>
          <w:tcPr>
            <w:tcW w:w="1306" w:type="dxa"/>
          </w:tcPr>
          <w:p w14:paraId="74B10CC6" w14:textId="77777777" w:rsidR="0013432D" w:rsidRPr="0013432D" w:rsidRDefault="0013432D" w:rsidP="0013432D">
            <w:r w:rsidRPr="0013432D">
              <w:t>0.5</w:t>
            </w:r>
          </w:p>
        </w:tc>
        <w:tc>
          <w:tcPr>
            <w:tcW w:w="1111" w:type="dxa"/>
          </w:tcPr>
          <w:p w14:paraId="4743FEFE" w14:textId="77777777" w:rsidR="0013432D" w:rsidRPr="0013432D" w:rsidRDefault="0013432D" w:rsidP="0013432D">
            <w:r w:rsidRPr="0013432D">
              <w:t>0.4</w:t>
            </w:r>
          </w:p>
        </w:tc>
        <w:tc>
          <w:tcPr>
            <w:tcW w:w="1438" w:type="dxa"/>
          </w:tcPr>
          <w:p w14:paraId="169A21E1" w14:textId="77777777" w:rsidR="0013432D" w:rsidRPr="0013432D" w:rsidRDefault="0013432D" w:rsidP="0013432D">
            <w:r w:rsidRPr="0013432D">
              <w:t>-</w:t>
            </w:r>
          </w:p>
        </w:tc>
        <w:tc>
          <w:tcPr>
            <w:tcW w:w="1394" w:type="dxa"/>
          </w:tcPr>
          <w:p w14:paraId="321272C8" w14:textId="2EB0E296" w:rsidR="0013432D" w:rsidRPr="0013432D" w:rsidRDefault="0013432D" w:rsidP="0013432D">
            <w:r w:rsidRPr="0013432D">
              <w:t>0.3</w:t>
            </w:r>
            <w:r w:rsidR="00D9231D">
              <w:t>4</w:t>
            </w:r>
          </w:p>
        </w:tc>
        <w:tc>
          <w:tcPr>
            <w:tcW w:w="1435" w:type="dxa"/>
          </w:tcPr>
          <w:p w14:paraId="08CA256C" w14:textId="77777777" w:rsidR="0013432D" w:rsidRPr="0013432D" w:rsidRDefault="0013432D" w:rsidP="0013432D">
            <w:r w:rsidRPr="0013432D">
              <w:t>-</w:t>
            </w:r>
          </w:p>
        </w:tc>
        <w:tc>
          <w:tcPr>
            <w:tcW w:w="1279" w:type="dxa"/>
          </w:tcPr>
          <w:p w14:paraId="4E0A4DA4" w14:textId="77777777" w:rsidR="0013432D" w:rsidRPr="0013432D" w:rsidRDefault="0013432D" w:rsidP="0013432D">
            <w:r w:rsidRPr="0013432D">
              <w:t>-</w:t>
            </w:r>
          </w:p>
        </w:tc>
      </w:tr>
      <w:tr w:rsidR="00083336" w:rsidRPr="0013432D" w14:paraId="79A39208" w14:textId="77777777" w:rsidTr="0013432D">
        <w:tc>
          <w:tcPr>
            <w:tcW w:w="1387" w:type="dxa"/>
          </w:tcPr>
          <w:p w14:paraId="5A4023A1" w14:textId="77777777" w:rsidR="0013432D" w:rsidRPr="0013432D" w:rsidRDefault="0013432D" w:rsidP="0013432D">
            <w:r w:rsidRPr="0013432D">
              <w:t>LaCoO</w:t>
            </w:r>
            <w:r w:rsidRPr="0013432D">
              <w:rPr>
                <w:vertAlign w:val="subscript"/>
              </w:rPr>
              <w:t>3</w:t>
            </w:r>
          </w:p>
        </w:tc>
        <w:tc>
          <w:tcPr>
            <w:tcW w:w="1306" w:type="dxa"/>
          </w:tcPr>
          <w:p w14:paraId="69A3ADBB" w14:textId="77777777" w:rsidR="0013432D" w:rsidRPr="0013432D" w:rsidRDefault="0013432D" w:rsidP="0013432D">
            <w:r w:rsidRPr="0013432D">
              <w:t>0.64</w:t>
            </w:r>
          </w:p>
        </w:tc>
        <w:tc>
          <w:tcPr>
            <w:tcW w:w="1111" w:type="dxa"/>
          </w:tcPr>
          <w:p w14:paraId="474CBB65" w14:textId="77777777" w:rsidR="0013432D" w:rsidRPr="0013432D" w:rsidRDefault="0013432D" w:rsidP="0013432D">
            <w:r w:rsidRPr="0013432D">
              <w:t>0.45</w:t>
            </w:r>
          </w:p>
        </w:tc>
        <w:tc>
          <w:tcPr>
            <w:tcW w:w="1438" w:type="dxa"/>
          </w:tcPr>
          <w:p w14:paraId="65BDF113" w14:textId="77777777" w:rsidR="0013432D" w:rsidRPr="0013432D" w:rsidRDefault="0013432D" w:rsidP="0013432D">
            <w:r w:rsidRPr="0013432D">
              <w:t>0.36</w:t>
            </w:r>
          </w:p>
        </w:tc>
        <w:tc>
          <w:tcPr>
            <w:tcW w:w="1394" w:type="dxa"/>
          </w:tcPr>
          <w:p w14:paraId="42D64882" w14:textId="1BB1284E" w:rsidR="0013432D" w:rsidRPr="0013432D" w:rsidRDefault="0013432D" w:rsidP="0013432D">
            <w:r w:rsidRPr="0013432D">
              <w:t>0.</w:t>
            </w:r>
            <w:r w:rsidR="00D9231D">
              <w:t>39</w:t>
            </w:r>
          </w:p>
        </w:tc>
        <w:tc>
          <w:tcPr>
            <w:tcW w:w="1435" w:type="dxa"/>
          </w:tcPr>
          <w:p w14:paraId="31A87E91" w14:textId="77777777" w:rsidR="0013432D" w:rsidRPr="0013432D" w:rsidRDefault="0013432D" w:rsidP="0013432D">
            <w:r w:rsidRPr="0013432D">
              <w:t>0.5</w:t>
            </w:r>
          </w:p>
        </w:tc>
        <w:tc>
          <w:tcPr>
            <w:tcW w:w="1279" w:type="dxa"/>
          </w:tcPr>
          <w:p w14:paraId="280C4443" w14:textId="77777777" w:rsidR="0013432D" w:rsidRPr="0013432D" w:rsidRDefault="0013432D" w:rsidP="0013432D">
            <w:r w:rsidRPr="0013432D">
              <w:t>-</w:t>
            </w:r>
          </w:p>
        </w:tc>
      </w:tr>
      <w:tr w:rsidR="00083336" w:rsidRPr="0013432D" w14:paraId="2290ADEF" w14:textId="77777777" w:rsidTr="0013432D">
        <w:tc>
          <w:tcPr>
            <w:tcW w:w="1387" w:type="dxa"/>
          </w:tcPr>
          <w:p w14:paraId="132638FE" w14:textId="77777777" w:rsidR="0013432D" w:rsidRPr="0013432D" w:rsidRDefault="0013432D" w:rsidP="0013432D">
            <w:r w:rsidRPr="0013432D">
              <w:t>LaFeO</w:t>
            </w:r>
            <w:r w:rsidRPr="0013432D">
              <w:rPr>
                <w:vertAlign w:val="subscript"/>
              </w:rPr>
              <w:t>3</w:t>
            </w:r>
          </w:p>
        </w:tc>
        <w:tc>
          <w:tcPr>
            <w:tcW w:w="1306" w:type="dxa"/>
          </w:tcPr>
          <w:p w14:paraId="3C6513F5" w14:textId="77777777" w:rsidR="0013432D" w:rsidRPr="0013432D" w:rsidRDefault="0013432D" w:rsidP="0013432D">
            <w:r w:rsidRPr="0013432D">
              <w:t>0.76</w:t>
            </w:r>
          </w:p>
        </w:tc>
        <w:tc>
          <w:tcPr>
            <w:tcW w:w="1111" w:type="dxa"/>
          </w:tcPr>
          <w:p w14:paraId="0CBB73E0" w14:textId="77777777" w:rsidR="0013432D" w:rsidRPr="0013432D" w:rsidRDefault="0013432D" w:rsidP="0013432D">
            <w:r w:rsidRPr="0013432D">
              <w:t>0.51</w:t>
            </w:r>
          </w:p>
        </w:tc>
        <w:tc>
          <w:tcPr>
            <w:tcW w:w="1438" w:type="dxa"/>
          </w:tcPr>
          <w:p w14:paraId="0E591200" w14:textId="77777777" w:rsidR="0013432D" w:rsidRPr="0013432D" w:rsidRDefault="0013432D" w:rsidP="0013432D">
            <w:r w:rsidRPr="0013432D">
              <w:t>0.4</w:t>
            </w:r>
          </w:p>
        </w:tc>
        <w:tc>
          <w:tcPr>
            <w:tcW w:w="1394" w:type="dxa"/>
          </w:tcPr>
          <w:p w14:paraId="0A143144" w14:textId="76640270" w:rsidR="0013432D" w:rsidRPr="0013432D" w:rsidRDefault="0013432D" w:rsidP="0013432D">
            <w:r w:rsidRPr="0013432D">
              <w:t>0.4</w:t>
            </w:r>
          </w:p>
        </w:tc>
        <w:tc>
          <w:tcPr>
            <w:tcW w:w="1435" w:type="dxa"/>
          </w:tcPr>
          <w:p w14:paraId="43B2B813" w14:textId="19653E71" w:rsidR="0013432D" w:rsidRPr="0013432D" w:rsidRDefault="0013432D" w:rsidP="0013432D">
            <w:r w:rsidRPr="0013432D">
              <w:t>0.65</w:t>
            </w:r>
          </w:p>
        </w:tc>
        <w:tc>
          <w:tcPr>
            <w:tcW w:w="1279" w:type="dxa"/>
          </w:tcPr>
          <w:p w14:paraId="3A4C777C" w14:textId="77777777" w:rsidR="0013432D" w:rsidRPr="0013432D" w:rsidRDefault="0013432D" w:rsidP="0013432D">
            <w:r w:rsidRPr="0013432D">
              <w:t>0.51</w:t>
            </w:r>
          </w:p>
        </w:tc>
      </w:tr>
      <w:tr w:rsidR="00083336" w:rsidRPr="0013432D" w14:paraId="6AE37D23" w14:textId="77777777" w:rsidTr="0013432D">
        <w:tc>
          <w:tcPr>
            <w:tcW w:w="1387" w:type="dxa"/>
          </w:tcPr>
          <w:p w14:paraId="236D7428" w14:textId="77777777" w:rsidR="0013432D" w:rsidRPr="0013432D" w:rsidRDefault="0013432D" w:rsidP="0013432D">
            <w:r w:rsidRPr="0013432D">
              <w:t>LaMnO</w:t>
            </w:r>
            <w:r w:rsidRPr="0013432D">
              <w:rPr>
                <w:vertAlign w:val="subscript"/>
              </w:rPr>
              <w:t>3</w:t>
            </w:r>
          </w:p>
        </w:tc>
        <w:tc>
          <w:tcPr>
            <w:tcW w:w="1306" w:type="dxa"/>
          </w:tcPr>
          <w:p w14:paraId="390DDD33" w14:textId="77777777" w:rsidR="0013432D" w:rsidRPr="0013432D" w:rsidRDefault="0013432D" w:rsidP="0013432D">
            <w:r w:rsidRPr="0013432D">
              <w:t>1.26</w:t>
            </w:r>
          </w:p>
        </w:tc>
        <w:tc>
          <w:tcPr>
            <w:tcW w:w="1111" w:type="dxa"/>
          </w:tcPr>
          <w:p w14:paraId="63EBCFFB" w14:textId="77777777" w:rsidR="0013432D" w:rsidRPr="0013432D" w:rsidRDefault="0013432D" w:rsidP="0013432D">
            <w:r w:rsidRPr="0013432D">
              <w:t>0.68</w:t>
            </w:r>
          </w:p>
        </w:tc>
        <w:tc>
          <w:tcPr>
            <w:tcW w:w="1438" w:type="dxa"/>
          </w:tcPr>
          <w:p w14:paraId="6896C3F2" w14:textId="77777777" w:rsidR="0013432D" w:rsidRPr="0013432D" w:rsidRDefault="0013432D" w:rsidP="0013432D">
            <w:r w:rsidRPr="0013432D">
              <w:t>0.45</w:t>
            </w:r>
          </w:p>
        </w:tc>
        <w:tc>
          <w:tcPr>
            <w:tcW w:w="1394" w:type="dxa"/>
          </w:tcPr>
          <w:p w14:paraId="7AE80D1A" w14:textId="26A22E2B" w:rsidR="0013432D" w:rsidRPr="0013432D" w:rsidRDefault="0013432D" w:rsidP="0013432D">
            <w:r w:rsidRPr="0013432D">
              <w:t>0.5</w:t>
            </w:r>
            <w:r w:rsidR="00D9231D">
              <w:t>1</w:t>
            </w:r>
          </w:p>
        </w:tc>
        <w:tc>
          <w:tcPr>
            <w:tcW w:w="1435" w:type="dxa"/>
          </w:tcPr>
          <w:p w14:paraId="334B97C1" w14:textId="77777777" w:rsidR="0013432D" w:rsidRPr="0013432D" w:rsidRDefault="0013432D" w:rsidP="0013432D">
            <w:r w:rsidRPr="0013432D">
              <w:t>-</w:t>
            </w:r>
          </w:p>
        </w:tc>
        <w:tc>
          <w:tcPr>
            <w:tcW w:w="1279" w:type="dxa"/>
          </w:tcPr>
          <w:p w14:paraId="7609A3F2" w14:textId="77777777" w:rsidR="0013432D" w:rsidRPr="0013432D" w:rsidRDefault="0013432D" w:rsidP="0013432D">
            <w:r w:rsidRPr="0013432D">
              <w:t>-</w:t>
            </w:r>
          </w:p>
        </w:tc>
      </w:tr>
      <w:tr w:rsidR="00083336" w:rsidRPr="0013432D" w14:paraId="134B7EFE" w14:textId="77777777" w:rsidTr="0013432D">
        <w:tc>
          <w:tcPr>
            <w:tcW w:w="1387" w:type="dxa"/>
            <w:tcBorders>
              <w:bottom w:val="single" w:sz="4" w:space="0" w:color="auto"/>
            </w:tcBorders>
          </w:tcPr>
          <w:p w14:paraId="34449C14" w14:textId="77777777" w:rsidR="0013432D" w:rsidRPr="0013432D" w:rsidRDefault="0013432D" w:rsidP="0013432D">
            <w:r w:rsidRPr="0013432D">
              <w:t>LaCrO</w:t>
            </w:r>
            <w:r w:rsidRPr="0013432D">
              <w:rPr>
                <w:vertAlign w:val="subscript"/>
              </w:rPr>
              <w:t>3</w:t>
            </w:r>
          </w:p>
        </w:tc>
        <w:tc>
          <w:tcPr>
            <w:tcW w:w="1306" w:type="dxa"/>
            <w:tcBorders>
              <w:bottom w:val="single" w:sz="4" w:space="0" w:color="auto"/>
            </w:tcBorders>
          </w:tcPr>
          <w:p w14:paraId="4724888D" w14:textId="77777777" w:rsidR="0013432D" w:rsidRPr="0013432D" w:rsidRDefault="0013432D" w:rsidP="0013432D">
            <w:r w:rsidRPr="0013432D">
              <w:t>1.8</w:t>
            </w:r>
          </w:p>
        </w:tc>
        <w:tc>
          <w:tcPr>
            <w:tcW w:w="1111" w:type="dxa"/>
            <w:tcBorders>
              <w:bottom w:val="single" w:sz="4" w:space="0" w:color="auto"/>
            </w:tcBorders>
          </w:tcPr>
          <w:p w14:paraId="5F976888" w14:textId="77777777" w:rsidR="0013432D" w:rsidRPr="0013432D" w:rsidRDefault="0013432D" w:rsidP="0013432D">
            <w:r w:rsidRPr="0013432D">
              <w:t>-</w:t>
            </w:r>
          </w:p>
        </w:tc>
        <w:tc>
          <w:tcPr>
            <w:tcW w:w="1438" w:type="dxa"/>
            <w:tcBorders>
              <w:bottom w:val="single" w:sz="4" w:space="0" w:color="auto"/>
            </w:tcBorders>
          </w:tcPr>
          <w:p w14:paraId="4E92050B" w14:textId="77777777" w:rsidR="0013432D" w:rsidRPr="0013432D" w:rsidRDefault="0013432D" w:rsidP="0013432D">
            <w:r w:rsidRPr="0013432D">
              <w:t>~0.6</w:t>
            </w:r>
          </w:p>
        </w:tc>
        <w:tc>
          <w:tcPr>
            <w:tcW w:w="1394" w:type="dxa"/>
            <w:tcBorders>
              <w:bottom w:val="single" w:sz="4" w:space="0" w:color="auto"/>
            </w:tcBorders>
          </w:tcPr>
          <w:p w14:paraId="52D85674" w14:textId="77777777" w:rsidR="0013432D" w:rsidRPr="0013432D" w:rsidRDefault="0013432D" w:rsidP="0013432D">
            <w:r w:rsidRPr="0013432D">
              <w:t>-</w:t>
            </w:r>
          </w:p>
        </w:tc>
        <w:tc>
          <w:tcPr>
            <w:tcW w:w="1435" w:type="dxa"/>
            <w:tcBorders>
              <w:bottom w:val="single" w:sz="4" w:space="0" w:color="auto"/>
            </w:tcBorders>
          </w:tcPr>
          <w:p w14:paraId="507989B7" w14:textId="77777777" w:rsidR="0013432D" w:rsidRPr="0013432D" w:rsidRDefault="0013432D" w:rsidP="0013432D">
            <w:r w:rsidRPr="0013432D">
              <w:t>-</w:t>
            </w:r>
          </w:p>
        </w:tc>
        <w:tc>
          <w:tcPr>
            <w:tcW w:w="1279" w:type="dxa"/>
            <w:tcBorders>
              <w:bottom w:val="single" w:sz="4" w:space="0" w:color="auto"/>
            </w:tcBorders>
          </w:tcPr>
          <w:p w14:paraId="61A508B2" w14:textId="77777777" w:rsidR="0013432D" w:rsidRPr="0013432D" w:rsidRDefault="0013432D" w:rsidP="0013432D">
            <w:r w:rsidRPr="0013432D">
              <w:t>0.54</w:t>
            </w:r>
          </w:p>
        </w:tc>
      </w:tr>
    </w:tbl>
    <w:p w14:paraId="52538015" w14:textId="4498247B" w:rsidR="0013432D" w:rsidRPr="0013432D" w:rsidRDefault="0013432D" w:rsidP="0013432D">
      <w:r w:rsidRPr="0013432D">
        <w:t>Exp</w:t>
      </w:r>
      <w:r w:rsidRPr="0013432D">
        <w:fldChar w:fldCharType="begin"/>
      </w:r>
      <w:r w:rsidR="00FC5BEB">
        <w:instrText xml:space="preserve"> ADDIN EN.CITE &lt;EndNote&gt;&lt;Cite&gt;&lt;Author&gt;Man&lt;/Author&gt;&lt;Year&gt;2011&lt;/Year&gt;&lt;RecNum&gt;99&lt;/RecNum&gt;&lt;DisplayText&gt;&lt;style face="superscript"&gt;101&lt;/style&gt;&lt;/DisplayText&gt;&lt;record&gt;&lt;rec-number&gt;99&lt;/rec-number&gt;&lt;foreign-keys&gt;&lt;key app="EN" db-id="2xex0erf4eexr4e2dpbxpdd829xttesxxxdr" timestamp="1715075296"&gt;99&lt;/key&gt;&lt;/foreign-keys&gt;&lt;ref-type name="Journal Article"&gt;17&lt;/ref-type&gt;&lt;contributors&gt;&lt;authors&gt;&lt;author&gt;Man, Isabela C.&lt;/author&gt;&lt;author&gt;Su, Hai-Yan&lt;/author&gt;&lt;author&gt;Calle-Vallejo, Federico&lt;/author&gt;&lt;author&gt;Hansen, Heine A.&lt;/author&gt;&lt;author&gt;Martínez, José I.&lt;/author&gt;&lt;author&gt;Inoglu, Nilay G.&lt;/author&gt;&lt;author&gt;Kitchin, John&lt;/author&gt;&lt;author&gt;Jaramillo, Thomas F.&lt;/author&gt;&lt;author&gt;Nørskov, Jens K.&lt;/author&gt;&lt;author&gt;Rossmeisl, Jan&lt;/author&gt;&lt;/authors&gt;&lt;/contributors&gt;&lt;titles&gt;&lt;title&gt;Universality in Oxygen Evolution Electrocatalysis on Oxide Surfaces&lt;/title&gt;&lt;secondary-title&gt;ChemCatChem&lt;/secondary-title&gt;&lt;/titles&gt;&lt;pages&gt;1159-1165&lt;/pages&gt;&lt;volume&gt;3&lt;/volume&gt;&lt;number&gt;7&lt;/number&gt;&lt;dates&gt;&lt;year&gt;2011&lt;/year&gt;&lt;/dates&gt;&lt;isbn&gt;1867-3880&lt;/isbn&gt;&lt;urls&gt;&lt;related-urls&gt;&lt;url&gt;https://chemistry-europe.onlinelibrary.wiley.com/doi/abs/10.1002/cctc.201000397&lt;/url&gt;&lt;/related-urls&gt;&lt;/urls&gt;&lt;electronic-resource-num&gt;https://doi.org/10.1002/cctc.201000397&lt;/electronic-resource-num&gt;&lt;/record&gt;&lt;/Cite&gt;&lt;/EndNote&gt;</w:instrText>
      </w:r>
      <w:r w:rsidRPr="0013432D">
        <w:fldChar w:fldCharType="separate"/>
      </w:r>
      <w:r w:rsidR="00FC5BEB" w:rsidRPr="00FC5BEB">
        <w:rPr>
          <w:noProof/>
          <w:vertAlign w:val="superscript"/>
        </w:rPr>
        <w:t>101</w:t>
      </w:r>
      <w:r w:rsidRPr="0013432D">
        <w:fldChar w:fldCharType="end"/>
      </w:r>
      <w:r w:rsidRPr="0013432D">
        <w:t xml:space="preserve">: experimental data (as in </w:t>
      </w:r>
      <w:r w:rsidR="00A54921">
        <w:fldChar w:fldCharType="begin"/>
      </w:r>
      <w:r w:rsidR="00A54921">
        <w:instrText xml:space="preserve"> REF _Ref159515302 \h </w:instrText>
      </w:r>
      <w:r w:rsidR="00A54921">
        <w:fldChar w:fldCharType="separate"/>
      </w:r>
      <w:r w:rsidR="003255C0" w:rsidRPr="001A79BA">
        <w:rPr>
          <w:b/>
          <w:bCs/>
        </w:rPr>
        <w:t xml:space="preserve">Figure </w:t>
      </w:r>
      <w:r w:rsidR="003255C0">
        <w:rPr>
          <w:b/>
          <w:bCs/>
          <w:noProof/>
        </w:rPr>
        <w:t>16</w:t>
      </w:r>
      <w:r w:rsidR="00A54921">
        <w:fldChar w:fldCharType="end"/>
      </w:r>
      <w:r w:rsidRPr="00967BAD">
        <w:rPr>
          <w:b/>
          <w:bCs/>
        </w:rPr>
        <w:t>b</w:t>
      </w:r>
      <w:r w:rsidRPr="0013432D">
        <w:t xml:space="preserve">) as compiled in Reference </w:t>
      </w:r>
      <w:r w:rsidRPr="0013432D">
        <w:fldChar w:fldCharType="begin"/>
      </w:r>
      <w:r w:rsidR="00FC5BEB">
        <w:instrText xml:space="preserve"> ADDIN EN.CITE &lt;EndNote&gt;&lt;Cite&gt;&lt;Author&gt;Man&lt;/Author&gt;&lt;Year&gt;2011&lt;/Year&gt;&lt;RecNum&gt;99&lt;/RecNum&gt;&lt;DisplayText&gt;&lt;style face="superscript"&gt;101&lt;/style&gt;&lt;/DisplayText&gt;&lt;record&gt;&lt;rec-number&gt;99&lt;/rec-number&gt;&lt;foreign-keys&gt;&lt;key app="EN" db-id="2xex0erf4eexr4e2dpbxpdd829xttesxxxdr" timestamp="1715075296"&gt;99&lt;/key&gt;&lt;/foreign-keys&gt;&lt;ref-type name="Journal Article"&gt;17&lt;/ref-type&gt;&lt;contributors&gt;&lt;authors&gt;&lt;author&gt;Man, Isabela C.&lt;/author&gt;&lt;author&gt;Su, Hai-Yan&lt;/author&gt;&lt;author&gt;Calle-Vallejo, Federico&lt;/author&gt;&lt;author&gt;Hansen, Heine A.&lt;/author&gt;&lt;author&gt;Martínez, José I.&lt;/author&gt;&lt;author&gt;Inoglu, Nilay G.&lt;/author&gt;&lt;author&gt;Kitchin, John&lt;/author&gt;&lt;author&gt;Jaramillo, Thomas F.&lt;/author&gt;&lt;author&gt;Nørskov, Jens K.&lt;/author&gt;&lt;author&gt;Rossmeisl, Jan&lt;/author&gt;&lt;/authors&gt;&lt;/contributors&gt;&lt;titles&gt;&lt;title&gt;Universality in Oxygen Evolution Electrocatalysis on Oxide Surfaces&lt;/title&gt;&lt;secondary-title&gt;ChemCatChem&lt;/secondary-title&gt;&lt;/titles&gt;&lt;pages&gt;1159-1165&lt;/pages&gt;&lt;volume&gt;3&lt;/volume&gt;&lt;number&gt;7&lt;/number&gt;&lt;dates&gt;&lt;year&gt;2011&lt;/year&gt;&lt;/dates&gt;&lt;isbn&gt;1867-3880&lt;/isbn&gt;&lt;urls&gt;&lt;related-urls&gt;&lt;url&gt;https://chemistry-europe.onlinelibrary.wiley.com/doi/abs/10.1002/cctc.201000397&lt;/url&gt;&lt;/related-urls&gt;&lt;/urls&gt;&lt;electronic-resource-num&gt;https://doi.org/10.1002/cctc.201000397&lt;/electronic-resource-num&gt;&lt;/record&gt;&lt;/Cite&gt;&lt;/EndNote&gt;</w:instrText>
      </w:r>
      <w:r w:rsidRPr="0013432D">
        <w:fldChar w:fldCharType="separate"/>
      </w:r>
      <w:r w:rsidR="00FC5BEB" w:rsidRPr="00FC5BEB">
        <w:rPr>
          <w:noProof/>
          <w:vertAlign w:val="superscript"/>
        </w:rPr>
        <w:t>101</w:t>
      </w:r>
      <w:r w:rsidRPr="0013432D">
        <w:fldChar w:fldCharType="end"/>
      </w:r>
    </w:p>
    <w:p w14:paraId="68658D1A" w14:textId="23CA5B32" w:rsidR="0013432D" w:rsidRPr="0013432D" w:rsidRDefault="0013432D" w:rsidP="0013432D">
      <w:r w:rsidRPr="0013432D">
        <w:t>Suntivich</w:t>
      </w:r>
      <w:r w:rsidRPr="0013432D">
        <w:fldChar w:fldCharType="begin"/>
      </w:r>
      <w:r w:rsidR="00FC5BEB">
        <w:instrText xml:space="preserve"> ADDIN EN.CITE &lt;EndNote&gt;&lt;Cite&gt;&lt;Author&gt;Suntivich&lt;/Author&gt;&lt;Year&gt;2011&lt;/Year&gt;&lt;RecNum&gt;290&lt;/RecNum&gt;&lt;DisplayText&gt;&lt;style face="superscript"&gt;292&lt;/style&gt;&lt;/DisplayText&gt;&lt;record&gt;&lt;rec-number&gt;290&lt;/rec-number&gt;&lt;foreign-keys&gt;&lt;key app="EN" db-id="2xex0erf4eexr4e2dpbxpdd829xttesxxxdr" timestamp="1715075296"&gt;290&lt;/key&gt;&lt;/foreign-keys&gt;&lt;ref-type name="Journal Article"&gt;17&lt;/ref-type&gt;&lt;contributors&gt;&lt;authors&gt;&lt;author&gt;Suntivich, Jin&lt;/author&gt;&lt;author&gt;May, Kevin J.&lt;/author&gt;&lt;author&gt;Gasteiger, Hubert A.&lt;/author&gt;&lt;author&gt;Goodenough, John B.&lt;/author&gt;&lt;author&gt;Shao-Horn, Yang&lt;/author&gt;&lt;/authors&gt;&lt;/contributors&gt;&lt;titles&gt;&lt;title&gt;A Perovskite Oxide Optimized for Oxygen Evolution Catalysis from Molecular Orbital Principles&lt;/title&gt;&lt;secondary-title&gt;Science&lt;/secondary-title&gt;&lt;/titles&gt;&lt;periodical&gt;&lt;full-title&gt;Science&lt;/full-title&gt;&lt;abbr-1&gt;Science&lt;/abbr-1&gt;&lt;abbr-2&gt;Science&lt;/abbr-2&gt;&lt;/periodical&gt;&lt;pages&gt;1383-1385&lt;/pages&gt;&lt;volume&gt;334&lt;/volume&gt;&lt;number&gt;6061&lt;/number&gt;&lt;dates&gt;&lt;year&gt;2011&lt;/year&gt;&lt;/dates&gt;&lt;urls&gt;&lt;related-urls&gt;&lt;url&gt;https://www.science.org/doi/abs/10.1126/science.1212858&lt;/url&gt;&lt;/related-urls&gt;&lt;/urls&gt;&lt;electronic-resource-num&gt;doi:10.1126/science.1212858&lt;/electronic-resource-num&gt;&lt;/record&gt;&lt;/Cite&gt;&lt;/EndNote&gt;</w:instrText>
      </w:r>
      <w:r w:rsidRPr="0013432D">
        <w:fldChar w:fldCharType="separate"/>
      </w:r>
      <w:r w:rsidR="00FC5BEB" w:rsidRPr="00FC5BEB">
        <w:rPr>
          <w:noProof/>
          <w:vertAlign w:val="superscript"/>
        </w:rPr>
        <w:t>292</w:t>
      </w:r>
      <w:r w:rsidRPr="0013432D">
        <w:fldChar w:fldCharType="end"/>
      </w:r>
      <w:r w:rsidRPr="0013432D">
        <w:t>: @0.1mA/cm</w:t>
      </w:r>
      <w:r w:rsidRPr="0013432D">
        <w:rPr>
          <w:vertAlign w:val="superscript"/>
        </w:rPr>
        <w:t>2</w:t>
      </w:r>
      <w:r w:rsidRPr="0013432D">
        <w:t xml:space="preserve"> oxide surface in 0.1M KOH</w:t>
      </w:r>
    </w:p>
    <w:p w14:paraId="1AE318BB" w14:textId="5A9A0ADE" w:rsidR="0013432D" w:rsidRPr="0013432D" w:rsidRDefault="0013432D" w:rsidP="0013432D">
      <w:r w:rsidRPr="0013432D">
        <w:t>Yamada</w:t>
      </w:r>
      <w:r w:rsidRPr="0013432D">
        <w:fldChar w:fldCharType="begin"/>
      </w:r>
      <w:r w:rsidR="00FC5BEB">
        <w:instrText xml:space="preserve"> ADDIN EN.CITE &lt;EndNote&gt;&lt;Cite&gt;&lt;Author&gt;Yamada&lt;/Author&gt;&lt;Year&gt;2018&lt;/Year&gt;&lt;RecNum&gt;302&lt;/RecNum&gt;&lt;DisplayText&gt;&lt;style face="superscript"&gt;304&lt;/style&gt;&lt;/DisplayText&gt;&lt;record&gt;&lt;rec-number&gt;302&lt;/rec-number&gt;&lt;foreign-keys&gt;&lt;key app="EN" db-id="2xex0erf4eexr4e2dpbxpdd829xttesxxxdr" timestamp="1715075296"&gt;302&lt;/key&gt;&lt;/foreign-keys&gt;&lt;ref-type name="Journal Article"&gt;17&lt;/ref-type&gt;&lt;contributors&gt;&lt;authors&gt;&lt;author&gt;Yamada, Ikuya&lt;/author&gt;&lt;author&gt;Takamatsu, Akihiko&lt;/author&gt;&lt;author&gt;Asai, Kaisei&lt;/author&gt;&lt;author&gt;Shirakawa, Takuto&lt;/author&gt;&lt;author&gt;Ohzuku, Hideo&lt;/author&gt;&lt;author&gt;Seno, Akihiro&lt;/author&gt;&lt;author&gt;Uchimura, Tasuku&lt;/author&gt;&lt;author&gt;Fujii, Hiroshi&lt;/author&gt;&lt;author&gt;Kawaguchi, Shogo&lt;/author&gt;&lt;author&gt;Wada, Kouhei&lt;/author&gt;&lt;author&gt;Ikeno, Hidekazu&lt;/author&gt;&lt;author&gt;Yagi, Shunsuke&lt;/author&gt;&lt;/authors&gt;&lt;/contributors&gt;&lt;titles&gt;&lt;title&gt;Systematic Study of Descriptors for Oxygen Evolution Reaction Catalysis in Perovskite Oxides&lt;/title&gt;&lt;secondary-title&gt;Journal of Physical Chemistry C&lt;/secondary-title&gt;&lt;/titles&gt;&lt;periodical&gt;&lt;full-title&gt;Journal of Physical Chemistry C&lt;/full-title&gt;&lt;abbr-1&gt;J. Phys. Chem. C&lt;/abbr-1&gt;&lt;/periodical&gt;&lt;pages&gt;27885-27892&lt;/pages&gt;&lt;volume&gt;122&lt;/volume&gt;&lt;number&gt;49&lt;/number&gt;&lt;dates&gt;&lt;year&gt;2018&lt;/year&gt;&lt;pub-dates&gt;&lt;date&gt;2018/12/13&lt;/date&gt;&lt;/pub-dates&gt;&lt;/dates&gt;&lt;publisher&gt;American Chemical Society&lt;/publisher&gt;&lt;isbn&gt;1932-7447&lt;/isbn&gt;&lt;urls&gt;&lt;related-urls&gt;&lt;url&gt;https://doi.org/10.1021/acs.jpcc.8b09287&lt;/url&gt;&lt;/related-urls&gt;&lt;/urls&gt;&lt;electronic-resource-num&gt;10.1021/acs.jpcc.8b09287&lt;/electronic-resource-num&gt;&lt;/record&gt;&lt;/Cite&gt;&lt;/EndNote&gt;</w:instrText>
      </w:r>
      <w:r w:rsidRPr="0013432D">
        <w:fldChar w:fldCharType="separate"/>
      </w:r>
      <w:r w:rsidR="00FC5BEB" w:rsidRPr="00FC5BEB">
        <w:rPr>
          <w:noProof/>
          <w:vertAlign w:val="superscript"/>
        </w:rPr>
        <w:t>304</w:t>
      </w:r>
      <w:r w:rsidRPr="0013432D">
        <w:fldChar w:fldCharType="end"/>
      </w:r>
      <w:r w:rsidRPr="0013432D">
        <w:t>: @0.05mA/cm</w:t>
      </w:r>
      <w:r w:rsidRPr="0013432D">
        <w:rPr>
          <w:vertAlign w:val="superscript"/>
        </w:rPr>
        <w:t>2</w:t>
      </w:r>
      <w:r w:rsidRPr="0013432D">
        <w:t xml:space="preserve"> oxide surface in 0.1M KOH</w:t>
      </w:r>
    </w:p>
    <w:p w14:paraId="15388232" w14:textId="6E7BDEFD" w:rsidR="0013432D" w:rsidRPr="0013432D" w:rsidRDefault="0013432D" w:rsidP="0013432D">
      <w:r w:rsidRPr="0013432D">
        <w:t>Matienzo</w:t>
      </w:r>
      <w:r w:rsidRPr="0013432D">
        <w:fldChar w:fldCharType="begin"/>
      </w:r>
      <w:r w:rsidR="00FC5BEB">
        <w:instrText xml:space="preserve"> ADDIN EN.CITE &lt;EndNote&gt;&lt;Cite&gt;&lt;Author&gt;Matienzo&lt;/Author&gt;&lt;Year&gt;2020&lt;/Year&gt;&lt;RecNum&gt;303&lt;/RecNum&gt;&lt;DisplayText&gt;&lt;style face="superscript"&gt;305&lt;/style&gt;&lt;/DisplayText&gt;&lt;record&gt;&lt;rec-number&gt;303&lt;/rec-number&gt;&lt;foreign-keys&gt;&lt;key app="EN" db-id="2xex0erf4eexr4e2dpbxpdd829xttesxxxdr" timestamp="1715075296"&gt;303&lt;/key&gt;&lt;/foreign-keys&gt;&lt;ref-type name="Journal Article"&gt;17&lt;/ref-type&gt;&lt;contributors&gt;&lt;authors&gt;&lt;author&gt;Matienzo, Dj Donn&lt;/author&gt;&lt;author&gt;Kutlusoy, Tugce&lt;/author&gt;&lt;author&gt;Divanis, Spiros&lt;/author&gt;&lt;author&gt;Bari, Chiara&lt;/author&gt;&lt;author&gt;Instuli, Emanuele&lt;/author&gt;&lt;/authors&gt;&lt;/contributors&gt;&lt;titles&gt;&lt;title&gt;Benchmarking Perovskite Electrocatalysts’ OER Activity as Candidate Materials for Industrial Alkaline Water Electrolysis&lt;/title&gt;&lt;secondary-title&gt;Catalysts&lt;/secondary-title&gt;&lt;/titles&gt;&lt;pages&gt;1387&lt;/pages&gt;&lt;volume&gt;10(12)&lt;/volume&gt;&lt;dates&gt;&lt;year&gt;2020&lt;/year&gt;&lt;pub-dates&gt;&lt;date&gt;11/28&lt;/date&gt;&lt;/pub-dates&gt;&lt;/dates&gt;&lt;urls&gt;&lt;/urls&gt;&lt;electronic-resource-num&gt;10.3390/catal10121387&lt;/electronic-resource-num&gt;&lt;/record&gt;&lt;/Cite&gt;&lt;/EndNote&gt;</w:instrText>
      </w:r>
      <w:r w:rsidRPr="0013432D">
        <w:fldChar w:fldCharType="separate"/>
      </w:r>
      <w:r w:rsidR="00FC5BEB" w:rsidRPr="00FC5BEB">
        <w:rPr>
          <w:noProof/>
          <w:vertAlign w:val="superscript"/>
        </w:rPr>
        <w:t>305</w:t>
      </w:r>
      <w:r w:rsidRPr="0013432D">
        <w:fldChar w:fldCharType="end"/>
      </w:r>
      <w:r w:rsidRPr="0013432D">
        <w:t>: @1mA/cm</w:t>
      </w:r>
      <w:r w:rsidRPr="0013432D">
        <w:rPr>
          <w:vertAlign w:val="superscript"/>
        </w:rPr>
        <w:t>2</w:t>
      </w:r>
      <w:r w:rsidRPr="0013432D">
        <w:t xml:space="preserve"> geometric surface in 0.1M KOH</w:t>
      </w:r>
    </w:p>
    <w:p w14:paraId="33E77DD9" w14:textId="143746A2" w:rsidR="0013432D" w:rsidRPr="0013432D" w:rsidRDefault="0013432D" w:rsidP="0013432D">
      <w:r w:rsidRPr="0013432D">
        <w:lastRenderedPageBreak/>
        <w:t>Gao</w:t>
      </w:r>
      <w:r w:rsidRPr="0013432D">
        <w:fldChar w:fldCharType="begin"/>
      </w:r>
      <w:r w:rsidR="00FC5BEB">
        <w:instrText xml:space="preserve"> ADDIN EN.CITE &lt;EndNote&gt;&lt;Cite&gt;&lt;Author&gt;Gao&lt;/Author&gt;&lt;Year&gt;2020&lt;/Year&gt;&lt;RecNum&gt;304&lt;/RecNum&gt;&lt;DisplayText&gt;&lt;style face="superscript"&gt;306&lt;/style&gt;&lt;/DisplayText&gt;&lt;record&gt;&lt;rec-number&gt;304&lt;/rec-number&gt;&lt;foreign-keys&gt;&lt;key app="EN" db-id="2xex0erf4eexr4e2dpbxpdd829xttesxxxdr" timestamp="1715075296"&gt;304&lt;/key&gt;&lt;/foreign-keys&gt;&lt;ref-type name="Journal Article"&gt;17&lt;/ref-type&gt;&lt;contributors&gt;&lt;authors&gt;&lt;author&gt;Gao, Xiaoping&lt;/author&gt;&lt;author&gt;Sun, Zhimin&lt;/author&gt;&lt;author&gt;Ran, Jiaqi&lt;/author&gt;&lt;author&gt;Li, Jufu&lt;/author&gt;&lt;author&gt;Zhang, Jingyan&lt;/author&gt;&lt;author&gt;Gao, Daqiang&lt;/author&gt;&lt;/authors&gt;&lt;/contributors&gt;&lt;titles&gt;&lt;title&gt;High efficiency electrocatalyst of LaCr0.5Fe0.5O3 nanoparticles on oxygen-evolution reaction&lt;/title&gt;&lt;secondary-title&gt;Sci. Rep.&lt;/secondary-title&gt;&lt;/titles&gt;&lt;periodical&gt;&lt;full-title&gt;Sci. Rep.&lt;/full-title&gt;&lt;/periodical&gt;&lt;pages&gt;13395&lt;/pages&gt;&lt;volume&gt;10&lt;/volume&gt;&lt;number&gt;1&lt;/number&gt;&lt;dates&gt;&lt;year&gt;2020&lt;/year&gt;&lt;pub-dates&gt;&lt;date&gt;2020/08/07&lt;/date&gt;&lt;/pub-dates&gt;&lt;/dates&gt;&lt;isbn&gt;2045-2322&lt;/isbn&gt;&lt;urls&gt;&lt;related-urls&gt;&lt;url&gt;https://doi.org/10.1038/s41598-020-70283-9&lt;/url&gt;&lt;/related-urls&gt;&lt;/urls&gt;&lt;electronic-resource-num&gt;10.1038/s41598-020-70283-9&lt;/electronic-resource-num&gt;&lt;/record&gt;&lt;/Cite&gt;&lt;/EndNote&gt;</w:instrText>
      </w:r>
      <w:r w:rsidRPr="0013432D">
        <w:fldChar w:fldCharType="separate"/>
      </w:r>
      <w:r w:rsidR="00FC5BEB" w:rsidRPr="00FC5BEB">
        <w:rPr>
          <w:noProof/>
          <w:vertAlign w:val="superscript"/>
        </w:rPr>
        <w:t>306</w:t>
      </w:r>
      <w:r w:rsidRPr="0013432D">
        <w:fldChar w:fldCharType="end"/>
      </w:r>
      <w:r w:rsidRPr="0013432D">
        <w:t>: @10mA/cm</w:t>
      </w:r>
      <w:r w:rsidRPr="0013432D">
        <w:rPr>
          <w:vertAlign w:val="superscript"/>
        </w:rPr>
        <w:t>2</w:t>
      </w:r>
      <w:r w:rsidRPr="0013432D">
        <w:t xml:space="preserve"> geometric surface in 1M KOH</w:t>
      </w:r>
    </w:p>
    <w:p w14:paraId="52D3C4D3" w14:textId="77777777" w:rsidR="0013432D" w:rsidRPr="0013432D" w:rsidRDefault="0013432D" w:rsidP="0013432D"/>
    <w:p w14:paraId="2132A813" w14:textId="72F08C30" w:rsidR="0013432D" w:rsidRPr="0013432D" w:rsidRDefault="0013432D" w:rsidP="00A54921">
      <w:pPr>
        <w:ind w:firstLine="720"/>
      </w:pPr>
      <w:r w:rsidRPr="0013432D">
        <w:t xml:space="preserve">Also, in </w:t>
      </w:r>
      <w:r w:rsidR="00A54921">
        <w:fldChar w:fldCharType="begin"/>
      </w:r>
      <w:r w:rsidR="00A54921">
        <w:instrText xml:space="preserve"> REF _Ref159516869 \h </w:instrText>
      </w:r>
      <w:r w:rsidR="00A54921">
        <w:fldChar w:fldCharType="separate"/>
      </w:r>
      <w:r w:rsidR="003255C0" w:rsidRPr="00F8072E">
        <w:rPr>
          <w:b/>
          <w:bCs/>
        </w:rPr>
        <w:t xml:space="preserve">Figure </w:t>
      </w:r>
      <w:r w:rsidR="003255C0">
        <w:rPr>
          <w:b/>
          <w:bCs/>
          <w:noProof/>
        </w:rPr>
        <w:t>19</w:t>
      </w:r>
      <w:r w:rsidR="00A54921">
        <w:fldChar w:fldCharType="end"/>
      </w:r>
      <w:r w:rsidRPr="00967BAD">
        <w:rPr>
          <w:b/>
          <w:bCs/>
        </w:rPr>
        <w:t>b</w:t>
      </w:r>
      <w:r w:rsidRPr="0013432D">
        <w:t xml:space="preserve"> we see a comparison to experiments. Here, roughly 600 mV theoretical overpotential induces 2 decades of current density change. When assuming this to be factually correct, it is equivalent </w:t>
      </w:r>
      <w:r w:rsidR="00B315C5">
        <w:t>to</w:t>
      </w:r>
      <w:r w:rsidRPr="0013432D">
        <w:t xml:space="preserve"> a 300 mV/dec slope. In a thought experiment to match the activity of these samples we would find a Tafel slope of 300 mV/dec. Remember, active OER electrocatalysts have a Tafel slope of 30-50 mV/dec and when the 1</w:t>
      </w:r>
      <w:r w:rsidRPr="0013432D">
        <w:rPr>
          <w:vertAlign w:val="superscript"/>
        </w:rPr>
        <w:t>st</w:t>
      </w:r>
      <w:r w:rsidRPr="0013432D">
        <w:t xml:space="preserve"> electron transfer step turns to potential limiting, the theoretical Tafel slope should increase to 118 mV/dec, the maximum theoretically possible Tafel slope with a (typically assumed) transfer coefficient of 0.5. Therefore, this comparison also strongly suggests that the CHE overestimates the thermodynamic overpotential.</w:t>
      </w:r>
    </w:p>
    <w:p w14:paraId="2F669714" w14:textId="77777777" w:rsidR="0013432D" w:rsidRPr="0013432D" w:rsidRDefault="0013432D" w:rsidP="0013432D"/>
    <w:p w14:paraId="0DBE9A42" w14:textId="49ED206A" w:rsidR="0013432D" w:rsidRPr="0013432D" w:rsidRDefault="0013432D" w:rsidP="00A54921">
      <w:pPr>
        <w:ind w:firstLine="720"/>
      </w:pPr>
      <w:r w:rsidRPr="0013432D">
        <w:t xml:space="preserve">One possible explanation to account for this inconsistency between theory and experiment is the often-assumed single site mechanism based on the adsorbate evolution mechanism (AEM), or nucleophilic attack mechanisms, </w:t>
      </w:r>
      <w:r w:rsidRPr="004B35B6">
        <w:rPr>
          <w:szCs w:val="22"/>
        </w:rPr>
        <w:t xml:space="preserve">considered in </w:t>
      </w:r>
      <w:r w:rsidR="00A54921" w:rsidRPr="004B35B6">
        <w:rPr>
          <w:szCs w:val="22"/>
        </w:rPr>
        <w:fldChar w:fldCharType="begin"/>
      </w:r>
      <w:r w:rsidR="00A54921" w:rsidRPr="004B35B6">
        <w:rPr>
          <w:szCs w:val="22"/>
        </w:rPr>
        <w:instrText xml:space="preserve"> REF _Ref159510668 \h </w:instrText>
      </w:r>
      <w:r w:rsidR="004B35B6">
        <w:rPr>
          <w:szCs w:val="22"/>
        </w:rPr>
        <w:instrText xml:space="preserve"> \* MERGEFORMAT </w:instrText>
      </w:r>
      <w:r w:rsidR="00A54921" w:rsidRPr="004B35B6">
        <w:rPr>
          <w:szCs w:val="22"/>
        </w:rPr>
      </w:r>
      <w:r w:rsidR="00A54921" w:rsidRPr="004B35B6">
        <w:rPr>
          <w:szCs w:val="22"/>
        </w:rPr>
        <w:fldChar w:fldCharType="separate"/>
      </w:r>
      <w:r w:rsidR="003255C0" w:rsidRPr="00245F0C">
        <w:rPr>
          <w:szCs w:val="22"/>
        </w:rPr>
        <w:t xml:space="preserve">Equation </w:t>
      </w:r>
      <w:r w:rsidR="003255C0" w:rsidRPr="00245F0C">
        <w:rPr>
          <w:noProof/>
          <w:szCs w:val="22"/>
        </w:rPr>
        <w:t>38</w:t>
      </w:r>
      <w:r w:rsidR="00A54921" w:rsidRPr="004B35B6">
        <w:rPr>
          <w:szCs w:val="22"/>
        </w:rPr>
        <w:fldChar w:fldCharType="end"/>
      </w:r>
      <w:r w:rsidR="00A54921">
        <w:t>-45</w:t>
      </w:r>
      <w:r w:rsidRPr="0013432D">
        <w:t xml:space="preserve">. As discussed above, </w:t>
      </w:r>
      <w:proofErr w:type="spellStart"/>
      <w:r w:rsidRPr="0013432D">
        <w:t>Halck</w:t>
      </w:r>
      <w:proofErr w:type="spellEnd"/>
      <w:r w:rsidRPr="0013432D">
        <w:t xml:space="preserve"> et al.</w:t>
      </w:r>
      <w:r w:rsidRPr="0013432D">
        <w:fldChar w:fldCharType="begin"/>
      </w:r>
      <w:r w:rsidR="00FC5BEB">
        <w:instrText xml:space="preserve"> ADDIN EN.CITE &lt;EndNote&gt;&lt;Cite&gt;&lt;Author&gt;Halck&lt;/Author&gt;&lt;Year&gt;2014&lt;/Year&gt;&lt;RecNum&gt;238&lt;/RecNum&gt;&lt;DisplayText&gt;&lt;style face="superscript"&gt;240&lt;/style&gt;&lt;/DisplayText&gt;&lt;record&gt;&lt;rec-number&gt;238&lt;/rec-number&gt;&lt;foreign-keys&gt;&lt;key app="EN" db-id="2xex0erf4eexr4e2dpbxpdd829xttesxxxdr" timestamp="1715075296"&gt;238&lt;/key&gt;&lt;/foreign-keys&gt;&lt;ref-type name="Journal Article"&gt;17&lt;/ref-type&gt;&lt;contributors&gt;&lt;authors&gt;&lt;author&gt;Halck, Niels Bendtsen&lt;/author&gt;&lt;author&gt;Petrykin, Valery&lt;/author&gt;&lt;author&gt;Krtil, Petr&lt;/author&gt;&lt;author&gt;Rossmeisl, Jan&lt;/author&gt;&lt;/authors&gt;&lt;/contributors&gt;&lt;titles&gt;&lt;title&gt;Beyond the volcano limitations in electrocatalysis – oxygen evolution reaction&lt;/title&gt;&lt;secondary-title&gt;Physical Chemistry Chemical Physics&lt;/secondary-title&gt;&lt;/titles&gt;&lt;periodical&gt;&lt;full-title&gt;Physical Chemistry Chemical Physics&lt;/full-title&gt;&lt;abbr-1&gt;Phys. Chem. Chem. Phys.&lt;/abbr-1&gt;&lt;abbr-2&gt;Phys Chem Chem Phys&lt;/abbr-2&gt;&lt;/periodical&gt;&lt;pages&gt;13682-13688&lt;/pages&gt;&lt;volume&gt;16&lt;/volume&gt;&lt;number&gt;27&lt;/number&gt;&lt;dates&gt;&lt;year&gt;2014&lt;/year&gt;&lt;/dates&gt;&lt;publisher&gt;The Royal Society of Chemistry&lt;/publisher&gt;&lt;isbn&gt;1463-9076&lt;/isbn&gt;&lt;work-type&gt;10.1039/C4CP00571F&lt;/work-type&gt;&lt;urls&gt;&lt;related-urls&gt;&lt;url&gt;http://dx.doi.org/10.1039/C4CP00571F&lt;/url&gt;&lt;/related-urls&gt;&lt;/urls&gt;&lt;electronic-resource-num&gt;10.1039/C4CP00571F&lt;/electronic-resource-num&gt;&lt;/record&gt;&lt;/Cite&gt;&lt;/EndNote&gt;</w:instrText>
      </w:r>
      <w:r w:rsidRPr="0013432D">
        <w:fldChar w:fldCharType="separate"/>
      </w:r>
      <w:r w:rsidR="00FC5BEB" w:rsidRPr="00FC5BEB">
        <w:rPr>
          <w:noProof/>
          <w:vertAlign w:val="superscript"/>
        </w:rPr>
        <w:t>240</w:t>
      </w:r>
      <w:r w:rsidRPr="0013432D">
        <w:fldChar w:fldCharType="end"/>
      </w:r>
      <w:r w:rsidRPr="0013432D">
        <w:t xml:space="preserve"> proposed that the bridging oxygen sites can assist some of the elementary steps of the OER in doped RuO</w:t>
      </w:r>
      <w:r w:rsidRPr="0013432D">
        <w:rPr>
          <w:vertAlign w:val="subscript"/>
        </w:rPr>
        <w:t>2</w:t>
      </w:r>
      <w:r w:rsidRPr="0013432D">
        <w:t xml:space="preserve"> by functioning as proton acceptor sites. As we will discuss later, bridging sites seems to be involved in some un-doped rutile materials, too, and when theory properly accounts for solvation effects, the bridging sites seem to play an important part of the reaction.</w:t>
      </w:r>
      <w:r w:rsidR="009F6662">
        <w:fldChar w:fldCharType="begin"/>
      </w:r>
      <w:r w:rsidR="009F6662">
        <w:instrText xml:space="preserve"> ADDIN EN.CITE &lt;EndNote&gt;&lt;Cite&gt;&lt;Author&gt;Nong&lt;/Author&gt;&lt;Year&gt;2020&lt;/Year&gt;&lt;RecNum&gt;63&lt;/RecNum&gt;&lt;DisplayText&gt;&lt;style face="superscript"&gt;63&lt;/style&gt;&lt;/DisplayText&gt;&lt;record&gt;&lt;rec-number&gt;63&lt;/rec-number&gt;&lt;foreign-keys&gt;&lt;key app="EN" db-id="2xex0erf4eexr4e2dpbxpdd829xttesxxxdr" timestamp="1715075296"&gt;63&lt;/key&gt;&lt;/foreign-keys&gt;&lt;ref-type name="Journal Article"&gt;17&lt;/ref-type&gt;&lt;contributors&gt;&lt;authors&gt;&lt;author&gt;Nong, Hong Nhan&lt;/author&gt;&lt;author&gt;Falling, Lorenz J.&lt;/author&gt;&lt;author&gt;Bergmann, Arno&lt;/author&gt;&lt;author&gt;Klingenhof, Malte&lt;/author&gt;&lt;author&gt;Tran, Hoang Phi&lt;/author&gt;&lt;author&gt;Spöri, Camillo&lt;/author&gt;&lt;author&gt;Mom, Rik&lt;/author&gt;&lt;author&gt;Timoshenko, Janis&lt;/author&gt;&lt;author&gt;Zichittella, Guido&lt;/author&gt;&lt;author&gt;Knop-Gericke, Axel&lt;/author&gt;&lt;author&gt;Piccinin, Simone&lt;/author&gt;&lt;author&gt;Pérez-Ramírez, Javier&lt;/author&gt;&lt;author&gt;Cuenya, Beatriz Roldan&lt;/author&gt;&lt;author&gt;Schlögl, Robert&lt;/author&gt;&lt;author&gt;Strasser, Peter&lt;/author&gt;&lt;author&gt;Teschner, Detre&lt;/author&gt;&lt;author&gt;Jones, Travis E.&lt;/author&gt;&lt;/authors&gt;&lt;/contributors&gt;&lt;titles&gt;&lt;title&gt;Key role of chemistry versus bias in electrocatalytic oxygen evolution&lt;/title&gt;&lt;secondary-title&gt;Nature&lt;/secondary-title&gt;&lt;/titles&gt;&lt;pages&gt;408-413&lt;/pages&gt;&lt;volume&gt;587&lt;/volume&gt;&lt;number&gt;7834&lt;/number&gt;&lt;dates&gt;&lt;year&gt;2020&lt;/year&gt;&lt;pub-dates&gt;&lt;date&gt;2020/11/01&lt;/date&gt;&lt;/pub-dates&gt;&lt;/dates&gt;&lt;isbn&gt;1476-4687&lt;/isbn&gt;&lt;urls&gt;&lt;related-urls&gt;&lt;url&gt;https://doi.org/10.1038/s41586-020-2908-2&lt;/url&gt;&lt;/related-urls&gt;&lt;/urls&gt;&lt;electronic-resource-num&gt;10.1038/s41586-020-2908-2&lt;/electronic-resource-num&gt;&lt;/record&gt;&lt;/Cite&gt;&lt;/EndNote&gt;</w:instrText>
      </w:r>
      <w:r w:rsidR="009F6662">
        <w:fldChar w:fldCharType="separate"/>
      </w:r>
      <w:r w:rsidR="009F6662" w:rsidRPr="009F6662">
        <w:rPr>
          <w:noProof/>
          <w:vertAlign w:val="superscript"/>
        </w:rPr>
        <w:t>63</w:t>
      </w:r>
      <w:r w:rsidR="009F6662">
        <w:fldChar w:fldCharType="end"/>
      </w:r>
      <w:r w:rsidRPr="0013432D">
        <w:t xml:space="preserve"> </w:t>
      </w:r>
    </w:p>
    <w:p w14:paraId="64308E19" w14:textId="77777777" w:rsidR="0013432D" w:rsidRPr="0013432D" w:rsidRDefault="0013432D" w:rsidP="0013432D"/>
    <w:p w14:paraId="35C830CC" w14:textId="6B146167" w:rsidR="0013432D" w:rsidRPr="0013432D" w:rsidRDefault="0013432D" w:rsidP="00A54921">
      <w:pPr>
        <w:ind w:firstLine="720"/>
      </w:pPr>
      <w:r w:rsidRPr="0013432D">
        <w:t>Another important aspect that hampers direct comparison of theory and experiment is the size and structure sensitivity of the OER. Whereas calculations are typically performed on a selected low energy surface, actual catalysts include a large range of surface orientations and site ensembles</w:t>
      </w:r>
      <w:r w:rsidRPr="0013432D">
        <w:fldChar w:fldCharType="begin">
          <w:fldData xml:space="preserve">PEVuZE5vdGU+PENpdGU+PEF1dGhvcj5TdG9lcnppbmdlcjwvQXV0aG9yPjxZZWFyPjIwMTc8L1ll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</w:fldData>
        </w:fldChar>
      </w:r>
      <w:r w:rsidR="00FC5BEB">
        <w:instrText xml:space="preserve"> ADDIN EN.CITE </w:instrText>
      </w:r>
      <w:r w:rsidR="00FC5BEB">
        <w:fldChar w:fldCharType="begin">
          <w:fldData xml:space="preserve">PEVuZE5vdGU+PENpdGU+PEF1dGhvcj5TdG9lcnppbmdlcjwvQXV0aG9yPjxZZWFyPjIwMTc8L1ll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</w:fldData>
        </w:fldChar>
      </w:r>
      <w:r w:rsidR="00FC5BEB">
        <w:instrText xml:space="preserve"> ADDIN EN.CITE.DATA </w:instrText>
      </w:r>
      <w:r w:rsidR="00FC5BEB">
        <w:fldChar w:fldCharType="end"/>
      </w:r>
      <w:r w:rsidRPr="0013432D">
        <w:fldChar w:fldCharType="separate"/>
      </w:r>
      <w:r w:rsidR="00FC5BEB" w:rsidRPr="00FC5BEB">
        <w:rPr>
          <w:noProof/>
          <w:vertAlign w:val="superscript"/>
        </w:rPr>
        <w:t>186, 195, 302</w:t>
      </w:r>
      <w:r w:rsidRPr="0013432D">
        <w:fldChar w:fldCharType="end"/>
      </w:r>
      <w:r w:rsidRPr="0013432D">
        <w:t>. Rao et al.</w:t>
      </w:r>
      <w:r w:rsidRPr="0013432D">
        <w:fldChar w:fldCharType="begin"/>
      </w:r>
      <w:r w:rsidR="00FC5BEB">
        <w:instrText xml:space="preserve"> ADDIN EN.CITE &lt;EndNote&gt;&lt;Cite&gt;&lt;Author&gt;Rao&lt;/Author&gt;&lt;Year&gt;2018&lt;/Year&gt;&lt;RecNum&gt;305&lt;/RecNum&gt;&lt;DisplayText&gt;&lt;style face="superscript"&gt;307&lt;/style&gt;&lt;/DisplayText&gt;&lt;record&gt;&lt;rec-number&gt;305&lt;/rec-number&gt;&lt;foreign-keys&gt;&lt;key app="EN" db-id="2xex0erf4eexr4e2dpbxpdd829xttesxxxdr" timestamp="1715075296"&gt;305&lt;/key&gt;&lt;/foreign-keys&gt;&lt;ref-type name="Journal Article"&gt;17&lt;/ref-type&gt;&lt;contributors&gt;&lt;authors&gt;&lt;author&gt;Rao, Reshma R.&lt;/author&gt;&lt;author&gt;Kolb, Manuel J.&lt;/author&gt;&lt;author&gt;Hwang, Jonathan&lt;/author&gt;&lt;author&gt;Pedersen, Anders Filsøe&lt;/author&gt;&lt;author&gt;Mehta, Apurva&lt;/author&gt;&lt;author&gt;You, Hoydoo&lt;/author&gt;&lt;author&gt;Stoerzinger, Kelsey A.&lt;/author&gt;&lt;author&gt;Feng, Zhenxing&lt;/author&gt;&lt;author&gt;Zhou, Hua&lt;/author&gt;&lt;author&gt;Bluhm, Hendrik&lt;/author&gt;&lt;author&gt;Giordano, Livia&lt;/author&gt;&lt;author&gt;Stephens, Ifan E. L.&lt;/author&gt;&lt;author&gt;Shao-Horn, Yang&lt;/author&gt;&lt;/authors&gt;&lt;/contributors&gt;&lt;titles&gt;&lt;title&gt;Surface Orientation Dependent Water Dissociation on Rutile Ruthenium Dioxide&lt;/title&gt;&lt;secondary-title&gt;Journal of Physical Chemistry C&lt;/secondary-title&gt;&lt;/titles&gt;&lt;periodical&gt;&lt;full-title&gt;Journal of Physical Chemistry C&lt;/full-title&gt;&lt;abbr-1&gt;J. Phys. Chem. C&lt;/abbr-1&gt;&lt;/periodical&gt;&lt;pages&gt;17802-17811&lt;/pages&gt;&lt;volume&gt;122&lt;/volume&gt;&lt;number&gt;31&lt;/number&gt;&lt;dates&gt;&lt;year&gt;2018&lt;/year&gt;&lt;pub-dates&gt;&lt;date&gt;2018/08/09&lt;/date&gt;&lt;/pub-dates&gt;&lt;/dates&gt;&lt;publisher&gt;American Chemical Society&lt;/publisher&gt;&lt;isbn&gt;1932-7447&lt;/isbn&gt;&lt;urls&gt;&lt;related-urls&gt;&lt;url&gt;https://doi.org/10.1021/acs.jpcc.8b04284&lt;/url&gt;&lt;/related-urls&gt;&lt;/urls&gt;&lt;electronic-resource-num&gt;10.1021/acs.jpcc.8b04284&lt;/electronic-resource-num&gt;&lt;/record&gt;&lt;/Cite&gt;&lt;/EndNote&gt;</w:instrText>
      </w:r>
      <w:r w:rsidRPr="0013432D">
        <w:fldChar w:fldCharType="separate"/>
      </w:r>
      <w:r w:rsidR="00FC5BEB" w:rsidRPr="00FC5BEB">
        <w:rPr>
          <w:noProof/>
          <w:vertAlign w:val="superscript"/>
        </w:rPr>
        <w:t>307</w:t>
      </w:r>
      <w:r w:rsidRPr="0013432D">
        <w:fldChar w:fldCharType="end"/>
      </w:r>
      <w:r w:rsidRPr="0013432D">
        <w:t xml:space="preserve"> has observed surface orientation dependent water dissociation on RuO</w:t>
      </w:r>
      <w:r w:rsidRPr="0013432D">
        <w:rPr>
          <w:vertAlign w:val="subscript"/>
        </w:rPr>
        <w:t>2</w:t>
      </w:r>
      <w:r w:rsidRPr="0013432D">
        <w:t>. By combining in situ characterization and DFT calculations, the authors find different surfaces exhibit unique binding energetics for H</w:t>
      </w:r>
      <w:r w:rsidRPr="0013432D">
        <w:rPr>
          <w:vertAlign w:val="subscript"/>
        </w:rPr>
        <w:t>2</w:t>
      </w:r>
      <w:r w:rsidRPr="0013432D">
        <w:t>O and OH intermediates and can allow for different degrees of hydrogen bonding between the adsorbates. The degree of water dissociation was sensitive to the surface crystallographic orientation, maximum for the (101) surface, and decreasing in the order of (110), (001) and (100) surfaces. Interestingly, later the same group has found a surface orientation dependent OER activity in acidic condition, in the order of (100) being the most active and decreasing for (101) and worse with (110).</w:t>
      </w:r>
      <w:r w:rsidR="00B104C4">
        <w:fldChar w:fldCharType="begin"/>
      </w:r>
      <w:r w:rsidR="00FC5BEB">
        <w:instrText xml:space="preserve"> ADDIN EN.CITE &lt;EndNote&gt;&lt;Cite&gt;&lt;Author&gt;Rao&lt;/Author&gt;&lt;Year&gt;2020&lt;/Year&gt;&lt;RecNum&gt;173&lt;/RecNum&gt;&lt;DisplayText&gt;&lt;style face="superscript"&gt;175&lt;/style&gt;&lt;/DisplayText&gt;&lt;record&gt;&lt;rec-number&gt;173&lt;/rec-number&gt;&lt;foreign-keys&gt;&lt;key app="EN" db-id="2xex0erf4eexr4e2dpbxpdd829xttesxxxdr" timestamp="1715075296"&gt;173&lt;/key&gt;&lt;/foreign-keys&gt;&lt;ref-type name="Journal Article"&gt;17&lt;/ref-type&gt;&lt;contributors&gt;&lt;authors&gt;&lt;author&gt;Rao, Reshma R.&lt;/author&gt;&lt;author&gt;Kolb, Manuel J.&lt;/author&gt;&lt;author&gt;Giordano, Livia&lt;/author&gt;&lt;author&gt;Pedersen, Anders Filsøe&lt;/author&gt;&lt;author&gt;Katayama, Yu&lt;/author&gt;&lt;author&gt;Hwang, Jonathan&lt;/author&gt;&lt;author&gt;Mehta, Apurva&lt;/author&gt;&lt;author&gt;You, Hoydoo&lt;/author&gt;&lt;author&gt;Lunger, Jaclyn R.&lt;/author&gt;&lt;author&gt;Zhou, Hua&lt;/author&gt;&lt;author&gt;Halck, Niels Bendtsen&lt;/author&gt;&lt;author&gt;Vegge, Tejs&lt;/author&gt;&lt;author&gt;Chorkendorff, Ib&lt;/author&gt;&lt;author&gt;Stephens, Ifan E. L.&lt;/author&gt;&lt;author&gt;Shao-Horn, Yang&lt;/author&gt;&lt;/authors&gt;&lt;/contributors&gt;&lt;titles&gt;&lt;title&gt;Operando identification of site-dependent water oxidation activity on ruthenium dioxide single-crystal surfaces&lt;/title&gt;&lt;secondary-title&gt;Nat. Catal.&lt;/secondary-title&gt;&lt;/titles&gt;&lt;periodical&gt;&lt;full-title&gt;Nat. Catal.&lt;/full-title&gt;&lt;abbr-1&gt;Nat. Catal.&lt;/abbr-1&gt;&lt;/periodical&gt;&lt;pages&gt;516-525&lt;/pages&gt;&lt;volume&gt;3&lt;/volume&gt;&lt;number&gt;6&lt;/number&gt;&lt;dates&gt;&lt;year&gt;2020&lt;/year&gt;&lt;pub-dates&gt;&lt;date&gt;2020/06/01&lt;/date&gt;&lt;/pub-dates&gt;&lt;/dates&gt;&lt;isbn&gt;2520-1158&lt;/isbn&gt;&lt;urls&gt;&lt;related-urls&gt;&lt;url&gt;https://doi.org/10.1038/s41929-020-0457-6&lt;/url&gt;&lt;/related-urls&gt;&lt;/urls&gt;&lt;electronic-resource-num&gt;10.1038/s41929-020-0457-6&lt;/electronic-resource-num&gt;&lt;/record&gt;&lt;/Cite&gt;&lt;/EndNote&gt;</w:instrText>
      </w:r>
      <w:r w:rsidR="00B104C4">
        <w:fldChar w:fldCharType="separate"/>
      </w:r>
      <w:r w:rsidR="00FC5BEB" w:rsidRPr="00FC5BEB">
        <w:rPr>
          <w:noProof/>
          <w:vertAlign w:val="superscript"/>
        </w:rPr>
        <w:t>175</w:t>
      </w:r>
      <w:r w:rsidR="00B104C4">
        <w:fldChar w:fldCharType="end"/>
      </w:r>
      <w:r w:rsidRPr="0013432D">
        <w:t xml:space="preserve"> In alkaline electrolyte, the ordering was (001), (100), (101), (111) and (110), the latter two being equally the least active surface orientations.</w:t>
      </w:r>
      <w:r w:rsidRPr="0013432D">
        <w:fldChar w:fldCharType="begin"/>
      </w:r>
      <w:r w:rsidR="00FC5BEB">
        <w:instrText xml:space="preserve"> ADDIN EN.CITE &lt;EndNote&gt;&lt;Cite&gt;&lt;Author&gt;Stoerzinger&lt;/Author&gt;&lt;Year&gt;2017&lt;/Year&gt;&lt;RecNum&gt;306&lt;/RecNum&gt;&lt;DisplayText&gt;&lt;style face="superscript"&gt;308&lt;/style&gt;&lt;/DisplayText&gt;&lt;record&gt;&lt;rec-number&gt;306&lt;/rec-number&gt;&lt;foreign-keys&gt;&lt;key app="EN" db-id="2xex0erf4eexr4e2dpbxpdd829xttesxxxdr" timestamp="1715075296"&gt;306&lt;/key&gt;&lt;/foreign-keys&gt;&lt;ref-type name="Journal Article"&gt;17&lt;/ref-type&gt;&lt;contributors&gt;&lt;authors&gt;&lt;author&gt;Stoerzinger, Kelsey A.&lt;/author&gt;&lt;author&gt;Rao, Reshma R.&lt;/author&gt;&lt;author&gt;Wang, Xiao Renshaw&lt;/author&gt;&lt;author&gt;Hong, Wesley T.&lt;/author&gt;&lt;author&gt;Rouleau, Christopher M.&lt;/author&gt;&lt;author&gt;Shao-Horn, Yang&lt;/author&gt;&lt;/authors&gt;&lt;/contributors&gt;&lt;titles&gt;&lt;title&gt;The Role of Ru Redox in pH-Dependent Oxygen Evolution on Rutile Ruthenium Dioxide Surfaces&lt;/title&gt;&lt;secondary-title&gt;Chem&lt;/secondary-title&gt;&lt;/titles&gt;&lt;pages&gt;668-675&lt;/pages&gt;&lt;volume&gt;2&lt;/volume&gt;&lt;number&gt;5&lt;/number&gt;&lt;keywords&gt;&lt;keyword&gt;OER&lt;/keyword&gt;&lt;keyword&gt;RuO2&lt;/keyword&gt;&lt;keyword&gt;electrocatalysis&lt;/keyword&gt;&lt;keyword&gt;orientation-dependent&lt;/keyword&gt;&lt;keyword&gt;oxygen evolution reaction&lt;/keyword&gt;&lt;keyword&gt;pH&lt;/keyword&gt;&lt;keyword&gt;ruthenium dioxide&lt;/keyword&gt;&lt;keyword&gt;super-Nernstian&lt;/keyword&gt;&lt;keyword&gt;thin film&lt;/keyword&gt;&lt;keyword&gt;water splitting&lt;/keyword&gt;&lt;/keywords&gt;&lt;dates&gt;&lt;year&gt;2017&lt;/year&gt;&lt;/dates&gt;&lt;publisher&gt;Elsevier Inc.&lt;/publisher&gt;&lt;urls&gt;&lt;/urls&gt;&lt;electronic-resource-num&gt;10.1016/j.chempr.2017.04.001&lt;/electronic-resource-num&gt;&lt;/record&gt;&lt;/Cite&gt;&lt;/EndNote&gt;</w:instrText>
      </w:r>
      <w:r w:rsidRPr="0013432D">
        <w:fldChar w:fldCharType="separate"/>
      </w:r>
      <w:r w:rsidR="00FC5BEB" w:rsidRPr="00FC5BEB">
        <w:rPr>
          <w:noProof/>
          <w:vertAlign w:val="superscript"/>
        </w:rPr>
        <w:t>308</w:t>
      </w:r>
      <w:r w:rsidRPr="0013432D">
        <w:fldChar w:fldCharType="end"/>
      </w:r>
      <w:r w:rsidRPr="0013432D">
        <w:t xml:space="preserve"> Hence, the trend of OER activity does not seem to follow the previously observed ordering in water dissociation. Also, the intrinsic OER activity has been reported to be particle size dependent. Interestingly, in acidic conditions for </w:t>
      </w:r>
      <w:r w:rsidRPr="0013432D">
        <w:rPr>
          <w:lang w:val="en-GB"/>
        </w:rPr>
        <w:t>Ru</w:t>
      </w:r>
      <w:r w:rsidRPr="0013432D">
        <w:rPr>
          <w:vertAlign w:val="subscript"/>
          <w:lang w:val="en-GB"/>
        </w:rPr>
        <w:t>0.8</w:t>
      </w:r>
      <w:r w:rsidRPr="0013432D">
        <w:rPr>
          <w:lang w:val="en-GB"/>
        </w:rPr>
        <w:t>Co</w:t>
      </w:r>
      <w:r w:rsidRPr="0013432D">
        <w:rPr>
          <w:vertAlign w:val="subscript"/>
          <w:lang w:val="en-GB"/>
        </w:rPr>
        <w:t>0.2</w:t>
      </w:r>
      <w:r w:rsidRPr="0013432D">
        <w:rPr>
          <w:lang w:val="en-GB"/>
        </w:rPr>
        <w:t>O</w:t>
      </w:r>
      <w:r w:rsidRPr="0013432D">
        <w:rPr>
          <w:vertAlign w:val="subscript"/>
          <w:lang w:val="en-GB"/>
        </w:rPr>
        <w:t>2-x</w:t>
      </w:r>
      <w:r w:rsidRPr="0013432D">
        <w:t xml:space="preserve"> and RuO</w:t>
      </w:r>
      <w:r w:rsidRPr="0013432D">
        <w:rPr>
          <w:vertAlign w:val="subscript"/>
        </w:rPr>
        <w:t>2</w:t>
      </w:r>
      <w:r w:rsidRPr="0013432D">
        <w:fldChar w:fldCharType="begin"/>
      </w:r>
      <w:r w:rsidR="00FC5BEB">
        <w:instrText xml:space="preserve"> ADDIN EN.CITE &lt;EndNote&gt;&lt;Cite&gt;&lt;Author&gt;Jirkovský&lt;/Author&gt;&lt;Year&gt;2006&lt;/Year&gt;&lt;RecNum&gt;259&lt;/RecNum&gt;&lt;DisplayText&gt;&lt;style face="superscript"&gt;261&lt;/style&gt;&lt;/DisplayText&gt;&lt;record&gt;&lt;rec-number&gt;259&lt;/rec-number&gt;&lt;foreign-keys&gt;&lt;key app="EN" db-id="2xex0erf4eexr4e2dpbxpdd829xttesxxxdr" timestamp="1715075296"&gt;259&lt;/key&gt;&lt;/foreign-keys&gt;&lt;ref-type name="Journal Article"&gt;17&lt;/ref-type&gt;&lt;contributors&gt;&lt;authors&gt;&lt;author&gt;Jirkovský, Jakub&lt;/author&gt;&lt;author&gt;Makarova, Marina&lt;/author&gt;&lt;author&gt;Krtil, Petr&lt;/author&gt;&lt;/authors&gt;&lt;/contributors&gt;&lt;titles&gt;&lt;title&gt;Particle size dependence of oxygen evolution reaction on nanocrystalline RuO2 and Ru0.8Co0.2O2-x&lt;/title&gt;&lt;secondary-title&gt;Electrochemistry Communications&lt;/secondary-title&gt;&lt;/titles&gt;&lt;periodical&gt;&lt;full-title&gt;Electrochemistry Communications&lt;/full-title&gt;&lt;abbr-1&gt;Electrochem. Commun.&lt;/abbr-1&gt;&lt;abbr-2&gt;Electrochem Commun&lt;/abbr-2&gt;&lt;/periodical&gt;&lt;pages&gt;1417-1422&lt;/pages&gt;&lt;volume&gt;8&lt;/volume&gt;&lt;number&gt;9&lt;/number&gt;&lt;keywords&gt;&lt;keyword&gt;Ruthenium dioxide&lt;/keyword&gt;&lt;keyword&gt;Electrocatalysis&lt;/keyword&gt;&lt;keyword&gt;Size dependence&lt;/keyword&gt;&lt;keyword&gt;DEMS&lt;/keyword&gt;&lt;/keywords&gt;&lt;dates&gt;&lt;year&gt;2006&lt;/year&gt;&lt;pub-dates&gt;&lt;date&gt;2006/09/01/&lt;/date&gt;&lt;/pub-dates&gt;&lt;/dates&gt;&lt;isbn&gt;1388-2481&lt;/isbn&gt;&lt;urls&gt;&lt;related-urls&gt;&lt;url&gt;https://www.sciencedirect.com/science/article/pii/S1388248106002621&lt;/url&gt;&lt;/related-urls&gt;&lt;/urls&gt;&lt;electronic-resource-num&gt;https://doi.org/10.1016/j.elecom.2006.06.027&lt;/electronic-resource-num&gt;&lt;/record&gt;&lt;/Cite&gt;&lt;/EndNote&gt;</w:instrText>
      </w:r>
      <w:r w:rsidRPr="0013432D">
        <w:fldChar w:fldCharType="separate"/>
      </w:r>
      <w:r w:rsidR="00FC5BEB" w:rsidRPr="00FC5BEB">
        <w:rPr>
          <w:noProof/>
          <w:vertAlign w:val="superscript"/>
        </w:rPr>
        <w:t>261</w:t>
      </w:r>
      <w:r w:rsidRPr="0013432D">
        <w:fldChar w:fldCharType="end"/>
      </w:r>
      <w:r w:rsidRPr="0013432D">
        <w:t xml:space="preserve"> opposite trends were found, or in alkaline for example with cobalt oxides</w:t>
      </w:r>
      <w:r w:rsidRPr="0013432D">
        <w:fldChar w:fldCharType="begin"/>
      </w:r>
      <w:r w:rsidR="00FC5BEB">
        <w:instrText xml:space="preserve"> ADDIN EN.CITE &lt;EndNote&gt;&lt;Cite&gt;&lt;Author&gt;Haase&lt;/Author&gt;&lt;Year&gt;2022&lt;/Year&gt;&lt;RecNum&gt;221&lt;/RecNum&gt;&lt;DisplayText&gt;&lt;style face="superscript"&gt;223&lt;/style&gt;&lt;/DisplayText&gt;&lt;record&gt;&lt;rec-number&gt;221&lt;/rec-number&gt;&lt;foreign-keys&gt;&lt;key app="EN" db-id="2xex0erf4eexr4e2dpbxpdd829xttesxxxdr" timestamp="1715075296"&gt;221&lt;/key&gt;&lt;/foreign-keys&gt;&lt;ref-type name="Journal Article"&gt;17&lt;/ref-type&gt;&lt;contributors&gt;&lt;authors&gt;&lt;author&gt;Haase, Felix T.&lt;/author&gt;&lt;author&gt;Bergmann, Arno&lt;/author&gt;&lt;author&gt;Jones, Travis E.&lt;/author&gt;&lt;author&gt;Timoshenko, Janis&lt;/author&gt;&lt;author&gt;Herzog, Antonia&lt;/author&gt;&lt;author&gt;Jeon, Hyo Sang&lt;/author&gt;&lt;author&gt;Rettenmaier, Clara&lt;/author&gt;&lt;author&gt;Cuenya, Beatriz Roldan&lt;/author&gt;&lt;/authors&gt;&lt;/contributors&gt;&lt;titles&gt;&lt;title&gt;Size effects and active state formation of cobalt oxide nanoparticles during the oxygen evolution reaction&lt;/title&gt;&lt;secondary-title&gt;Nat. Energy&lt;/secondary-title&gt;&lt;/titles&gt;&lt;periodical&gt;&lt;full-title&gt;Nat. Energy&lt;/full-title&gt;&lt;abbr-1&gt;Nat. Energy&lt;/abbr-1&gt;&lt;/periodical&gt;&lt;pages&gt;765-773&lt;/pages&gt;&lt;volume&gt;7&lt;/volume&gt;&lt;number&gt;8&lt;/number&gt;&lt;dates&gt;&lt;year&gt;2022&lt;/year&gt;&lt;pub-dates&gt;&lt;date&gt;2022/08/01&lt;/date&gt;&lt;/pub-dates&gt;&lt;/dates&gt;&lt;isbn&gt;2058-7546&lt;/isbn&gt;&lt;urls&gt;&lt;related-urls&gt;&lt;url&gt;https://doi.org/10.1038/s41560-022-01083-w&lt;/url&gt;&lt;/related-urls&gt;&lt;/urls&gt;&lt;electronic-resource-num&gt;10.1038/s41560-022-01083-w&lt;/electronic-resource-num&gt;&lt;/record&gt;&lt;/Cite&gt;&lt;/EndNote&gt;</w:instrText>
      </w:r>
      <w:r w:rsidRPr="0013432D">
        <w:fldChar w:fldCharType="separate"/>
      </w:r>
      <w:r w:rsidR="00FC5BEB" w:rsidRPr="00FC5BEB">
        <w:rPr>
          <w:noProof/>
          <w:vertAlign w:val="superscript"/>
        </w:rPr>
        <w:t>223</w:t>
      </w:r>
      <w:r w:rsidRPr="0013432D">
        <w:fldChar w:fldCharType="end"/>
      </w:r>
      <w:r w:rsidRPr="0013432D">
        <w:t xml:space="preserve"> smaller particles seem to be intrinsically more active. In these reports, the size dependence was not related to changes in the average surface orientation and other explanations were put forward, such as the influence on the re</w:t>
      </w:r>
      <w:r>
        <w:t>a</w:t>
      </w:r>
      <w:r w:rsidRPr="0013432D">
        <w:t>ction mechanism by Co substitution into rutile RuO</w:t>
      </w:r>
      <w:r w:rsidRPr="0013432D">
        <w:rPr>
          <w:vertAlign w:val="subscript"/>
        </w:rPr>
        <w:t>2</w:t>
      </w:r>
      <w:r w:rsidRPr="0013432D">
        <w:t xml:space="preserve"> or a stronger Co surface oxidation under OER with the concomitant enhanced formation of an </w:t>
      </w:r>
      <w:proofErr w:type="spellStart"/>
      <w:r w:rsidRPr="0013432D">
        <w:t>oxyl</w:t>
      </w:r>
      <w:proofErr w:type="spellEnd"/>
      <w:r w:rsidRPr="0013432D">
        <w:t xml:space="preserve"> intermediate with radical character.</w:t>
      </w:r>
    </w:p>
    <w:p w14:paraId="5C04C22C" w14:textId="77777777" w:rsidR="0013432D" w:rsidRPr="0013432D" w:rsidRDefault="0013432D" w:rsidP="0013432D"/>
    <w:p w14:paraId="3D99F770" w14:textId="0D3006C3" w:rsidR="0013432D" w:rsidRPr="0013432D" w:rsidRDefault="0013432D" w:rsidP="00A54921">
      <w:pPr>
        <w:ind w:firstLine="720"/>
      </w:pPr>
      <w:r w:rsidRPr="0013432D">
        <w:t>A major culprit of derailing structure-function correlations in general and particularly when comparing theory to experiments is the instability of materials under OER conditions, turning the as-prepared material into something else. This is often the case with perovskites but also transition metal oxides</w:t>
      </w:r>
      <w:r w:rsidRPr="0013432D">
        <w:fldChar w:fldCharType="begin">
          <w:fldData xml:space="preserve">PEVuZE5vdGU+PENpdGU+PEF1dGhvcj5CZXJnbWFubjwvQXV0aG9yPjxZZWFyPjIwMTU8L1llYXI+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</w:fldData>
        </w:fldChar>
      </w:r>
      <w:r w:rsidR="00FC5BEB">
        <w:instrText xml:space="preserve"> ADDIN EN.CITE </w:instrText>
      </w:r>
      <w:r w:rsidR="00FC5BEB">
        <w:fldChar w:fldCharType="begin">
          <w:fldData xml:space="preserve">PEVuZE5vdGU+PENpdGU+PEF1dGhvcj5CZXJnbWFubjwvQXV0aG9yPjxZZWFyPjIwMTU8L1llYXI+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</w:fldData>
        </w:fldChar>
      </w:r>
      <w:r w:rsidR="00FC5BEB">
        <w:instrText xml:space="preserve"> ADDIN EN.CITE.DATA </w:instrText>
      </w:r>
      <w:r w:rsidR="00FC5BEB">
        <w:fldChar w:fldCharType="end"/>
      </w:r>
      <w:r w:rsidRPr="0013432D">
        <w:fldChar w:fldCharType="separate"/>
      </w:r>
      <w:r w:rsidR="00FC5BEB" w:rsidRPr="00FC5BEB">
        <w:rPr>
          <w:noProof/>
          <w:vertAlign w:val="superscript"/>
        </w:rPr>
        <w:t>309, 310</w:t>
      </w:r>
      <w:r w:rsidRPr="0013432D">
        <w:fldChar w:fldCharType="end"/>
      </w:r>
      <w:r w:rsidRPr="0013432D">
        <w:t xml:space="preserve"> can form amorphous surface oxyhydroxides. Highly active complex perovskites such as </w:t>
      </w:r>
      <w:r w:rsidRPr="0013432D">
        <w:rPr>
          <w:lang w:val="en-GB"/>
        </w:rPr>
        <w:t>Ba</w:t>
      </w:r>
      <w:r w:rsidRPr="0013432D">
        <w:rPr>
          <w:vertAlign w:val="subscript"/>
          <w:lang w:val="en-GB"/>
        </w:rPr>
        <w:t>0.5</w:t>
      </w:r>
      <w:r w:rsidRPr="0013432D">
        <w:rPr>
          <w:lang w:val="en-GB"/>
        </w:rPr>
        <w:t>Sr</w:t>
      </w:r>
      <w:r w:rsidRPr="0013432D">
        <w:rPr>
          <w:vertAlign w:val="subscript"/>
          <w:lang w:val="en-GB"/>
        </w:rPr>
        <w:t>0.5</w:t>
      </w:r>
      <w:r w:rsidRPr="0013432D">
        <w:rPr>
          <w:lang w:val="en-GB"/>
        </w:rPr>
        <w:t>Co</w:t>
      </w:r>
      <w:r w:rsidRPr="0013432D">
        <w:rPr>
          <w:vertAlign w:val="subscript"/>
          <w:lang w:val="en-GB"/>
        </w:rPr>
        <w:t>0.4</w:t>
      </w:r>
      <w:r w:rsidRPr="0013432D">
        <w:rPr>
          <w:lang w:val="en-GB"/>
        </w:rPr>
        <w:t>Fe</w:t>
      </w:r>
      <w:r w:rsidRPr="0013432D">
        <w:rPr>
          <w:vertAlign w:val="subscript"/>
          <w:lang w:val="en-GB"/>
        </w:rPr>
        <w:t>0.6</w:t>
      </w:r>
      <w:r w:rsidRPr="0013432D">
        <w:rPr>
          <w:lang w:val="en-GB"/>
        </w:rPr>
        <w:t>O</w:t>
      </w:r>
      <w:r w:rsidRPr="0013432D">
        <w:rPr>
          <w:vertAlign w:val="subscript"/>
          <w:lang w:val="en-GB"/>
        </w:rPr>
        <w:t>3−δ</w:t>
      </w:r>
      <w:r w:rsidRPr="0013432D">
        <w:rPr>
          <w:lang w:val="en-GB"/>
        </w:rPr>
        <w:t xml:space="preserve"> , Ba</w:t>
      </w:r>
      <w:r w:rsidRPr="0013432D">
        <w:rPr>
          <w:vertAlign w:val="subscript"/>
          <w:lang w:val="en-GB"/>
        </w:rPr>
        <w:t>0.5</w:t>
      </w:r>
      <w:r w:rsidRPr="0013432D">
        <w:rPr>
          <w:lang w:val="en-GB"/>
        </w:rPr>
        <w:t>Sr</w:t>
      </w:r>
      <w:r w:rsidRPr="0013432D">
        <w:rPr>
          <w:vertAlign w:val="subscript"/>
          <w:lang w:val="en-GB"/>
        </w:rPr>
        <w:t>0.5</w:t>
      </w:r>
      <w:r w:rsidRPr="0013432D">
        <w:rPr>
          <w:lang w:val="en-GB"/>
        </w:rPr>
        <w:t>Co</w:t>
      </w:r>
      <w:r w:rsidRPr="0013432D">
        <w:rPr>
          <w:vertAlign w:val="subscript"/>
          <w:lang w:val="en-GB"/>
        </w:rPr>
        <w:t>0.8</w:t>
      </w:r>
      <w:r w:rsidRPr="0013432D">
        <w:rPr>
          <w:lang w:val="en-GB"/>
        </w:rPr>
        <w:t>Fe</w:t>
      </w:r>
      <w:r w:rsidRPr="0013432D">
        <w:rPr>
          <w:vertAlign w:val="subscript"/>
          <w:lang w:val="en-GB"/>
        </w:rPr>
        <w:t>0.2</w:t>
      </w:r>
      <w:r w:rsidRPr="0013432D">
        <w:rPr>
          <w:lang w:val="en-GB"/>
        </w:rPr>
        <w:t>O</w:t>
      </w:r>
      <w:r w:rsidRPr="0013432D">
        <w:rPr>
          <w:vertAlign w:val="subscript"/>
          <w:lang w:val="en-GB"/>
        </w:rPr>
        <w:t>3−δ</w:t>
      </w:r>
      <w:r w:rsidRPr="0013432D">
        <w:rPr>
          <w:lang w:val="en-GB"/>
        </w:rPr>
        <w:t xml:space="preserve"> and SrCo</w:t>
      </w:r>
      <w:r w:rsidRPr="0013432D">
        <w:rPr>
          <w:vertAlign w:val="subscript"/>
          <w:lang w:val="en-GB"/>
        </w:rPr>
        <w:t>0.8</w:t>
      </w:r>
      <w:r w:rsidRPr="0013432D">
        <w:rPr>
          <w:lang w:val="en-GB"/>
        </w:rPr>
        <w:t>Fe</w:t>
      </w:r>
      <w:r w:rsidRPr="0013432D">
        <w:rPr>
          <w:vertAlign w:val="subscript"/>
          <w:lang w:val="en-GB"/>
        </w:rPr>
        <w:t>0.2</w:t>
      </w:r>
      <w:r w:rsidRPr="0013432D">
        <w:rPr>
          <w:lang w:val="en-GB"/>
        </w:rPr>
        <w:t>O</w:t>
      </w:r>
      <w:r w:rsidRPr="0013432D">
        <w:rPr>
          <w:vertAlign w:val="subscript"/>
          <w:lang w:val="en-GB"/>
        </w:rPr>
        <w:t>3−δ</w:t>
      </w:r>
      <w:r w:rsidRPr="0013432D">
        <w:t xml:space="preserve"> undergo in OER selective leaching of A-site cations (Ba, Sr) and amorphization of the surface-near region.</w:t>
      </w:r>
      <w:r w:rsidRPr="0013432D">
        <w:fldChar w:fldCharType="begin">
          <w:fldData xml:space="preserve">PEVuZE5vdGU+PENpdGU+PEF1dGhvcj5NYXk8L0F1dGhvcj48WWVhcj4yMDEyPC9ZZWFyPjxSZWNO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</w:fldData>
        </w:fldChar>
      </w:r>
      <w:r w:rsidR="00FC5BEB">
        <w:instrText xml:space="preserve"> ADDIN EN.CITE </w:instrText>
      </w:r>
      <w:r w:rsidR="00FC5BEB">
        <w:fldChar w:fldCharType="begin">
          <w:fldData xml:space="preserve">PEVuZE5vdGU+PENpdGU+PEF1dGhvcj5NYXk8L0F1dGhvcj48WWVhcj4yMDEyPC9ZZWFyPjxSZWNO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</w:fldData>
        </w:fldChar>
      </w:r>
      <w:r w:rsidR="00FC5BEB">
        <w:instrText xml:space="preserve"> ADDIN EN.CITE.DATA </w:instrText>
      </w:r>
      <w:r w:rsidR="00FC5BEB">
        <w:fldChar w:fldCharType="end"/>
      </w:r>
      <w:r w:rsidRPr="0013432D">
        <w:fldChar w:fldCharType="separate"/>
      </w:r>
      <w:r w:rsidR="00FC5BEB" w:rsidRPr="00FC5BEB">
        <w:rPr>
          <w:noProof/>
          <w:vertAlign w:val="superscript"/>
        </w:rPr>
        <w:t>311-313</w:t>
      </w:r>
      <w:r w:rsidRPr="0013432D">
        <w:fldChar w:fldCharType="end"/>
      </w:r>
      <w:r w:rsidRPr="0013432D">
        <w:t xml:space="preserve"> Similar processes were found with La</w:t>
      </w:r>
      <w:r w:rsidRPr="0013432D">
        <w:rPr>
          <w:vertAlign w:val="subscript"/>
        </w:rPr>
        <w:t>1-x</w:t>
      </w:r>
      <w:r w:rsidRPr="0013432D">
        <w:t>Sr</w:t>
      </w:r>
      <w:r w:rsidRPr="0013432D">
        <w:rPr>
          <w:vertAlign w:val="subscript"/>
        </w:rPr>
        <w:t>x</w:t>
      </w:r>
      <w:r w:rsidRPr="0013432D">
        <w:t>CoO</w:t>
      </w:r>
      <w:r w:rsidRPr="0013432D">
        <w:rPr>
          <w:vertAlign w:val="subscript"/>
        </w:rPr>
        <w:t>3</w:t>
      </w:r>
      <w:r w:rsidRPr="0013432D">
        <w:t>, which after leaching formed cobalt oxyhydroxide on the surface and with incorporated active Fe species from the KOH electrolyte created a dynamically stable state promoting the OER.</w:t>
      </w:r>
      <w:r w:rsidRPr="0013432D">
        <w:fldChar w:fldCharType="begin"/>
      </w:r>
      <w:r w:rsidR="00FC5BEB">
        <w:instrText xml:space="preserve"> ADDIN EN.CITE &lt;EndNote&gt;&lt;Cite&gt;&lt;Author&gt;Lopes&lt;/Author&gt;&lt;Year&gt;2021&lt;/Year&gt;&lt;RecNum&gt;312&lt;/RecNum&gt;&lt;DisplayText&gt;&lt;style face="superscript"&gt;314&lt;/style&gt;&lt;/DisplayText&gt;&lt;record&gt;&lt;rec-number&gt;312&lt;/rec-number&gt;&lt;foreign-keys&gt;&lt;key app="EN" db-id="2xex0erf4eexr4e2dpbxpdd829xttesxxxdr" timestamp="1715075296"&gt;312&lt;/key&gt;&lt;/foreign-keys&gt;&lt;ref-type name="Journal Article"&gt;17&lt;/ref-type&gt;&lt;contributors&gt;&lt;authors&gt;&lt;author&gt;Lopes, Pietro P.&lt;/author&gt;&lt;author&gt;Chung, Dong Young&lt;/author&gt;&lt;author&gt;Rui, Xue&lt;/author&gt;&lt;author&gt;Zheng, Hong&lt;/author&gt;&lt;author&gt;He, Haiying&lt;/author&gt;&lt;author&gt;Farinazzo Bergamo Dias Martins, Pedro&lt;/author&gt;&lt;author&gt;Strmcnik, Dusan&lt;/author&gt;&lt;author&gt;Stamenkovic, Vojislav R.&lt;/author&gt;&lt;author&gt;Zapol, Peter&lt;/author&gt;&lt;author&gt;Mitchell, J. F.&lt;/author&gt;&lt;author&gt;Klie, Robert F.&lt;/author&gt;&lt;author&gt;Markovic, Nenad M.&lt;/author&gt;&lt;/authors&gt;&lt;/contributors&gt;&lt;titles&gt;&lt;title&gt;Dynamically Stable Active Sites from Surface Evolution of Perovskite Materials during the Oxygen Evolution Reaction&lt;/title&gt;&lt;secondary-title&gt;Journal of the American Chemical Society&lt;/secondary-title&gt;&lt;/titles&gt;&lt;periodical&gt;&lt;full-title&gt;Journal of the American Chemical Society&lt;/full-title&gt;&lt;abbr-1&gt;J. Am. Chem. Soc.&lt;/abbr-1&gt;&lt;abbr-2&gt;J Am Chem Soc&lt;/abbr-2&gt;&lt;/periodical&gt;&lt;pages&gt;2741-2750&lt;/pages&gt;&lt;volume&gt;143&lt;/volume&gt;&lt;number&gt;7&lt;/number&gt;&lt;dates&gt;&lt;year&gt;2021&lt;/year&gt;&lt;pub-dates&gt;&lt;date&gt;2021/02/24&lt;/date&gt;&lt;/pub-dates&gt;&lt;/dates&gt;&lt;publisher&gt;American Chemical Society&lt;/publisher&gt;&lt;isbn&gt;0002-7863&lt;/isbn&gt;&lt;urls&gt;&lt;related-urls&gt;&lt;url&gt;https://doi.org/10.1021/jacs.0c08959&lt;/url&gt;&lt;/related-urls&gt;&lt;/urls&gt;&lt;electronic-resource-num&gt;10.1021/jacs.0c08959&lt;/electronic-resource-num&gt;&lt;/record&gt;&lt;/Cite&gt;&lt;/EndNote&gt;</w:instrText>
      </w:r>
      <w:r w:rsidRPr="0013432D">
        <w:fldChar w:fldCharType="separate"/>
      </w:r>
      <w:r w:rsidR="00FC5BEB" w:rsidRPr="00FC5BEB">
        <w:rPr>
          <w:noProof/>
          <w:vertAlign w:val="superscript"/>
        </w:rPr>
        <w:t>314</w:t>
      </w:r>
      <w:r w:rsidRPr="0013432D">
        <w:fldChar w:fldCharType="end"/>
      </w:r>
      <w:r w:rsidRPr="0013432D">
        <w:t xml:space="preserve"> LaNiO</w:t>
      </w:r>
      <w:r w:rsidRPr="0013432D">
        <w:rPr>
          <w:vertAlign w:val="subscript"/>
        </w:rPr>
        <w:t>3</w:t>
      </w:r>
      <w:r w:rsidRPr="0013432D">
        <w:t>, though to a much lesser extent, also undergoes reconstruction and structural evolution of its surface.</w:t>
      </w:r>
      <w:r w:rsidRPr="0013432D">
        <w:fldChar w:fldCharType="begin">
          <w:fldData xml:space="preserve">PEVuZE5vdGU+PENpdGU+PEF1dGhvcj5MaXU8L0F1dGhvcj48WWVhcj4yMDIwPC9ZZWFyPjxSZWNO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=
</w:fldData>
        </w:fldChar>
      </w:r>
      <w:r w:rsidR="00FC5BEB">
        <w:instrText xml:space="preserve"> ADDIN EN.CITE </w:instrText>
      </w:r>
      <w:r w:rsidR="00FC5BEB">
        <w:fldChar w:fldCharType="begin">
          <w:fldData xml:space="preserve">PEVuZE5vdGU+PENpdGU+PEF1dGhvcj5MaXU8L0F1dGhvcj48WWVhcj4yMDIwPC9ZZWFyPjxSZWNO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=
</w:fldData>
        </w:fldChar>
      </w:r>
      <w:r w:rsidR="00FC5BEB">
        <w:instrText xml:space="preserve"> ADDIN EN.CITE.DATA </w:instrText>
      </w:r>
      <w:r w:rsidR="00FC5BEB">
        <w:fldChar w:fldCharType="end"/>
      </w:r>
      <w:r w:rsidRPr="0013432D">
        <w:fldChar w:fldCharType="separate"/>
      </w:r>
      <w:r w:rsidR="00FC5BEB" w:rsidRPr="00FC5BEB">
        <w:rPr>
          <w:noProof/>
          <w:vertAlign w:val="superscript"/>
        </w:rPr>
        <w:t>315, 316</w:t>
      </w:r>
      <w:r w:rsidRPr="0013432D">
        <w:fldChar w:fldCharType="end"/>
      </w:r>
      <w:r w:rsidRPr="0013432D">
        <w:t xml:space="preserve"> Other unsubstituted and less active perovskites, such as LaCoO</w:t>
      </w:r>
      <w:r w:rsidRPr="0013432D">
        <w:rPr>
          <w:vertAlign w:val="subscript"/>
        </w:rPr>
        <w:t>3</w:t>
      </w:r>
      <w:r w:rsidRPr="0013432D">
        <w:t xml:space="preserve"> and LaMnO</w:t>
      </w:r>
      <w:r w:rsidRPr="0013432D">
        <w:rPr>
          <w:vertAlign w:val="subscript"/>
        </w:rPr>
        <w:t>3</w:t>
      </w:r>
      <w:r w:rsidRPr="0013432D">
        <w:t xml:space="preserve"> did not undergo amorphization under OER in the time frame studied.</w:t>
      </w:r>
      <w:r w:rsidRPr="0013432D">
        <w:fldChar w:fldCharType="begin">
          <w:fldData xml:space="preserve">PEVuZE5vdGU+PENpdGU+PEF1dGhvcj5NYXk8L0F1dGhvcj48WWVhcj4yMDEyPC9ZZWFyPjxSZWNO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==
</w:fldData>
        </w:fldChar>
      </w:r>
      <w:r w:rsidR="00FC5BEB">
        <w:instrText xml:space="preserve"> ADDIN EN.CITE </w:instrText>
      </w:r>
      <w:r w:rsidR="00FC5BEB">
        <w:fldChar w:fldCharType="begin">
          <w:fldData xml:space="preserve">PEVuZE5vdGU+PENpdGU+PEF1dGhvcj5NYXk8L0F1dGhvcj48WWVhcj4yMDEyPC9ZZWFyPjxSZWNO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==
</w:fldData>
        </w:fldChar>
      </w:r>
      <w:r w:rsidR="00FC5BEB">
        <w:instrText xml:space="preserve"> ADDIN EN.CITE.DATA </w:instrText>
      </w:r>
      <w:r w:rsidR="00FC5BEB">
        <w:fldChar w:fldCharType="end"/>
      </w:r>
      <w:r w:rsidRPr="0013432D">
        <w:fldChar w:fldCharType="separate"/>
      </w:r>
      <w:r w:rsidR="00FC5BEB" w:rsidRPr="00FC5BEB">
        <w:rPr>
          <w:noProof/>
          <w:vertAlign w:val="superscript"/>
        </w:rPr>
        <w:t>311, 312</w:t>
      </w:r>
      <w:r w:rsidRPr="0013432D">
        <w:fldChar w:fldCharType="end"/>
      </w:r>
      <w:r w:rsidRPr="0013432D">
        <w:t xml:space="preserve"> As to LaCoO</w:t>
      </w:r>
      <w:r w:rsidRPr="0013432D">
        <w:rPr>
          <w:vertAlign w:val="subscript"/>
        </w:rPr>
        <w:t>3</w:t>
      </w:r>
      <w:r w:rsidRPr="0013432D">
        <w:t>, an intentional surface amorphization by a reductive post-synthesis treatment with urea, however, gave rise to improved OER performance.</w:t>
      </w:r>
      <w:r w:rsidRPr="0013432D">
        <w:fldChar w:fldCharType="begin"/>
      </w:r>
      <w:r w:rsidR="00FC5BEB">
        <w:instrText xml:space="preserve"> ADDIN EN.CITE &lt;EndNote&gt;&lt;Cite&gt;&lt;Author&gt;Li&lt;/Author&gt;&lt;Year&gt;2022&lt;/Year&gt;&lt;RecNum&gt;315&lt;/RecNum&gt;&lt;DisplayText&gt;&lt;style face="superscript"&gt;317&lt;/style&gt;&lt;/DisplayText&gt;&lt;record&gt;&lt;rec-number&gt;315&lt;/rec-number&gt;&lt;foreign-keys&gt;&lt;key app="EN" db-id="2xex0erf4eexr4e2dpbxpdd829xttesxxxdr" timestamp="1715075296"&gt;315&lt;/key&gt;&lt;/foreign-keys&gt;&lt;ref-type name="Journal Article"&gt;17&lt;/ref-type&gt;&lt;contributors&gt;&lt;authors&gt;&lt;author&gt;Li, Zhiwang&lt;/author&gt;&lt;author&gt;Xie, Yusheng&lt;/author&gt;&lt;author&gt;Huang, Zixun&lt;/author&gt;&lt;author&gt;Su, Yanyan&lt;/author&gt;&lt;author&gt;Sun, Chuanlong&lt;/author&gt;&lt;author&gt;Fu, Jianghong&lt;/author&gt;&lt;author&gt;Wei, Hehe&lt;/author&gt;&lt;author&gt;Wu, Fengchi&lt;/author&gt;&lt;author&gt;Ou, Gang&lt;/author&gt;&lt;/authors&gt;&lt;/contributors&gt;&lt;titles&gt;&lt;title&gt;Amorphization of LaCoO3 Perovskite Nanostructures for Efficient Oxygen Evolution&lt;/title&gt;&lt;secondary-title&gt;ACS Appl. Nano Mater.&lt;/secondary-title&gt;&lt;/titles&gt;&lt;periodical&gt;&lt;full-title&gt;ACS Appl. Nano Mater.&lt;/full-title&gt;&lt;/periodical&gt;&lt;pages&gt;14209-14215&lt;/pages&gt;&lt;volume&gt;5&lt;/volume&gt;&lt;number&gt;10&lt;/number&gt;&lt;dates&gt;&lt;year&gt;2022&lt;/year&gt;&lt;pub-dates&gt;&lt;date&gt;2022/10/28&lt;/date&gt;&lt;/pub-dates&gt;&lt;/dates&gt;&lt;publisher&gt;American Chemical Society&lt;/publisher&gt;&lt;urls&gt;&lt;related-urls&gt;&lt;url&gt;https://doi.org/10.1021/acsanm.2c02982&lt;/url&gt;&lt;/related-urls&gt;&lt;/urls&gt;&lt;electronic-resource-num&gt;10.1021/acsanm.2c02982&lt;/electronic-resource-num&gt;&lt;/record&gt;&lt;/Cite&gt;&lt;/EndNote&gt;</w:instrText>
      </w:r>
      <w:r w:rsidRPr="0013432D">
        <w:fldChar w:fldCharType="separate"/>
      </w:r>
      <w:r w:rsidR="00FC5BEB" w:rsidRPr="00FC5BEB">
        <w:rPr>
          <w:noProof/>
          <w:vertAlign w:val="superscript"/>
        </w:rPr>
        <w:t>317</w:t>
      </w:r>
      <w:r w:rsidRPr="0013432D">
        <w:fldChar w:fldCharType="end"/>
      </w:r>
      <w:r w:rsidRPr="0013432D">
        <w:t xml:space="preserve"> Various </w:t>
      </w:r>
      <w:proofErr w:type="spellStart"/>
      <w:r w:rsidRPr="0013432D">
        <w:t>ruthenates</w:t>
      </w:r>
      <w:proofErr w:type="spellEnd"/>
      <w:r w:rsidRPr="0013432D">
        <w:t xml:space="preserve"> (SrRuO</w:t>
      </w:r>
      <w:r w:rsidRPr="0013432D">
        <w:rPr>
          <w:vertAlign w:val="subscript"/>
        </w:rPr>
        <w:t>3</w:t>
      </w:r>
      <w:r w:rsidRPr="0013432D">
        <w:t>)</w:t>
      </w:r>
      <w:r w:rsidRPr="0013432D">
        <w:fldChar w:fldCharType="begin"/>
      </w:r>
      <w:r w:rsidR="00FC5BEB">
        <w:instrText xml:space="preserve"> ADDIN EN.CITE &lt;EndNote&gt;&lt;Cite&gt;&lt;Author&gt;Kim&lt;/Author&gt;&lt;Year&gt;2017&lt;/Year&gt;&lt;RecNum&gt;316&lt;/RecNum&gt;&lt;DisplayText&gt;&lt;style face="superscript"&gt;318&lt;/style&gt;&lt;/DisplayText&gt;&lt;record&gt;&lt;rec-number&gt;316&lt;/rec-number&gt;&lt;foreign-keys&gt;&lt;key app="EN" db-id="2xex0erf4eexr4e2dpbxpdd829xttesxxxdr" timestamp="1715075296"&gt;316&lt;/key&gt;&lt;/foreign-keys&gt;&lt;ref-type name="Journal Article"&gt;17&lt;/ref-type&gt;&lt;contributors&gt;&lt;authors&gt;&lt;author&gt;Kim, Bae-Jung&lt;/author&gt;&lt;author&gt;Abbott, Daniel F.&lt;/author&gt;&lt;author&gt;Cheng, Xi&lt;/author&gt;&lt;author&gt;Fabbri, Emiliana&lt;/author&gt;&lt;author&gt;Nachtegaal, Maarten&lt;/author&gt;&lt;author&gt;Bozza, Francesco&lt;/author&gt;&lt;author&gt;Castelli, Ivano E.&lt;/author&gt;&lt;author&gt;Lebedev, Dmitry&lt;/author&gt;&lt;author&gt;Schäublin, Robin&lt;/author&gt;&lt;author&gt;Copéret, Christophe&lt;/author&gt;&lt;author&gt;Graule, Thomas&lt;/author&gt;&lt;author&gt;Marzari, Nicola&lt;/author&gt;&lt;author&gt;Schmidt, Thomas J.&lt;/author&gt;&lt;/authors&gt;&lt;/contributors&gt;&lt;titles&gt;&lt;title&gt;Unraveling Thermodynamics, Stability, and Oxygen Evolution Activity of Strontium Ruthenium Perovskite Oxide&lt;/title&gt;&lt;secondary-title&gt;ACS Catal.&lt;/secondary-title&gt;&lt;/titles&gt;&lt;periodical&gt;&lt;full-title&gt;ACS Catal.&lt;/full-title&gt;&lt;/periodical&gt;&lt;pages&gt;3245-3256&lt;/pages&gt;&lt;volume&gt;7&lt;/volume&gt;&lt;number&gt;5&lt;/number&gt;&lt;dates&gt;&lt;year&gt;2017&lt;/year&gt;&lt;pub-dates&gt;&lt;date&gt;2017/05/05&lt;/date&gt;&lt;/pub-dates&gt;&lt;/dates&gt;&lt;publisher&gt;American Chemical Society&lt;/publisher&gt;&lt;urls&gt;&lt;related-urls&gt;&lt;url&gt;https://doi.org/10.1021/acscatal.6b03171&lt;/url&gt;&lt;/related-urls&gt;&lt;/urls&gt;&lt;electronic-resource-num&gt;10.1021/acscatal.6b03171&lt;/electronic-resource-num&gt;&lt;/record&gt;&lt;/Cite&gt;&lt;/EndNote&gt;</w:instrText>
      </w:r>
      <w:r w:rsidRPr="0013432D">
        <w:fldChar w:fldCharType="separate"/>
      </w:r>
      <w:r w:rsidR="00FC5BEB" w:rsidRPr="00FC5BEB">
        <w:rPr>
          <w:noProof/>
          <w:vertAlign w:val="superscript"/>
        </w:rPr>
        <w:t>318</w:t>
      </w:r>
      <w:r w:rsidRPr="0013432D">
        <w:fldChar w:fldCharType="end"/>
      </w:r>
      <w:r w:rsidRPr="0013432D">
        <w:t>, iridates (SrIrO</w:t>
      </w:r>
      <w:r w:rsidRPr="0013432D">
        <w:rPr>
          <w:vertAlign w:val="subscript"/>
        </w:rPr>
        <w:t>3</w:t>
      </w:r>
      <w:r w:rsidRPr="0013432D">
        <w:t>)</w:t>
      </w:r>
      <w:r w:rsidRPr="0013432D">
        <w:fldChar w:fldCharType="begin">
          <w:fldData xml:space="preserve">PEVuZE5vdGU+PENpdGU+PEF1dGhvcj5XYW48L0F1dGhvcj48WWVhcj4yMDIxPC9ZZWFyPjxSZWNO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</w:fldData>
        </w:fldChar>
      </w:r>
      <w:r w:rsidR="00FC5BEB">
        <w:instrText xml:space="preserve"> ADDIN EN.CITE </w:instrText>
      </w:r>
      <w:r w:rsidR="00FC5BEB">
        <w:fldChar w:fldCharType="begin">
          <w:fldData xml:space="preserve">PEVuZE5vdGU+PENpdGU+PEF1dGhvcj5XYW48L0F1dGhvcj48WWVhcj4yMDIxPC9ZZWFyPjxSZWNO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</w:fldData>
        </w:fldChar>
      </w:r>
      <w:r w:rsidR="00FC5BEB">
        <w:instrText xml:space="preserve"> ADDIN EN.CITE.DATA </w:instrText>
      </w:r>
      <w:r w:rsidR="00FC5BEB">
        <w:fldChar w:fldCharType="end"/>
      </w:r>
      <w:r w:rsidRPr="0013432D">
        <w:fldChar w:fldCharType="separate"/>
      </w:r>
      <w:r w:rsidR="00FC5BEB" w:rsidRPr="00FC5BEB">
        <w:rPr>
          <w:noProof/>
          <w:vertAlign w:val="superscript"/>
        </w:rPr>
        <w:t>269, 319</w:t>
      </w:r>
      <w:r w:rsidRPr="0013432D">
        <w:fldChar w:fldCharType="end"/>
      </w:r>
      <w:r w:rsidRPr="0013432D">
        <w:t xml:space="preserve"> and iridium-based double perovskites (Ba</w:t>
      </w:r>
      <w:r w:rsidRPr="0013432D">
        <w:rPr>
          <w:vertAlign w:val="subscript"/>
        </w:rPr>
        <w:t>2</w:t>
      </w:r>
      <w:r w:rsidRPr="0013432D">
        <w:t>PrIrO</w:t>
      </w:r>
      <w:r w:rsidRPr="0013432D">
        <w:rPr>
          <w:vertAlign w:val="subscript"/>
        </w:rPr>
        <w:t>6</w:t>
      </w:r>
      <w:r w:rsidRPr="0013432D">
        <w:t>)</w:t>
      </w:r>
      <w:r w:rsidRPr="0013432D">
        <w:fldChar w:fldCharType="begin">
          <w:fldData xml:space="preserve">PEVuZE5vdGU+PENpdGU+PEF1dGhvcj5EaWF6LU1vcmFsZXM8L0F1dGhvcj48WWVhcj4yMDE2PC9Z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</w:fldData>
        </w:fldChar>
      </w:r>
      <w:r w:rsidR="00FC5BEB">
        <w:instrText xml:space="preserve"> ADDIN EN.CITE </w:instrText>
      </w:r>
      <w:r w:rsidR="00FC5BEB">
        <w:fldChar w:fldCharType="begin">
          <w:fldData xml:space="preserve">PEVuZE5vdGU+PENpdGU+PEF1dGhvcj5EaWF6LU1vcmFsZXM8L0F1dGhvcj48WWVhcj4yMDE2PC9Z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</w:fldData>
        </w:fldChar>
      </w:r>
      <w:r w:rsidR="00FC5BEB">
        <w:instrText xml:space="preserve"> ADDIN EN.CITE.DATA </w:instrText>
      </w:r>
      <w:r w:rsidR="00FC5BEB">
        <w:fldChar w:fldCharType="end"/>
      </w:r>
      <w:r w:rsidRPr="0013432D">
        <w:fldChar w:fldCharType="separate"/>
      </w:r>
      <w:r w:rsidR="00FC5BEB" w:rsidRPr="00FC5BEB">
        <w:rPr>
          <w:noProof/>
          <w:vertAlign w:val="superscript"/>
        </w:rPr>
        <w:t>320, 321</w:t>
      </w:r>
      <w:r w:rsidRPr="0013432D">
        <w:fldChar w:fldCharType="end"/>
      </w:r>
      <w:r w:rsidRPr="0013432D">
        <w:t xml:space="preserve"> in acidic electrolyte have a similar fate to the aforementioned active perovskites in alkaline and suffer Sr or Ba </w:t>
      </w:r>
      <w:r w:rsidRPr="0013432D">
        <w:lastRenderedPageBreak/>
        <w:t xml:space="preserve">leaching accompanied by surface enrichment of Ru and </w:t>
      </w:r>
      <w:proofErr w:type="spellStart"/>
      <w:r w:rsidRPr="0013432D">
        <w:t>Ir</w:t>
      </w:r>
      <w:proofErr w:type="spellEnd"/>
      <w:r w:rsidRPr="0013432D">
        <w:t xml:space="preserve"> and forming amorphous oxides at the surface.</w:t>
      </w:r>
    </w:p>
    <w:p w14:paraId="56B65B47" w14:textId="77777777" w:rsidR="0013432D" w:rsidRPr="0013432D" w:rsidRDefault="0013432D" w:rsidP="0013432D"/>
    <w:p w14:paraId="2CD89999" w14:textId="567F0400" w:rsidR="0013432D" w:rsidRPr="0013432D" w:rsidRDefault="0013432D" w:rsidP="00A54921">
      <w:pPr>
        <w:ind w:firstLine="720"/>
      </w:pPr>
      <w:r w:rsidRPr="0013432D">
        <w:t xml:space="preserve">The above examples illustrate </w:t>
      </w:r>
      <w:r w:rsidR="00CF0DF7" w:rsidRPr="0013432D">
        <w:t>several</w:t>
      </w:r>
      <w:r w:rsidRPr="0013432D">
        <w:t xml:space="preserve"> potential reasons why the results of CHE calculations over oxides and perovskites may not correlate well with experiments. In the next section </w:t>
      </w:r>
      <w:r w:rsidR="00C80B22">
        <w:fldChar w:fldCharType="begin"/>
      </w:r>
      <w:r w:rsidR="00C80B22">
        <w:instrText xml:space="preserve"> REF _Ref159882679 \r \h </w:instrText>
      </w:r>
      <w:r w:rsidR="00C80B22">
        <w:fldChar w:fldCharType="separate"/>
      </w:r>
      <w:r w:rsidR="003255C0">
        <w:t>3.2.6</w:t>
      </w:r>
      <w:r w:rsidR="00C80B22">
        <w:fldChar w:fldCharType="end"/>
      </w:r>
      <w:r w:rsidR="00C80B22">
        <w:t xml:space="preserve"> </w:t>
      </w:r>
      <w:r w:rsidRPr="0013432D">
        <w:t>we explore how the lattice oxygen evolution mechanism was rediscovered and its connection to the structural instability of perovskite surfaces.</w:t>
      </w:r>
    </w:p>
    <w:p w14:paraId="0C893E27" w14:textId="77777777" w:rsidR="0013432D" w:rsidRPr="0013432D" w:rsidRDefault="0013432D" w:rsidP="0013432D"/>
    <w:p w14:paraId="5DE86511" w14:textId="081E2D52" w:rsidR="00FF5CE0" w:rsidRPr="00FF5CE0" w:rsidRDefault="00FF5CE0" w:rsidP="00577291">
      <w:pPr>
        <w:pStyle w:val="Heading4"/>
      </w:pPr>
      <w:r>
        <w:t xml:space="preserve"> </w:t>
      </w:r>
      <w:bookmarkStart w:id="101" w:name="_Ref159882679"/>
      <w:bookmarkStart w:id="102" w:name="_Toc166441740"/>
      <w:r w:rsidRPr="00FF5CE0">
        <w:t>Lattice oxidation</w:t>
      </w:r>
      <w:bookmarkEnd w:id="101"/>
      <w:bookmarkEnd w:id="102"/>
    </w:p>
    <w:p w14:paraId="1EC4DDF6" w14:textId="77777777" w:rsidR="00FF5CE0" w:rsidRDefault="00FF5CE0" w:rsidP="00FF5CE0">
      <w:pPr>
        <w:rPr>
          <w:b/>
          <w:bCs/>
          <w:iCs/>
        </w:rPr>
      </w:pPr>
      <w:r w:rsidRPr="00FF5CE0">
        <w:rPr>
          <w:b/>
          <w:bCs/>
          <w:iCs/>
        </w:rPr>
        <w:tab/>
      </w:r>
    </w:p>
    <w:p w14:paraId="377A24E1" w14:textId="58FF0263" w:rsidR="00FF5CE0" w:rsidRPr="00FF5CE0" w:rsidRDefault="00FF5CE0" w:rsidP="00FF5CE0">
      <w:pPr>
        <w:ind w:firstLine="720"/>
      </w:pPr>
      <w:r w:rsidRPr="00FF5CE0">
        <w:rPr>
          <w:iCs/>
        </w:rPr>
        <w:t>The CHE brought about a major change in the common view of the OER from a reaction that involves the direct coupling of adsorbed oxygen or hydroxide</w:t>
      </w:r>
      <w:r w:rsidRPr="00FF5CE0">
        <w:fldChar w:fldCharType="begin">
          <w:fldData xml:space="preserve">PEVuZE5vdGU+PENpdGU+PEF1dGhvcj5GaWVycm88L0F1dGhvcj48WWVhcj4yMDA3PC9ZZWFyPjxS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</w:fldData>
        </w:fldChar>
      </w:r>
      <w:r w:rsidR="00FC5BEB">
        <w:instrText xml:space="preserve"> ADDIN EN.CITE </w:instrText>
      </w:r>
      <w:r w:rsidR="00FC5BEB">
        <w:fldChar w:fldCharType="begin">
          <w:fldData xml:space="preserve">PEVuZE5vdGU+PENpdGU+PEF1dGhvcj5GaWVycm88L0F1dGhvcj48WWVhcj4yMDA3PC9ZZWFyPjxS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132-138</w:t>
      </w:r>
      <w:r w:rsidRPr="00FF5CE0">
        <w:fldChar w:fldCharType="end"/>
      </w:r>
      <w:r w:rsidR="00D636C0" w:rsidRPr="00D123C4">
        <w:rPr>
          <w:vertAlign w:val="superscript"/>
        </w:rPr>
        <w:t>,</w:t>
      </w:r>
      <w:r w:rsidRPr="00FF5CE0">
        <w:fldChar w:fldCharType="begin">
          <w:fldData xml:space="preserve">PEVuZE5vdGU+PENpdGU+PEF1dGhvcj5NYXRzdW1vdG88L0F1dGhvcj48WWVhcj4xOTg2PC9ZZWFy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</w:fldData>
        </w:fldChar>
      </w:r>
      <w:r w:rsidR="00FC5BEB">
        <w:instrText xml:space="preserve"> ADDIN EN.CITE </w:instrText>
      </w:r>
      <w:r w:rsidR="00FC5BEB">
        <w:fldChar w:fldCharType="begin">
          <w:fldData xml:space="preserve">PEVuZE5vdGU+PENpdGU+PEF1dGhvcj5NYXRzdW1vdG88L0F1dGhvcj48WWVhcj4xOTg2PC9ZZWFy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139, 140</w:t>
      </w:r>
      <w:r w:rsidRPr="00FF5CE0">
        <w:fldChar w:fldCharType="end"/>
      </w:r>
      <w:r w:rsidRPr="00FF5CE0">
        <w:t xml:space="preserve"> to the single-site, and later multi-site, nucleophilic attack mechanism. This change was likely the result of the early apparent success of the CHE in ordering catalysts by </w:t>
      </w:r>
      <w:r w:rsidRPr="00FF5CE0">
        <w:rPr>
          <w:i/>
        </w:rPr>
        <w:sym w:font="Symbol" w:char="F068"/>
      </w:r>
      <w:r w:rsidRPr="00FF5CE0">
        <w:rPr>
          <w:iCs/>
          <w:vertAlign w:val="subscript"/>
        </w:rPr>
        <w:t>CHE</w:t>
      </w:r>
      <w:r w:rsidRPr="00FF5CE0">
        <w:rPr>
          <w:iCs/>
        </w:rPr>
        <w:t xml:space="preserve">, which as we have seen above, roughly correlates with measured overpotentials. There is a useful analogue to this in thermal </w:t>
      </w:r>
      <w:r w:rsidR="000757AA">
        <w:rPr>
          <w:iCs/>
        </w:rPr>
        <w:t>heterogeneous</w:t>
      </w:r>
      <w:r w:rsidRPr="00FF5CE0">
        <w:rPr>
          <w:iCs/>
        </w:rPr>
        <w:t xml:space="preserve"> gas-phase catalysis. The change in mechanistic interpretation is analogous to the community moving away from assuming a reaction is described by a Langmuir–Hinshelwood, or Mars–Van </w:t>
      </w:r>
      <w:proofErr w:type="spellStart"/>
      <w:r w:rsidRPr="00FF5CE0">
        <w:rPr>
          <w:iCs/>
        </w:rPr>
        <w:t>Krevelen</w:t>
      </w:r>
      <w:proofErr w:type="spellEnd"/>
      <w:r w:rsidRPr="00FF5CE0">
        <w:rPr>
          <w:iCs/>
        </w:rPr>
        <w:t xml:space="preserve">, type mechanism to an </w:t>
      </w:r>
      <w:proofErr w:type="spellStart"/>
      <w:r w:rsidRPr="00FF5CE0">
        <w:rPr>
          <w:iCs/>
        </w:rPr>
        <w:t>Eley-Rideal</w:t>
      </w:r>
      <w:proofErr w:type="spellEnd"/>
      <w:r w:rsidRPr="00FF5CE0">
        <w:rPr>
          <w:iCs/>
        </w:rPr>
        <w:t xml:space="preserve"> type</w:t>
      </w:r>
      <w:r w:rsidRPr="00FF5CE0">
        <w:rPr>
          <w:iCs/>
        </w:rPr>
        <w:fldChar w:fldCharType="begin"/>
      </w:r>
      <w:r w:rsidR="00FC5BEB">
        <w:rPr>
          <w:iCs/>
        </w:rPr>
        <w:instrText xml:space="preserve"> ADDIN EN.CITE &lt;EndNote&gt;&lt;Cite&gt;&lt;Author&gt;Schlögl&lt;/Author&gt;&lt;Year&gt;2015&lt;/Year&gt;&lt;RecNum&gt;320&lt;/RecNum&gt;&lt;DisplayText&gt;&lt;style face="superscript"&gt;322&lt;/style&gt;&lt;/DisplayText&gt;&lt;record&gt;&lt;rec-number&gt;320&lt;/rec-number&gt;&lt;foreign-keys&gt;&lt;key app="EN" db-id="2xex0erf4eexr4e2dpbxpdd829xttesxxxdr" timestamp="1715075296"&gt;320&lt;/key&gt;&lt;/foreign-keys&gt;&lt;ref-type name="Journal Article"&gt;17&lt;/ref-type&gt;&lt;contributors&gt;&lt;authors&gt;&lt;author&gt;Schlögl, Robert&lt;/author&gt;&lt;/authors&gt;&lt;/contributors&gt;&lt;titles&gt;&lt;title&gt;Heterogeneous Catalysis&lt;/title&gt;&lt;secondary-title&gt;Angewandte Chemie International Edition&lt;/secondary-title&gt;&lt;/titles&gt;&lt;periodical&gt;&lt;full-title&gt;Angewandte Chemie International Edition&lt;/full-title&gt;&lt;abbr-1&gt;Angew. Chem. Int. Ed.&lt;/abbr-1&gt;&lt;abbr-2&gt;Angew Chem Int Ed&lt;/abbr-2&gt;&lt;/periodical&gt;&lt;pages&gt;3465-3520&lt;/pages&gt;&lt;volume&gt;54&lt;/volume&gt;&lt;number&gt;11&lt;/number&gt;&lt;keywords&gt;&lt;keyword&gt;heterogeneous catalysis&lt;/keyword&gt;&lt;keyword&gt;reaction kinetics&lt;/keyword&gt;&lt;keyword&gt;surface chemistry&lt;/keyword&gt;&lt;/keywords&gt;&lt;dates&gt;&lt;year&gt;2015&lt;/year&gt;&lt;/dates&gt;&lt;publisher&gt;John Wiley &amp;amp; Sons, Ltd&lt;/publisher&gt;&lt;urls&gt;&lt;related-urls&gt;&lt;url&gt;https://doi.org/10.1002/anie.201410738&lt;/url&gt;&lt;/related-urls&gt;&lt;/urls&gt;&lt;electronic-resource-num&gt;https://doi.org/10.1002/anie.201410738&lt;/electronic-resource-num&gt;&lt;/record&gt;&lt;/Cite&gt;&lt;/EndNote&gt;</w:instrText>
      </w:r>
      <w:r w:rsidRPr="00FF5CE0">
        <w:rPr>
          <w:iCs/>
        </w:rPr>
        <w:fldChar w:fldCharType="separate"/>
      </w:r>
      <w:r w:rsidR="00FC5BEB" w:rsidRPr="00FC5BEB">
        <w:rPr>
          <w:iCs/>
          <w:noProof/>
          <w:vertAlign w:val="superscript"/>
        </w:rPr>
        <w:t>322</w:t>
      </w:r>
      <w:r w:rsidRPr="00FF5CE0">
        <w:fldChar w:fldCharType="end"/>
      </w:r>
      <w:r w:rsidRPr="00FF5CE0">
        <w:rPr>
          <w:iCs/>
        </w:rPr>
        <w:t>.</w:t>
      </w:r>
      <w:r w:rsidRPr="00FF5CE0">
        <w:t xml:space="preserve"> The fact that such a transformative change occurred in the OER literature with the introduction of the CHE underscores both the power of first-principles methods and the faith we place in them. Despite the overwhelming experimental evidence in support of direct oxygen coupling</w:t>
      </w:r>
      <w:r w:rsidRPr="00FF5CE0">
        <w:fldChar w:fldCharType="begin">
          <w:fldData xml:space="preserve">PEVuZE5vdGU+PENpdGU+PEF1dGhvcj5GaWVycm88L0F1dGhvcj48WWVhcj4yMDA3PC9ZZWFyPjxS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</w:fldData>
        </w:fldChar>
      </w:r>
      <w:r w:rsidR="00FC5BEB">
        <w:instrText xml:space="preserve"> ADDIN EN.CITE </w:instrText>
      </w:r>
      <w:r w:rsidR="00FC5BEB">
        <w:fldChar w:fldCharType="begin">
          <w:fldData xml:space="preserve">PEVuZE5vdGU+PENpdGU+PEF1dGhvcj5GaWVycm88L0F1dGhvcj48WWVhcj4yMDA3PC9ZZWFyPjxS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132-138</w:t>
      </w:r>
      <w:r w:rsidRPr="00FF5CE0">
        <w:fldChar w:fldCharType="end"/>
      </w:r>
      <w:r w:rsidR="000E0EFA">
        <w:t xml:space="preserve"> </w:t>
      </w:r>
      <w:r w:rsidRPr="00FF5CE0">
        <w:fldChar w:fldCharType="begin">
          <w:fldData xml:space="preserve">PEVuZE5vdGU+PENpdGU+PEF1dGhvcj5NYXRzdW1vdG88L0F1dGhvcj48WWVhcj4xOTg2PC9ZZWFy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</w:fldData>
        </w:fldChar>
      </w:r>
      <w:r w:rsidR="00FC5BEB">
        <w:instrText xml:space="preserve"> ADDIN EN.CITE </w:instrText>
      </w:r>
      <w:r w:rsidR="00FC5BEB">
        <w:fldChar w:fldCharType="begin">
          <w:fldData xml:space="preserve">PEVuZE5vdGU+PENpdGU+PEF1dGhvcj5NYXRzdW1vdG88L0F1dGhvcj48WWVhcj4xOTg2PC9ZZWFy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139, 140, 323</w:t>
      </w:r>
      <w:r w:rsidRPr="00FF5CE0">
        <w:fldChar w:fldCharType="end"/>
      </w:r>
      <w:r w:rsidRPr="00FF5CE0">
        <w:t>, the single-site nucleophilic attack mechanism remained the dominant proposal until direct oxygen coupling was both re-discovered</w:t>
      </w:r>
      <w:r w:rsidRPr="00FF5CE0">
        <w:fldChar w:fldCharType="begin">
          <w:fldData xml:space="preserve">PEVuZE5vdGU+PENpdGU+PEF1dGhvcj5Sb25nPC9BdXRob3I+PFllYXI+MjAxNjwvWWVhcj48UmVj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</w:fldData>
        </w:fldChar>
      </w:r>
      <w:r w:rsidR="00FC5BEB">
        <w:instrText xml:space="preserve"> ADDIN EN.CITE </w:instrText>
      </w:r>
      <w:r w:rsidR="00FC5BEB">
        <w:fldChar w:fldCharType="begin">
          <w:fldData xml:space="preserve">PEVuZE5vdGU+PENpdGU+PEF1dGhvcj5Sb25nPC9BdXRob3I+PFllYXI+MjAxNjwvWWVhcj48UmVj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324-327</w:t>
      </w:r>
      <w:r w:rsidRPr="00FF5CE0">
        <w:fldChar w:fldCharType="end"/>
      </w:r>
      <w:r w:rsidRPr="00FF5CE0">
        <w:t xml:space="preserve"> and, importantly, supported by CHE-based calculations</w:t>
      </w:r>
      <w:r w:rsidRPr="00FF5CE0">
        <w:fldChar w:fldCharType="begin">
          <w:fldData xml:space="preserve">PEVuZE5vdGU+PENpdGU+PEF1dGhvcj5Sb25nPC9BdXRob3I+PFllYXI+MjAxNjwvWWVhcj48UmVj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</w:fldData>
        </w:fldChar>
      </w:r>
      <w:r w:rsidR="00FC5BEB">
        <w:instrText xml:space="preserve"> ADDIN EN.CITE </w:instrText>
      </w:r>
      <w:r w:rsidR="00FC5BEB">
        <w:fldChar w:fldCharType="begin">
          <w:fldData xml:space="preserve">PEVuZE5vdGU+PENpdGU+PEF1dGhvcj5Sb25nPC9BdXRob3I+PFllYXI+MjAxNjwvWWVhcj48UmVj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324, 327</w:t>
      </w:r>
      <w:r w:rsidRPr="00FF5CE0">
        <w:fldChar w:fldCharType="end"/>
      </w:r>
      <w:r w:rsidRPr="00FF5CE0">
        <w:t>, which gave rise to a class of lattice oxidation mechanisms (LOM).</w:t>
      </w:r>
    </w:p>
    <w:p w14:paraId="63E58E33" w14:textId="77777777" w:rsidR="00FF5CE0" w:rsidRPr="00FF5CE0" w:rsidRDefault="00FF5CE0" w:rsidP="00FF5CE0"/>
    <w:p w14:paraId="788D18C9" w14:textId="403F86B4" w:rsidR="00FF5CE0" w:rsidRPr="00FF5CE0" w:rsidRDefault="00FF5CE0" w:rsidP="00FF5CE0">
      <w:pPr>
        <w:ind w:firstLine="720"/>
      </w:pPr>
      <w:r w:rsidRPr="00FF5CE0">
        <w:t>Before we dive into these CHE-based calculations employed for LOM, however, let us revisit some major experimental findings that cast doubts on the validity and/or exclusivity of the nucleophilic attack or AEM mechanism. Early oxygen evolution experiments based mostly on classical electrochemical kinetic analyses indicated the coupling of surface oxygen in the overall OER process. One of the first pieces of direct experimental evidence for the involvement of lattice oxygen came from the group of Heitbaum</w:t>
      </w:r>
      <w:r w:rsidRPr="00FF5CE0">
        <w:fldChar w:fldCharType="begin">
          <w:fldData xml:space="preserve">PEVuZE5vdGU+PENpdGU+PEF1dGhvcj5XaWxsc2F1PC9BdXRob3I+PFllYXI+MTk4NTwvWWVhcj48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==
</w:fldData>
        </w:fldChar>
      </w:r>
      <w:r w:rsidR="00FC5BEB">
        <w:instrText xml:space="preserve"> ADDIN EN.CITE </w:instrText>
      </w:r>
      <w:r w:rsidR="00FC5BEB">
        <w:fldChar w:fldCharType="begin">
          <w:fldData xml:space="preserve">PEVuZE5vdGU+PENpdGU+PEF1dGhvcj5XaWxsc2F1PC9BdXRob3I+PFllYXI+MTk4NTwvWWVhcj48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==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133, 328</w:t>
      </w:r>
      <w:r w:rsidRPr="00FF5CE0">
        <w:fldChar w:fldCharType="end"/>
      </w:r>
      <w:r w:rsidRPr="00FF5CE0">
        <w:t xml:space="preserve"> By using DEMS in combination with </w:t>
      </w:r>
      <w:r w:rsidRPr="00FF5CE0">
        <w:rPr>
          <w:vertAlign w:val="superscript"/>
        </w:rPr>
        <w:t>18</w:t>
      </w:r>
      <w:r w:rsidRPr="00FF5CE0">
        <w:t xml:space="preserve">O </w:t>
      </w:r>
      <w:r w:rsidR="002A09AD">
        <w:t>labeling</w:t>
      </w:r>
      <w:r w:rsidRPr="00FF5CE0">
        <w:t xml:space="preserve"> experiments, they demonstrated that </w:t>
      </w:r>
      <w:r w:rsidRPr="00FF5CE0">
        <w:rPr>
          <w:vertAlign w:val="superscript"/>
        </w:rPr>
        <w:t>16</w:t>
      </w:r>
      <w:r w:rsidRPr="00FF5CE0">
        <w:t>O</w:t>
      </w:r>
      <w:r w:rsidRPr="00FF5CE0">
        <w:rPr>
          <w:vertAlign w:val="superscript"/>
        </w:rPr>
        <w:t>18</w:t>
      </w:r>
      <w:r w:rsidRPr="00FF5CE0">
        <w:t>O was evolved from a H</w:t>
      </w:r>
      <w:r w:rsidRPr="00FF5CE0">
        <w:rPr>
          <w:vertAlign w:val="subscript"/>
        </w:rPr>
        <w:t>2</w:t>
      </w:r>
      <w:r w:rsidRPr="00FF5CE0">
        <w:rPr>
          <w:vertAlign w:val="superscript"/>
        </w:rPr>
        <w:t>16</w:t>
      </w:r>
      <w:r w:rsidRPr="00FF5CE0">
        <w:t>O solution on an electrochemically formed Ru oxide layer previously prepared in H</w:t>
      </w:r>
      <w:r w:rsidRPr="00FF5CE0">
        <w:rPr>
          <w:vertAlign w:val="subscript"/>
        </w:rPr>
        <w:t>2</w:t>
      </w:r>
      <w:r w:rsidRPr="00FF5CE0">
        <w:rPr>
          <w:vertAlign w:val="superscript"/>
        </w:rPr>
        <w:t>18</w:t>
      </w:r>
      <w:r w:rsidRPr="00FF5CE0">
        <w:t xml:space="preserve">O. In this case DEMS afforded the detection of </w:t>
      </w:r>
      <w:r w:rsidRPr="00FF5CE0">
        <w:rPr>
          <w:i/>
          <w:iCs/>
        </w:rPr>
        <w:t>m</w:t>
      </w:r>
      <w:r w:rsidRPr="00FF5CE0">
        <w:t>/</w:t>
      </w:r>
      <w:r w:rsidRPr="00FF5CE0">
        <w:rPr>
          <w:i/>
          <w:iCs/>
        </w:rPr>
        <w:t>e</w:t>
      </w:r>
      <w:r w:rsidRPr="00FF5CE0">
        <w:t xml:space="preserve"> = 165 in the electrolyte, which was assigned to RuO</w:t>
      </w:r>
      <w:r w:rsidRPr="00FF5CE0">
        <w:rPr>
          <w:vertAlign w:val="subscript"/>
        </w:rPr>
        <w:t>4</w:t>
      </w:r>
      <w:r w:rsidRPr="00FF5CE0">
        <w:t xml:space="preserve">, suggesting a corrosion pathway by overoxidation. </w:t>
      </w:r>
      <w:r w:rsidRPr="00FF5CE0">
        <w:rPr>
          <w:vertAlign w:val="superscript"/>
        </w:rPr>
        <w:t>16</w:t>
      </w:r>
      <w:r w:rsidRPr="00FF5CE0">
        <w:t>O</w:t>
      </w:r>
      <w:r w:rsidRPr="00FF5CE0">
        <w:rPr>
          <w:vertAlign w:val="superscript"/>
        </w:rPr>
        <w:t>18</w:t>
      </w:r>
      <w:r w:rsidRPr="00FF5CE0">
        <w:t>O was also observed when oxygen is evolved on Ru</w:t>
      </w:r>
      <w:r w:rsidRPr="00FF5CE0">
        <w:rPr>
          <w:vertAlign w:val="superscript"/>
        </w:rPr>
        <w:t>16</w:t>
      </w:r>
      <w:r w:rsidRPr="00FF5CE0">
        <w:t>O</w:t>
      </w:r>
      <w:r w:rsidRPr="00FF5CE0">
        <w:rPr>
          <w:vertAlign w:val="subscript"/>
        </w:rPr>
        <w:t>2</w:t>
      </w:r>
      <w:r w:rsidRPr="00FF5CE0">
        <w:t xml:space="preserve"> in H</w:t>
      </w:r>
      <w:r w:rsidRPr="00FF5CE0">
        <w:rPr>
          <w:vertAlign w:val="subscript"/>
        </w:rPr>
        <w:t>2</w:t>
      </w:r>
      <w:r w:rsidRPr="00FF5CE0">
        <w:rPr>
          <w:vertAlign w:val="superscript"/>
        </w:rPr>
        <w:t>18</w:t>
      </w:r>
      <w:r w:rsidRPr="00FF5CE0">
        <w:t xml:space="preserve">O solution. Consequently, the oxide layer unequivocally contributed to the oxygen evolution process on both types of Ru-based electrodes. These results were in stark contrast to those by the same group on anodized Pt, in which after similar experiments no coevolution of </w:t>
      </w:r>
      <w:r w:rsidRPr="00FF5CE0">
        <w:rPr>
          <w:vertAlign w:val="superscript"/>
        </w:rPr>
        <w:t>16</w:t>
      </w:r>
      <w:r w:rsidRPr="00FF5CE0">
        <w:t>O</w:t>
      </w:r>
      <w:r w:rsidRPr="00FF5CE0">
        <w:rPr>
          <w:vertAlign w:val="superscript"/>
        </w:rPr>
        <w:t>18</w:t>
      </w:r>
      <w:r w:rsidRPr="00FF5CE0">
        <w:t>O was detected and hence the oxide layer did not participate in the OER.</w:t>
      </w:r>
      <w:r w:rsidRPr="00FF5CE0">
        <w:fldChar w:fldCharType="begin"/>
      </w:r>
      <w:r w:rsidR="00FC5BEB">
        <w:instrText xml:space="preserve"> ADDIN EN.CITE &lt;EndNote&gt;&lt;Cite&gt;&lt;Author&gt;Willsau&lt;/Author&gt;&lt;Year&gt;1985&lt;/Year&gt;&lt;RecNum&gt;326&lt;/RecNum&gt;&lt;DisplayText&gt;&lt;style face="superscript"&gt;328&lt;/style&gt;&lt;/DisplayText&gt;&lt;record&gt;&lt;rec-number&gt;326&lt;/rec-number&gt;&lt;foreign-keys&gt;&lt;key app="EN" db-id="2xex0erf4eexr4e2dpbxpdd829xttesxxxdr" timestamp="1715075296"&gt;326&lt;/key&gt;&lt;/foreign-keys&gt;&lt;ref-type name="Journal Article"&gt;17&lt;/ref-type&gt;&lt;contributors&gt;&lt;authors&gt;&lt;author&gt;Willsau, J.&lt;/author&gt;&lt;author&gt;Wolter, O.&lt;/author&gt;&lt;author&gt;Heitbaum, J.&lt;/author&gt;&lt;/authors&gt;&lt;/contributors&gt;&lt;titles&gt;&lt;title&gt;Does the oxide layer take part in the oxygen evolution reaction on platinum?: A DEMS study&lt;/title&gt;&lt;secondary-title&gt;J. Electroanal. Chem. Interfacial Electrochem.&lt;/secondary-title&gt;&lt;/titles&gt;&lt;periodical&gt;&lt;full-title&gt;J. Electroanal. Chem. Interfacial Electrochem.&lt;/full-title&gt;&lt;/periodical&gt;&lt;pages&gt;299-306&lt;/pages&gt;&lt;volume&gt;195&lt;/volume&gt;&lt;number&gt;2&lt;/number&gt;&lt;dates&gt;&lt;year&gt;1985&lt;/year&gt;&lt;pub-dates&gt;&lt;date&gt;1985/11/25/&lt;/date&gt;&lt;/pub-dates&gt;&lt;/dates&gt;&lt;isbn&gt;0022-0728&lt;/isbn&gt;&lt;urls&gt;&lt;related-urls&gt;&lt;url&gt;https://www.sciencedirect.com/science/article/pii/0022072885800504&lt;/url&gt;&lt;/related-urls&gt;&lt;/urls&gt;&lt;electronic-resource-num&gt;https://doi.org/10.1016/0022-0728(85)80050-4&lt;/electronic-resource-num&gt;&lt;/record&gt;&lt;/Cite&gt;&lt;/EndNote&gt;</w:instrText>
      </w:r>
      <w:r w:rsidRPr="00FF5CE0">
        <w:fldChar w:fldCharType="separate"/>
      </w:r>
      <w:r w:rsidR="00FC5BEB" w:rsidRPr="00FC5BEB">
        <w:rPr>
          <w:noProof/>
          <w:vertAlign w:val="superscript"/>
        </w:rPr>
        <w:t>328</w:t>
      </w:r>
      <w:r w:rsidRPr="00FF5CE0">
        <w:fldChar w:fldCharType="end"/>
      </w:r>
      <w:r w:rsidRPr="00FF5CE0">
        <w:t xml:space="preserve"> Later, a number of further isotope experiments followed, confirming the involvement of lattice oxygen in the mechanism for a range of oxides and perovskites.</w:t>
      </w:r>
      <w:r w:rsidRPr="00FF5CE0">
        <w:fldChar w:fldCharType="begin">
          <w:fldData xml:space="preserve">PEVuZE5vdGU+PENpdGU+PEF1dGhvcj5GaWVycm88L0F1dGhvcj48WWVhcj4yMDA3PC9ZZWFyPjxS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</w:fldData>
        </w:fldChar>
      </w:r>
      <w:r w:rsidR="00FC5BEB">
        <w:instrText xml:space="preserve"> ADDIN EN.CITE </w:instrText>
      </w:r>
      <w:r w:rsidR="00FC5BEB">
        <w:fldChar w:fldCharType="begin">
          <w:fldData xml:space="preserve">PEVuZE5vdGU+PENpdGU+PEF1dGhvcj5GaWVycm88L0F1dGhvcj48WWVhcj4yMDA3PC9ZZWFyPjxS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132, 192, 315, 321, 329-333</w:t>
      </w:r>
      <w:r w:rsidRPr="00FF5CE0">
        <w:fldChar w:fldCharType="end"/>
      </w:r>
    </w:p>
    <w:p w14:paraId="57FCC430" w14:textId="77777777" w:rsidR="00FF5CE0" w:rsidRPr="00FF5CE0" w:rsidRDefault="00FF5CE0" w:rsidP="00FF5CE0"/>
    <w:p w14:paraId="16FF584E" w14:textId="2E0835C2" w:rsidR="00FF5CE0" w:rsidRPr="00FF5CE0" w:rsidRDefault="00FF5CE0" w:rsidP="00FF5CE0">
      <w:pPr>
        <w:ind w:firstLine="720"/>
      </w:pPr>
      <w:r w:rsidRPr="00FF5CE0">
        <w:t xml:space="preserve">Detection of isotope </w:t>
      </w:r>
      <w:r w:rsidR="002A09AD">
        <w:t>labeled</w:t>
      </w:r>
      <w:r w:rsidRPr="00FF5CE0">
        <w:t xml:space="preserve"> </w:t>
      </w:r>
      <w:r w:rsidRPr="00FF5CE0">
        <w:rPr>
          <w:vertAlign w:val="superscript"/>
        </w:rPr>
        <w:t>16</w:t>
      </w:r>
      <w:r w:rsidRPr="00FF5CE0">
        <w:t>O</w:t>
      </w:r>
      <w:r w:rsidRPr="00FF5CE0">
        <w:rPr>
          <w:vertAlign w:val="superscript"/>
        </w:rPr>
        <w:t>18</w:t>
      </w:r>
      <w:r w:rsidRPr="00FF5CE0">
        <w:t xml:space="preserve">O and </w:t>
      </w:r>
      <w:r w:rsidRPr="00FF5CE0">
        <w:rPr>
          <w:vertAlign w:val="superscript"/>
        </w:rPr>
        <w:t>18</w:t>
      </w:r>
      <w:r w:rsidRPr="00FF5CE0">
        <w:t>O</w:t>
      </w:r>
      <w:r w:rsidRPr="00FF5CE0">
        <w:rPr>
          <w:vertAlign w:val="superscript"/>
        </w:rPr>
        <w:t>18</w:t>
      </w:r>
      <w:r w:rsidRPr="00FF5CE0">
        <w:t xml:space="preserve">O with isotope </w:t>
      </w:r>
      <w:r w:rsidR="002A09AD">
        <w:t>labeled</w:t>
      </w:r>
      <w:r w:rsidRPr="00FF5CE0">
        <w:t xml:space="preserve"> hydrous </w:t>
      </w:r>
      <w:proofErr w:type="spellStart"/>
      <w:r w:rsidRPr="00FF5CE0">
        <w:t>Ir</w:t>
      </w:r>
      <w:proofErr w:type="spellEnd"/>
      <w:r w:rsidRPr="00FF5CE0">
        <w:t>-oxide confirms the participation of lattice oxygen atoms in the OER, though the majority of O</w:t>
      </w:r>
      <w:r w:rsidRPr="00FF5CE0">
        <w:rPr>
          <w:vertAlign w:val="subscript"/>
        </w:rPr>
        <w:t>2</w:t>
      </w:r>
      <w:r w:rsidRPr="00FF5CE0">
        <w:t xml:space="preserve"> evolved contained no </w:t>
      </w:r>
      <w:r w:rsidRPr="00FF5CE0">
        <w:rPr>
          <w:vertAlign w:val="superscript"/>
        </w:rPr>
        <w:t>18</w:t>
      </w:r>
      <w:r w:rsidRPr="00FF5CE0">
        <w:t>O.</w:t>
      </w:r>
      <w:r w:rsidRPr="00FF5CE0">
        <w:fldChar w:fldCharType="begin"/>
      </w:r>
      <w:r w:rsidR="00FC5BEB">
        <w:instrText xml:space="preserve"> ADDIN EN.CITE &lt;EndNote&gt;&lt;Cite&gt;&lt;Author&gt;Kasian&lt;/Author&gt;&lt;Year&gt;2019&lt;/Year&gt;&lt;RecNum&gt;328&lt;/RecNum&gt;&lt;DisplayText&gt;&lt;style face="superscript"&gt;330&lt;/style&gt;&lt;/DisplayText&gt;&lt;record&gt;&lt;rec-number&gt;328&lt;/rec-number&gt;&lt;foreign-keys&gt;&lt;key app="EN" db-id="2xex0erf4eexr4e2dpbxpdd829xttesxxxdr" timestamp="1715075296"&gt;328&lt;/key&gt;&lt;/foreign-keys&gt;&lt;ref-type name="Journal Article"&gt;17&lt;/ref-type&gt;&lt;contributors&gt;&lt;authors&gt;&lt;author&gt;Kasian, Olga&lt;/author&gt;&lt;author&gt;Geiger, Simon&lt;/author&gt;&lt;author&gt;Li, Tong&lt;/author&gt;&lt;author&gt;Grote, Jan-Philipp&lt;/author&gt;&lt;author&gt;Schweinar, Kevin&lt;/author&gt;&lt;author&gt;Zhang, Siyuan&lt;/author&gt;&lt;author&gt;Scheu, Christina&lt;/author&gt;&lt;author&gt;Raabe, Dierk&lt;/author&gt;&lt;author&gt;Cherevko, Serhiy&lt;/author&gt;&lt;author&gt;Gault, Baptiste&lt;/author&gt;&lt;author&gt;Mayrhofer, Karl J. J.&lt;/author&gt;&lt;/authors&gt;&lt;/contributors&gt;&lt;titles&gt;&lt;title&gt;Degradation of iridium oxides via oxygen evolution from the lattice: correlating atomic scale structure with reaction mechanisms&lt;/title&gt;&lt;secondary-title&gt;Energy Environ. Sci.&lt;/secondary-title&gt;&lt;/titles&gt;&lt;periodical&gt;&lt;full-title&gt;Energy Environ. Sci.&lt;/full-title&gt;&lt;/periodical&gt;&lt;pages&gt;3548-3555&lt;/pages&gt;&lt;volume&gt;12&lt;/volume&gt;&lt;number&gt;12&lt;/number&gt;&lt;dates&gt;&lt;year&gt;2019&lt;/year&gt;&lt;/dates&gt;&lt;publisher&gt;The Royal Society of Chemistry&lt;/publisher&gt;&lt;isbn&gt;1754-5692&lt;/isbn&gt;&lt;work-type&gt;10.1039/C9EE01872G&lt;/work-type&gt;&lt;urls&gt;&lt;related-urls&gt;&lt;url&gt;http://dx.doi.org/10.1039/C9EE01872G&lt;/url&gt;&lt;/related-urls&gt;&lt;/urls&gt;&lt;electronic-resource-num&gt;10.1039/C9EE01872G&lt;/electronic-resource-num&gt;&lt;/record&gt;&lt;/Cite&gt;&lt;/EndNote&gt;</w:instrText>
      </w:r>
      <w:r w:rsidRPr="00FF5CE0">
        <w:fldChar w:fldCharType="separate"/>
      </w:r>
      <w:r w:rsidR="00FC5BEB" w:rsidRPr="00FC5BEB">
        <w:rPr>
          <w:noProof/>
          <w:vertAlign w:val="superscript"/>
        </w:rPr>
        <w:t>330</w:t>
      </w:r>
      <w:r w:rsidRPr="00FF5CE0">
        <w:fldChar w:fldCharType="end"/>
      </w:r>
      <w:r w:rsidRPr="00FF5CE0">
        <w:t xml:space="preserve"> These observations were correlated to the higher </w:t>
      </w:r>
      <w:proofErr w:type="spellStart"/>
      <w:r w:rsidRPr="00FF5CE0">
        <w:t>Ir</w:t>
      </w:r>
      <w:proofErr w:type="spellEnd"/>
      <w:r w:rsidRPr="00FF5CE0">
        <w:t xml:space="preserve"> dissolution of hydrous </w:t>
      </w:r>
      <w:proofErr w:type="spellStart"/>
      <w:r w:rsidRPr="00FF5CE0">
        <w:t>Ir</w:t>
      </w:r>
      <w:proofErr w:type="spellEnd"/>
      <w:r w:rsidRPr="00FF5CE0">
        <w:t xml:space="preserve">-oxide, compared to crystalline iridium oxide, the latter with an order of magnitude lower </w:t>
      </w:r>
      <w:proofErr w:type="spellStart"/>
      <w:r w:rsidRPr="00FF5CE0">
        <w:t>Ir</w:t>
      </w:r>
      <w:proofErr w:type="spellEnd"/>
      <w:r w:rsidRPr="00FF5CE0">
        <w:t xml:space="preserve"> dissolution rate and very-very little </w:t>
      </w:r>
      <w:r w:rsidRPr="00FF5CE0">
        <w:rPr>
          <w:vertAlign w:val="superscript"/>
        </w:rPr>
        <w:t>16</w:t>
      </w:r>
      <w:r w:rsidRPr="00FF5CE0">
        <w:t>O</w:t>
      </w:r>
      <w:r w:rsidRPr="00FF5CE0">
        <w:rPr>
          <w:vertAlign w:val="superscript"/>
        </w:rPr>
        <w:t>18</w:t>
      </w:r>
      <w:r w:rsidRPr="00FF5CE0">
        <w:t xml:space="preserve">O formed. Later, </w:t>
      </w:r>
      <w:proofErr w:type="spellStart"/>
      <w:r w:rsidRPr="00FF5CE0">
        <w:t>Schweinar</w:t>
      </w:r>
      <w:proofErr w:type="spellEnd"/>
      <w:r w:rsidRPr="00FF5CE0">
        <w:t xml:space="preserve"> et al.</w:t>
      </w:r>
      <w:r w:rsidRPr="00FF5CE0">
        <w:fldChar w:fldCharType="begin"/>
      </w:r>
      <w:r w:rsidR="00FC5BEB">
        <w:instrText xml:space="preserve"> ADDIN EN.CITE &lt;EndNote&gt;&lt;Cite&gt;&lt;Author&gt;Schweinar&lt;/Author&gt;&lt;Year&gt;2020&lt;/Year&gt;&lt;RecNum&gt;329&lt;/RecNum&gt;&lt;DisplayText&gt;&lt;style face="superscript"&gt;331&lt;/style&gt;&lt;/DisplayText&gt;&lt;record&gt;&lt;rec-number&gt;329&lt;/rec-number&gt;&lt;foreign-keys&gt;&lt;key app="EN" db-id="2xex0erf4eexr4e2dpbxpdd829xttesxxxdr" timestamp="1715075296"&gt;329&lt;/key&gt;&lt;/foreign-keys&gt;&lt;ref-type name="Journal Article"&gt;17&lt;/ref-type&gt;&lt;contributors&gt;&lt;authors&gt;&lt;author&gt;Schweinar, Kevin&lt;/author&gt;&lt;author&gt;Gault, Baptiste&lt;/author&gt;&lt;author&gt;Mouton, Isabelle&lt;/author&gt;&lt;author&gt;Kasian, Olga&lt;/author&gt;&lt;/authors&gt;&lt;/contributors&gt;&lt;titles&gt;&lt;title&gt;Lattice Oxygen Exchange in Rutile IrO2 during the Oxygen Evolution Reaction&lt;/title&gt;&lt;secondary-title&gt;J. Phys. Chem. Lett.&lt;/secondary-title&gt;&lt;/titles&gt;&lt;periodical&gt;&lt;full-title&gt;J. Phys. Chem. Lett.&lt;/full-title&gt;&lt;/periodical&gt;&lt;pages&gt;5008-5014&lt;/pages&gt;&lt;volume&gt;11&lt;/volume&gt;&lt;number&gt;13&lt;/number&gt;&lt;dates&gt;&lt;year&gt;2020&lt;/year&gt;&lt;pub-dates&gt;&lt;date&gt;2020/07/02&lt;/date&gt;&lt;/pub-dates&gt;&lt;/dates&gt;&lt;publisher&gt;American Chemical Society&lt;/publisher&gt;&lt;urls&gt;&lt;related-urls&gt;&lt;url&gt;https://doi.org/10.1021/acs.jpclett.0c01258&lt;/url&gt;&lt;/related-urls&gt;&lt;/urls&gt;&lt;electronic-resource-num&gt;10.1021/acs.jpclett.0c01258&lt;/electronic-resource-num&gt;&lt;/record&gt;&lt;/Cite&gt;&lt;/EndNote&gt;</w:instrText>
      </w:r>
      <w:r w:rsidRPr="00FF5CE0">
        <w:fldChar w:fldCharType="separate"/>
      </w:r>
      <w:r w:rsidR="00FC5BEB" w:rsidRPr="00FC5BEB">
        <w:rPr>
          <w:noProof/>
          <w:vertAlign w:val="superscript"/>
        </w:rPr>
        <w:t>331</w:t>
      </w:r>
      <w:r w:rsidRPr="00FF5CE0">
        <w:fldChar w:fldCharType="end"/>
      </w:r>
      <w:r w:rsidRPr="00FF5CE0">
        <w:t xml:space="preserve"> used a crystalline Ir</w:t>
      </w:r>
      <w:r w:rsidRPr="00FF5CE0">
        <w:rPr>
          <w:vertAlign w:val="superscript"/>
        </w:rPr>
        <w:t>18</w:t>
      </w:r>
      <w:r w:rsidRPr="00FF5CE0">
        <w:t>O</w:t>
      </w:r>
      <w:r w:rsidRPr="00FF5CE0">
        <w:rPr>
          <w:vertAlign w:val="subscript"/>
        </w:rPr>
        <w:t>2</w:t>
      </w:r>
      <w:r w:rsidRPr="00FF5CE0">
        <w:t xml:space="preserve"> thin film and anodically polarized it at 1 mA cm</w:t>
      </w:r>
      <w:r w:rsidRPr="00FF5CE0">
        <w:rPr>
          <w:vertAlign w:val="superscript"/>
        </w:rPr>
        <w:t>-2</w:t>
      </w:r>
      <w:r w:rsidRPr="00FF5CE0">
        <w:t xml:space="preserve"> for 10 minutes in a non-labeled 0.1 M HClO</w:t>
      </w:r>
      <w:r w:rsidRPr="00FF5CE0">
        <w:rPr>
          <w:vertAlign w:val="subscript"/>
        </w:rPr>
        <w:t>4</w:t>
      </w:r>
      <w:r w:rsidRPr="00FF5CE0">
        <w:t xml:space="preserve"> electrolyte, and afterwards estimated the proportion of exchanged oxygen atoms by atom probe tomography. The analysis revealed a significant increase of </w:t>
      </w:r>
      <w:r w:rsidRPr="00FF5CE0">
        <w:rPr>
          <w:vertAlign w:val="superscript"/>
        </w:rPr>
        <w:t>16</w:t>
      </w:r>
      <w:r w:rsidRPr="00FF5CE0">
        <w:t>O in the top 2.5 nm of the film, confirming lattice oxygen exchanged with electrolyte oxygen and thus the involvement of lattice O in the OER. The overall electrochemically active volume of the catalyst was however significantly lower than in the hydrous iridium oxide, which is in line with the higher stability of crystalline IrO</w:t>
      </w:r>
      <w:r w:rsidRPr="00FF5CE0">
        <w:rPr>
          <w:vertAlign w:val="subscript"/>
        </w:rPr>
        <w:t>2</w:t>
      </w:r>
      <w:r w:rsidRPr="00FF5CE0">
        <w:t xml:space="preserve"> as compared to hydrous electrochemically prepared </w:t>
      </w:r>
      <w:proofErr w:type="spellStart"/>
      <w:r w:rsidRPr="00FF5CE0">
        <w:t>IrO</w:t>
      </w:r>
      <w:r w:rsidRPr="00FF5CE0">
        <w:rPr>
          <w:vertAlign w:val="subscript"/>
        </w:rPr>
        <w:t>x</w:t>
      </w:r>
      <w:proofErr w:type="spellEnd"/>
      <w:r w:rsidRPr="00FF5CE0">
        <w:t>.</w:t>
      </w:r>
    </w:p>
    <w:p w14:paraId="5CEB6D45" w14:textId="77777777" w:rsidR="00FF5CE0" w:rsidRPr="00FF5CE0" w:rsidRDefault="00FF5CE0" w:rsidP="00FF5CE0"/>
    <w:p w14:paraId="4ECBCE1A" w14:textId="55D59805" w:rsidR="00FF5CE0" w:rsidRPr="00FF5CE0" w:rsidRDefault="00FF5CE0" w:rsidP="00FF5CE0">
      <w:pPr>
        <w:ind w:firstLine="720"/>
      </w:pPr>
      <w:r w:rsidRPr="00FF5CE0">
        <w:lastRenderedPageBreak/>
        <w:t>Liu et al.</w:t>
      </w:r>
      <w:r w:rsidRPr="00FF5CE0">
        <w:fldChar w:fldCharType="begin"/>
      </w:r>
      <w:r w:rsidR="00FC5BEB">
        <w:instrText xml:space="preserve"> ADDIN EN.CITE &lt;EndNote&gt;&lt;Cite&gt;&lt;Author&gt;Liu&lt;/Author&gt;&lt;Year&gt;2020&lt;/Year&gt;&lt;RecNum&gt;313&lt;/RecNum&gt;&lt;DisplayText&gt;&lt;style face="superscript"&gt;315&lt;/style&gt;&lt;/DisplayText&gt;&lt;record&gt;&lt;rec-number&gt;313&lt;/rec-number&gt;&lt;foreign-keys&gt;&lt;key app="EN" db-id="2xex0erf4eexr4e2dpbxpdd829xttesxxxdr" timestamp="1715075296"&gt;313&lt;/key&gt;&lt;/foreign-keys&gt;&lt;ref-type name="Journal Article"&gt;17&lt;/ref-type&gt;&lt;contributors&gt;&lt;authors&gt;&lt;author&gt;Liu, Jishan&lt;/author&gt;&lt;author&gt;Jia, Endong&lt;/author&gt;&lt;author&gt;Stoerzinger, Kelsey A.&lt;/author&gt;&lt;author&gt;Wang, Le&lt;/author&gt;&lt;author&gt;Wang, Yining&lt;/author&gt;&lt;author&gt;Yang, Zhenzhong&lt;/author&gt;&lt;author&gt;Shen, Dawei&lt;/author&gt;&lt;author&gt;Engelhard, Mark H.&lt;/author&gt;&lt;author&gt;Bowden, Mark E.&lt;/author&gt;&lt;author&gt;Zhu, Zihua&lt;/author&gt;&lt;author&gt;Chambers, Scott A.&lt;/author&gt;&lt;author&gt;Du, Yingge&lt;/author&gt;&lt;/authors&gt;&lt;/contributors&gt;&lt;titles&gt;&lt;title&gt;Dynamic Lattice Oxygen Participation on Perovskite LaNiO3 during Oxygen Evolution Reaction&lt;/title&gt;&lt;secondary-title&gt;Journal of Physical Chemistry C&lt;/secondary-title&gt;&lt;/titles&gt;&lt;periodical&gt;&lt;full-title&gt;Journal of Physical Chemistry C&lt;/full-title&gt;&lt;abbr-1&gt;J. Phys. Chem. C&lt;/abbr-1&gt;&lt;/periodical&gt;&lt;pages&gt;15386-15390&lt;/pages&gt;&lt;volume&gt;124&lt;/volume&gt;&lt;number&gt;28&lt;/number&gt;&lt;dates&gt;&lt;year&gt;2020&lt;/year&gt;&lt;pub-dates&gt;&lt;date&gt;2020/07/16&lt;/date&gt;&lt;/pub-dates&gt;&lt;/dates&gt;&lt;publisher&gt;American Chemical Society&lt;/publisher&gt;&lt;isbn&gt;1932-7447&lt;/isbn&gt;&lt;urls&gt;&lt;related-urls&gt;&lt;url&gt;https://doi.org/10.1021/acs.jpcc.0c04808&lt;/url&gt;&lt;/related-urls&gt;&lt;/urls&gt;&lt;electronic-resource-num&gt;10.1021/acs.jpcc.0c04808&lt;/electronic-resource-num&gt;&lt;/record&gt;&lt;/Cite&gt;&lt;/EndNote&gt;</w:instrText>
      </w:r>
      <w:r w:rsidRPr="00FF5CE0">
        <w:fldChar w:fldCharType="separate"/>
      </w:r>
      <w:r w:rsidR="00FC5BEB" w:rsidRPr="00FC5BEB">
        <w:rPr>
          <w:noProof/>
          <w:vertAlign w:val="superscript"/>
        </w:rPr>
        <w:t>315</w:t>
      </w:r>
      <w:r w:rsidRPr="00FF5CE0">
        <w:fldChar w:fldCharType="end"/>
      </w:r>
      <w:r w:rsidRPr="00FF5CE0">
        <w:t xml:space="preserve">, using well-defined </w:t>
      </w:r>
      <w:r w:rsidRPr="00FF5CE0">
        <w:rPr>
          <w:vertAlign w:val="superscript"/>
        </w:rPr>
        <w:t>18</w:t>
      </w:r>
      <w:r w:rsidRPr="00FF5CE0">
        <w:t>O isotope-enriched epitaxial LaNiO</w:t>
      </w:r>
      <w:r w:rsidRPr="00FF5CE0">
        <w:rPr>
          <w:vertAlign w:val="subscript"/>
        </w:rPr>
        <w:t>3</w:t>
      </w:r>
      <w:r w:rsidRPr="00FF5CE0">
        <w:t xml:space="preserve"> thin films, have shown that dynamic lattice oxygen exchange occurs during OER. Time-of-flight secondary ion mass spectrometry studies revealed that lattice oxygen exchange can affect the top 2 nm of the LaNiO</w:t>
      </w:r>
      <w:r w:rsidRPr="00FF5CE0">
        <w:rPr>
          <w:vertAlign w:val="subscript"/>
        </w:rPr>
        <w:t>3</w:t>
      </w:r>
      <w:r w:rsidRPr="00FF5CE0">
        <w:t xml:space="preserve"> films, though after OER the surface largely remained crystalline and in the perovskite phase. Grimaud et al.</w:t>
      </w:r>
      <w:r w:rsidRPr="00FF5CE0">
        <w:fldChar w:fldCharType="begin"/>
      </w:r>
      <w:r w:rsidR="00FC5BEB">
        <w:instrText xml:space="preserve"> ADDIN EN.CITE &lt;EndNote&gt;&lt;Cite&gt;&lt;Author&gt;Grimaud&lt;/Author&gt;&lt;Year&gt;2017&lt;/Year&gt;&lt;RecNum&gt;327&lt;/RecNum&gt;&lt;DisplayText&gt;&lt;style face="superscript"&gt;329&lt;/style&gt;&lt;/DisplayText&gt;&lt;record&gt;&lt;rec-number&gt;327&lt;/rec-number&gt;&lt;foreign-keys&gt;&lt;key app="EN" db-id="2xex0erf4eexr4e2dpbxpdd829xttesxxxdr" timestamp="1715075296"&gt;327&lt;/key&gt;&lt;/foreign-keys&gt;&lt;ref-type name="Journal Article"&gt;17&lt;/ref-type&gt;&lt;contributors&gt;&lt;authors&gt;&lt;author&gt;Grimaud, Alexis&lt;/author&gt;&lt;author&gt;Diaz-Morales, Oscar&lt;/author&gt;&lt;author&gt;Han, Binghong&lt;/author&gt;&lt;author&gt;Hong, Wesley T.&lt;/author&gt;&lt;author&gt;Lee, Yueh-Lin&lt;/author&gt;&lt;author&gt;Giordano, Livia&lt;/author&gt;&lt;author&gt;Stoerzinger, Kelsey A.&lt;/author&gt;&lt;author&gt;Koper, Marc T. M.&lt;/author&gt;&lt;author&gt;Shao-Horn, Yang&lt;/author&gt;&lt;/authors&gt;&lt;/contributors&gt;&lt;titles&gt;&lt;title&gt;Activating lattice oxygen redox reactions in metal oxides to catalyse oxygen evolution&lt;/title&gt;&lt;secondary-title&gt;Nat. Chem.&lt;/secondary-title&gt;&lt;/titles&gt;&lt;periodical&gt;&lt;full-title&gt;Nat. Chem.&lt;/full-title&gt;&lt;abbr-1&gt;Nat. Chem.&lt;/abbr-1&gt;&lt;/periodical&gt;&lt;pages&gt;457-465&lt;/pages&gt;&lt;volume&gt;9&lt;/volume&gt;&lt;number&gt;5&lt;/number&gt;&lt;dates&gt;&lt;year&gt;2017&lt;/year&gt;&lt;pub-dates&gt;&lt;date&gt;2017/05/01&lt;/date&gt;&lt;/pub-dates&gt;&lt;/dates&gt;&lt;isbn&gt;1755-4349&lt;/isbn&gt;&lt;urls&gt;&lt;related-urls&gt;&lt;url&gt;https://doi.org/10.1038/nchem.2695&lt;/url&gt;&lt;/related-urls&gt;&lt;/urls&gt;&lt;electronic-resource-num&gt;10.1038/nchem.2695&lt;/electronic-resource-num&gt;&lt;/record&gt;&lt;/Cite&gt;&lt;/EndNote&gt;</w:instrText>
      </w:r>
      <w:r w:rsidRPr="00FF5CE0">
        <w:fldChar w:fldCharType="separate"/>
      </w:r>
      <w:r w:rsidR="00FC5BEB" w:rsidRPr="00FC5BEB">
        <w:rPr>
          <w:noProof/>
          <w:vertAlign w:val="superscript"/>
        </w:rPr>
        <w:t>329</w:t>
      </w:r>
      <w:r w:rsidRPr="00FF5CE0">
        <w:fldChar w:fldCharType="end"/>
      </w:r>
      <w:r w:rsidRPr="00FF5CE0">
        <w:t xml:space="preserve"> using online electrochemical mass spectroscopy and isotope </w:t>
      </w:r>
      <w:r w:rsidR="002A09AD">
        <w:t>labeling</w:t>
      </w:r>
      <w:r w:rsidRPr="00FF5CE0">
        <w:t xml:space="preserve"> has found the indication of LOM with La</w:t>
      </w:r>
      <w:r w:rsidRPr="00FF5CE0">
        <w:rPr>
          <w:vertAlign w:val="subscript"/>
        </w:rPr>
        <w:t>0.5</w:t>
      </w:r>
      <w:r w:rsidRPr="00FF5CE0">
        <w:t>Sr</w:t>
      </w:r>
      <w:r w:rsidRPr="00FF5CE0">
        <w:rPr>
          <w:vertAlign w:val="subscript"/>
        </w:rPr>
        <w:t>0.5</w:t>
      </w:r>
      <w:r w:rsidRPr="00FF5CE0">
        <w:t>CoO</w:t>
      </w:r>
      <w:r w:rsidRPr="00FF5CE0">
        <w:rPr>
          <w:vertAlign w:val="subscript"/>
        </w:rPr>
        <w:t>3−δ</w:t>
      </w:r>
      <w:r w:rsidRPr="00FF5CE0">
        <w:t>, Pr</w:t>
      </w:r>
      <w:r w:rsidRPr="00FF5CE0">
        <w:rPr>
          <w:vertAlign w:val="subscript"/>
        </w:rPr>
        <w:t>0.5</w:t>
      </w:r>
      <w:r w:rsidRPr="00FF5CE0">
        <w:t>Ba</w:t>
      </w:r>
      <w:r w:rsidRPr="00FF5CE0">
        <w:rPr>
          <w:vertAlign w:val="subscript"/>
        </w:rPr>
        <w:t>0.5</w:t>
      </w:r>
      <w:r w:rsidRPr="00FF5CE0">
        <w:t>CoO</w:t>
      </w:r>
      <w:r w:rsidRPr="00FF5CE0">
        <w:rPr>
          <w:vertAlign w:val="subscript"/>
        </w:rPr>
        <w:t>3−δ</w:t>
      </w:r>
      <w:r w:rsidRPr="00FF5CE0">
        <w:t xml:space="preserve"> and SrCoO</w:t>
      </w:r>
      <w:r w:rsidRPr="00FF5CE0">
        <w:rPr>
          <w:vertAlign w:val="subscript"/>
        </w:rPr>
        <w:t>3−δ</w:t>
      </w:r>
      <w:r w:rsidRPr="00FF5CE0">
        <w:t xml:space="preserve"> , but not with LaCoO</w:t>
      </w:r>
      <w:r w:rsidRPr="00FF5CE0">
        <w:rPr>
          <w:vertAlign w:val="subscript"/>
        </w:rPr>
        <w:t>3</w:t>
      </w:r>
      <w:r w:rsidRPr="00FF5CE0">
        <w:t>.</w:t>
      </w:r>
    </w:p>
    <w:p w14:paraId="7BAE93B5" w14:textId="77777777" w:rsidR="00FF5CE0" w:rsidRPr="00FF5CE0" w:rsidRDefault="00FF5CE0" w:rsidP="00FF5CE0"/>
    <w:p w14:paraId="736585E8" w14:textId="36D277CF" w:rsidR="00FF5CE0" w:rsidRPr="00FF5CE0" w:rsidRDefault="00FF5CE0" w:rsidP="00FF5CE0">
      <w:pPr>
        <w:ind w:firstLine="720"/>
      </w:pPr>
      <w:r w:rsidRPr="00FF5CE0">
        <w:t xml:space="preserve">A number of studies noted that the pH dependence of the OER on the pH dependent RHE can help elucidate the importance of decoupled PCET steps in the mechanism. When the OER activity turns out to be pH independent of the RHE scale, this points to a rate-determining step that involves concerted proton–electron transfer. Conversely, a pH dependence on the RHE scale points to a mechanism with decoupled proton and electron transfer step being an important step in the OER mechanism. As we have seen, up to now in CHE we considered PCET steps with the water nucleophilic attack mechanism. Hence, it may not come as a surprise that a pH dependent OER on the RHE scale is often interpreted as a departure from this water nucleophilic attack mechanism and is argued to support the LOM. In support of the </w:t>
      </w:r>
      <w:r w:rsidR="002A09AD">
        <w:t>labeled</w:t>
      </w:r>
      <w:r w:rsidRPr="00FF5CE0">
        <w:t xml:space="preserve"> O</w:t>
      </w:r>
      <w:r w:rsidRPr="00FF5CE0">
        <w:rPr>
          <w:vertAlign w:val="subscript"/>
        </w:rPr>
        <w:t>2</w:t>
      </w:r>
      <w:r w:rsidRPr="00FF5CE0">
        <w:t xml:space="preserve"> produced with La</w:t>
      </w:r>
      <w:r w:rsidRPr="00FF5CE0">
        <w:rPr>
          <w:vertAlign w:val="subscript"/>
        </w:rPr>
        <w:t>0.5</w:t>
      </w:r>
      <w:r w:rsidRPr="00FF5CE0">
        <w:t>Sr</w:t>
      </w:r>
      <w:r w:rsidRPr="00FF5CE0">
        <w:rPr>
          <w:vertAlign w:val="subscript"/>
        </w:rPr>
        <w:t>0.5</w:t>
      </w:r>
      <w:r w:rsidRPr="00FF5CE0">
        <w:t>CoO</w:t>
      </w:r>
      <w:r w:rsidRPr="00FF5CE0">
        <w:rPr>
          <w:vertAlign w:val="subscript"/>
        </w:rPr>
        <w:t>3−δ</w:t>
      </w:r>
      <w:r w:rsidRPr="00FF5CE0">
        <w:t>, Pr</w:t>
      </w:r>
      <w:r w:rsidRPr="00FF5CE0">
        <w:rPr>
          <w:vertAlign w:val="subscript"/>
        </w:rPr>
        <w:t>0.5</w:t>
      </w:r>
      <w:r w:rsidRPr="00FF5CE0">
        <w:t>Ba</w:t>
      </w:r>
      <w:r w:rsidRPr="00FF5CE0">
        <w:rPr>
          <w:vertAlign w:val="subscript"/>
        </w:rPr>
        <w:t>0.5</w:t>
      </w:r>
      <w:r w:rsidRPr="00FF5CE0">
        <w:t>CoO</w:t>
      </w:r>
      <w:r w:rsidRPr="00FF5CE0">
        <w:rPr>
          <w:vertAlign w:val="subscript"/>
        </w:rPr>
        <w:t>3−δ</w:t>
      </w:r>
      <w:r w:rsidRPr="00FF5CE0">
        <w:t xml:space="preserve"> and SrCoO</w:t>
      </w:r>
      <w:r w:rsidRPr="00FF5CE0">
        <w:rPr>
          <w:vertAlign w:val="subscript"/>
        </w:rPr>
        <w:t>3−δ</w:t>
      </w:r>
      <w:r w:rsidRPr="00FF5CE0">
        <w:t>, but not with LaCoO</w:t>
      </w:r>
      <w:r w:rsidRPr="00FF5CE0">
        <w:rPr>
          <w:vertAlign w:val="subscript"/>
        </w:rPr>
        <w:t>3</w:t>
      </w:r>
      <w:r w:rsidRPr="00FF5CE0">
        <w:t>, Grimaud et al.</w:t>
      </w:r>
      <w:r w:rsidRPr="00FF5CE0">
        <w:fldChar w:fldCharType="begin"/>
      </w:r>
      <w:r w:rsidR="00FC5BEB">
        <w:instrText xml:space="preserve"> ADDIN EN.CITE &lt;EndNote&gt;&lt;Cite&gt;&lt;Author&gt;Grimaud&lt;/Author&gt;&lt;Year&gt;2017&lt;/Year&gt;&lt;RecNum&gt;327&lt;/RecNum&gt;&lt;DisplayText&gt;&lt;style face="superscript"&gt;329&lt;/style&gt;&lt;/DisplayText&gt;&lt;record&gt;&lt;rec-number&gt;327&lt;/rec-number&gt;&lt;foreign-keys&gt;&lt;key app="EN" db-id="2xex0erf4eexr4e2dpbxpdd829xttesxxxdr" timestamp="1715075296"&gt;327&lt;/key&gt;&lt;/foreign-keys&gt;&lt;ref-type name="Journal Article"&gt;17&lt;/ref-type&gt;&lt;contributors&gt;&lt;authors&gt;&lt;author&gt;Grimaud, Alexis&lt;/author&gt;&lt;author&gt;Diaz-Morales, Oscar&lt;/author&gt;&lt;author&gt;Han, Binghong&lt;/author&gt;&lt;author&gt;Hong, Wesley T.&lt;/author&gt;&lt;author&gt;Lee, Yueh-Lin&lt;/author&gt;&lt;author&gt;Giordano, Livia&lt;/author&gt;&lt;author&gt;Stoerzinger, Kelsey A.&lt;/author&gt;&lt;author&gt;Koper, Marc T. M.&lt;/author&gt;&lt;author&gt;Shao-Horn, Yang&lt;/author&gt;&lt;/authors&gt;&lt;/contributors&gt;&lt;titles&gt;&lt;title&gt;Activating lattice oxygen redox reactions in metal oxides to catalyse oxygen evolution&lt;/title&gt;&lt;secondary-title&gt;Nat. Chem.&lt;/secondary-title&gt;&lt;/titles&gt;&lt;periodical&gt;&lt;full-title&gt;Nat. Chem.&lt;/full-title&gt;&lt;abbr-1&gt;Nat. Chem.&lt;/abbr-1&gt;&lt;/periodical&gt;&lt;pages&gt;457-465&lt;/pages&gt;&lt;volume&gt;9&lt;/volume&gt;&lt;number&gt;5&lt;/number&gt;&lt;dates&gt;&lt;year&gt;2017&lt;/year&gt;&lt;pub-dates&gt;&lt;date&gt;2017/05/01&lt;/date&gt;&lt;/pub-dates&gt;&lt;/dates&gt;&lt;isbn&gt;1755-4349&lt;/isbn&gt;&lt;urls&gt;&lt;related-urls&gt;&lt;url&gt;https://doi.org/10.1038/nchem.2695&lt;/url&gt;&lt;/related-urls&gt;&lt;/urls&gt;&lt;electronic-resource-num&gt;10.1038/nchem.2695&lt;/electronic-resource-num&gt;&lt;/record&gt;&lt;/Cite&gt;&lt;/EndNote&gt;</w:instrText>
      </w:r>
      <w:r w:rsidRPr="00FF5CE0">
        <w:fldChar w:fldCharType="separate"/>
      </w:r>
      <w:r w:rsidR="00FC5BEB" w:rsidRPr="00FC5BEB">
        <w:rPr>
          <w:noProof/>
          <w:vertAlign w:val="superscript"/>
        </w:rPr>
        <w:t>329</w:t>
      </w:r>
      <w:r w:rsidRPr="00FF5CE0">
        <w:fldChar w:fldCharType="end"/>
      </w:r>
      <w:r w:rsidRPr="00FF5CE0">
        <w:t xml:space="preserve"> found pH dependent OER kinetics with the former three perovskites and pH-independence with LaCoO</w:t>
      </w:r>
      <w:r w:rsidRPr="00FF5CE0">
        <w:rPr>
          <w:vertAlign w:val="subscript"/>
        </w:rPr>
        <w:t>3</w:t>
      </w:r>
      <w:r w:rsidRPr="00FF5CE0">
        <w:t>.</w:t>
      </w:r>
    </w:p>
    <w:p w14:paraId="18CEF890" w14:textId="77777777" w:rsidR="00FF5CE0" w:rsidRPr="00FF5CE0" w:rsidRDefault="00FF5CE0" w:rsidP="00FF5CE0"/>
    <w:p w14:paraId="572279B6" w14:textId="108F83B1" w:rsidR="00FF5CE0" w:rsidRPr="00FF5CE0" w:rsidRDefault="00FF5CE0" w:rsidP="00FF5CE0">
      <w:pPr>
        <w:ind w:firstLine="720"/>
      </w:pPr>
      <w:r w:rsidRPr="00FF5CE0">
        <w:t xml:space="preserve">An interesting approach to prove oxygen exchange between catalyst and electrolyte is by combining </w:t>
      </w:r>
      <w:r w:rsidRPr="00FF5CE0">
        <w:rPr>
          <w:vertAlign w:val="superscript"/>
        </w:rPr>
        <w:t>18</w:t>
      </w:r>
      <w:r w:rsidRPr="00FF5CE0">
        <w:t>O-labeling experiments with in situ Raman spectroscopy with ultrathin layered double hydroxide (LDH) samples.</w:t>
      </w:r>
      <w:r w:rsidRPr="00FF5CE0">
        <w:fldChar w:fldCharType="begin"/>
      </w:r>
      <w:r w:rsidR="00FC5BEB">
        <w:instrText xml:space="preserve"> ADDIN EN.CITE &lt;EndNote&gt;&lt;Cite&gt;&lt;Author&gt;Lee&lt;/Author&gt;&lt;Year&gt;2019&lt;/Year&gt;&lt;RecNum&gt;332&lt;/RecNum&gt;&lt;DisplayText&gt;&lt;style face="superscript"&gt;334&lt;/style&gt;&lt;/DisplayText&gt;&lt;record&gt;&lt;rec-number&gt;332&lt;/rec-number&gt;&lt;foreign-keys&gt;&lt;key app="EN" db-id="2xex0erf4eexr4e2dpbxpdd829xttesxxxdr" timestamp="1715075296"&gt;332&lt;/key&gt;&lt;/foreign-keys&gt;&lt;ref-type name="Journal Article"&gt;17&lt;/ref-type&gt;&lt;contributors&gt;&lt;authors&gt;&lt;author&gt;Lee, Seunghwa&lt;/author&gt;&lt;author&gt;Banjac, Karla&lt;/author&gt;&lt;author&gt;Lingenfelder, Magalí&lt;/author&gt;&lt;author&gt;Hu, Xile&lt;/author&gt;&lt;/authors&gt;&lt;/contributors&gt;&lt;titles&gt;&lt;title&gt;Oxygen Isotope Labeling Experiments Reveal Different Reaction Sites for the Oxygen Evolution Reaction on Nickel and Nickel Iron Oxides&lt;/title&gt;&lt;secondary-title&gt;Angewandte Chemie International Edition&lt;/secondary-title&gt;&lt;/titles&gt;&lt;periodical&gt;&lt;full-title&gt;Angewandte Chemie International Edition&lt;/full-title&gt;&lt;abbr-1&gt;Angew. Chem. Int. Ed.&lt;/abbr-1&gt;&lt;abbr-2&gt;Angew Chem Int Ed&lt;/abbr-2&gt;&lt;/periodical&gt;&lt;pages&gt;10295-10299&lt;/pages&gt;&lt;volume&gt;58&lt;/volume&gt;&lt;number&gt;30&lt;/number&gt;&lt;dates&gt;&lt;year&gt;2019&lt;/year&gt;&lt;/dates&gt;&lt;isbn&gt;1433-7851&lt;/isbn&gt;&lt;urls&gt;&lt;related-urls&gt;&lt;url&gt;https://onlinelibrary.wiley.com/doi/abs/10.1002/anie.201903200&lt;/url&gt;&lt;/related-urls&gt;&lt;/urls&gt;&lt;electronic-resource-num&gt;https://doi.org/10.1002/anie.201903200&lt;/electronic-resource-num&gt;&lt;/record&gt;&lt;/Cite&gt;&lt;/EndNote&gt;</w:instrText>
      </w:r>
      <w:r w:rsidRPr="00FF5CE0">
        <w:fldChar w:fldCharType="separate"/>
      </w:r>
      <w:r w:rsidR="00FC5BEB" w:rsidRPr="00FC5BEB">
        <w:rPr>
          <w:noProof/>
          <w:vertAlign w:val="superscript"/>
        </w:rPr>
        <w:t>334</w:t>
      </w:r>
      <w:r w:rsidRPr="00FF5CE0">
        <w:fldChar w:fldCharType="end"/>
      </w:r>
      <w:r w:rsidRPr="00FF5CE0">
        <w:t xml:space="preserve"> By preparing </w:t>
      </w:r>
      <w:r w:rsidR="002A09AD">
        <w:t>labeled</w:t>
      </w:r>
      <w:r w:rsidRPr="00FF5CE0">
        <w:t xml:space="preserve"> catalysts and using unlabeled electrolyte (and vice versa), isotope shifts of various bending and stretching vibrations could be followed in situ. As-synthesized samples of the Ni, </w:t>
      </w:r>
      <w:proofErr w:type="spellStart"/>
      <w:r w:rsidRPr="00FF5CE0">
        <w:t>NiCo</w:t>
      </w:r>
      <w:proofErr w:type="spellEnd"/>
      <w:r w:rsidRPr="00FF5CE0">
        <w:t xml:space="preserve">, and </w:t>
      </w:r>
      <w:proofErr w:type="spellStart"/>
      <w:r w:rsidRPr="00FF5CE0">
        <w:t>NiFe</w:t>
      </w:r>
      <w:proofErr w:type="spellEnd"/>
      <w:r w:rsidRPr="00FF5CE0">
        <w:t xml:space="preserve"> LDHs at open circuit potential, where the Ni ions were in the hydroxide form </w:t>
      </w:r>
      <w:proofErr w:type="gramStart"/>
      <w:r w:rsidRPr="00FF5CE0">
        <w:t>Ni(</w:t>
      </w:r>
      <w:proofErr w:type="gramEnd"/>
      <w:r w:rsidRPr="00FF5CE0">
        <w:t xml:space="preserve">II), were able to exchange lattice O. However, once the Ni ions were oxidized to </w:t>
      </w:r>
      <w:proofErr w:type="gramStart"/>
      <w:r w:rsidRPr="00FF5CE0">
        <w:t>Ni(</w:t>
      </w:r>
      <w:proofErr w:type="gramEnd"/>
      <w:r w:rsidRPr="00FF5CE0">
        <w:t xml:space="preserve">III), only Ni and </w:t>
      </w:r>
      <w:proofErr w:type="spellStart"/>
      <w:r w:rsidRPr="00FF5CE0">
        <w:t>NiCo</w:t>
      </w:r>
      <w:proofErr w:type="spellEnd"/>
      <w:r w:rsidRPr="00FF5CE0">
        <w:t xml:space="preserve"> LDHs were able to exchange their lattice O atoms through the OER, whereas the </w:t>
      </w:r>
      <w:proofErr w:type="spellStart"/>
      <w:r w:rsidRPr="00FF5CE0">
        <w:t>NiFe</w:t>
      </w:r>
      <w:proofErr w:type="spellEnd"/>
      <w:r w:rsidRPr="00FF5CE0">
        <w:t xml:space="preserve"> and </w:t>
      </w:r>
      <w:proofErr w:type="spellStart"/>
      <w:r w:rsidRPr="00FF5CE0">
        <w:t>NiCoFe</w:t>
      </w:r>
      <w:proofErr w:type="spellEnd"/>
      <w:r w:rsidRPr="00FF5CE0">
        <w:t xml:space="preserve"> LDHs could no longer exchange their lattice O atoms with the electrolyte. All these samples exhibited pH dependent OER, also the Fe-containing LDHs, which indicates that the correlation between pH dependence and LOM may not be universal.</w:t>
      </w:r>
    </w:p>
    <w:p w14:paraId="60A42D4E" w14:textId="77777777" w:rsidR="00FF5CE0" w:rsidRPr="00FF5CE0" w:rsidRDefault="00FF5CE0" w:rsidP="00FF5CE0"/>
    <w:p w14:paraId="156B02A6" w14:textId="566F1041" w:rsidR="00FF5CE0" w:rsidRPr="00FF5CE0" w:rsidRDefault="00FF5CE0" w:rsidP="00FF5CE0">
      <w:pPr>
        <w:ind w:firstLine="720"/>
      </w:pPr>
      <w:r w:rsidRPr="00FF5CE0">
        <w:t>For La</w:t>
      </w:r>
      <w:r w:rsidRPr="00FF5CE0">
        <w:rPr>
          <w:vertAlign w:val="subscript"/>
        </w:rPr>
        <w:t>1-x</w:t>
      </w:r>
      <w:r w:rsidRPr="00FF5CE0">
        <w:t>Sr</w:t>
      </w:r>
      <w:r w:rsidRPr="00FF5CE0">
        <w:rPr>
          <w:vertAlign w:val="subscript"/>
        </w:rPr>
        <w:t>x</w:t>
      </w:r>
      <w:r w:rsidRPr="00FF5CE0">
        <w:t>CoO</w:t>
      </w:r>
      <w:r w:rsidRPr="00FF5CE0">
        <w:rPr>
          <w:vertAlign w:val="subscript"/>
        </w:rPr>
        <w:t>3−δ</w:t>
      </w:r>
      <w:r w:rsidRPr="00FF5CE0">
        <w:t xml:space="preserve"> samples (</w:t>
      </w:r>
      <m:oMath>
        <m:r>
          <w:rPr>
            <w:rFonts w:ascii="Cambria Math" w:hAnsi="Cambria Math"/>
          </w:rPr>
          <m:t>0 ≤x≤1)</m:t>
        </m:r>
      </m:oMath>
      <w:r w:rsidRPr="00FF5CE0">
        <w:t>, Mefford et al.</w:t>
      </w:r>
      <w:r w:rsidRPr="00FF5CE0">
        <w:fldChar w:fldCharType="begin"/>
      </w:r>
      <w:r w:rsidR="00FC5BEB">
        <w:instrText xml:space="preserve"> ADDIN EN.CITE &lt;EndNote&gt;&lt;Cite&gt;&lt;Author&gt;Mefford&lt;/Author&gt;&lt;Year&gt;2016&lt;/Year&gt;&lt;RecNum&gt;325&lt;/RecNum&gt;&lt;DisplayText&gt;&lt;style face="superscript"&gt;327&lt;/style&gt;&lt;/DisplayText&gt;&lt;record&gt;&lt;rec-number&gt;325&lt;/rec-number&gt;&lt;foreign-keys&gt;&lt;key app="EN" db-id="2xex0erf4eexr4e2dpbxpdd829xttesxxxdr" timestamp="1715075296"&gt;325&lt;/key&gt;&lt;/foreign-keys&gt;&lt;ref-type name="Journal Article"&gt;17&lt;/ref-type&gt;&lt;contributors&gt;&lt;authors&gt;&lt;author&gt;Mefford, J. Tyler&lt;/author&gt;&lt;author&gt;Rong, Xi&lt;/author&gt;&lt;author&gt;Abakumov, Artem M.&lt;/author&gt;&lt;author&gt;Hardin, William G.&lt;/author&gt;&lt;author&gt;Dai, Sheng&lt;/author&gt;&lt;author&gt;Kolpak, Alexie M.&lt;/author&gt;&lt;author&gt;Johnston, Keith P.&lt;/author&gt;&lt;author&gt;Stevenson, Keith J.&lt;/author&gt;&lt;/authors&gt;&lt;/contributors&gt;&lt;titles&gt;&lt;title&gt;Water electrolysis on La1−xSrxCoO3−δ perovskite electrocatalysts&lt;/title&gt;&lt;secondary-title&gt;Nat. Commun.&lt;/secondary-title&gt;&lt;/titles&gt;&lt;periodical&gt;&lt;full-title&gt;Nat. Commun.&lt;/full-title&gt;&lt;abbr-1&gt;Nat. Commun.&lt;/abbr-1&gt;&lt;/periodical&gt;&lt;pages&gt;11053&lt;/pages&gt;&lt;volume&gt;7&lt;/volume&gt;&lt;number&gt;1&lt;/number&gt;&lt;dates&gt;&lt;year&gt;2016&lt;/year&gt;&lt;pub-dates&gt;&lt;date&gt;2016/03/23&lt;/date&gt;&lt;/pub-dates&gt;&lt;/dates&gt;&lt;isbn&gt;2041-1723&lt;/isbn&gt;&lt;urls&gt;&lt;related-urls&gt;&lt;url&gt;https://doi.org/10.1038/ncomms11053&lt;/url&gt;&lt;/related-urls&gt;&lt;/urls&gt;&lt;electronic-resource-num&gt;10.1038/ncomms11053&lt;/electronic-resource-num&gt;&lt;/record&gt;&lt;/Cite&gt;&lt;/EndNote&gt;</w:instrText>
      </w:r>
      <w:r w:rsidRPr="00FF5CE0">
        <w:fldChar w:fldCharType="separate"/>
      </w:r>
      <w:r w:rsidR="00FC5BEB" w:rsidRPr="00FC5BEB">
        <w:rPr>
          <w:noProof/>
          <w:vertAlign w:val="superscript"/>
        </w:rPr>
        <w:t>327</w:t>
      </w:r>
      <w:r w:rsidRPr="00FF5CE0">
        <w:fldChar w:fldCharType="end"/>
      </w:r>
      <w:r w:rsidRPr="00FF5CE0">
        <w:t xml:space="preserve"> observed a strong linear correlation between the OER activity and both the vacancy concentration, δ, and the oxygen diffusion rate. Since these parameters should not be of importance for the water nucleophilic attack mechanism, the authors invoked a lattice oxygen mediated OER mechanism. In the following we discuss this mechanism and its variants from the CHE perspective.</w:t>
      </w:r>
    </w:p>
    <w:p w14:paraId="455150B4" w14:textId="77777777" w:rsidR="00FF5CE0" w:rsidRPr="00FF5CE0" w:rsidRDefault="00FF5CE0" w:rsidP="00FF5CE0"/>
    <w:p w14:paraId="22300EE2" w14:textId="68654B51" w:rsidR="00DE45A7" w:rsidRDefault="00FF5CE0" w:rsidP="00FF5CE0">
      <w:r w:rsidRPr="00FF5CE0">
        <w:tab/>
        <w:t xml:space="preserve">The first use of CHE to identify lattice redox mechanisms appears to have been in Ref. </w:t>
      </w:r>
      <w:r w:rsidRPr="00FF5CE0">
        <w:fldChar w:fldCharType="begin"/>
      </w:r>
      <w:r w:rsidR="00FC5BEB">
        <w:instrText xml:space="preserve"> ADDIN EN.CITE &lt;EndNote&gt;&lt;Cite&gt;&lt;Author&gt;Rong&lt;/Author&gt;&lt;Year&gt;2016&lt;/Year&gt;&lt;RecNum&gt;322&lt;/RecNum&gt;&lt;DisplayText&gt;&lt;style face="superscript"&gt;324&lt;/style&gt;&lt;/DisplayText&gt;&lt;record&gt;&lt;rec-number&gt;322&lt;/rec-number&gt;&lt;foreign-keys&gt;&lt;key app="EN" db-id="2xex0erf4eexr4e2dpbxpdd829xttesxxxdr" timestamp="1715075296"&gt;322&lt;/key&gt;&lt;/foreign-keys&gt;&lt;ref-type name="Journal Article"&gt;17&lt;/ref-type&gt;&lt;contributors&gt;&lt;authors&gt;&lt;author&gt;Rong, Xi&lt;/author&gt;&lt;author&gt;Parolin, Jules&lt;/author&gt;&lt;author&gt;Kolpak, Alexie M.&lt;/author&gt;&lt;/authors&gt;&lt;/contributors&gt;&lt;titles&gt;&lt;title&gt;A Fundamental Relationship between Reaction Mechanism and Stability in Metal Oxide Catalysts for Oxygen Evolution&lt;/title&gt;&lt;secondary-title&gt;ACS Catal.&lt;/secondary-title&gt;&lt;/titles&gt;&lt;periodical&gt;&lt;full-title&gt;ACS Catal.&lt;/full-title&gt;&lt;/periodical&gt;&lt;pages&gt;1153-1158&lt;/pages&gt;&lt;volume&gt;6&lt;/volume&gt;&lt;number&gt;2&lt;/number&gt;&lt;dates&gt;&lt;year&gt;2016&lt;/year&gt;&lt;pub-dates&gt;&lt;date&gt;2016/02/05&lt;/date&gt;&lt;/pub-dates&gt;&lt;/dates&gt;&lt;publisher&gt;American Chemical Society&lt;/publisher&gt;&lt;urls&gt;&lt;related-urls&gt;&lt;url&gt;https://doi.org/10.1021/acscatal.5b02432&lt;/url&gt;&lt;/related-urls&gt;&lt;/urls&gt;&lt;electronic-resource-num&gt;10.1021/acscatal.5b02432&lt;/electronic-resource-num&gt;&lt;/record&gt;&lt;/Cite&gt;&lt;/EndNote&gt;</w:instrText>
      </w:r>
      <w:r w:rsidRPr="00FF5CE0">
        <w:fldChar w:fldCharType="separate"/>
      </w:r>
      <w:r w:rsidR="00FC5BEB" w:rsidRPr="00FC5BEB">
        <w:rPr>
          <w:noProof/>
          <w:vertAlign w:val="superscript"/>
        </w:rPr>
        <w:t>324</w:t>
      </w:r>
      <w:r w:rsidRPr="00FF5CE0">
        <w:fldChar w:fldCharType="end"/>
      </w:r>
      <w:r w:rsidRPr="00FF5CE0">
        <w:t xml:space="preserve">, though various authors incorrectly attribute the finding to Refs. </w:t>
      </w:r>
      <w:r w:rsidRPr="00FF5CE0">
        <w:fldChar w:fldCharType="begin">
          <w:fldData xml:space="preserve">PEVuZE5vdGU+PENpdGU+PEF1dGhvcj5NZWZmb3JkPC9BdXRob3I+PFllYXI+MjAxNjwvWWVhcj48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</w:fldData>
        </w:fldChar>
      </w:r>
      <w:r w:rsidR="00FC5BEB">
        <w:instrText xml:space="preserve"> ADDIN EN.CITE </w:instrText>
      </w:r>
      <w:r w:rsidR="00FC5BEB">
        <w:fldChar w:fldCharType="begin">
          <w:fldData xml:space="preserve">PEVuZE5vdGU+PENpdGU+PEF1dGhvcj5NZWZmb3JkPC9BdXRob3I+PFllYXI+MjAxNjwvWWVhcj48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327, 329, 335</w:t>
      </w:r>
      <w:r w:rsidRPr="00FF5CE0">
        <w:fldChar w:fldCharType="end"/>
      </w:r>
      <w:r w:rsidRPr="00FF5CE0">
        <w:t xml:space="preserve">. In Ref. </w:t>
      </w:r>
      <w:r w:rsidRPr="00FF5CE0">
        <w:fldChar w:fldCharType="begin"/>
      </w:r>
      <w:r w:rsidR="00FC5BEB">
        <w:instrText xml:space="preserve"> ADDIN EN.CITE &lt;EndNote&gt;&lt;Cite&gt;&lt;Author&gt;Rong&lt;/Author&gt;&lt;Year&gt;2016&lt;/Year&gt;&lt;RecNum&gt;322&lt;/RecNum&gt;&lt;DisplayText&gt;&lt;style face="superscript"&gt;324&lt;/style&gt;&lt;/DisplayText&gt;&lt;record&gt;&lt;rec-number&gt;322&lt;/rec-number&gt;&lt;foreign-keys&gt;&lt;key app="EN" db-id="2xex0erf4eexr4e2dpbxpdd829xttesxxxdr" timestamp="1715075296"&gt;322&lt;/key&gt;&lt;/foreign-keys&gt;&lt;ref-type name="Journal Article"&gt;17&lt;/ref-type&gt;&lt;contributors&gt;&lt;authors&gt;&lt;author&gt;Rong, Xi&lt;/author&gt;&lt;author&gt;Parolin, Jules&lt;/author&gt;&lt;author&gt;Kolpak, Alexie M.&lt;/author&gt;&lt;/authors&gt;&lt;/contributors&gt;&lt;titles&gt;&lt;title&gt;A Fundamental Relationship between Reaction Mechanism and Stability in Metal Oxide Catalysts for Oxygen Evolution&lt;/title&gt;&lt;secondary-title&gt;ACS Catal.&lt;/secondary-title&gt;&lt;/titles&gt;&lt;periodical&gt;&lt;full-title&gt;ACS Catal.&lt;/full-title&gt;&lt;/periodical&gt;&lt;pages&gt;1153-1158&lt;/pages&gt;&lt;volume&gt;6&lt;/volume&gt;&lt;number&gt;2&lt;/number&gt;&lt;dates&gt;&lt;year&gt;2016&lt;/year&gt;&lt;pub-dates&gt;&lt;date&gt;2016/02/05&lt;/date&gt;&lt;/pub-dates&gt;&lt;/dates&gt;&lt;publisher&gt;American Chemical Society&lt;/publisher&gt;&lt;urls&gt;&lt;related-urls&gt;&lt;url&gt;https://doi.org/10.1021/acscatal.5b02432&lt;/url&gt;&lt;/related-urls&gt;&lt;/urls&gt;&lt;electronic-resource-num&gt;10.1021/acscatal.5b02432&lt;/electronic-resource-num&gt;&lt;/record&gt;&lt;/Cite&gt;&lt;/EndNote&gt;</w:instrText>
      </w:r>
      <w:r w:rsidRPr="00FF5CE0">
        <w:fldChar w:fldCharType="separate"/>
      </w:r>
      <w:r w:rsidR="00FC5BEB" w:rsidRPr="00FC5BEB">
        <w:rPr>
          <w:noProof/>
          <w:vertAlign w:val="superscript"/>
        </w:rPr>
        <w:t>324</w:t>
      </w:r>
      <w:r w:rsidRPr="00FF5CE0">
        <w:fldChar w:fldCharType="end"/>
      </w:r>
      <w:r w:rsidRPr="00FF5CE0">
        <w:t xml:space="preserve"> the authors were </w:t>
      </w:r>
      <w:r w:rsidR="00E80B8B">
        <w:t>motivated</w:t>
      </w:r>
      <w:r w:rsidR="00E80B8B" w:rsidRPr="00FF5CE0">
        <w:t xml:space="preserve"> </w:t>
      </w:r>
      <w:r w:rsidRPr="00FF5CE0">
        <w:t xml:space="preserve">to explain the activity of perovskite-based catalysts that appeared to fall outside the scope of a popular a molecular orbital-based descriptor; that descriptor points out that the peak in OER activity should occur at an </w:t>
      </w:r>
      <w:proofErr w:type="spellStart"/>
      <w:r w:rsidRPr="00FF5CE0">
        <w:rPr>
          <w:i/>
          <w:iCs/>
        </w:rPr>
        <w:t>e</w:t>
      </w:r>
      <w:r w:rsidRPr="00FF5CE0">
        <w:rPr>
          <w:vertAlign w:val="subscript"/>
        </w:rPr>
        <w:t>g</w:t>
      </w:r>
      <w:proofErr w:type="spellEnd"/>
      <w:r w:rsidRPr="00FF5CE0">
        <w:t xml:space="preserve"> occupation of one</w:t>
      </w:r>
      <w:r w:rsidRPr="00FF5CE0">
        <w:fldChar w:fldCharType="begin"/>
      </w:r>
      <w:r w:rsidR="00FC5BEB">
        <w:instrText xml:space="preserve"> ADDIN EN.CITE &lt;EndNote&gt;&lt;Cite&gt;&lt;Author&gt;Suntivich&lt;/Author&gt;&lt;Year&gt;2011&lt;/Year&gt;&lt;RecNum&gt;290&lt;/RecNum&gt;&lt;DisplayText&gt;&lt;style face="superscript"&gt;292&lt;/style&gt;&lt;/DisplayText&gt;&lt;record&gt;&lt;rec-number&gt;290&lt;/rec-number&gt;&lt;foreign-keys&gt;&lt;key app="EN" db-id="2xex0erf4eexr4e2dpbxpdd829xttesxxxdr" timestamp="1715075296"&gt;290&lt;/key&gt;&lt;/foreign-keys&gt;&lt;ref-type name="Journal Article"&gt;17&lt;/ref-type&gt;&lt;contributors&gt;&lt;authors&gt;&lt;author&gt;Suntivich, Jin&lt;/author&gt;&lt;author&gt;May, Kevin J.&lt;/author&gt;&lt;author&gt;Gasteiger, Hubert A.&lt;/author&gt;&lt;author&gt;Goodenough, John B.&lt;/author&gt;&lt;author&gt;Shao-Horn, Yang&lt;/author&gt;&lt;/authors&gt;&lt;/contributors&gt;&lt;titles&gt;&lt;title&gt;A Perovskite Oxide Optimized for Oxygen Evolution Catalysis from Molecular Orbital Principles&lt;/title&gt;&lt;secondary-title&gt;Science&lt;/secondary-title&gt;&lt;/titles&gt;&lt;periodical&gt;&lt;full-title&gt;Science&lt;/full-title&gt;&lt;abbr-1&gt;Science&lt;/abbr-1&gt;&lt;abbr-2&gt;Science&lt;/abbr-2&gt;&lt;/periodical&gt;&lt;pages&gt;1383-1385&lt;/pages&gt;&lt;volume&gt;334&lt;/volume&gt;&lt;number&gt;6061&lt;/number&gt;&lt;dates&gt;&lt;year&gt;2011&lt;/year&gt;&lt;/dates&gt;&lt;urls&gt;&lt;related-urls&gt;&lt;url&gt;https://www.science.org/doi/abs/10.1126/science.1212858&lt;/url&gt;&lt;/related-urls&gt;&lt;/urls&gt;&lt;electronic-resource-num&gt;doi:10.1126/science.1212858&lt;/electronic-resource-num&gt;&lt;/record&gt;&lt;/Cite&gt;&lt;/EndNote&gt;</w:instrText>
      </w:r>
      <w:r w:rsidRPr="00FF5CE0">
        <w:fldChar w:fldCharType="separate"/>
      </w:r>
      <w:r w:rsidR="00FC5BEB" w:rsidRPr="00FC5BEB">
        <w:rPr>
          <w:noProof/>
          <w:vertAlign w:val="superscript"/>
        </w:rPr>
        <w:t>292</w:t>
      </w:r>
      <w:r w:rsidRPr="00FF5CE0">
        <w:fldChar w:fldCharType="end"/>
      </w:r>
      <w:r w:rsidRPr="00FF5CE0">
        <w:t>. However, variable activity was known from experiment for perovskites with equal orbital occupations</w:t>
      </w:r>
      <w:r w:rsidRPr="00FF5CE0">
        <w:fldChar w:fldCharType="begin">
          <w:fldData xml:space="preserve">PEVuZE5vdGU+PENpdGU+PEF1dGhvcj5TdW50aXZpY2g8L0F1dGhvcj48WWVhcj4yMDExPC9ZZWFy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</w:fldData>
        </w:fldChar>
      </w:r>
      <w:r w:rsidR="00FC5BEB">
        <w:instrText xml:space="preserve"> ADDIN EN.CITE </w:instrText>
      </w:r>
      <w:r w:rsidR="00FC5BEB">
        <w:fldChar w:fldCharType="begin">
          <w:fldData xml:space="preserve">PEVuZE5vdGU+PENpdGU+PEF1dGhvcj5TdW50aXZpY2g8L0F1dGhvcj48WWVhcj4yMDExPC9ZZWFy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292, 336, 337</w:t>
      </w:r>
      <w:r w:rsidRPr="00FF5CE0">
        <w:fldChar w:fldCharType="end"/>
      </w:r>
      <w:r w:rsidRPr="00FF5CE0">
        <w:t xml:space="preserve">, at odds with the </w:t>
      </w:r>
      <w:proofErr w:type="spellStart"/>
      <w:r w:rsidRPr="00FF5CE0">
        <w:rPr>
          <w:i/>
          <w:iCs/>
        </w:rPr>
        <w:t>e</w:t>
      </w:r>
      <w:r w:rsidRPr="00FF5CE0">
        <w:rPr>
          <w:vertAlign w:val="subscript"/>
        </w:rPr>
        <w:t>g</w:t>
      </w:r>
      <w:proofErr w:type="spellEnd"/>
      <w:r w:rsidRPr="00FF5CE0">
        <w:t xml:space="preserve"> occupation argument. Experimentalists were ascribing these variations to the participation of lattice oxygen species</w:t>
      </w:r>
      <w:r w:rsidRPr="00FF5CE0">
        <w:fldChar w:fldCharType="begin">
          <w:fldData xml:space="preserve">PEVuZE5vdGU+PENpdGU+PEF1dGhvcj5IYXJkaW48L0F1dGhvcj48WWVhcj4yMDE0PC9ZZWFyPjxS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</w:fldData>
        </w:fldChar>
      </w:r>
      <w:r w:rsidR="00FC5BEB">
        <w:instrText xml:space="preserve"> ADDIN EN.CITE </w:instrText>
      </w:r>
      <w:r w:rsidR="00FC5BEB">
        <w:fldChar w:fldCharType="begin">
          <w:fldData xml:space="preserve">PEVuZE5vdGU+PENpdGU+PEF1dGhvcj5IYXJkaW48L0F1dGhvcj48WWVhcj4yMDE0PC9ZZWFyPjxS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325, 326</w:t>
      </w:r>
      <w:r w:rsidRPr="00FF5CE0">
        <w:fldChar w:fldCharType="end"/>
      </w:r>
      <w:r w:rsidRPr="00FF5CE0">
        <w:t>, as had been demonstrated for lanthanum nickelate</w:t>
      </w:r>
      <w:r w:rsidRPr="00FF5CE0">
        <w:fldChar w:fldCharType="begin"/>
      </w:r>
      <w:r w:rsidR="00FC5BEB">
        <w:instrText xml:space="preserve"> ADDIN EN.CITE &lt;EndNote&gt;&lt;Cite&gt;&lt;Author&gt;Bockris&lt;/Author&gt;&lt;Year&gt;1983&lt;/Year&gt;&lt;RecNum&gt;82&lt;/RecNum&gt;&lt;DisplayText&gt;&lt;style face="superscript"&gt;84&lt;/style&gt;&lt;/DisplayText&gt;&lt;record&gt;&lt;rec-number&gt;82&lt;/rec-number&gt;&lt;foreign-keys&gt;&lt;key app="EN" db-id="2xex0erf4eexr4e2dpbxpdd829xttesxxxdr" timestamp="1715075296"&gt;82&lt;/key&gt;&lt;/foreign-keys&gt;&lt;ref-type name="Journal Article"&gt;17&lt;/ref-type&gt;&lt;contributors&gt;&lt;authors&gt;&lt;author&gt;Bockris, John O&amp;apos;M&lt;/author&gt;&lt;author&gt;Otagawa, Takaaki&lt;/author&gt;&lt;/authors&gt;&lt;/contributors&gt;&lt;titles&gt;&lt;title&gt;Mechanism of oxygen evolution on perovskites&lt;/title&gt;&lt;secondary-title&gt;Journal of Physical Chemistry&lt;/secondary-title&gt;&lt;/titles&gt;&lt;periodical&gt;&lt;full-title&gt;Journal of Physical Chemistry&lt;/full-title&gt;&lt;abbr-1&gt;J. Phys. Chem.&lt;/abbr-1&gt;&lt;abbr-2&gt;J Phys Chem&lt;/abbr-2&gt;&lt;/periodical&gt;&lt;pages&gt;2960-2971&lt;/pages&gt;&lt;volume&gt;87&lt;/volume&gt;&lt;number&gt;15&lt;/number&gt;&lt;dates&gt;&lt;year&gt;1983&lt;/year&gt;&lt;pub-dates&gt;&lt;date&gt;1983/07/01&lt;/date&gt;&lt;/pub-dates&gt;&lt;/dates&gt;&lt;publisher&gt;American Chemical Society&lt;/publisher&gt;&lt;isbn&gt;0022-3654&lt;/isbn&gt;&lt;urls&gt;&lt;related-urls&gt;&lt;url&gt;https://doi.org/10.1021/j100238a048&lt;/url&gt;&lt;/related-urls&gt;&lt;/urls&gt;&lt;electronic-resource-num&gt;10.1021/j100238a048&lt;/electronic-resource-num&gt;&lt;/record&gt;&lt;/Cite&gt;&lt;/EndNote&gt;</w:instrText>
      </w:r>
      <w:r w:rsidRPr="00FF5CE0">
        <w:fldChar w:fldCharType="separate"/>
      </w:r>
      <w:r w:rsidR="00FC5BEB" w:rsidRPr="00FC5BEB">
        <w:rPr>
          <w:noProof/>
          <w:vertAlign w:val="superscript"/>
        </w:rPr>
        <w:t>84</w:t>
      </w:r>
      <w:r w:rsidRPr="00FF5CE0">
        <w:fldChar w:fldCharType="end"/>
      </w:r>
      <w:r w:rsidRPr="00FF5CE0">
        <w:t xml:space="preserve">. In Ref. </w:t>
      </w:r>
      <w:r w:rsidRPr="00FF5CE0">
        <w:fldChar w:fldCharType="begin"/>
      </w:r>
      <w:r w:rsidR="00FC5BEB">
        <w:instrText xml:space="preserve"> ADDIN EN.CITE &lt;EndNote&gt;&lt;Cite&gt;&lt;Author&gt;Rong&lt;/Author&gt;&lt;Year&gt;2016&lt;/Year&gt;&lt;RecNum&gt;322&lt;/RecNum&gt;&lt;DisplayText&gt;&lt;style face="superscript"&gt;324&lt;/style&gt;&lt;/DisplayText&gt;&lt;record&gt;&lt;rec-number&gt;322&lt;/rec-number&gt;&lt;foreign-keys&gt;&lt;key app="EN" db-id="2xex0erf4eexr4e2dpbxpdd829xttesxxxdr" timestamp="1715075296"&gt;322&lt;/key&gt;&lt;/foreign-keys&gt;&lt;ref-type name="Journal Article"&gt;17&lt;/ref-type&gt;&lt;contributors&gt;&lt;authors&gt;&lt;author&gt;Rong, Xi&lt;/author&gt;&lt;author&gt;Parolin, Jules&lt;/author&gt;&lt;author&gt;Kolpak, Alexie M.&lt;/author&gt;&lt;/authors&gt;&lt;/contributors&gt;&lt;titles&gt;&lt;title&gt;A Fundamental Relationship between Reaction Mechanism and Stability in Metal Oxide Catalysts for Oxygen Evolution&lt;/title&gt;&lt;secondary-title&gt;ACS Catal.&lt;/secondary-title&gt;&lt;/titles&gt;&lt;periodical&gt;&lt;full-title&gt;ACS Catal.&lt;/full-title&gt;&lt;/periodical&gt;&lt;pages&gt;1153-1158&lt;/pages&gt;&lt;volume&gt;6&lt;/volume&gt;&lt;number&gt;2&lt;/number&gt;&lt;dates&gt;&lt;year&gt;2016&lt;/year&gt;&lt;pub-dates&gt;&lt;date&gt;2016/02/05&lt;/date&gt;&lt;/pub-dates&gt;&lt;/dates&gt;&lt;publisher&gt;American Chemical Society&lt;/publisher&gt;&lt;urls&gt;&lt;related-urls&gt;&lt;url&gt;https://doi.org/10.1021/acscatal.5b02432&lt;/url&gt;&lt;/related-urls&gt;&lt;/urls&gt;&lt;electronic-resource-num&gt;10.1021/acscatal.5b02432&lt;/electronic-resource-num&gt;&lt;/record&gt;&lt;/Cite&gt;&lt;/EndNote&gt;</w:instrText>
      </w:r>
      <w:r w:rsidRPr="00FF5CE0">
        <w:fldChar w:fldCharType="separate"/>
      </w:r>
      <w:r w:rsidR="00FC5BEB" w:rsidRPr="00FC5BEB">
        <w:rPr>
          <w:noProof/>
          <w:vertAlign w:val="superscript"/>
        </w:rPr>
        <w:t>324</w:t>
      </w:r>
      <w:r w:rsidRPr="00FF5CE0">
        <w:fldChar w:fldCharType="end"/>
      </w:r>
      <w:r w:rsidRPr="00FF5CE0">
        <w:t>, however, the authors showed a lattice oxygen mechanism (LOM) is predicted from application of the CHE model to LaNiO</w:t>
      </w:r>
      <w:r w:rsidRPr="00FF5CE0">
        <w:rPr>
          <w:vertAlign w:val="subscript"/>
        </w:rPr>
        <w:t>3</w:t>
      </w:r>
      <w:r w:rsidRPr="00FF5CE0">
        <w:t xml:space="preserve">. They accomplished this by comparing the energetics for the OER via the typical single-site nucleophilic </w:t>
      </w:r>
      <w:r w:rsidR="009315A4">
        <w:t>attack</w:t>
      </w:r>
      <w:r w:rsidR="009315A4" w:rsidRPr="00FF5CE0">
        <w:t xml:space="preserve"> </w:t>
      </w:r>
      <w:r w:rsidRPr="004B35B6">
        <w:rPr>
          <w:szCs w:val="22"/>
        </w:rPr>
        <w:t xml:space="preserve">mechanism, </w:t>
      </w:r>
      <w:r w:rsidRPr="004B35B6">
        <w:rPr>
          <w:szCs w:val="22"/>
        </w:rPr>
        <w:fldChar w:fldCharType="begin"/>
      </w:r>
      <w:r w:rsidRPr="004B35B6">
        <w:rPr>
          <w:szCs w:val="22"/>
        </w:rPr>
        <w:instrText xml:space="preserve"> REF _Ref159510701 \h </w:instrText>
      </w:r>
      <w:r w:rsidR="004B35B6">
        <w:rPr>
          <w:szCs w:val="22"/>
        </w:rPr>
        <w:instrText xml:space="preserve"> \* MERGEFORMAT </w:instrText>
      </w:r>
      <w:r w:rsidRPr="004B35B6">
        <w:rPr>
          <w:szCs w:val="22"/>
        </w:rPr>
      </w:r>
      <w:r w:rsidRPr="004B35B6">
        <w:rPr>
          <w:szCs w:val="22"/>
        </w:rPr>
        <w:fldChar w:fldCharType="separate"/>
      </w:r>
      <w:r w:rsidR="00B52708" w:rsidRPr="00245F0C">
        <w:rPr>
          <w:szCs w:val="22"/>
        </w:rPr>
        <w:t xml:space="preserve">Equation </w:t>
      </w:r>
      <w:r w:rsidR="00B52708" w:rsidRPr="00245F0C">
        <w:rPr>
          <w:noProof/>
          <w:szCs w:val="22"/>
        </w:rPr>
        <w:t>42</w:t>
      </w:r>
      <w:r w:rsidRPr="004B35B6">
        <w:rPr>
          <w:szCs w:val="22"/>
        </w:rPr>
        <w:fldChar w:fldCharType="end"/>
      </w:r>
      <w:r>
        <w:t>-45</w:t>
      </w:r>
      <w:r w:rsidRPr="00FF5CE0">
        <w:t xml:space="preserve">, denoted the adsorbate evolution mechanism (AEM) in </w:t>
      </w:r>
      <w:r>
        <w:fldChar w:fldCharType="begin"/>
      </w:r>
      <w:r>
        <w:instrText xml:space="preserve"> REF _Ref159518126 \h </w:instrText>
      </w:r>
      <w:r>
        <w:fldChar w:fldCharType="separate"/>
      </w:r>
      <w:r w:rsidR="00B52708" w:rsidRPr="00FF5CE0">
        <w:rPr>
          <w:b/>
          <w:bCs/>
        </w:rPr>
        <w:t xml:space="preserve">Figure </w:t>
      </w:r>
      <w:r w:rsidR="00B52708">
        <w:rPr>
          <w:b/>
          <w:bCs/>
          <w:noProof/>
        </w:rPr>
        <w:t>21</w:t>
      </w:r>
      <w:r>
        <w:fldChar w:fldCharType="end"/>
      </w:r>
      <w:r w:rsidRPr="00967BAD">
        <w:rPr>
          <w:b/>
          <w:bCs/>
        </w:rPr>
        <w:t>a</w:t>
      </w:r>
      <w:r w:rsidRPr="00FF5CE0">
        <w:t xml:space="preserve">, with the LOM involving a single metal site in </w:t>
      </w:r>
      <w:r>
        <w:fldChar w:fldCharType="begin"/>
      </w:r>
      <w:r>
        <w:instrText xml:space="preserve"> REF _Ref159518126 \h </w:instrText>
      </w:r>
      <w:r>
        <w:fldChar w:fldCharType="separate"/>
      </w:r>
      <w:r w:rsidR="00B52708" w:rsidRPr="00FF5CE0">
        <w:rPr>
          <w:b/>
          <w:bCs/>
        </w:rPr>
        <w:t xml:space="preserve">Figure </w:t>
      </w:r>
      <w:r w:rsidR="00B52708">
        <w:rPr>
          <w:b/>
          <w:bCs/>
          <w:noProof/>
        </w:rPr>
        <w:t>21</w:t>
      </w:r>
      <w:r>
        <w:fldChar w:fldCharType="end"/>
      </w:r>
      <w:r w:rsidRPr="00967BAD">
        <w:rPr>
          <w:b/>
          <w:bCs/>
        </w:rPr>
        <w:t>b</w:t>
      </w:r>
      <w:r w:rsidRPr="00FF5CE0">
        <w:t>; this is the single-metal-site LOM</w:t>
      </w:r>
      <w:r w:rsidRPr="00FF5CE0">
        <w:fldChar w:fldCharType="begin"/>
      </w:r>
      <w:r w:rsidR="00FC5BEB">
        <w:instrText xml:space="preserve"> ADDIN EN.CITE &lt;EndNote&gt;&lt;Cite&gt;&lt;Author&gt;Zhang&lt;/Author&gt;&lt;Year&gt;2021&lt;/Year&gt;&lt;RecNum&gt;336&lt;/RecNum&gt;&lt;DisplayText&gt;&lt;style face="superscript"&gt;338&lt;/style&gt;&lt;/DisplayText&gt;&lt;record&gt;&lt;rec-number&gt;336&lt;/rec-number&gt;&lt;foreign-keys&gt;&lt;key app="EN" db-id="2xex0erf4eexr4e2dpbxpdd829xttesxxxdr" timestamp="1715075296"&gt;336&lt;/key&gt;&lt;/foreign-keys&gt;&lt;ref-type name="Journal Article"&gt;17&lt;/ref-type&gt;&lt;contributors&gt;&lt;authors&gt;&lt;author&gt;Zhang, Ning&lt;/author&gt;&lt;author&gt;Chai, Yang&lt;/author&gt;&lt;/authors&gt;&lt;/contributors&gt;&lt;titles&gt;&lt;title&gt;Lattice oxygen redox chemistry in solid-state electrocatalysts for water oxidation&lt;/title&gt;&lt;secondary-title&gt;Energy Environ. Sci.&lt;/secondary-title&gt;&lt;/titles&gt;&lt;periodical&gt;&lt;full-title&gt;Energy Environ. Sci.&lt;/full-title&gt;&lt;/periodical&gt;&lt;pages&gt;4647-4671&lt;/pages&gt;&lt;volume&gt;14&lt;/volume&gt;&lt;number&gt;9&lt;/number&gt;&lt;dates&gt;&lt;year&gt;2021&lt;/year&gt;&lt;/dates&gt;&lt;publisher&gt;The Royal Society of Chemistry&lt;/publisher&gt;&lt;isbn&gt;1754-5692&lt;/isbn&gt;&lt;work-type&gt;10.1039/D1EE01277K&lt;/work-type&gt;&lt;urls&gt;&lt;related-urls&gt;&lt;url&gt;http://dx.doi.org/10.1039/D1EE01277K&lt;/url&gt;&lt;/related-urls&gt;&lt;/urls&gt;&lt;electronic-resource-num&gt;10.1039/D1EE01277K&lt;/electronic-resource-num&gt;&lt;/record&gt;&lt;/Cite&gt;&lt;/EndNote&gt;</w:instrText>
      </w:r>
      <w:r w:rsidRPr="00FF5CE0">
        <w:fldChar w:fldCharType="separate"/>
      </w:r>
      <w:r w:rsidR="00FC5BEB" w:rsidRPr="00FC5BEB">
        <w:rPr>
          <w:noProof/>
          <w:vertAlign w:val="superscript"/>
        </w:rPr>
        <w:t>338</w:t>
      </w:r>
      <w:r w:rsidRPr="00FF5CE0">
        <w:fldChar w:fldCharType="end"/>
      </w:r>
      <w:r w:rsidRPr="00FF5CE0">
        <w:t xml:space="preserve">. The nucleophilic attack mechanism uses a single metal site to oxidize two hydroxide ions to oxygen through a series of PCET steps, whereas a principal difference in the LOM is that the LOM forms the O-O bond by coupling an adsorbed hydroxide and lattice oxygen through the PCET step shown in </w:t>
      </w:r>
      <w:r w:rsidRPr="00967BAD">
        <w:rPr>
          <w:b/>
          <w:bCs/>
        </w:rPr>
        <w:fldChar w:fldCharType="begin"/>
      </w:r>
      <w:r w:rsidRPr="00967BAD">
        <w:rPr>
          <w:b/>
          <w:bCs/>
        </w:rPr>
        <w:instrText xml:space="preserve"> REF _Ref159518126 \h </w:instrText>
      </w:r>
      <w:r w:rsidR="00967BAD">
        <w:rPr>
          <w:b/>
          <w:bCs/>
        </w:rPr>
        <w:instrText xml:space="preserve"> \* MERGEFORMAT </w:instrText>
      </w:r>
      <w:r w:rsidRPr="00967BAD">
        <w:rPr>
          <w:b/>
          <w:bCs/>
        </w:rPr>
      </w:r>
      <w:r w:rsidRPr="00967BAD">
        <w:rPr>
          <w:b/>
          <w:bCs/>
        </w:rPr>
        <w:fldChar w:fldCharType="separate"/>
      </w:r>
      <w:r w:rsidR="00B52708" w:rsidRPr="00B52708">
        <w:rPr>
          <w:b/>
          <w:bCs/>
          <w:szCs w:val="22"/>
        </w:rPr>
        <w:t xml:space="preserve">Figure </w:t>
      </w:r>
      <w:r w:rsidR="00B52708" w:rsidRPr="00B52708">
        <w:rPr>
          <w:b/>
          <w:bCs/>
          <w:noProof/>
          <w:szCs w:val="22"/>
        </w:rPr>
        <w:t>21</w:t>
      </w:r>
      <w:r w:rsidRPr="00967BAD">
        <w:rPr>
          <w:b/>
          <w:bCs/>
        </w:rPr>
        <w:fldChar w:fldCharType="end"/>
      </w:r>
      <w:r w:rsidRPr="00967BAD">
        <w:rPr>
          <w:b/>
          <w:bCs/>
        </w:rPr>
        <w:t>b</w:t>
      </w:r>
      <w:r w:rsidRPr="00FF5CE0">
        <w:t>. Since all steps in the LOM are PCET reactions, it is straightforward to model the energetics using the CHE.</w:t>
      </w:r>
    </w:p>
    <w:p w14:paraId="10C55024" w14:textId="77777777" w:rsidR="001C1AC5" w:rsidRPr="001C1AC5" w:rsidRDefault="001C1AC5" w:rsidP="00FF5CE0"/>
    <w:p w14:paraId="6CF441F6" w14:textId="7046C205" w:rsidR="00FF5CE0" w:rsidRDefault="001C1AC5" w:rsidP="001C1AC5">
      <w:pPr>
        <w:pStyle w:val="Caption"/>
        <w:spacing w:after="0"/>
        <w:jc w:val="center"/>
        <w:rPr>
          <w:b/>
          <w:bCs w:val="0"/>
          <w:sz w:val="22"/>
        </w:rPr>
      </w:pPr>
      <w:r w:rsidRPr="00FF5CE0">
        <w:rPr>
          <w:noProof/>
        </w:rPr>
        <w:lastRenderedPageBreak/>
        <w:drawing>
          <wp:inline distT="0" distB="0" distL="0" distR="0" wp14:anchorId="658E355F" wp14:editId="0C22D9E0">
            <wp:extent cx="4662133" cy="2159723"/>
            <wp:effectExtent l="0" t="0" r="0" b="0"/>
            <wp:docPr id="1941491032" name="Picture 1941491032">
              <a:extLst xmlns:a="http://schemas.openxmlformats.org/drawingml/2006/main">
                <a:ext uri="{FF2B5EF4-FFF2-40B4-BE49-F238E27FC236}">
                  <a16:creationId xmlns:a16="http://schemas.microsoft.com/office/drawing/2014/main" id="{E7833C31-DFBC-1671-635A-9C4CA6524AE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ain graphic">
                      <a:extLst>
                        <a:ext uri="{FF2B5EF4-FFF2-40B4-BE49-F238E27FC236}">
                          <a16:creationId xmlns:a16="http://schemas.microsoft.com/office/drawing/2014/main" id="{E7833C31-DFBC-1671-635A-9C4CA6524AEE}"/>
                        </a:ext>
                      </a:extLst>
                    </pic:cNvPr>
                    <pic:cNvPicPr/>
                  </pic:nvPicPr>
                  <pic:blipFill>
                    <a:blip r:embed="rId31">
                      <a:extLst>
                        <a:ext uri="{28A0092B-C50C-407E-A947-70E740481C1C}">
                          <a14:useLocalDpi xmlns:a14="http://schemas.microsoft.com/office/drawing/2010/main" val="0"/>
                        </a:ext>
                      </a:extLst>
                    </a:blip>
                    <a:stretch/>
                  </pic:blipFill>
                  <pic:spPr>
                    <a:xfrm>
                      <a:off x="0" y="0"/>
                      <a:ext cx="4662133" cy="2159723"/>
                    </a:xfrm>
                    <a:prstGeom prst="rect">
                      <a:avLst/>
                    </a:prstGeom>
                    <a:ln>
                      <a:noFill/>
                    </a:ln>
                  </pic:spPr>
                </pic:pic>
              </a:graphicData>
            </a:graphic>
          </wp:inline>
        </w:drawing>
      </w:r>
    </w:p>
    <w:p w14:paraId="649793B3" w14:textId="7D1CC388" w:rsidR="001C1AC5" w:rsidRPr="001C1AC5" w:rsidRDefault="00FF5CE0" w:rsidP="003D143F">
      <w:pPr>
        <w:pStyle w:val="Caption"/>
      </w:pPr>
      <w:bookmarkStart w:id="103" w:name="_Ref159518126"/>
      <w:r w:rsidRPr="00FF5CE0">
        <w:rPr>
          <w:b/>
          <w:bCs w:val="0"/>
          <w:sz w:val="22"/>
        </w:rPr>
        <w:t xml:space="preserve">Figure </w:t>
      </w:r>
      <w:r w:rsidRPr="00FF5CE0">
        <w:rPr>
          <w:b/>
          <w:bCs w:val="0"/>
          <w:sz w:val="22"/>
        </w:rPr>
        <w:fldChar w:fldCharType="begin"/>
      </w:r>
      <w:r w:rsidRPr="00FF5CE0">
        <w:rPr>
          <w:b/>
          <w:bCs w:val="0"/>
          <w:sz w:val="22"/>
        </w:rPr>
        <w:instrText xml:space="preserve"> SEQ Figure \* ARABIC </w:instrText>
      </w:r>
      <w:r w:rsidRPr="00FF5CE0">
        <w:rPr>
          <w:b/>
          <w:bCs w:val="0"/>
          <w:sz w:val="22"/>
        </w:rPr>
        <w:fldChar w:fldCharType="separate"/>
      </w:r>
      <w:r w:rsidR="00B52708">
        <w:rPr>
          <w:b/>
          <w:bCs w:val="0"/>
          <w:noProof/>
          <w:sz w:val="22"/>
        </w:rPr>
        <w:t>21</w:t>
      </w:r>
      <w:r w:rsidRPr="00FF5CE0">
        <w:rPr>
          <w:b/>
          <w:bCs w:val="0"/>
          <w:sz w:val="22"/>
        </w:rPr>
        <w:fldChar w:fldCharType="end"/>
      </w:r>
      <w:bookmarkEnd w:id="103"/>
      <w:r w:rsidRPr="00FF5CE0">
        <w:rPr>
          <w:b/>
        </w:rPr>
        <w:t xml:space="preserve"> </w:t>
      </w:r>
      <w:r w:rsidRPr="00FF5CE0">
        <w:t xml:space="preserve">Schematic comparing the single site nucleophilic attack mechanism, referred to as the adsorbate evolution mechanism in panel </w:t>
      </w:r>
      <w:r w:rsidR="00FA3D7E">
        <w:t>(</w:t>
      </w:r>
      <w:r w:rsidRPr="00FF5CE0">
        <w:t>a) with the LOM (b) on LaNiO</w:t>
      </w:r>
      <w:r w:rsidRPr="00FF5CE0">
        <w:rPr>
          <w:vertAlign w:val="subscript"/>
        </w:rPr>
        <w:t>3</w:t>
      </w:r>
      <w:r w:rsidRPr="00FF5CE0">
        <w:t xml:space="preserve">. </w:t>
      </w:r>
      <w:r w:rsidR="003D143F" w:rsidRPr="003D143F">
        <w:rPr>
          <w:lang w:val="en-US"/>
        </w:rPr>
        <w:t xml:space="preserve">Reprinted with permission from </w:t>
      </w:r>
      <w:r w:rsidR="003D143F">
        <w:t>Ref.</w:t>
      </w:r>
      <w:r w:rsidR="003D143F" w:rsidRPr="00FF5CE0">
        <w:t xml:space="preserve"> </w:t>
      </w:r>
      <w:r w:rsidR="003D143F" w:rsidRPr="00FF5CE0">
        <w:fldChar w:fldCharType="begin"/>
      </w:r>
      <w:r w:rsidR="003D143F">
        <w:instrText xml:space="preserve"> ADDIN EN.CITE &lt;EndNote&gt;&lt;Cite&gt;&lt;Author&gt;Rong&lt;/Author&gt;&lt;Year&gt;2016&lt;/Year&gt;&lt;RecNum&gt;322&lt;/RecNum&gt;&lt;DisplayText&gt;&lt;style face="superscript"&gt;324&lt;/style&gt;&lt;/DisplayText&gt;&lt;record&gt;&lt;rec-number&gt;322&lt;/rec-number&gt;&lt;foreign-keys&gt;&lt;key app="EN" db-id="2xex0erf4eexr4e2dpbxpdd829xttesxxxdr" timestamp="1715075296"&gt;322&lt;/key&gt;&lt;/foreign-keys&gt;&lt;ref-type name="Journal Article"&gt;17&lt;/ref-type&gt;&lt;contributors&gt;&lt;authors&gt;&lt;author&gt;Rong, Xi&lt;/author&gt;&lt;author&gt;Parolin, Jules&lt;/author&gt;&lt;author&gt;Kolpak, Alexie M.&lt;/author&gt;&lt;/authors&gt;&lt;/contributors&gt;&lt;titles&gt;&lt;title&gt;A Fundamental Relationship between Reaction Mechanism and Stability in Metal Oxide Catalysts for Oxygen Evolution&lt;/title&gt;&lt;secondary-title&gt;ACS Catal.&lt;/secondary-title&gt;&lt;/titles&gt;&lt;periodical&gt;&lt;full-title&gt;ACS Catal.&lt;/full-title&gt;&lt;/periodical&gt;&lt;pages&gt;1153-1158&lt;/pages&gt;&lt;volume&gt;6&lt;/volume&gt;&lt;number&gt;2&lt;/number&gt;&lt;dates&gt;&lt;year&gt;2016&lt;/year&gt;&lt;pub-dates&gt;&lt;date&gt;2016/02/05&lt;/date&gt;&lt;/pub-dates&gt;&lt;/dates&gt;&lt;publisher&gt;American Chemical Society&lt;/publisher&gt;&lt;urls&gt;&lt;related-urls&gt;&lt;url&gt;https://doi.org/10.1021/acscatal.5b02432&lt;/url&gt;&lt;/related-urls&gt;&lt;/urls&gt;&lt;electronic-resource-num&gt;10.1021/acscatal.5b02432&lt;/electronic-resource-num&gt;&lt;/record&gt;&lt;/Cite&gt;&lt;/EndNote&gt;</w:instrText>
      </w:r>
      <w:r w:rsidR="003D143F" w:rsidRPr="00FF5CE0">
        <w:fldChar w:fldCharType="separate"/>
      </w:r>
      <w:r w:rsidR="003D143F" w:rsidRPr="00FC5BEB">
        <w:rPr>
          <w:noProof/>
          <w:vertAlign w:val="superscript"/>
        </w:rPr>
        <w:t>324</w:t>
      </w:r>
      <w:r w:rsidR="003D143F" w:rsidRPr="00FF5CE0">
        <w:fldChar w:fldCharType="end"/>
      </w:r>
      <w:r w:rsidR="003D143F" w:rsidRPr="00FF5CE0">
        <w:t>.</w:t>
      </w:r>
      <w:r w:rsidR="003D143F">
        <w:t xml:space="preserve"> </w:t>
      </w:r>
      <w:r w:rsidR="003D143F" w:rsidRPr="003D143F">
        <w:rPr>
          <w:lang w:val="en-US"/>
        </w:rPr>
        <w:t xml:space="preserve">Copyright </w:t>
      </w:r>
      <w:r w:rsidR="003D143F">
        <w:rPr>
          <w:lang w:val="en-US"/>
        </w:rPr>
        <w:t>2016</w:t>
      </w:r>
      <w:r w:rsidR="003D143F" w:rsidRPr="003D143F">
        <w:rPr>
          <w:lang w:val="en-US"/>
        </w:rPr>
        <w:t xml:space="preserve"> American Chemical Society.</w:t>
      </w:r>
      <w:r w:rsidR="003D143F" w:rsidRPr="003D143F" w:rsidDel="003D143F">
        <w:rPr>
          <w:lang w:val="en-US"/>
        </w:rPr>
        <w:t xml:space="preserve"> </w:t>
      </w:r>
      <w:r w:rsidR="00E1473E" w:rsidRPr="00E1473E">
        <w:rPr>
          <w:noProof/>
        </w:rPr>
        <w:drawing>
          <wp:inline distT="0" distB="0" distL="0" distR="0" wp14:anchorId="53F5F7EE" wp14:editId="2F4FBFC0">
            <wp:extent cx="5731510" cy="3560445"/>
            <wp:effectExtent l="0" t="0" r="0" b="0"/>
            <wp:docPr id="76244410" name="Picture 1" descr="Calend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44410" name="Picture 1" descr="Calendar&#10;&#10;Description automatically generated"/>
                    <pic:cNvPicPr/>
                  </pic:nvPicPr>
                  <pic:blipFill>
                    <a:blip r:embed="rId32"/>
                    <a:stretch>
                      <a:fillRect/>
                    </a:stretch>
                  </pic:blipFill>
                  <pic:spPr>
                    <a:xfrm>
                      <a:off x="0" y="0"/>
                      <a:ext cx="5731510" cy="3560445"/>
                    </a:xfrm>
                    <a:prstGeom prst="rect">
                      <a:avLst/>
                    </a:prstGeom>
                  </pic:spPr>
                </pic:pic>
              </a:graphicData>
            </a:graphic>
          </wp:inline>
        </w:drawing>
      </w:r>
    </w:p>
    <w:p w14:paraId="791435DF" w14:textId="386163C1" w:rsidR="00FF5CE0" w:rsidRPr="00FF5CE0" w:rsidRDefault="00FF5CE0" w:rsidP="00FF5CE0">
      <w:pPr>
        <w:pStyle w:val="Caption"/>
      </w:pPr>
      <w:bookmarkStart w:id="104" w:name="_Ref159518643"/>
      <w:r w:rsidRPr="00FF5CE0">
        <w:rPr>
          <w:b/>
          <w:bCs w:val="0"/>
          <w:sz w:val="22"/>
        </w:rPr>
        <w:t xml:space="preserve">Figure </w:t>
      </w:r>
      <w:r w:rsidRPr="00FF5CE0">
        <w:rPr>
          <w:b/>
          <w:bCs w:val="0"/>
          <w:sz w:val="22"/>
        </w:rPr>
        <w:fldChar w:fldCharType="begin"/>
      </w:r>
      <w:r w:rsidRPr="00FF5CE0">
        <w:rPr>
          <w:b/>
          <w:bCs w:val="0"/>
          <w:sz w:val="22"/>
        </w:rPr>
        <w:instrText xml:space="preserve"> SEQ Figure \* ARABIC </w:instrText>
      </w:r>
      <w:r w:rsidRPr="00FF5CE0">
        <w:rPr>
          <w:b/>
          <w:bCs w:val="0"/>
          <w:sz w:val="22"/>
        </w:rPr>
        <w:fldChar w:fldCharType="separate"/>
      </w:r>
      <w:r w:rsidR="00B52708">
        <w:rPr>
          <w:b/>
          <w:bCs w:val="0"/>
          <w:noProof/>
          <w:sz w:val="22"/>
        </w:rPr>
        <w:t>22</w:t>
      </w:r>
      <w:r w:rsidRPr="00FF5CE0">
        <w:rPr>
          <w:b/>
          <w:bCs w:val="0"/>
          <w:sz w:val="22"/>
        </w:rPr>
        <w:fldChar w:fldCharType="end"/>
      </w:r>
      <w:bookmarkEnd w:id="104"/>
      <w:r>
        <w:t xml:space="preserve"> </w:t>
      </w:r>
      <w:r w:rsidR="00FA3D7E">
        <w:t>(</w:t>
      </w:r>
      <w:r w:rsidRPr="00FF5CE0">
        <w:t>a)</w:t>
      </w:r>
      <w:r w:rsidRPr="00FF5CE0">
        <w:rPr>
          <w:b/>
        </w:rPr>
        <w:t xml:space="preserve"> </w:t>
      </w:r>
      <w:r w:rsidRPr="00FF5CE0">
        <w:t>Surface</w:t>
      </w:r>
      <w:r w:rsidRPr="00FF5CE0">
        <w:rPr>
          <w:iCs/>
        </w:rPr>
        <w:t xml:space="preserve"> (pH, </w:t>
      </w:r>
      <w:r w:rsidRPr="00FF5CE0">
        <w:rPr>
          <w:i/>
        </w:rPr>
        <w:t>U</w:t>
      </w:r>
      <w:r w:rsidRPr="00FF5CE0">
        <w:rPr>
          <w:iCs/>
        </w:rPr>
        <w:t xml:space="preserve">) phase diagram for </w:t>
      </w:r>
      <w:r w:rsidRPr="00FF5CE0">
        <w:t>LaNiO</w:t>
      </w:r>
      <w:r w:rsidRPr="00FF5CE0">
        <w:rPr>
          <w:vertAlign w:val="subscript"/>
        </w:rPr>
        <w:t>3</w:t>
      </w:r>
      <w:r w:rsidRPr="00FF5CE0">
        <w:t xml:space="preserve"> computed with the CHE model. Reaction energetics computed on the </w:t>
      </w:r>
      <w:r w:rsidRPr="00FF5CE0">
        <w:rPr>
          <w:i/>
          <w:iCs/>
        </w:rPr>
        <w:t>R</w:t>
      </w:r>
      <w:r w:rsidRPr="00FF5CE0">
        <w:rPr>
          <w:vertAlign w:val="subscript"/>
        </w:rPr>
        <w:t>4</w:t>
      </w:r>
      <w:r w:rsidRPr="00FF5CE0">
        <w:t xml:space="preserve"> (b) and </w:t>
      </w:r>
      <w:r w:rsidRPr="00FF5CE0">
        <w:rPr>
          <w:i/>
          <w:iCs/>
        </w:rPr>
        <w:t>R</w:t>
      </w:r>
      <w:r w:rsidRPr="00FF5CE0">
        <w:rPr>
          <w:vertAlign w:val="subscript"/>
        </w:rPr>
        <w:t>5</w:t>
      </w:r>
      <w:r w:rsidRPr="00FF5CE0">
        <w:t xml:space="preserve"> (c) surfaces using the CHE. In the space filling models O is red, Ni is grey, La is light green, and H is yellow.</w:t>
      </w:r>
      <w:r w:rsidR="00E1473E">
        <w:t xml:space="preserve"> (d)</w:t>
      </w:r>
      <w:r w:rsidRPr="00FF5CE0">
        <w:t xml:space="preserve"> </w:t>
      </w:r>
      <w:r w:rsidR="00E1473E" w:rsidRPr="00FF5CE0">
        <w:t xml:space="preserve">Schematic of the descriptor of the propensity for the OER to proceed via the single metal site LOM, </w:t>
      </w:r>
      <w:r w:rsidR="00E1473E" w:rsidRPr="00FF5CE0">
        <w:sym w:font="Symbol" w:char="F044"/>
      </w:r>
      <w:r w:rsidR="00E1473E" w:rsidRPr="00FF5CE0">
        <w:rPr>
          <w:i/>
          <w:iCs/>
        </w:rPr>
        <w:t>G</w:t>
      </w:r>
      <w:r w:rsidR="00E1473E" w:rsidRPr="00FF5CE0">
        <w:t xml:space="preserve"> = </w:t>
      </w:r>
      <w:r w:rsidR="00E1473E" w:rsidRPr="00FF5CE0">
        <w:sym w:font="Symbol" w:char="F044"/>
      </w:r>
      <w:r w:rsidR="00E1473E" w:rsidRPr="00FF5CE0">
        <w:rPr>
          <w:i/>
          <w:iCs/>
        </w:rPr>
        <w:t>G</w:t>
      </w:r>
      <w:r w:rsidR="00E1473E" w:rsidRPr="00FF5CE0">
        <w:t>(A</w:t>
      </w:r>
      <w:r w:rsidR="00E1473E" w:rsidRPr="00FF5CE0">
        <w:rPr>
          <w:vertAlign w:val="subscript"/>
        </w:rPr>
        <w:t>1</w:t>
      </w:r>
      <w:r w:rsidR="00E1473E" w:rsidRPr="00FF5CE0">
        <w:t xml:space="preserve">)- </w:t>
      </w:r>
      <w:r w:rsidR="00E1473E" w:rsidRPr="00FF5CE0">
        <w:sym w:font="Symbol" w:char="F044"/>
      </w:r>
      <w:r w:rsidR="00E1473E" w:rsidRPr="00FF5CE0">
        <w:rPr>
          <w:i/>
          <w:iCs/>
        </w:rPr>
        <w:t>G</w:t>
      </w:r>
      <w:r w:rsidR="00E1473E" w:rsidRPr="00FF5CE0">
        <w:t>(A</w:t>
      </w:r>
      <w:r w:rsidR="00E1473E" w:rsidRPr="00FF5CE0">
        <w:rPr>
          <w:vertAlign w:val="subscript"/>
        </w:rPr>
        <w:t>0</w:t>
      </w:r>
      <w:r w:rsidR="00E1473E" w:rsidRPr="00FF5CE0">
        <w:t>)</w:t>
      </w:r>
      <w:r w:rsidR="00E1473E">
        <w:t xml:space="preserve">, with </w:t>
      </w:r>
      <w:proofErr w:type="spellStart"/>
      <w:r w:rsidR="00E1473E">
        <w:t>coloring</w:t>
      </w:r>
      <w:proofErr w:type="spellEnd"/>
      <w:r w:rsidR="00E1473E">
        <w:t xml:space="preserve"> indicated</w:t>
      </w:r>
      <w:r w:rsidR="00E1473E" w:rsidRPr="00FF5CE0">
        <w:t xml:space="preserve">. </w:t>
      </w:r>
      <w:r w:rsidR="00E1473E">
        <w:t>(e</w:t>
      </w:r>
      <w:r w:rsidR="00E1473E" w:rsidRPr="00FF5CE0">
        <w:t xml:space="preserve">) Plots of </w:t>
      </w:r>
      <w:r w:rsidR="00E1473E" w:rsidRPr="00FF5CE0">
        <w:sym w:font="Symbol" w:char="F044"/>
      </w:r>
      <w:r w:rsidR="00E1473E" w:rsidRPr="00FF5CE0">
        <w:rPr>
          <w:i/>
          <w:iCs/>
        </w:rPr>
        <w:t xml:space="preserve">G </w:t>
      </w:r>
      <w:r w:rsidR="00E1473E" w:rsidRPr="00FF5CE0">
        <w:t xml:space="preserve">vs the oxygen vacancy formation energy, </w:t>
      </w:r>
      <w:r w:rsidR="00E1473E" w:rsidRPr="00FF5CE0">
        <w:sym w:font="Symbol" w:char="F044"/>
      </w:r>
      <w:proofErr w:type="spellStart"/>
      <w:r w:rsidR="00E1473E" w:rsidRPr="00FF5CE0">
        <w:rPr>
          <w:i/>
          <w:iCs/>
        </w:rPr>
        <w:t>E</w:t>
      </w:r>
      <w:r w:rsidR="00E1473E" w:rsidRPr="00FF5CE0">
        <w:rPr>
          <w:i/>
          <w:iCs/>
          <w:vertAlign w:val="subscript"/>
        </w:rPr>
        <w:t>f</w:t>
      </w:r>
      <w:r w:rsidR="00E1473E" w:rsidRPr="00FF5CE0">
        <w:rPr>
          <w:vertAlign w:val="superscript"/>
        </w:rPr>
        <w:t>VO</w:t>
      </w:r>
      <w:proofErr w:type="spellEnd"/>
      <w:r w:rsidR="00E1473E" w:rsidRPr="00FF5CE0">
        <w:t>, and the difference between the number of unpaired B-site electrons on the free B (</w:t>
      </w:r>
      <w:r w:rsidR="00E1473E" w:rsidRPr="00FF5CE0">
        <w:rPr>
          <w:i/>
          <w:iCs/>
        </w:rPr>
        <w:t>N</w:t>
      </w:r>
      <w:r w:rsidR="00E1473E" w:rsidRPr="00FF5CE0">
        <w:t>)</w:t>
      </w:r>
      <w:r w:rsidR="00E1473E" w:rsidRPr="00FF5CE0">
        <w:rPr>
          <w:i/>
          <w:iCs/>
        </w:rPr>
        <w:t xml:space="preserve"> </w:t>
      </w:r>
      <w:r w:rsidR="00E1473E" w:rsidRPr="00FF5CE0">
        <w:t xml:space="preserve">atom and the valency of the </w:t>
      </w:r>
      <w:r w:rsidR="00E1473E" w:rsidRPr="00FF5CE0">
        <w:rPr>
          <w:i/>
          <w:iCs/>
        </w:rPr>
        <w:t xml:space="preserve">B </w:t>
      </w:r>
      <w:r w:rsidR="00E1473E" w:rsidRPr="00FF5CE0">
        <w:t>atom (</w:t>
      </w:r>
      <w:r w:rsidR="00E1473E" w:rsidRPr="00FF5CE0">
        <w:rPr>
          <w:i/>
          <w:iCs/>
        </w:rPr>
        <w:t>V</w:t>
      </w:r>
      <w:r w:rsidR="00E1473E" w:rsidRPr="00FF5CE0">
        <w:t xml:space="preserve">). The latter is taken as a measure </w:t>
      </w:r>
      <w:r w:rsidR="00E1473E">
        <w:t xml:space="preserve">of </w:t>
      </w:r>
      <w:r w:rsidR="00E1473E" w:rsidRPr="00FF5CE0">
        <w:t xml:space="preserve">the B-site ions ability to donate electrons. </w:t>
      </w:r>
      <w:r w:rsidR="00397759">
        <w:rPr>
          <w:lang w:val="en-US"/>
        </w:rPr>
        <w:t>A</w:t>
      </w:r>
      <w:r w:rsidR="003D143F" w:rsidRPr="003D143F">
        <w:rPr>
          <w:lang w:val="en-US"/>
        </w:rPr>
        <w:t xml:space="preserve">dapted with permission from </w:t>
      </w:r>
      <w:r w:rsidR="003D143F">
        <w:t>Ref.</w:t>
      </w:r>
      <w:r w:rsidR="003D143F" w:rsidRPr="00FF5CE0">
        <w:t xml:space="preserve"> </w:t>
      </w:r>
      <w:r w:rsidR="003D143F" w:rsidRPr="00FF5CE0">
        <w:fldChar w:fldCharType="begin"/>
      </w:r>
      <w:r w:rsidR="003D143F">
        <w:instrText xml:space="preserve"> ADDIN EN.CITE &lt;EndNote&gt;&lt;Cite&gt;&lt;Author&gt;Rong&lt;/Author&gt;&lt;Year&gt;2016&lt;/Year&gt;&lt;RecNum&gt;322&lt;/RecNum&gt;&lt;DisplayText&gt;&lt;style face="superscript"&gt;324&lt;/style&gt;&lt;/DisplayText&gt;&lt;record&gt;&lt;rec-number&gt;322&lt;/rec-number&gt;&lt;foreign-keys&gt;&lt;key app="EN" db-id="2xex0erf4eexr4e2dpbxpdd829xttesxxxdr" timestamp="1715075296"&gt;322&lt;/key&gt;&lt;/foreign-keys&gt;&lt;ref-type name="Journal Article"&gt;17&lt;/ref-type&gt;&lt;contributors&gt;&lt;authors&gt;&lt;author&gt;Rong, Xi&lt;/author&gt;&lt;author&gt;Parolin, Jules&lt;/author&gt;&lt;author&gt;Kolpak, Alexie M.&lt;/author&gt;&lt;/authors&gt;&lt;/contributors&gt;&lt;titles&gt;&lt;title&gt;A Fundamental Relationship between Reaction Mechanism and Stability in Metal Oxide Catalysts for Oxygen Evolution&lt;/title&gt;&lt;secondary-title&gt;ACS Catal.&lt;/secondary-title&gt;&lt;/titles&gt;&lt;periodical&gt;&lt;full-title&gt;ACS Catal.&lt;/full-title&gt;&lt;/periodical&gt;&lt;pages&gt;1153-1158&lt;/pages&gt;&lt;volume&gt;6&lt;/volume&gt;&lt;number&gt;2&lt;/number&gt;&lt;dates&gt;&lt;year&gt;2016&lt;/year&gt;&lt;pub-dates&gt;&lt;date&gt;2016/02/05&lt;/date&gt;&lt;/pub-dates&gt;&lt;/dates&gt;&lt;publisher&gt;American Chemical Society&lt;/publisher&gt;&lt;urls&gt;&lt;related-urls&gt;&lt;url&gt;https://doi.org/10.1021/acscatal.5b02432&lt;/url&gt;&lt;/related-urls&gt;&lt;/urls&gt;&lt;electronic-resource-num&gt;10.1021/acscatal.5b02432&lt;/electronic-resource-num&gt;&lt;/record&gt;&lt;/Cite&gt;&lt;/EndNote&gt;</w:instrText>
      </w:r>
      <w:r w:rsidR="003D143F" w:rsidRPr="00FF5CE0">
        <w:fldChar w:fldCharType="separate"/>
      </w:r>
      <w:r w:rsidR="003D143F" w:rsidRPr="00FC5BEB">
        <w:rPr>
          <w:noProof/>
          <w:vertAlign w:val="superscript"/>
        </w:rPr>
        <w:t>324</w:t>
      </w:r>
      <w:r w:rsidR="003D143F" w:rsidRPr="00FF5CE0">
        <w:fldChar w:fldCharType="end"/>
      </w:r>
      <w:r w:rsidR="003D143F" w:rsidRPr="00FF5CE0">
        <w:t>.</w:t>
      </w:r>
      <w:r w:rsidR="003D143F">
        <w:t xml:space="preserve"> </w:t>
      </w:r>
      <w:r w:rsidR="003D143F" w:rsidRPr="003D143F">
        <w:rPr>
          <w:lang w:val="en-US"/>
        </w:rPr>
        <w:t xml:space="preserve">Copyright </w:t>
      </w:r>
      <w:r w:rsidR="003D143F">
        <w:rPr>
          <w:lang w:val="en-US"/>
        </w:rPr>
        <w:t>2016</w:t>
      </w:r>
      <w:r w:rsidR="003D143F" w:rsidRPr="003D143F">
        <w:rPr>
          <w:lang w:val="en-US"/>
        </w:rPr>
        <w:t xml:space="preserve"> American Chemical Society.</w:t>
      </w:r>
      <w:r w:rsidR="003D143F" w:rsidRPr="003D143F" w:rsidDel="003D143F">
        <w:rPr>
          <w:lang w:val="en-US"/>
        </w:rPr>
        <w:t xml:space="preserve"> </w:t>
      </w:r>
    </w:p>
    <w:p w14:paraId="74CFC6BE" w14:textId="2CC57D17" w:rsidR="00FF5CE0" w:rsidRPr="00FF5CE0" w:rsidRDefault="00DE45A7" w:rsidP="00DE45A7">
      <w:pPr>
        <w:ind w:firstLine="720"/>
      </w:pPr>
      <w:r>
        <w:fldChar w:fldCharType="begin"/>
      </w:r>
      <w:r>
        <w:instrText xml:space="preserve"> REF _Ref159518643 \h </w:instrText>
      </w:r>
      <w:r>
        <w:fldChar w:fldCharType="separate"/>
      </w:r>
      <w:r w:rsidR="00B52708" w:rsidRPr="00FF5CE0">
        <w:rPr>
          <w:b/>
          <w:bCs/>
        </w:rPr>
        <w:t xml:space="preserve">Figure </w:t>
      </w:r>
      <w:r w:rsidR="00B52708">
        <w:rPr>
          <w:b/>
          <w:bCs/>
          <w:noProof/>
        </w:rPr>
        <w:t>22</w:t>
      </w:r>
      <w:r>
        <w:fldChar w:fldCharType="end"/>
      </w:r>
      <w:r w:rsidR="00FF5CE0" w:rsidRPr="00FF5CE0">
        <w:t xml:space="preserve"> shows the results of CHE calculations of the OER energetics reported for the AEM and LOM over LaNiO</w:t>
      </w:r>
      <w:r w:rsidR="00FF5CE0" w:rsidRPr="00FF5CE0">
        <w:rPr>
          <w:vertAlign w:val="subscript"/>
        </w:rPr>
        <w:t>3</w:t>
      </w:r>
      <w:r w:rsidR="00FF5CE0" w:rsidRPr="00FF5CE0">
        <w:t xml:space="preserve"> in Ref. </w:t>
      </w:r>
      <w:r w:rsidR="00FF5CE0" w:rsidRPr="00FF5CE0">
        <w:fldChar w:fldCharType="begin"/>
      </w:r>
      <w:r w:rsidR="00FC5BEB">
        <w:instrText xml:space="preserve"> ADDIN EN.CITE &lt;EndNote&gt;&lt;Cite&gt;&lt;Author&gt;Rong&lt;/Author&gt;&lt;Year&gt;2016&lt;/Year&gt;&lt;RecNum&gt;322&lt;/RecNum&gt;&lt;DisplayText&gt;&lt;style face="superscript"&gt;324&lt;/style&gt;&lt;/DisplayText&gt;&lt;record&gt;&lt;rec-number&gt;322&lt;/rec-number&gt;&lt;foreign-keys&gt;&lt;key app="EN" db-id="2xex0erf4eexr4e2dpbxpdd829xttesxxxdr" timestamp="1715075296"&gt;322&lt;/key&gt;&lt;/foreign-keys&gt;&lt;ref-type name="Journal Article"&gt;17&lt;/ref-type&gt;&lt;contributors&gt;&lt;authors&gt;&lt;author&gt;Rong, Xi&lt;/author&gt;&lt;author&gt;Parolin, Jules&lt;/author&gt;&lt;author&gt;Kolpak, Alexie M.&lt;/author&gt;&lt;/authors&gt;&lt;/contributors&gt;&lt;titles&gt;&lt;title&gt;A Fundamental Relationship between Reaction Mechanism and Stability in Metal Oxide Catalysts for Oxygen Evolution&lt;/title&gt;&lt;secondary-title&gt;ACS Catal.&lt;/secondary-title&gt;&lt;/titles&gt;&lt;periodical&gt;&lt;full-title&gt;ACS Catal.&lt;/full-title&gt;&lt;/periodical&gt;&lt;pages&gt;1153-1158&lt;/pages&gt;&lt;volume&gt;6&lt;/volume&gt;&lt;number&gt;2&lt;/number&gt;&lt;dates&gt;&lt;year&gt;2016&lt;/year&gt;&lt;pub-dates&gt;&lt;date&gt;2016/02/05&lt;/date&gt;&lt;/pub-dates&gt;&lt;/dates&gt;&lt;publisher&gt;American Chemical Society&lt;/publisher&gt;&lt;urls&gt;&lt;related-urls&gt;&lt;url&gt;https://doi.org/10.1021/acscatal.5b02432&lt;/url&gt;&lt;/related-urls&gt;&lt;/urls&gt;&lt;electronic-resource-num&gt;10.1021/acscatal.5b02432&lt;/electronic-resource-num&gt;&lt;/record&gt;&lt;/Cite&gt;&lt;/EndNote&gt;</w:instrText>
      </w:r>
      <w:r w:rsidR="00FF5CE0" w:rsidRPr="00FF5CE0">
        <w:fldChar w:fldCharType="separate"/>
      </w:r>
      <w:r w:rsidR="00FC5BEB" w:rsidRPr="00FC5BEB">
        <w:rPr>
          <w:noProof/>
          <w:vertAlign w:val="superscript"/>
        </w:rPr>
        <w:t>324</w:t>
      </w:r>
      <w:r w:rsidR="00FF5CE0" w:rsidRPr="00FF5CE0">
        <w:fldChar w:fldCharType="end"/>
      </w:r>
      <w:r w:rsidR="00FF5CE0" w:rsidRPr="00FF5CE0">
        <w:t>. Noting that surface phases are expected to be important, the authors first computed the surface phase diagram within the CHE using the ideal NiO</w:t>
      </w:r>
      <w:r w:rsidR="00FF5CE0" w:rsidRPr="00FF5CE0">
        <w:rPr>
          <w:vertAlign w:val="subscript"/>
        </w:rPr>
        <w:t>2</w:t>
      </w:r>
      <w:r w:rsidR="00FF5CE0" w:rsidRPr="00FF5CE0">
        <w:t xml:space="preserve"> termination as a reference, </w:t>
      </w:r>
      <w:r>
        <w:fldChar w:fldCharType="begin"/>
      </w:r>
      <w:r>
        <w:instrText xml:space="preserve"> REF _Ref159518643 \h </w:instrText>
      </w:r>
      <w:r>
        <w:fldChar w:fldCharType="separate"/>
      </w:r>
      <w:r w:rsidR="00B52708" w:rsidRPr="00FF5CE0">
        <w:rPr>
          <w:b/>
          <w:bCs/>
        </w:rPr>
        <w:t xml:space="preserve">Figure </w:t>
      </w:r>
      <w:r w:rsidR="00B52708">
        <w:rPr>
          <w:b/>
          <w:bCs/>
          <w:noProof/>
        </w:rPr>
        <w:t>22</w:t>
      </w:r>
      <w:r>
        <w:fldChar w:fldCharType="end"/>
      </w:r>
      <w:r w:rsidR="00FF5CE0" w:rsidRPr="00967BAD">
        <w:rPr>
          <w:b/>
          <w:bCs/>
        </w:rPr>
        <w:t>a</w:t>
      </w:r>
      <w:r w:rsidR="00FF5CE0" w:rsidRPr="00FF5CE0">
        <w:t>. They found that at increasing applied potential (</w:t>
      </w:r>
      <w:r w:rsidR="00FF5CE0" w:rsidRPr="00FF5CE0">
        <w:rPr>
          <w:i/>
          <w:iCs/>
        </w:rPr>
        <w:t>U</w:t>
      </w:r>
      <w:r w:rsidR="00FF5CE0" w:rsidRPr="00FF5CE0">
        <w:rPr>
          <w:vertAlign w:val="subscript"/>
        </w:rPr>
        <w:t>SHE</w:t>
      </w:r>
      <w:r w:rsidR="00FF5CE0" w:rsidRPr="00FF5CE0">
        <w:t>) and pH the surface becomes increasingly oxidized from a La-deficient surface (</w:t>
      </w:r>
      <w:r w:rsidR="00FF5CE0" w:rsidRPr="00FF5CE0">
        <w:rPr>
          <w:i/>
          <w:iCs/>
        </w:rPr>
        <w:t>R</w:t>
      </w:r>
      <w:r w:rsidR="00FF5CE0" w:rsidRPr="00FF5CE0">
        <w:rPr>
          <w:vertAlign w:val="subscript"/>
        </w:rPr>
        <w:t>1</w:t>
      </w:r>
      <w:r w:rsidR="00FF5CE0" w:rsidRPr="00FF5CE0">
        <w:t>) to a partially hydroxylated La-deficient surface (</w:t>
      </w:r>
      <w:r w:rsidR="00FF5CE0" w:rsidRPr="00FF5CE0">
        <w:rPr>
          <w:i/>
          <w:iCs/>
        </w:rPr>
        <w:t>R</w:t>
      </w:r>
      <w:r w:rsidR="00FF5CE0" w:rsidRPr="00FF5CE0">
        <w:rPr>
          <w:vertAlign w:val="subscript"/>
        </w:rPr>
        <w:t>2</w:t>
      </w:r>
      <w:r w:rsidR="00FF5CE0" w:rsidRPr="00FF5CE0">
        <w:t>), to fully hydroxylated NiO</w:t>
      </w:r>
      <w:r w:rsidR="00FF5CE0" w:rsidRPr="00FF5CE0">
        <w:rPr>
          <w:vertAlign w:val="subscript"/>
        </w:rPr>
        <w:t>2</w:t>
      </w:r>
      <w:r w:rsidR="00FF5CE0" w:rsidRPr="00FF5CE0">
        <w:t xml:space="preserve"> surface with all (</w:t>
      </w:r>
      <w:r w:rsidR="00FF5CE0" w:rsidRPr="00FF5CE0">
        <w:rPr>
          <w:i/>
          <w:iCs/>
        </w:rPr>
        <w:t>R</w:t>
      </w:r>
      <w:r w:rsidR="00FF5CE0" w:rsidRPr="00FF5CE0">
        <w:rPr>
          <w:vertAlign w:val="subscript"/>
        </w:rPr>
        <w:t>3</w:t>
      </w:r>
      <w:r w:rsidR="00FF5CE0" w:rsidRPr="00FF5CE0">
        <w:t>) or half (</w:t>
      </w:r>
      <w:r w:rsidR="00FF5CE0" w:rsidRPr="00FF5CE0">
        <w:rPr>
          <w:i/>
          <w:iCs/>
        </w:rPr>
        <w:t>R</w:t>
      </w:r>
      <w:r w:rsidR="00FF5CE0" w:rsidRPr="00FF5CE0">
        <w:rPr>
          <w:vertAlign w:val="subscript"/>
        </w:rPr>
        <w:t>4</w:t>
      </w:r>
      <w:r w:rsidR="00FF5CE0" w:rsidRPr="00FF5CE0">
        <w:t>) the surface oxygen atoms protonated, to a fully hydroxylated surface with no surface oxygen protonated (</w:t>
      </w:r>
      <w:r w:rsidR="00FF5CE0" w:rsidRPr="00FF5CE0">
        <w:rPr>
          <w:i/>
          <w:iCs/>
        </w:rPr>
        <w:t>R</w:t>
      </w:r>
      <w:r w:rsidR="00FF5CE0" w:rsidRPr="00FF5CE0">
        <w:rPr>
          <w:vertAlign w:val="subscript"/>
        </w:rPr>
        <w:t>5</w:t>
      </w:r>
      <w:r w:rsidR="00FF5CE0" w:rsidRPr="00FF5CE0">
        <w:t>), to a fully oxidized surface (</w:t>
      </w:r>
      <w:r w:rsidR="00FF5CE0" w:rsidRPr="00FF5CE0">
        <w:rPr>
          <w:i/>
          <w:iCs/>
        </w:rPr>
        <w:t>R</w:t>
      </w:r>
      <w:r w:rsidR="00FF5CE0" w:rsidRPr="00FF5CE0">
        <w:rPr>
          <w:vertAlign w:val="subscript"/>
        </w:rPr>
        <w:t>6</w:t>
      </w:r>
      <w:r w:rsidR="00FF5CE0" w:rsidRPr="00FF5CE0">
        <w:t xml:space="preserve">), </w:t>
      </w:r>
      <w:r>
        <w:fldChar w:fldCharType="begin"/>
      </w:r>
      <w:r>
        <w:instrText xml:space="preserve"> REF _Ref159518643 \h </w:instrText>
      </w:r>
      <w:r>
        <w:fldChar w:fldCharType="separate"/>
      </w:r>
      <w:r w:rsidR="00B52708" w:rsidRPr="00FF5CE0">
        <w:rPr>
          <w:b/>
          <w:bCs/>
        </w:rPr>
        <w:t xml:space="preserve">Figure </w:t>
      </w:r>
      <w:r w:rsidR="00B52708">
        <w:rPr>
          <w:b/>
          <w:bCs/>
          <w:noProof/>
        </w:rPr>
        <w:t>22</w:t>
      </w:r>
      <w:r>
        <w:fldChar w:fldCharType="end"/>
      </w:r>
      <w:r w:rsidR="00FF5CE0" w:rsidRPr="00967BAD">
        <w:rPr>
          <w:b/>
          <w:bCs/>
        </w:rPr>
        <w:t>a</w:t>
      </w:r>
      <w:r w:rsidR="00FF5CE0" w:rsidRPr="00FF5CE0">
        <w:t>. They found that, like on other oxides</w:t>
      </w:r>
      <w:r w:rsidR="00FF5CE0" w:rsidRPr="00FF5CE0">
        <w:fldChar w:fldCharType="begin">
          <w:fldData xml:space="preserve">PEVuZE5vdGU+PENpdGU+PEF1dGhvcj5Sb3NzbWVpc2w8L0F1dGhvcj48WWVhcj4yMDA3PC9ZZWFy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</w:fldData>
        </w:fldChar>
      </w:r>
      <w:r w:rsidR="00FC5BEB">
        <w:instrText xml:space="preserve"> ADDIN EN.CITE </w:instrText>
      </w:r>
      <w:r w:rsidR="00FC5BEB">
        <w:fldChar w:fldCharType="begin">
          <w:fldData xml:space="preserve">PEVuZE5vdGU+PENpdGU+PEF1dGhvcj5Sb3NzbWVpc2w8L0F1dGhvcj48WWVhcj4yMDA3PC9ZZWFy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</w:fldData>
        </w:fldChar>
      </w:r>
      <w:r w:rsidR="00FC5BEB">
        <w:instrText xml:space="preserve"> ADDIN EN.CITE.DATA </w:instrText>
      </w:r>
      <w:r w:rsidR="00FC5BEB">
        <w:fldChar w:fldCharType="end"/>
      </w:r>
      <w:r w:rsidR="00FF5CE0" w:rsidRPr="00FF5CE0">
        <w:fldChar w:fldCharType="separate"/>
      </w:r>
      <w:r w:rsidR="00FC5BEB" w:rsidRPr="00FC5BEB">
        <w:rPr>
          <w:noProof/>
          <w:vertAlign w:val="superscript"/>
        </w:rPr>
        <w:t>88, 101, 219, 240, 339</w:t>
      </w:r>
      <w:r w:rsidR="00FF5CE0" w:rsidRPr="00FF5CE0">
        <w:fldChar w:fldCharType="end"/>
      </w:r>
      <w:r w:rsidR="00FF5CE0" w:rsidRPr="00FF5CE0">
        <w:t xml:space="preserve">, the formation </w:t>
      </w:r>
      <w:r w:rsidR="00FF5CE0" w:rsidRPr="00FF5CE0">
        <w:lastRenderedPageBreak/>
        <w:t xml:space="preserve">of </w:t>
      </w:r>
      <w:proofErr w:type="spellStart"/>
      <w:r w:rsidR="00FF5CE0" w:rsidRPr="00FF5CE0">
        <w:t>oxyl</w:t>
      </w:r>
      <w:proofErr w:type="spellEnd"/>
      <w:r w:rsidR="00FF5CE0" w:rsidRPr="00FF5CE0">
        <w:t xml:space="preserve"> (</w:t>
      </w:r>
      <w:r w:rsidR="00FF5CE0" w:rsidRPr="00FF5CE0">
        <w:sym w:font="Symbol" w:char="F06D"/>
      </w:r>
      <w:r w:rsidR="00FF5CE0" w:rsidRPr="00FF5CE0">
        <w:rPr>
          <w:vertAlign w:val="subscript"/>
        </w:rPr>
        <w:t>1</w:t>
      </w:r>
      <w:r w:rsidR="00FF5CE0" w:rsidRPr="00FF5CE0">
        <w:t xml:space="preserve">-O) is a perquisite for the AEM. While </w:t>
      </w:r>
      <w:proofErr w:type="spellStart"/>
      <w:r w:rsidR="00FF5CE0" w:rsidRPr="00FF5CE0">
        <w:t>oxyl</w:t>
      </w:r>
      <w:proofErr w:type="spellEnd"/>
      <w:r w:rsidR="00FF5CE0" w:rsidRPr="00FF5CE0">
        <w:t xml:space="preserve"> is </w:t>
      </w:r>
      <w:r w:rsidR="00B33C04">
        <w:t xml:space="preserve">a </w:t>
      </w:r>
      <w:r w:rsidR="00FF5CE0" w:rsidRPr="00FF5CE0">
        <w:t>predicted form on OER active rutile-type oxides at low overpotential, for LaNiO</w:t>
      </w:r>
      <w:r w:rsidR="00FF5CE0" w:rsidRPr="00FF5CE0">
        <w:rPr>
          <w:vertAlign w:val="subscript"/>
        </w:rPr>
        <w:t>3</w:t>
      </w:r>
      <w:r w:rsidR="00FF5CE0" w:rsidRPr="00FF5CE0">
        <w:t xml:space="preserve">, inspection of the phase diagram in </w:t>
      </w:r>
      <w:r>
        <w:fldChar w:fldCharType="begin"/>
      </w:r>
      <w:r>
        <w:instrText xml:space="preserve"> REF _Ref159518643 \h </w:instrText>
      </w:r>
      <w:r>
        <w:fldChar w:fldCharType="separate"/>
      </w:r>
      <w:r w:rsidR="00B52708" w:rsidRPr="00FF5CE0">
        <w:rPr>
          <w:b/>
          <w:bCs/>
        </w:rPr>
        <w:t xml:space="preserve">Figure </w:t>
      </w:r>
      <w:r w:rsidR="00B52708">
        <w:rPr>
          <w:b/>
          <w:bCs/>
          <w:noProof/>
        </w:rPr>
        <w:t>22</w:t>
      </w:r>
      <w:r>
        <w:fldChar w:fldCharType="end"/>
      </w:r>
      <w:r w:rsidR="00FF5CE0" w:rsidRPr="00FF5CE0">
        <w:t>a shows these terminal O sites are only deprotonated at potentials above 1.96 V vs RHE on the perovskite, well above the observed OER onset</w:t>
      </w:r>
      <w:r w:rsidR="00FF5CE0" w:rsidRPr="00FF5CE0">
        <w:fldChar w:fldCharType="begin"/>
      </w:r>
      <w:r w:rsidR="00FC5BEB">
        <w:instrText xml:space="preserve"> ADDIN EN.CITE &lt;EndNote&gt;&lt;Cite&gt;&lt;Author&gt;Bockris&lt;/Author&gt;&lt;Year&gt;1983&lt;/Year&gt;&lt;RecNum&gt;82&lt;/RecNum&gt;&lt;DisplayText&gt;&lt;style face="superscript"&gt;84&lt;/style&gt;&lt;/DisplayText&gt;&lt;record&gt;&lt;rec-number&gt;82&lt;/rec-number&gt;&lt;foreign-keys&gt;&lt;key app="EN" db-id="2xex0erf4eexr4e2dpbxpdd829xttesxxxdr" timestamp="1715075296"&gt;82&lt;/key&gt;&lt;/foreign-keys&gt;&lt;ref-type name="Journal Article"&gt;17&lt;/ref-type&gt;&lt;contributors&gt;&lt;authors&gt;&lt;author&gt;Bockris, John O&amp;apos;M&lt;/author&gt;&lt;author&gt;Otagawa, Takaaki&lt;/author&gt;&lt;/authors&gt;&lt;/contributors&gt;&lt;titles&gt;&lt;title&gt;Mechanism of oxygen evolution on perovskites&lt;/title&gt;&lt;secondary-title&gt;Journal of Physical Chemistry&lt;/secondary-title&gt;&lt;/titles&gt;&lt;periodical&gt;&lt;full-title&gt;Journal of Physical Chemistry&lt;/full-title&gt;&lt;abbr-1&gt;J. Phys. Chem.&lt;/abbr-1&gt;&lt;abbr-2&gt;J Phys Chem&lt;/abbr-2&gt;&lt;/periodical&gt;&lt;pages&gt;2960-2971&lt;/pages&gt;&lt;volume&gt;87&lt;/volume&gt;&lt;number&gt;15&lt;/number&gt;&lt;dates&gt;&lt;year&gt;1983&lt;/year&gt;&lt;pub-dates&gt;&lt;date&gt;1983/07/01&lt;/date&gt;&lt;/pub-dates&gt;&lt;/dates&gt;&lt;publisher&gt;American Chemical Society&lt;/publisher&gt;&lt;isbn&gt;0022-3654&lt;/isbn&gt;&lt;urls&gt;&lt;related-urls&gt;&lt;url&gt;https://doi.org/10.1021/j100238a048&lt;/url&gt;&lt;/related-urls&gt;&lt;/urls&gt;&lt;electronic-resource-num&gt;10.1021/j100238a048&lt;/electronic-resource-num&gt;&lt;/record&gt;&lt;/Cite&gt;&lt;/EndNote&gt;</w:instrText>
      </w:r>
      <w:r w:rsidR="00FF5CE0" w:rsidRPr="00FF5CE0">
        <w:fldChar w:fldCharType="separate"/>
      </w:r>
      <w:r w:rsidR="00FC5BEB" w:rsidRPr="00FC5BEB">
        <w:rPr>
          <w:noProof/>
          <w:vertAlign w:val="superscript"/>
        </w:rPr>
        <w:t>84</w:t>
      </w:r>
      <w:r w:rsidR="00FF5CE0" w:rsidRPr="00FF5CE0">
        <w:fldChar w:fldCharType="end"/>
      </w:r>
      <w:r w:rsidR="00FF5CE0" w:rsidRPr="00FF5CE0">
        <w:t xml:space="preserve">. However, using the CHE, the authors of Ref. </w:t>
      </w:r>
      <w:r w:rsidR="00FF5CE0" w:rsidRPr="00FF5CE0">
        <w:fldChar w:fldCharType="begin"/>
      </w:r>
      <w:r w:rsidR="00FC5BEB">
        <w:instrText xml:space="preserve"> ADDIN EN.CITE &lt;EndNote&gt;&lt;Cite&gt;&lt;Author&gt;Rong&lt;/Author&gt;&lt;Year&gt;2016&lt;/Year&gt;&lt;RecNum&gt;322&lt;/RecNum&gt;&lt;DisplayText&gt;&lt;style face="superscript"&gt;324&lt;/style&gt;&lt;/DisplayText&gt;&lt;record&gt;&lt;rec-number&gt;322&lt;/rec-number&gt;&lt;foreign-keys&gt;&lt;key app="EN" db-id="2xex0erf4eexr4e2dpbxpdd829xttesxxxdr" timestamp="1715075296"&gt;322&lt;/key&gt;&lt;/foreign-keys&gt;&lt;ref-type name="Journal Article"&gt;17&lt;/ref-type&gt;&lt;contributors&gt;&lt;authors&gt;&lt;author&gt;Rong, Xi&lt;/author&gt;&lt;author&gt;Parolin, Jules&lt;/author&gt;&lt;author&gt;Kolpak, Alexie M.&lt;/author&gt;&lt;/authors&gt;&lt;/contributors&gt;&lt;titles&gt;&lt;title&gt;A Fundamental Relationship between Reaction Mechanism and Stability in Metal Oxide Catalysts for Oxygen Evolution&lt;/title&gt;&lt;secondary-title&gt;ACS Catal.&lt;/secondary-title&gt;&lt;/titles&gt;&lt;periodical&gt;&lt;full-title&gt;ACS Catal.&lt;/full-title&gt;&lt;/periodical&gt;&lt;pages&gt;1153-1158&lt;/pages&gt;&lt;volume&gt;6&lt;/volume&gt;&lt;number&gt;2&lt;/number&gt;&lt;dates&gt;&lt;year&gt;2016&lt;/year&gt;&lt;pub-dates&gt;&lt;date&gt;2016/02/05&lt;/date&gt;&lt;/pub-dates&gt;&lt;/dates&gt;&lt;publisher&gt;American Chemical Society&lt;/publisher&gt;&lt;urls&gt;&lt;related-urls&gt;&lt;url&gt;https://doi.org/10.1021/acscatal.5b02432&lt;/url&gt;&lt;/related-urls&gt;&lt;/urls&gt;&lt;electronic-resource-num&gt;10.1021/acscatal.5b02432&lt;/electronic-resource-num&gt;&lt;/record&gt;&lt;/Cite&gt;&lt;/EndNote&gt;</w:instrText>
      </w:r>
      <w:r w:rsidR="00FF5CE0" w:rsidRPr="00FF5CE0">
        <w:fldChar w:fldCharType="separate"/>
      </w:r>
      <w:r w:rsidR="00FC5BEB" w:rsidRPr="00FC5BEB">
        <w:rPr>
          <w:noProof/>
          <w:vertAlign w:val="superscript"/>
        </w:rPr>
        <w:t>324</w:t>
      </w:r>
      <w:r w:rsidR="00FF5CE0" w:rsidRPr="00FF5CE0">
        <w:fldChar w:fldCharType="end"/>
      </w:r>
      <w:r w:rsidR="00CD7EE4">
        <w:t xml:space="preserve"> </w:t>
      </w:r>
      <w:r w:rsidR="00FF5CE0" w:rsidRPr="00FF5CE0">
        <w:t xml:space="preserve">showed the LOM is already possible at 1.54 V vs RHE on the </w:t>
      </w:r>
      <w:r w:rsidR="00FF5CE0" w:rsidRPr="00FF5CE0">
        <w:rPr>
          <w:i/>
          <w:iCs/>
        </w:rPr>
        <w:t>R</w:t>
      </w:r>
      <w:r w:rsidR="00FF5CE0" w:rsidRPr="00FF5CE0">
        <w:rPr>
          <w:vertAlign w:val="subscript"/>
        </w:rPr>
        <w:t>4</w:t>
      </w:r>
      <w:r w:rsidR="00FF5CE0" w:rsidRPr="00FF5CE0">
        <w:t xml:space="preserve"> surface and 1.66 V vs RHE on the </w:t>
      </w:r>
      <w:r w:rsidR="00FF5CE0" w:rsidRPr="00FF5CE0">
        <w:rPr>
          <w:i/>
          <w:iCs/>
        </w:rPr>
        <w:t>R</w:t>
      </w:r>
      <w:r w:rsidR="00FF5CE0" w:rsidRPr="00FF5CE0">
        <w:rPr>
          <w:vertAlign w:val="subscript"/>
        </w:rPr>
        <w:t>5</w:t>
      </w:r>
      <w:r w:rsidR="00FF5CE0" w:rsidRPr="00FF5CE0">
        <w:t xml:space="preserve"> surface, assuming the reaction proceeds at </w:t>
      </w:r>
      <w:r w:rsidR="00FF5CE0" w:rsidRPr="00FF5CE0">
        <w:rPr>
          <w:i/>
        </w:rPr>
        <w:sym w:font="Symbol" w:char="F068"/>
      </w:r>
      <w:r w:rsidR="00FF5CE0" w:rsidRPr="00FF5CE0">
        <w:rPr>
          <w:iCs/>
          <w:vertAlign w:val="subscript"/>
        </w:rPr>
        <w:t>CHE</w:t>
      </w:r>
      <w:r w:rsidR="00FF5CE0" w:rsidRPr="00FF5CE0">
        <w:t>.</w:t>
      </w:r>
    </w:p>
    <w:p w14:paraId="67AF7AFA" w14:textId="766AB780" w:rsidR="00FF5CE0" w:rsidRDefault="00FF5CE0" w:rsidP="00FF5CE0"/>
    <w:p w14:paraId="1A77D901" w14:textId="77777777" w:rsidR="00DE45A7" w:rsidRDefault="00FF5CE0" w:rsidP="00FF5CE0">
      <w:r w:rsidRPr="00FF5CE0">
        <w:tab/>
      </w:r>
    </w:p>
    <w:p w14:paraId="1DA02E3F" w14:textId="762DDB51" w:rsidR="00FF5CE0" w:rsidRPr="00FF5CE0" w:rsidRDefault="00FF5CE0" w:rsidP="00DE45A7">
      <w:pPr>
        <w:ind w:firstLine="720"/>
      </w:pPr>
      <w:r w:rsidRPr="00FF5CE0">
        <w:t xml:space="preserve">The authors of Ref. </w:t>
      </w:r>
      <w:r w:rsidRPr="00FF5CE0">
        <w:fldChar w:fldCharType="begin"/>
      </w:r>
      <w:r w:rsidR="00FC5BEB">
        <w:instrText xml:space="preserve"> ADDIN EN.CITE &lt;EndNote&gt;&lt;Cite&gt;&lt;Author&gt;Rong&lt;/Author&gt;&lt;Year&gt;2016&lt;/Year&gt;&lt;RecNum&gt;322&lt;/RecNum&gt;&lt;DisplayText&gt;&lt;style face="superscript"&gt;324&lt;/style&gt;&lt;/DisplayText&gt;&lt;record&gt;&lt;rec-number&gt;322&lt;/rec-number&gt;&lt;foreign-keys&gt;&lt;key app="EN" db-id="2xex0erf4eexr4e2dpbxpdd829xttesxxxdr" timestamp="1715075296"&gt;322&lt;/key&gt;&lt;/foreign-keys&gt;&lt;ref-type name="Journal Article"&gt;17&lt;/ref-type&gt;&lt;contributors&gt;&lt;authors&gt;&lt;author&gt;Rong, Xi&lt;/author&gt;&lt;author&gt;Parolin, Jules&lt;/author&gt;&lt;author&gt;Kolpak, Alexie M.&lt;/author&gt;&lt;/authors&gt;&lt;/contributors&gt;&lt;titles&gt;&lt;title&gt;A Fundamental Relationship between Reaction Mechanism and Stability in Metal Oxide Catalysts for Oxygen Evolution&lt;/title&gt;&lt;secondary-title&gt;ACS Catal.&lt;/secondary-title&gt;&lt;/titles&gt;&lt;periodical&gt;&lt;full-title&gt;ACS Catal.&lt;/full-title&gt;&lt;/periodical&gt;&lt;pages&gt;1153-1158&lt;/pages&gt;&lt;volume&gt;6&lt;/volume&gt;&lt;number&gt;2&lt;/number&gt;&lt;dates&gt;&lt;year&gt;2016&lt;/year&gt;&lt;pub-dates&gt;&lt;date&gt;2016/02/05&lt;/date&gt;&lt;/pub-dates&gt;&lt;/dates&gt;&lt;publisher&gt;American Chemical Society&lt;/publisher&gt;&lt;urls&gt;&lt;related-urls&gt;&lt;url&gt;https://doi.org/10.1021/acscatal.5b02432&lt;/url&gt;&lt;/related-urls&gt;&lt;/urls&gt;&lt;electronic-resource-num&gt;10.1021/acscatal.5b02432&lt;/electronic-resource-num&gt;&lt;/record&gt;&lt;/Cite&gt;&lt;/EndNote&gt;</w:instrText>
      </w:r>
      <w:r w:rsidRPr="00FF5CE0">
        <w:fldChar w:fldCharType="separate"/>
      </w:r>
      <w:r w:rsidR="00FC5BEB" w:rsidRPr="00FC5BEB">
        <w:rPr>
          <w:noProof/>
          <w:vertAlign w:val="superscript"/>
        </w:rPr>
        <w:t>324</w:t>
      </w:r>
      <w:r w:rsidRPr="00FF5CE0">
        <w:fldChar w:fldCharType="end"/>
      </w:r>
      <w:r w:rsidRPr="00FF5CE0">
        <w:t xml:space="preserve"> went on to show how bulk properties of the perovskites influence the propensity for a particular catalyst to follow the nucleophilic attack mechanism, or AEM, originally proposed for CHE studies or the newly modeled LOM. They did so by defining the difference in free energy between the surface with terminal oxygen (</w:t>
      </w:r>
      <w:r w:rsidRPr="00FF5CE0">
        <w:sym w:font="Symbol" w:char="F06D"/>
      </w:r>
      <w:r w:rsidRPr="00FF5CE0">
        <w:rPr>
          <w:vertAlign w:val="subscript"/>
        </w:rPr>
        <w:t>1</w:t>
      </w:r>
      <w:r w:rsidRPr="00FF5CE0">
        <w:t>-O), which is labeled the A</w:t>
      </w:r>
      <w:r w:rsidRPr="00FF5CE0">
        <w:rPr>
          <w:vertAlign w:val="subscript"/>
        </w:rPr>
        <w:t>0</w:t>
      </w:r>
      <w:r w:rsidRPr="00FF5CE0">
        <w:t xml:space="preserve">-like state in </w:t>
      </w:r>
      <w:r w:rsidR="00E1473E">
        <w:fldChar w:fldCharType="begin"/>
      </w:r>
      <w:r w:rsidR="00E1473E">
        <w:instrText xml:space="preserve"> REF _Ref159518643 \h </w:instrText>
      </w:r>
      <w:r w:rsidR="00E1473E">
        <w:fldChar w:fldCharType="separate"/>
      </w:r>
      <w:r w:rsidR="00B52708" w:rsidRPr="00FF5CE0">
        <w:rPr>
          <w:b/>
          <w:bCs/>
        </w:rPr>
        <w:t xml:space="preserve">Figure </w:t>
      </w:r>
      <w:r w:rsidR="00B52708">
        <w:rPr>
          <w:b/>
          <w:bCs/>
          <w:noProof/>
        </w:rPr>
        <w:t>22</w:t>
      </w:r>
      <w:r w:rsidR="00E1473E">
        <w:fldChar w:fldCharType="end"/>
      </w:r>
      <w:r w:rsidR="00E1473E" w:rsidRPr="00E45E28">
        <w:rPr>
          <w:b/>
          <w:bCs/>
        </w:rPr>
        <w:t>d</w:t>
      </w:r>
      <w:r w:rsidR="00CD7EE4" w:rsidRPr="00E45E28">
        <w:rPr>
          <w:b/>
          <w:bCs/>
        </w:rPr>
        <w:t xml:space="preserve"> </w:t>
      </w:r>
      <w:r w:rsidRPr="00FF5CE0">
        <w:t xml:space="preserve">and the LOM intermediate with the (*OO, </w:t>
      </w:r>
      <w:proofErr w:type="spellStart"/>
      <w:r w:rsidRPr="00FF5CE0">
        <w:t>O</w:t>
      </w:r>
      <w:r w:rsidRPr="00FF5CE0">
        <w:rPr>
          <w:vertAlign w:val="subscript"/>
        </w:rPr>
        <w:t>vac</w:t>
      </w:r>
      <w:proofErr w:type="spellEnd"/>
      <w:r w:rsidRPr="00FF5CE0">
        <w:t>) pair, labeled the A</w:t>
      </w:r>
      <w:r w:rsidRPr="00FF5CE0">
        <w:rPr>
          <w:vertAlign w:val="subscript"/>
        </w:rPr>
        <w:t>1</w:t>
      </w:r>
      <w:r w:rsidRPr="00FF5CE0">
        <w:t>-like state in</w:t>
      </w:r>
      <w:r w:rsidR="00CD7EE4">
        <w:t xml:space="preserve"> </w:t>
      </w:r>
      <w:r w:rsidR="00E1473E">
        <w:fldChar w:fldCharType="begin"/>
      </w:r>
      <w:r w:rsidR="00E1473E">
        <w:instrText xml:space="preserve"> REF _Ref159518643 \h </w:instrText>
      </w:r>
      <w:r w:rsidR="00E1473E">
        <w:fldChar w:fldCharType="separate"/>
      </w:r>
      <w:r w:rsidR="00B52708" w:rsidRPr="00FF5CE0">
        <w:rPr>
          <w:b/>
          <w:bCs/>
        </w:rPr>
        <w:t xml:space="preserve">Figure </w:t>
      </w:r>
      <w:r w:rsidR="00B52708">
        <w:rPr>
          <w:b/>
          <w:bCs/>
          <w:noProof/>
        </w:rPr>
        <w:t>22</w:t>
      </w:r>
      <w:r w:rsidR="00E1473E">
        <w:fldChar w:fldCharType="end"/>
      </w:r>
      <w:r w:rsidR="00E1473E">
        <w:rPr>
          <w:b/>
          <w:bCs/>
        </w:rPr>
        <w:t>d</w:t>
      </w:r>
      <w:r w:rsidRPr="00FF5CE0">
        <w:t xml:space="preserve">. This energy difference, </w:t>
      </w:r>
      <w:r w:rsidRPr="00FF5CE0">
        <w:sym w:font="Symbol" w:char="F044"/>
      </w:r>
      <w:r w:rsidRPr="00FF5CE0">
        <w:rPr>
          <w:i/>
          <w:iCs/>
        </w:rPr>
        <w:t>G</w:t>
      </w:r>
      <w:r w:rsidRPr="00FF5CE0">
        <w:t xml:space="preserve"> = </w:t>
      </w:r>
      <w:r w:rsidRPr="00FF5CE0">
        <w:sym w:font="Symbol" w:char="F044"/>
      </w:r>
      <w:r w:rsidRPr="00FF5CE0">
        <w:rPr>
          <w:i/>
          <w:iCs/>
        </w:rPr>
        <w:t>G</w:t>
      </w:r>
      <w:r w:rsidRPr="00FF5CE0">
        <w:t>(A</w:t>
      </w:r>
      <w:r w:rsidRPr="00FF5CE0">
        <w:rPr>
          <w:vertAlign w:val="subscript"/>
        </w:rPr>
        <w:t>1</w:t>
      </w:r>
      <w:r w:rsidRPr="00FF5CE0">
        <w:t xml:space="preserve">)- </w:t>
      </w:r>
      <w:r w:rsidRPr="00FF5CE0">
        <w:sym w:font="Symbol" w:char="F044"/>
      </w:r>
      <w:r w:rsidRPr="00FF5CE0">
        <w:rPr>
          <w:i/>
          <w:iCs/>
        </w:rPr>
        <w:t>G</w:t>
      </w:r>
      <w:r w:rsidRPr="00FF5CE0">
        <w:t>(A</w:t>
      </w:r>
      <w:r w:rsidRPr="00FF5CE0">
        <w:rPr>
          <w:vertAlign w:val="subscript"/>
        </w:rPr>
        <w:t>0</w:t>
      </w:r>
      <w:r w:rsidRPr="00FF5CE0">
        <w:t>), is simply the difference in free energy change (computed using the CHE) between the first step in the two mechanisms shown</w:t>
      </w:r>
      <w:r w:rsidR="004D205B">
        <w:t xml:space="preserve"> in </w:t>
      </w:r>
      <w:r w:rsidR="004D205B">
        <w:fldChar w:fldCharType="begin"/>
      </w:r>
      <w:r w:rsidR="004D205B">
        <w:instrText xml:space="preserve"> REF _Ref159518126 \h </w:instrText>
      </w:r>
      <w:r w:rsidR="004D205B">
        <w:fldChar w:fldCharType="separate"/>
      </w:r>
      <w:r w:rsidR="00B52708" w:rsidRPr="00FF5CE0">
        <w:rPr>
          <w:b/>
          <w:bCs/>
        </w:rPr>
        <w:t xml:space="preserve">Figure </w:t>
      </w:r>
      <w:r w:rsidR="00B52708">
        <w:rPr>
          <w:b/>
          <w:bCs/>
          <w:noProof/>
        </w:rPr>
        <w:t>21</w:t>
      </w:r>
      <w:r w:rsidR="004D205B">
        <w:fldChar w:fldCharType="end"/>
      </w:r>
      <w:r w:rsidRPr="004D205B">
        <w:t>. This choice reflects the observation that in</w:t>
      </w:r>
      <w:r w:rsidR="004D205B" w:rsidRPr="004D205B">
        <w:t xml:space="preserve"> </w:t>
      </w:r>
      <w:r w:rsidR="004D205B">
        <w:rPr>
          <w:highlight w:val="yellow"/>
        </w:rPr>
        <w:fldChar w:fldCharType="begin"/>
      </w:r>
      <w:r w:rsidR="004D205B">
        <w:rPr>
          <w:highlight w:val="yellow"/>
        </w:rPr>
        <w:instrText xml:space="preserve"> REF _Ref159518643 \h </w:instrText>
      </w:r>
      <w:r w:rsidR="004D205B">
        <w:rPr>
          <w:highlight w:val="yellow"/>
        </w:rPr>
      </w:r>
      <w:r w:rsidR="004D205B">
        <w:rPr>
          <w:highlight w:val="yellow"/>
        </w:rPr>
        <w:fldChar w:fldCharType="separate"/>
      </w:r>
      <w:r w:rsidR="00B52708" w:rsidRPr="00FF5CE0">
        <w:rPr>
          <w:b/>
          <w:bCs/>
        </w:rPr>
        <w:t xml:space="preserve">Figure </w:t>
      </w:r>
      <w:r w:rsidR="00B52708">
        <w:rPr>
          <w:b/>
          <w:bCs/>
          <w:noProof/>
        </w:rPr>
        <w:t>22</w:t>
      </w:r>
      <w:r w:rsidR="004D205B">
        <w:rPr>
          <w:highlight w:val="yellow"/>
        </w:rPr>
        <w:fldChar w:fldCharType="end"/>
      </w:r>
      <w:r w:rsidRPr="004D205B">
        <w:t xml:space="preserve"> this</w:t>
      </w:r>
      <w:r w:rsidRPr="00FF5CE0">
        <w:t xml:space="preserve"> difference in energy determines the tendency for the OER on LaNiO</w:t>
      </w:r>
      <w:r w:rsidRPr="00FF5CE0">
        <w:rPr>
          <w:vertAlign w:val="subscript"/>
        </w:rPr>
        <w:t>3</w:t>
      </w:r>
      <w:r w:rsidRPr="00FF5CE0">
        <w:t xml:space="preserve"> to follow the LOM. When this descriptor is applied to a wider range of materials it can be seen to correlate with the oxygen vacancy formation energy (</w:t>
      </w:r>
      <w:r w:rsidRPr="00FF5CE0">
        <w:sym w:font="Symbol" w:char="F044"/>
      </w:r>
      <w:proofErr w:type="spellStart"/>
      <w:r w:rsidRPr="00FF5CE0">
        <w:rPr>
          <w:i/>
          <w:iCs/>
        </w:rPr>
        <w:t>E</w:t>
      </w:r>
      <w:r w:rsidRPr="00FF5CE0">
        <w:rPr>
          <w:i/>
          <w:iCs/>
          <w:vertAlign w:val="subscript"/>
        </w:rPr>
        <w:t>f</w:t>
      </w:r>
      <w:r w:rsidRPr="00FF5CE0">
        <w:rPr>
          <w:vertAlign w:val="superscript"/>
        </w:rPr>
        <w:t>VO</w:t>
      </w:r>
      <w:proofErr w:type="spellEnd"/>
      <w:r w:rsidRPr="00FF5CE0">
        <w:t xml:space="preserve">), </w:t>
      </w:r>
      <w:r w:rsidR="00E1473E">
        <w:fldChar w:fldCharType="begin"/>
      </w:r>
      <w:r w:rsidR="00E1473E">
        <w:instrText xml:space="preserve"> REF _Ref159518643 \h </w:instrText>
      </w:r>
      <w:r w:rsidR="00E1473E">
        <w:fldChar w:fldCharType="separate"/>
      </w:r>
      <w:r w:rsidR="00B52708" w:rsidRPr="00FF5CE0">
        <w:rPr>
          <w:b/>
          <w:bCs/>
        </w:rPr>
        <w:t xml:space="preserve">Figure </w:t>
      </w:r>
      <w:r w:rsidR="00B52708">
        <w:rPr>
          <w:b/>
          <w:bCs/>
          <w:noProof/>
        </w:rPr>
        <w:t>22</w:t>
      </w:r>
      <w:r w:rsidR="00E1473E">
        <w:fldChar w:fldCharType="end"/>
      </w:r>
      <w:r w:rsidR="00E1473E">
        <w:rPr>
          <w:b/>
          <w:bCs/>
        </w:rPr>
        <w:t>d</w:t>
      </w:r>
      <w:r w:rsidRPr="00FF5CE0">
        <w:t>. This intuitively appealing result can also be cast as the ability of B-site ions to donate electrons, which is captured in</w:t>
      </w:r>
      <w:r w:rsidR="00E1473E">
        <w:t xml:space="preserve"> </w:t>
      </w:r>
      <w:r w:rsidR="00E1473E">
        <w:fldChar w:fldCharType="begin"/>
      </w:r>
      <w:r w:rsidR="00E1473E">
        <w:instrText xml:space="preserve"> REF _Ref159518643 \h </w:instrText>
      </w:r>
      <w:r w:rsidR="00E1473E">
        <w:fldChar w:fldCharType="separate"/>
      </w:r>
      <w:r w:rsidR="00B52708" w:rsidRPr="00FF5CE0">
        <w:rPr>
          <w:b/>
          <w:bCs/>
        </w:rPr>
        <w:t xml:space="preserve">Figure </w:t>
      </w:r>
      <w:r w:rsidR="00B52708">
        <w:rPr>
          <w:b/>
          <w:bCs/>
          <w:noProof/>
        </w:rPr>
        <w:t>22</w:t>
      </w:r>
      <w:r w:rsidR="00E1473E">
        <w:fldChar w:fldCharType="end"/>
      </w:r>
      <w:r w:rsidR="00E1473E">
        <w:rPr>
          <w:b/>
          <w:bCs/>
        </w:rPr>
        <w:t>e</w:t>
      </w:r>
      <w:r w:rsidRPr="00FF5CE0">
        <w:t xml:space="preserve">, where </w:t>
      </w:r>
      <w:r w:rsidRPr="00FF5CE0">
        <w:rPr>
          <w:i/>
          <w:iCs/>
        </w:rPr>
        <w:t>N</w:t>
      </w:r>
      <w:r w:rsidRPr="00FF5CE0">
        <w:t>-</w:t>
      </w:r>
      <w:r w:rsidRPr="00FF5CE0">
        <w:rPr>
          <w:i/>
          <w:iCs/>
        </w:rPr>
        <w:t>V</w:t>
      </w:r>
      <w:r w:rsidRPr="00FF5CE0">
        <w:t xml:space="preserve"> shows the number of unpaired B-site electrons on the free B atom and </w:t>
      </w:r>
      <w:r w:rsidRPr="00FF5CE0">
        <w:rPr>
          <w:i/>
          <w:iCs/>
        </w:rPr>
        <w:t xml:space="preserve">V </w:t>
      </w:r>
      <w:r w:rsidRPr="00FF5CE0">
        <w:t>the valency of the B</w:t>
      </w:r>
      <w:r w:rsidRPr="00FF5CE0">
        <w:rPr>
          <w:i/>
          <w:iCs/>
        </w:rPr>
        <w:t xml:space="preserve"> </w:t>
      </w:r>
      <w:r w:rsidRPr="00FF5CE0">
        <w:t xml:space="preserve">atom in the considered material. The authors of Ref. </w:t>
      </w:r>
      <w:r w:rsidRPr="00FF5CE0">
        <w:fldChar w:fldCharType="begin"/>
      </w:r>
      <w:r w:rsidR="00FC5BEB">
        <w:instrText xml:space="preserve"> ADDIN EN.CITE &lt;EndNote&gt;&lt;Cite&gt;&lt;Author&gt;Rong&lt;/Author&gt;&lt;Year&gt;2016&lt;/Year&gt;&lt;RecNum&gt;322&lt;/RecNum&gt;&lt;DisplayText&gt;&lt;style face="superscript"&gt;324&lt;/style&gt;&lt;/DisplayText&gt;&lt;record&gt;&lt;rec-number&gt;322&lt;/rec-number&gt;&lt;foreign-keys&gt;&lt;key app="EN" db-id="2xex0erf4eexr4e2dpbxpdd829xttesxxxdr" timestamp="1715075296"&gt;322&lt;/key&gt;&lt;/foreign-keys&gt;&lt;ref-type name="Journal Article"&gt;17&lt;/ref-type&gt;&lt;contributors&gt;&lt;authors&gt;&lt;author&gt;Rong, Xi&lt;/author&gt;&lt;author&gt;Parolin, Jules&lt;/author&gt;&lt;author&gt;Kolpak, Alexie M.&lt;/author&gt;&lt;/authors&gt;&lt;/contributors&gt;&lt;titles&gt;&lt;title&gt;A Fundamental Relationship between Reaction Mechanism and Stability in Metal Oxide Catalysts for Oxygen Evolution&lt;/title&gt;&lt;secondary-title&gt;ACS Catal.&lt;/secondary-title&gt;&lt;/titles&gt;&lt;periodical&gt;&lt;full-title&gt;ACS Catal.&lt;/full-title&gt;&lt;/periodical&gt;&lt;pages&gt;1153-1158&lt;/pages&gt;&lt;volume&gt;6&lt;/volume&gt;&lt;number&gt;2&lt;/number&gt;&lt;dates&gt;&lt;year&gt;2016&lt;/year&gt;&lt;pub-dates&gt;&lt;date&gt;2016/02/05&lt;/date&gt;&lt;/pub-dates&gt;&lt;/dates&gt;&lt;publisher&gt;American Chemical Society&lt;/publisher&gt;&lt;urls&gt;&lt;related-urls&gt;&lt;url&gt;https://doi.org/10.1021/acscatal.5b02432&lt;/url&gt;&lt;/related-urls&gt;&lt;/urls&gt;&lt;electronic-resource-num&gt;10.1021/acscatal.5b02432&lt;/electronic-resource-num&gt;&lt;/record&gt;&lt;/Cite&gt;&lt;/EndNote&gt;</w:instrText>
      </w:r>
      <w:r w:rsidRPr="00FF5CE0">
        <w:fldChar w:fldCharType="separate"/>
      </w:r>
      <w:r w:rsidR="00FC5BEB" w:rsidRPr="00FC5BEB">
        <w:rPr>
          <w:noProof/>
          <w:vertAlign w:val="superscript"/>
        </w:rPr>
        <w:t>324</w:t>
      </w:r>
      <w:r w:rsidRPr="00FF5CE0">
        <w:fldChar w:fldCharType="end"/>
      </w:r>
      <w:r w:rsidRPr="00FF5CE0">
        <w:t xml:space="preserve"> suggest that at positive values of </w:t>
      </w:r>
      <w:r w:rsidRPr="00FF5CE0">
        <w:rPr>
          <w:i/>
          <w:iCs/>
        </w:rPr>
        <w:t>N-V</w:t>
      </w:r>
      <w:r w:rsidRPr="00FF5CE0">
        <w:t xml:space="preserve"> the B-site ions are weakly oxidized and able to donate electrons, while at negative values the B-site ions are heavily oxidized and unable to donate electrons to lattice oxygen. The inability of highly oxidized B-site ions to donate electrons reduces the oxygen vacancy formation energy. This result hints at the importance of the charge transfer energy</w:t>
      </w:r>
      <w:r w:rsidRPr="00FF5CE0">
        <w:fldChar w:fldCharType="begin"/>
      </w:r>
      <w:r w:rsidR="00FC5BEB">
        <w:instrText xml:space="preserve"> ADDIN EN.CITE &lt;EndNote&gt;&lt;Cite&gt;&lt;Author&gt;Zaanen&lt;/Author&gt;&lt;Year&gt;1985&lt;/Year&gt;&lt;RecNum&gt;338&lt;/RecNum&gt;&lt;DisplayText&gt;&lt;style face="superscript"&gt;340&lt;/style&gt;&lt;/DisplayText&gt;&lt;record&gt;&lt;rec-number&gt;338&lt;/rec-number&gt;&lt;foreign-keys&gt;&lt;key app="EN" db-id="2xex0erf4eexr4e2dpbxpdd829xttesxxxdr" timestamp="1715075296"&gt;338&lt;/key&gt;&lt;/foreign-keys&gt;&lt;ref-type name="Journal Article"&gt;17&lt;/ref-type&gt;&lt;contributors&gt;&lt;authors&gt;&lt;author&gt;Zaanen, J.&lt;/author&gt;&lt;author&gt;Sawatzky, G. A.&lt;/author&gt;&lt;author&gt;Allen, J. W.&lt;/author&gt;&lt;/authors&gt;&lt;/contributors&gt;&lt;titles&gt;&lt;title&gt;Band Gaps and Electronic Structure of Transition-metal Compounds&lt;/title&gt;&lt;secondary-title&gt;Physical Review Letters&lt;/secondary-title&gt;&lt;/titles&gt;&lt;periodical&gt;&lt;full-title&gt;Physical Review Letters&lt;/full-title&gt;&lt;abbr-1&gt;Phys. Rev. Lett.&lt;/abbr-1&gt;&lt;abbr-2&gt;Phys Rev Lett&lt;/abbr-2&gt;&lt;/periodical&gt;&lt;pages&gt;418-421&lt;/pages&gt;&lt;volume&gt;55&lt;/volume&gt;&lt;number&gt;4&lt;/number&gt;&lt;dates&gt;&lt;year&gt;1985&lt;/year&gt;&lt;/dates&gt;&lt;isbn&gt;1613-6810&lt;/isbn&gt;&lt;urls&gt;&lt;/urls&gt;&lt;electronic-resource-num&gt;10.1103/PhysRevLett.55.418&lt;/electronic-resource-num&gt;&lt;/record&gt;&lt;/Cite&gt;&lt;/EndNote&gt;</w:instrText>
      </w:r>
      <w:r w:rsidRPr="00FF5CE0">
        <w:fldChar w:fldCharType="separate"/>
      </w:r>
      <w:r w:rsidR="00FC5BEB" w:rsidRPr="00FC5BEB">
        <w:rPr>
          <w:noProof/>
          <w:vertAlign w:val="superscript"/>
        </w:rPr>
        <w:t>340</w:t>
      </w:r>
      <w:r w:rsidRPr="00FF5CE0">
        <w:fldChar w:fldCharType="end"/>
      </w:r>
      <w:r w:rsidRPr="00FF5CE0">
        <w:t xml:space="preserve"> in determining the propensity for the OER via the LOM and also the possibility that the LOM is tied to instability. </w:t>
      </w:r>
    </w:p>
    <w:p w14:paraId="6276200A" w14:textId="77777777" w:rsidR="00DE45A7" w:rsidRDefault="00FF5CE0" w:rsidP="00FF5CE0">
      <w:r w:rsidRPr="00FF5CE0">
        <w:tab/>
      </w:r>
    </w:p>
    <w:p w14:paraId="251AEE73" w14:textId="001FCF91" w:rsidR="00FF5CE0" w:rsidRDefault="00FF5CE0" w:rsidP="00DE45A7">
      <w:pPr>
        <w:ind w:firstLine="720"/>
      </w:pPr>
      <w:r w:rsidRPr="00FF5CE0">
        <w:t xml:space="preserve">Ref. </w:t>
      </w:r>
      <w:r w:rsidRPr="00FF5CE0">
        <w:fldChar w:fldCharType="begin"/>
      </w:r>
      <w:r w:rsidR="00FC5BEB">
        <w:instrText xml:space="preserve"> ADDIN EN.CITE &lt;EndNote&gt;&lt;Cite&gt;&lt;Author&gt;Grimaud&lt;/Author&gt;&lt;Year&gt;2016&lt;/Year&gt;&lt;RecNum&gt;333&lt;/RecNum&gt;&lt;DisplayText&gt;&lt;style face="superscript"&gt;335&lt;/style&gt;&lt;/DisplayText&gt;&lt;record&gt;&lt;rec-number&gt;333&lt;/rec-number&gt;&lt;foreign-keys&gt;&lt;key app="EN" db-id="2xex0erf4eexr4e2dpbxpdd829xttesxxxdr" timestamp="1715075296"&gt;333&lt;/key&gt;&lt;/foreign-keys&gt;&lt;ref-type name="Journal Article"&gt;17&lt;/ref-type&gt;&lt;contributors&gt;&lt;authors&gt;&lt;author&gt;Grimaud, A.&lt;/author&gt;&lt;author&gt;Hong, W. T.&lt;/author&gt;&lt;author&gt;Shao-Horn, Y.&lt;/author&gt;&lt;author&gt;Tarascon, J. M.&lt;/author&gt;&lt;/authors&gt;&lt;/contributors&gt;&lt;titles&gt;&lt;title&gt;Anionic redox processes for electrochemical devices&lt;/title&gt;&lt;secondary-title&gt;Nat. Mater.&lt;/secondary-title&gt;&lt;/titles&gt;&lt;periodical&gt;&lt;full-title&gt;Nat. Mater.&lt;/full-title&gt;&lt;abbr-1&gt;Nat. Mater.&lt;/abbr-1&gt;&lt;/periodical&gt;&lt;pages&gt;121-126&lt;/pages&gt;&lt;volume&gt;15&lt;/volume&gt;&lt;number&gt;2&lt;/number&gt;&lt;dates&gt;&lt;year&gt;2016&lt;/year&gt;&lt;pub-dates&gt;&lt;date&gt;2016/02/01&lt;/date&gt;&lt;/pub-dates&gt;&lt;/dates&gt;&lt;isbn&gt;1476-4660&lt;/isbn&gt;&lt;urls&gt;&lt;related-urls&gt;&lt;url&gt;https://doi.org/10.1038/nmat4551&lt;/url&gt;&lt;/related-urls&gt;&lt;/urls&gt;&lt;electronic-resource-num&gt;10.1038/nmat4551&lt;/electronic-resource-num&gt;&lt;/record&gt;&lt;/Cite&gt;&lt;/EndNote&gt;</w:instrText>
      </w:r>
      <w:r w:rsidRPr="00FF5CE0">
        <w:fldChar w:fldCharType="separate"/>
      </w:r>
      <w:r w:rsidR="00FC5BEB" w:rsidRPr="00FC5BEB">
        <w:rPr>
          <w:noProof/>
          <w:vertAlign w:val="superscript"/>
        </w:rPr>
        <w:t>335</w:t>
      </w:r>
      <w:r w:rsidRPr="00FF5CE0">
        <w:fldChar w:fldCharType="end"/>
      </w:r>
      <w:r w:rsidRPr="00FF5CE0">
        <w:t xml:space="preserve">, published within days of Ref. </w:t>
      </w:r>
      <w:r w:rsidRPr="00FF5CE0">
        <w:fldChar w:fldCharType="begin"/>
      </w:r>
      <w:r w:rsidR="00FC5BEB">
        <w:instrText xml:space="preserve"> ADDIN EN.CITE &lt;EndNote&gt;&lt;Cite&gt;&lt;Author&gt;Rong&lt;/Author&gt;&lt;Year&gt;2016&lt;/Year&gt;&lt;RecNum&gt;322&lt;/RecNum&gt;&lt;DisplayText&gt;&lt;style face="superscript"&gt;324&lt;/style&gt;&lt;/DisplayText&gt;&lt;record&gt;&lt;rec-number&gt;322&lt;/rec-number&gt;&lt;foreign-keys&gt;&lt;key app="EN" db-id="2xex0erf4eexr4e2dpbxpdd829xttesxxxdr" timestamp="1715075296"&gt;322&lt;/key&gt;&lt;/foreign-keys&gt;&lt;ref-type name="Journal Article"&gt;17&lt;/ref-type&gt;&lt;contributors&gt;&lt;authors&gt;&lt;author&gt;Rong, Xi&lt;/author&gt;&lt;author&gt;Parolin, Jules&lt;/author&gt;&lt;author&gt;Kolpak, Alexie M.&lt;/author&gt;&lt;/authors&gt;&lt;/contributors&gt;&lt;titles&gt;&lt;title&gt;A Fundamental Relationship between Reaction Mechanism and Stability in Metal Oxide Catalysts for Oxygen Evolution&lt;/title&gt;&lt;secondary-title&gt;ACS Catal.&lt;/secondary-title&gt;&lt;/titles&gt;&lt;periodical&gt;&lt;full-title&gt;ACS Catal.&lt;/full-title&gt;&lt;/periodical&gt;&lt;pages&gt;1153-1158&lt;/pages&gt;&lt;volume&gt;6&lt;/volume&gt;&lt;number&gt;2&lt;/number&gt;&lt;dates&gt;&lt;year&gt;2016&lt;/year&gt;&lt;pub-dates&gt;&lt;date&gt;2016/02/05&lt;/date&gt;&lt;/pub-dates&gt;&lt;/dates&gt;&lt;publisher&gt;American Chemical Society&lt;/publisher&gt;&lt;urls&gt;&lt;related-urls&gt;&lt;url&gt;https://doi.org/10.1021/acscatal.5b02432&lt;/url&gt;&lt;/related-urls&gt;&lt;/urls&gt;&lt;electronic-resource-num&gt;10.1021/acscatal.5b02432&lt;/electronic-resource-num&gt;&lt;/record&gt;&lt;/Cite&gt;&lt;/EndNote&gt;</w:instrText>
      </w:r>
      <w:r w:rsidRPr="00FF5CE0">
        <w:fldChar w:fldCharType="separate"/>
      </w:r>
      <w:r w:rsidR="00FC5BEB" w:rsidRPr="00FC5BEB">
        <w:rPr>
          <w:noProof/>
          <w:vertAlign w:val="superscript"/>
        </w:rPr>
        <w:t>324</w:t>
      </w:r>
      <w:r w:rsidRPr="00FF5CE0">
        <w:fldChar w:fldCharType="end"/>
      </w:r>
      <w:r w:rsidRPr="00FF5CE0">
        <w:t xml:space="preserve">, furthered the evidence for an LOM and our understanding of such a mechanism. The authors of Ref. </w:t>
      </w:r>
      <w:r w:rsidRPr="00FF5CE0">
        <w:fldChar w:fldCharType="begin"/>
      </w:r>
      <w:r w:rsidR="00FC5BEB">
        <w:instrText xml:space="preserve"> ADDIN EN.CITE &lt;EndNote&gt;&lt;Cite&gt;&lt;Author&gt;Grimaud&lt;/Author&gt;&lt;Year&gt;2016&lt;/Year&gt;&lt;RecNum&gt;333&lt;/RecNum&gt;&lt;DisplayText&gt;&lt;style face="superscript"&gt;335&lt;/style&gt;&lt;/DisplayText&gt;&lt;record&gt;&lt;rec-number&gt;333&lt;/rec-number&gt;&lt;foreign-keys&gt;&lt;key app="EN" db-id="2xex0erf4eexr4e2dpbxpdd829xttesxxxdr" timestamp="1715075296"&gt;333&lt;/key&gt;&lt;/foreign-keys&gt;&lt;ref-type name="Journal Article"&gt;17&lt;/ref-type&gt;&lt;contributors&gt;&lt;authors&gt;&lt;author&gt;Grimaud, A.&lt;/author&gt;&lt;author&gt;Hong, W. T.&lt;/author&gt;&lt;author&gt;Shao-Horn, Y.&lt;/author&gt;&lt;author&gt;Tarascon, J. M.&lt;/author&gt;&lt;/authors&gt;&lt;/contributors&gt;&lt;titles&gt;&lt;title&gt;Anionic redox processes for electrochemical devices&lt;/title&gt;&lt;secondary-title&gt;Nat. Mater.&lt;/secondary-title&gt;&lt;/titles&gt;&lt;periodical&gt;&lt;full-title&gt;Nat. Mater.&lt;/full-title&gt;&lt;abbr-1&gt;Nat. Mater.&lt;/abbr-1&gt;&lt;/periodical&gt;&lt;pages&gt;121-126&lt;/pages&gt;&lt;volume&gt;15&lt;/volume&gt;&lt;number&gt;2&lt;/number&gt;&lt;dates&gt;&lt;year&gt;2016&lt;/year&gt;&lt;pub-dates&gt;&lt;date&gt;2016/02/01&lt;/date&gt;&lt;/pub-dates&gt;&lt;/dates&gt;&lt;isbn&gt;1476-4660&lt;/isbn&gt;&lt;urls&gt;&lt;related-urls&gt;&lt;url&gt;https://doi.org/10.1038/nmat4551&lt;/url&gt;&lt;/related-urls&gt;&lt;/urls&gt;&lt;electronic-resource-num&gt;10.1038/nmat4551&lt;/electronic-resource-num&gt;&lt;/record&gt;&lt;/Cite&gt;&lt;/EndNote&gt;</w:instrText>
      </w:r>
      <w:r w:rsidRPr="00FF5CE0">
        <w:fldChar w:fldCharType="separate"/>
      </w:r>
      <w:r w:rsidR="00FC5BEB" w:rsidRPr="00FC5BEB">
        <w:rPr>
          <w:noProof/>
          <w:vertAlign w:val="superscript"/>
        </w:rPr>
        <w:t>335</w:t>
      </w:r>
      <w:r w:rsidRPr="00FF5CE0">
        <w:fldChar w:fldCharType="end"/>
      </w:r>
      <w:r w:rsidRPr="00FF5CE0">
        <w:t xml:space="preserve"> noted that the anionic (2O</w:t>
      </w:r>
      <w:r w:rsidRPr="00FF5CE0">
        <w:rPr>
          <w:vertAlign w:val="superscript"/>
        </w:rPr>
        <w:t>2−</w:t>
      </w:r>
      <w:r w:rsidRPr="00FF5CE0">
        <w:t> ↔ (O</w:t>
      </w:r>
      <w:r w:rsidRPr="00FF5CE0">
        <w:rPr>
          <w:vertAlign w:val="subscript"/>
        </w:rPr>
        <w:t>2</w:t>
      </w:r>
      <w:r w:rsidRPr="00FF5CE0">
        <w:t>)</w:t>
      </w:r>
      <w:r w:rsidRPr="00FF5CE0">
        <w:rPr>
          <w:i/>
          <w:iCs/>
          <w:vertAlign w:val="superscript"/>
        </w:rPr>
        <w:t>n</w:t>
      </w:r>
      <w:r w:rsidRPr="00FF5CE0">
        <w:rPr>
          <w:vertAlign w:val="superscript"/>
        </w:rPr>
        <w:t>−</w:t>
      </w:r>
      <w:r w:rsidRPr="00FF5CE0">
        <w:t>) redox processes giving rise to high capacity Li-ion batteries</w:t>
      </w:r>
      <w:r w:rsidRPr="00FF5CE0">
        <w:fldChar w:fldCharType="begin">
          <w:fldData xml:space="preserve">PEVuZE5vdGU+PENpdGU+PEF1dGhvcj5TYXRoaXlhPC9BdXRob3I+PFllYXI+MjAxMzwvWWVhcj48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=
</w:fldData>
        </w:fldChar>
      </w:r>
      <w:r w:rsidR="00FC5BEB">
        <w:instrText xml:space="preserve"> ADDIN EN.CITE </w:instrText>
      </w:r>
      <w:r w:rsidR="00FC5BEB">
        <w:fldChar w:fldCharType="begin">
          <w:fldData xml:space="preserve">PEVuZE5vdGU+PENpdGU+PEF1dGhvcj5TYXRoaXlhPC9BdXRob3I+PFllYXI+MjAxMzwvWWVhcj48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=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341, 342</w:t>
      </w:r>
      <w:r w:rsidRPr="00FF5CE0">
        <w:fldChar w:fldCharType="end"/>
      </w:r>
      <w:r w:rsidRPr="00FF5CE0">
        <w:t xml:space="preserve"> may also participate in the OER over layered oxides and perovskites, which led the authors of Ref. </w:t>
      </w:r>
      <w:r w:rsidRPr="00FF5CE0">
        <w:fldChar w:fldCharType="begin"/>
      </w:r>
      <w:r w:rsidR="00FC5BEB">
        <w:instrText xml:space="preserve"> ADDIN EN.CITE &lt;EndNote&gt;&lt;Cite&gt;&lt;Author&gt;Grimaud&lt;/Author&gt;&lt;Year&gt;2016&lt;/Year&gt;&lt;RecNum&gt;333&lt;/RecNum&gt;&lt;DisplayText&gt;&lt;style face="superscript"&gt;335&lt;/style&gt;&lt;/DisplayText&gt;&lt;record&gt;&lt;rec-number&gt;333&lt;/rec-number&gt;&lt;foreign-keys&gt;&lt;key app="EN" db-id="2xex0erf4eexr4e2dpbxpdd829xttesxxxdr" timestamp="1715075296"&gt;333&lt;/key&gt;&lt;/foreign-keys&gt;&lt;ref-type name="Journal Article"&gt;17&lt;/ref-type&gt;&lt;contributors&gt;&lt;authors&gt;&lt;author&gt;Grimaud, A.&lt;/author&gt;&lt;author&gt;Hong, W. T.&lt;/author&gt;&lt;author&gt;Shao-Horn, Y.&lt;/author&gt;&lt;author&gt;Tarascon, J. M.&lt;/author&gt;&lt;/authors&gt;&lt;/contributors&gt;&lt;titles&gt;&lt;title&gt;Anionic redox processes for electrochemical devices&lt;/title&gt;&lt;secondary-title&gt;Nat. Mater.&lt;/secondary-title&gt;&lt;/titles&gt;&lt;periodical&gt;&lt;full-title&gt;Nat. Mater.&lt;/full-title&gt;&lt;abbr-1&gt;Nat. Mater.&lt;/abbr-1&gt;&lt;/periodical&gt;&lt;pages&gt;121-126&lt;/pages&gt;&lt;volume&gt;15&lt;/volume&gt;&lt;number&gt;2&lt;/number&gt;&lt;dates&gt;&lt;year&gt;2016&lt;/year&gt;&lt;pub-dates&gt;&lt;date&gt;2016/02/01&lt;/date&gt;&lt;/pub-dates&gt;&lt;/dates&gt;&lt;isbn&gt;1476-4660&lt;/isbn&gt;&lt;urls&gt;&lt;related-urls&gt;&lt;url&gt;https://doi.org/10.1038/nmat4551&lt;/url&gt;&lt;/related-urls&gt;&lt;/urls&gt;&lt;electronic-resource-num&gt;10.1038/nmat4551&lt;/electronic-resource-num&gt;&lt;/record&gt;&lt;/Cite&gt;&lt;/EndNote&gt;</w:instrText>
      </w:r>
      <w:r w:rsidRPr="00FF5CE0">
        <w:fldChar w:fldCharType="separate"/>
      </w:r>
      <w:r w:rsidR="00FC5BEB" w:rsidRPr="00FC5BEB">
        <w:rPr>
          <w:noProof/>
          <w:vertAlign w:val="superscript"/>
        </w:rPr>
        <w:t>335</w:t>
      </w:r>
      <w:r w:rsidRPr="00FF5CE0">
        <w:fldChar w:fldCharType="end"/>
      </w:r>
      <w:r w:rsidRPr="00FF5CE0">
        <w:t xml:space="preserve"> to propose the dual-metal-site</w:t>
      </w:r>
      <w:r w:rsidRPr="00FF5CE0">
        <w:fldChar w:fldCharType="begin"/>
      </w:r>
      <w:r w:rsidR="00FC5BEB">
        <w:instrText xml:space="preserve"> ADDIN EN.CITE &lt;EndNote&gt;&lt;Cite&gt;&lt;Author&gt;Zhang&lt;/Author&gt;&lt;Year&gt;2021&lt;/Year&gt;&lt;RecNum&gt;336&lt;/RecNum&gt;&lt;DisplayText&gt;&lt;style face="superscript"&gt;338&lt;/style&gt;&lt;/DisplayText&gt;&lt;record&gt;&lt;rec-number&gt;336&lt;/rec-number&gt;&lt;foreign-keys&gt;&lt;key app="EN" db-id="2xex0erf4eexr4e2dpbxpdd829xttesxxxdr" timestamp="1715075296"&gt;336&lt;/key&gt;&lt;/foreign-keys&gt;&lt;ref-type name="Journal Article"&gt;17&lt;/ref-type&gt;&lt;contributors&gt;&lt;authors&gt;&lt;author&gt;Zhang, Ning&lt;/author&gt;&lt;author&gt;Chai, Yang&lt;/author&gt;&lt;/authors&gt;&lt;/contributors&gt;&lt;titles&gt;&lt;title&gt;Lattice oxygen redox chemistry in solid-state electrocatalysts for water oxidation&lt;/title&gt;&lt;secondary-title&gt;Energy Environ. Sci.&lt;/secondary-title&gt;&lt;/titles&gt;&lt;periodical&gt;&lt;full-title&gt;Energy Environ. Sci.&lt;/full-title&gt;&lt;/periodical&gt;&lt;pages&gt;4647-4671&lt;/pages&gt;&lt;volume&gt;14&lt;/volume&gt;&lt;number&gt;9&lt;/number&gt;&lt;dates&gt;&lt;year&gt;2021&lt;/year&gt;&lt;/dates&gt;&lt;publisher&gt;The Royal Society of Chemistry&lt;/publisher&gt;&lt;isbn&gt;1754-5692&lt;/isbn&gt;&lt;work-type&gt;10.1039/D1EE01277K&lt;/work-type&gt;&lt;urls&gt;&lt;related-urls&gt;&lt;url&gt;http://dx.doi.org/10.1039/D1EE01277K&lt;/url&gt;&lt;/related-urls&gt;&lt;/urls&gt;&lt;electronic-resource-num&gt;10.1039/D1EE01277K&lt;/electronic-resource-num&gt;&lt;/record&gt;&lt;/Cite&gt;&lt;/EndNote&gt;</w:instrText>
      </w:r>
      <w:r w:rsidRPr="00FF5CE0">
        <w:fldChar w:fldCharType="separate"/>
      </w:r>
      <w:r w:rsidR="00FC5BEB" w:rsidRPr="00FC5BEB">
        <w:rPr>
          <w:noProof/>
          <w:vertAlign w:val="superscript"/>
        </w:rPr>
        <w:t>338</w:t>
      </w:r>
      <w:r w:rsidRPr="00FF5CE0">
        <w:fldChar w:fldCharType="end"/>
      </w:r>
      <w:r w:rsidRPr="00FF5CE0">
        <w:t xml:space="preserve"> LOM shown in </w:t>
      </w:r>
      <w:r w:rsidR="00A34C0A">
        <w:fldChar w:fldCharType="begin"/>
      </w:r>
      <w:r w:rsidR="00A34C0A">
        <w:instrText xml:space="preserve"> REF _Ref159519205 \h </w:instrText>
      </w:r>
      <w:r w:rsidR="00A34C0A">
        <w:fldChar w:fldCharType="separate"/>
      </w:r>
      <w:r w:rsidR="00B52708" w:rsidRPr="00A34C0A">
        <w:rPr>
          <w:b/>
          <w:bCs/>
        </w:rPr>
        <w:t xml:space="preserve">Figure </w:t>
      </w:r>
      <w:r w:rsidR="00B52708">
        <w:rPr>
          <w:b/>
          <w:bCs/>
          <w:noProof/>
        </w:rPr>
        <w:t>23</w:t>
      </w:r>
      <w:r w:rsidR="00A34C0A">
        <w:fldChar w:fldCharType="end"/>
      </w:r>
      <w:r w:rsidRPr="00967BAD">
        <w:rPr>
          <w:b/>
          <w:bCs/>
        </w:rPr>
        <w:t>b</w:t>
      </w:r>
      <w:r w:rsidRPr="00FF5CE0">
        <w:t xml:space="preserve">. This mechanism can be contrasted to the classical single-site nucleophilic attack mechanism shown in </w:t>
      </w:r>
      <w:r w:rsidR="00A34C0A">
        <w:fldChar w:fldCharType="begin"/>
      </w:r>
      <w:r w:rsidR="00A34C0A">
        <w:instrText xml:space="preserve"> REF _Ref159519205 \h </w:instrText>
      </w:r>
      <w:r w:rsidR="00A34C0A">
        <w:fldChar w:fldCharType="separate"/>
      </w:r>
      <w:r w:rsidR="00B52708" w:rsidRPr="00A34C0A">
        <w:rPr>
          <w:b/>
          <w:bCs/>
        </w:rPr>
        <w:t xml:space="preserve">Figure </w:t>
      </w:r>
      <w:r w:rsidR="00B52708">
        <w:rPr>
          <w:b/>
          <w:bCs/>
          <w:noProof/>
        </w:rPr>
        <w:t>23</w:t>
      </w:r>
      <w:r w:rsidR="00A34C0A">
        <w:fldChar w:fldCharType="end"/>
      </w:r>
      <w:proofErr w:type="gramStart"/>
      <w:r w:rsidRPr="00967BAD">
        <w:rPr>
          <w:b/>
          <w:bCs/>
        </w:rPr>
        <w:t>a</w:t>
      </w:r>
      <w:r w:rsidRPr="00FF5CE0">
        <w:t xml:space="preserve"> and</w:t>
      </w:r>
      <w:proofErr w:type="gramEnd"/>
      <w:r w:rsidRPr="00FF5CE0">
        <w:t xml:space="preserve"> the single-metal-site LOM in </w:t>
      </w:r>
      <w:r w:rsidR="00DE45A7">
        <w:fldChar w:fldCharType="begin"/>
      </w:r>
      <w:r w:rsidR="00DE45A7">
        <w:instrText xml:space="preserve"> REF _Ref159518126 \h </w:instrText>
      </w:r>
      <w:r w:rsidR="00DE45A7">
        <w:fldChar w:fldCharType="separate"/>
      </w:r>
      <w:r w:rsidR="00B52708" w:rsidRPr="00FF5CE0">
        <w:rPr>
          <w:b/>
          <w:bCs/>
        </w:rPr>
        <w:t xml:space="preserve">Figure </w:t>
      </w:r>
      <w:r w:rsidR="00B52708">
        <w:rPr>
          <w:b/>
          <w:bCs/>
          <w:noProof/>
        </w:rPr>
        <w:t>21</w:t>
      </w:r>
      <w:r w:rsidR="00DE45A7">
        <w:fldChar w:fldCharType="end"/>
      </w:r>
      <w:r w:rsidRPr="00967BAD">
        <w:rPr>
          <w:b/>
          <w:bCs/>
        </w:rPr>
        <w:t>b</w:t>
      </w:r>
      <w:r w:rsidRPr="00FF5CE0">
        <w:t xml:space="preserve">. In the dual-metal-site LOM the O-O bond is formed by coupling two lattice oxygen atoms to form a bound </w:t>
      </w:r>
      <w:proofErr w:type="spellStart"/>
      <w:r w:rsidRPr="00FF5CE0">
        <w:t>peroxo</w:t>
      </w:r>
      <w:proofErr w:type="spellEnd"/>
      <w:r w:rsidRPr="00FF5CE0">
        <w:t xml:space="preserve"> intermediate, rather than coupling an adsorbed hydroxide and lattice oxygen like in the single-metal-site LOM. While the dual-metal-site LOM is consistent with some experimental isotope </w:t>
      </w:r>
      <w:r w:rsidR="002A09AD">
        <w:t>labeling</w:t>
      </w:r>
      <w:r w:rsidRPr="00FF5CE0">
        <w:t xml:space="preserve"> studies</w:t>
      </w:r>
      <w:r w:rsidRPr="00FF5CE0">
        <w:fldChar w:fldCharType="begin">
          <w:fldData xml:space="preserve">PEVuZE5vdGU+PENpdGU+PEF1dGhvcj5TdXJlbmRyYW5hdGg8L0F1dGhvcj48WWVhcj4yMDEwPC9Z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</w:fldData>
        </w:fldChar>
      </w:r>
      <w:r w:rsidR="00FC5BEB">
        <w:instrText xml:space="preserve"> ADDIN EN.CITE </w:instrText>
      </w:r>
      <w:r w:rsidR="00FC5BEB">
        <w:fldChar w:fldCharType="begin">
          <w:fldData xml:space="preserve">PEVuZE5vdGU+PENpdGU+PEF1dGhvcj5TdXJlbmRyYW5hdGg8L0F1dGhvcj48WWVhcj4yMDEwPC9Z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132, 192, 343, 344</w:t>
      </w:r>
      <w:r w:rsidRPr="00FF5CE0">
        <w:fldChar w:fldCharType="end"/>
      </w:r>
      <w:r w:rsidRPr="00FF5CE0">
        <w:t xml:space="preserve">, it is not a pure PCET mechanism like the AEM in </w:t>
      </w:r>
      <w:r w:rsidR="00A34C0A">
        <w:fldChar w:fldCharType="begin"/>
      </w:r>
      <w:r w:rsidR="00A34C0A">
        <w:instrText xml:space="preserve"> REF _Ref159519205 \h </w:instrText>
      </w:r>
      <w:r w:rsidR="00A34C0A">
        <w:fldChar w:fldCharType="separate"/>
      </w:r>
      <w:r w:rsidR="00B52708" w:rsidRPr="00A34C0A">
        <w:rPr>
          <w:b/>
          <w:bCs/>
        </w:rPr>
        <w:t xml:space="preserve">Figure </w:t>
      </w:r>
      <w:r w:rsidR="00B52708">
        <w:rPr>
          <w:b/>
          <w:bCs/>
          <w:noProof/>
        </w:rPr>
        <w:t>23</w:t>
      </w:r>
      <w:r w:rsidR="00A34C0A">
        <w:fldChar w:fldCharType="end"/>
      </w:r>
      <w:r w:rsidRPr="00967BAD">
        <w:rPr>
          <w:b/>
          <w:bCs/>
        </w:rPr>
        <w:t>a</w:t>
      </w:r>
      <w:r w:rsidRPr="00FF5CE0">
        <w:t xml:space="preserve"> or the single-metal-site LOM in </w:t>
      </w:r>
      <w:r w:rsidR="00A34C0A">
        <w:fldChar w:fldCharType="begin"/>
      </w:r>
      <w:r w:rsidR="00A34C0A">
        <w:instrText xml:space="preserve"> REF _Ref159518126 \h </w:instrText>
      </w:r>
      <w:r w:rsidR="00A34C0A">
        <w:fldChar w:fldCharType="separate"/>
      </w:r>
      <w:r w:rsidR="00B52708" w:rsidRPr="00FF5CE0">
        <w:rPr>
          <w:b/>
          <w:bCs/>
        </w:rPr>
        <w:t xml:space="preserve">Figure </w:t>
      </w:r>
      <w:r w:rsidR="00B52708">
        <w:rPr>
          <w:b/>
          <w:bCs/>
          <w:noProof/>
        </w:rPr>
        <w:t>21</w:t>
      </w:r>
      <w:r w:rsidR="00A34C0A">
        <w:fldChar w:fldCharType="end"/>
      </w:r>
      <w:r w:rsidRPr="00967BAD">
        <w:rPr>
          <w:b/>
          <w:bCs/>
        </w:rPr>
        <w:t>b</w:t>
      </w:r>
      <w:r w:rsidRPr="00FF5CE0">
        <w:t>. Thus, the dual-metal-site LOM is beyond the scope of the CHE.</w:t>
      </w:r>
    </w:p>
    <w:p w14:paraId="29508EE6" w14:textId="54B66BD4" w:rsidR="004052D0" w:rsidRPr="00FF5CE0" w:rsidRDefault="004052D0" w:rsidP="004052D0">
      <w:r>
        <w:rPr>
          <w:noProof/>
          <w14:ligatures w14:val="standardContextual"/>
        </w:rPr>
        <w:drawing>
          <wp:inline distT="0" distB="0" distL="0" distR="0" wp14:anchorId="7553887E" wp14:editId="291A0C35">
            <wp:extent cx="5731510" cy="1978025"/>
            <wp:effectExtent l="0" t="0" r="0" b="3175"/>
            <wp:docPr id="120718622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186226" name="Picture 11"/>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731510" cy="1978025"/>
                    </a:xfrm>
                    <a:prstGeom prst="rect">
                      <a:avLst/>
                    </a:prstGeom>
                  </pic:spPr>
                </pic:pic>
              </a:graphicData>
            </a:graphic>
          </wp:inline>
        </w:drawing>
      </w:r>
    </w:p>
    <w:p w14:paraId="623B1B27" w14:textId="39761A20" w:rsidR="00FF5CE0" w:rsidRPr="00FF5CE0" w:rsidRDefault="00A34C0A" w:rsidP="00A34C0A">
      <w:pPr>
        <w:pStyle w:val="Caption"/>
        <w:rPr>
          <w:b/>
        </w:rPr>
      </w:pPr>
      <w:bookmarkStart w:id="105" w:name="_Ref159519205"/>
      <w:r w:rsidRPr="00A34C0A">
        <w:rPr>
          <w:b/>
          <w:bCs w:val="0"/>
          <w:sz w:val="22"/>
        </w:rPr>
        <w:t xml:space="preserve">Figure </w:t>
      </w:r>
      <w:r w:rsidRPr="00A34C0A">
        <w:rPr>
          <w:b/>
          <w:bCs w:val="0"/>
          <w:sz w:val="22"/>
        </w:rPr>
        <w:fldChar w:fldCharType="begin"/>
      </w:r>
      <w:r w:rsidRPr="00A34C0A">
        <w:rPr>
          <w:b/>
          <w:bCs w:val="0"/>
          <w:sz w:val="22"/>
        </w:rPr>
        <w:instrText xml:space="preserve"> SEQ Figure \* ARABIC </w:instrText>
      </w:r>
      <w:r w:rsidRPr="00A34C0A">
        <w:rPr>
          <w:b/>
          <w:bCs w:val="0"/>
          <w:sz w:val="22"/>
        </w:rPr>
        <w:fldChar w:fldCharType="separate"/>
      </w:r>
      <w:r w:rsidR="00B52708">
        <w:rPr>
          <w:b/>
          <w:bCs w:val="0"/>
          <w:noProof/>
          <w:sz w:val="22"/>
        </w:rPr>
        <w:t>23</w:t>
      </w:r>
      <w:r w:rsidRPr="00A34C0A">
        <w:rPr>
          <w:b/>
          <w:bCs w:val="0"/>
          <w:sz w:val="22"/>
        </w:rPr>
        <w:fldChar w:fldCharType="end"/>
      </w:r>
      <w:bookmarkEnd w:id="105"/>
      <w:r w:rsidR="00FF5CE0" w:rsidRPr="00FF5CE0">
        <w:rPr>
          <w:b/>
        </w:rPr>
        <w:t xml:space="preserve"> </w:t>
      </w:r>
      <w:r w:rsidR="00FA3D7E">
        <w:rPr>
          <w:b/>
        </w:rPr>
        <w:t>(</w:t>
      </w:r>
      <w:r w:rsidR="00FF5CE0" w:rsidRPr="00FF5CE0">
        <w:t>a)</w:t>
      </w:r>
      <w:r w:rsidR="00FF5CE0" w:rsidRPr="00FF5CE0">
        <w:rPr>
          <w:b/>
        </w:rPr>
        <w:t xml:space="preserve"> </w:t>
      </w:r>
      <w:r w:rsidR="00FF5CE0" w:rsidRPr="00FF5CE0">
        <w:t xml:space="preserve">The single site nucleophilic attack mechanism and </w:t>
      </w:r>
      <w:r w:rsidR="00FA3D7E">
        <w:t>(</w:t>
      </w:r>
      <w:r w:rsidR="00FF5CE0" w:rsidRPr="00FF5CE0">
        <w:t xml:space="preserve">b) the dual-metal-site LOM. Figure </w:t>
      </w:r>
      <w:r w:rsidR="000757AA">
        <w:t>Reproduced with permission from Ref.</w:t>
      </w:r>
      <w:r w:rsidR="00FF5CE0" w:rsidRPr="00FF5CE0">
        <w:t xml:space="preserve"> </w:t>
      </w:r>
      <w:r w:rsidR="00FF5CE0" w:rsidRPr="00FF5CE0">
        <w:fldChar w:fldCharType="begin"/>
      </w:r>
      <w:r w:rsidR="00FC5BEB">
        <w:instrText xml:space="preserve"> ADDIN EN.CITE &lt;EndNote&gt;&lt;Cite&gt;&lt;Author&gt;Grimaud&lt;/Author&gt;&lt;Year&gt;2016&lt;/Year&gt;&lt;RecNum&gt;333&lt;/RecNum&gt;&lt;DisplayText&gt;&lt;style face="superscript"&gt;335&lt;/style&gt;&lt;/DisplayText&gt;&lt;record&gt;&lt;rec-number&gt;333&lt;/rec-number&gt;&lt;foreign-keys&gt;&lt;key app="EN" db-id="2xex0erf4eexr4e2dpbxpdd829xttesxxxdr" timestamp="1715075296"&gt;333&lt;/key&gt;&lt;/foreign-keys&gt;&lt;ref-type name="Journal Article"&gt;17&lt;/ref-type&gt;&lt;contributors&gt;&lt;authors&gt;&lt;author&gt;Grimaud, A.&lt;/author&gt;&lt;author&gt;Hong, W. T.&lt;/author&gt;&lt;author&gt;Shao-Horn, Y.&lt;/author&gt;&lt;author&gt;Tarascon, J. M.&lt;/author&gt;&lt;/authors&gt;&lt;/contributors&gt;&lt;titles&gt;&lt;title&gt;Anionic redox processes for electrochemical devices&lt;/title&gt;&lt;secondary-title&gt;Nat. Mater.&lt;/secondary-title&gt;&lt;/titles&gt;&lt;periodical&gt;&lt;full-title&gt;Nat. Mater.&lt;/full-title&gt;&lt;abbr-1&gt;Nat. Mater.&lt;/abbr-1&gt;&lt;/periodical&gt;&lt;pages&gt;121-126&lt;/pages&gt;&lt;volume&gt;15&lt;/volume&gt;&lt;number&gt;2&lt;/number&gt;&lt;dates&gt;&lt;year&gt;2016&lt;/year&gt;&lt;pub-dates&gt;&lt;date&gt;2016/02/01&lt;/date&gt;&lt;/pub-dates&gt;&lt;/dates&gt;&lt;isbn&gt;1476-4660&lt;/isbn&gt;&lt;urls&gt;&lt;related-urls&gt;&lt;url&gt;https://doi.org/10.1038/nmat4551&lt;/url&gt;&lt;/related-urls&gt;&lt;/urls&gt;&lt;electronic-resource-num&gt;10.1038/nmat4551&lt;/electronic-resource-num&gt;&lt;/record&gt;&lt;/Cite&gt;&lt;/EndNote&gt;</w:instrText>
      </w:r>
      <w:r w:rsidR="00FF5CE0" w:rsidRPr="00FF5CE0">
        <w:fldChar w:fldCharType="separate"/>
      </w:r>
      <w:r w:rsidR="00FC5BEB" w:rsidRPr="00FC5BEB">
        <w:rPr>
          <w:noProof/>
          <w:vertAlign w:val="superscript"/>
        </w:rPr>
        <w:t>335</w:t>
      </w:r>
      <w:r w:rsidR="00FF5CE0" w:rsidRPr="00FF5CE0">
        <w:fldChar w:fldCharType="end"/>
      </w:r>
      <w:r w:rsidR="001B6CC9">
        <w:t xml:space="preserve"> Copyright 2016 Springer Nature.</w:t>
      </w:r>
    </w:p>
    <w:p w14:paraId="108D9D55" w14:textId="77777777" w:rsidR="00FF5CE0" w:rsidRPr="00FF5CE0" w:rsidRDefault="00FF5CE0" w:rsidP="00FF5CE0"/>
    <w:p w14:paraId="23D98A84" w14:textId="00544054" w:rsidR="00FF5CE0" w:rsidRPr="00FF5CE0" w:rsidRDefault="00FF5CE0" w:rsidP="00FF5CE0">
      <w:r w:rsidRPr="00FF5CE0">
        <w:tab/>
        <w:t xml:space="preserve">Further evidence for a LOM for the OER and the importance of the fundamental importance of the charge transfer energy was reported in Ref. </w:t>
      </w:r>
      <w:r w:rsidRPr="00FF5CE0">
        <w:fldChar w:fldCharType="begin"/>
      </w:r>
      <w:r w:rsidR="00FC5BEB">
        <w:instrText xml:space="preserve"> ADDIN EN.CITE &lt;EndNote&gt;&lt;Cite&gt;&lt;Author&gt;Mefford&lt;/Author&gt;&lt;Year&gt;2016&lt;/Year&gt;&lt;RecNum&gt;325&lt;/RecNum&gt;&lt;DisplayText&gt;&lt;style face="superscript"&gt;327&lt;/style&gt;&lt;/DisplayText&gt;&lt;record&gt;&lt;rec-number&gt;325&lt;/rec-number&gt;&lt;foreign-keys&gt;&lt;key app="EN" db-id="2xex0erf4eexr4e2dpbxpdd829xttesxxxdr" timestamp="1715075296"&gt;325&lt;/key&gt;&lt;/foreign-keys&gt;&lt;ref-type name="Journal Article"&gt;17&lt;/ref-type&gt;&lt;contributors&gt;&lt;authors&gt;&lt;author&gt;Mefford, J. Tyler&lt;/author&gt;&lt;author&gt;Rong, Xi&lt;/author&gt;&lt;author&gt;Abakumov, Artem M.&lt;/author&gt;&lt;author&gt;Hardin, William G.&lt;/author&gt;&lt;author&gt;Dai, Sheng&lt;/author&gt;&lt;author&gt;Kolpak, Alexie M.&lt;/author&gt;&lt;author&gt;Johnston, Keith P.&lt;/author&gt;&lt;author&gt;Stevenson, Keith J.&lt;/author&gt;&lt;/authors&gt;&lt;/contributors&gt;&lt;titles&gt;&lt;title&gt;Water electrolysis on La1−xSrxCoO3−δ perovskite electrocatalysts&lt;/title&gt;&lt;secondary-title&gt;Nat. Commun.&lt;/secondary-title&gt;&lt;/titles&gt;&lt;periodical&gt;&lt;full-title&gt;Nat. Commun.&lt;/full-title&gt;&lt;abbr-1&gt;Nat. Commun.&lt;/abbr-1&gt;&lt;/periodical&gt;&lt;pages&gt;11053&lt;/pages&gt;&lt;volume&gt;7&lt;/volume&gt;&lt;number&gt;1&lt;/number&gt;&lt;dates&gt;&lt;year&gt;2016&lt;/year&gt;&lt;pub-dates&gt;&lt;date&gt;2016/03/23&lt;/date&gt;&lt;/pub-dates&gt;&lt;/dates&gt;&lt;isbn&gt;2041-1723&lt;/isbn&gt;&lt;urls&gt;&lt;related-urls&gt;&lt;url&gt;https://doi.org/10.1038/ncomms11053&lt;/url&gt;&lt;/related-urls&gt;&lt;/urls&gt;&lt;electronic-resource-num&gt;10.1038/ncomms11053&lt;/electronic-resource-num&gt;&lt;/record&gt;&lt;/Cite&gt;&lt;/EndNote&gt;</w:instrText>
      </w:r>
      <w:r w:rsidRPr="00FF5CE0">
        <w:fldChar w:fldCharType="separate"/>
      </w:r>
      <w:r w:rsidR="00FC5BEB" w:rsidRPr="00FC5BEB">
        <w:rPr>
          <w:noProof/>
          <w:vertAlign w:val="superscript"/>
        </w:rPr>
        <w:t>327</w:t>
      </w:r>
      <w:r w:rsidRPr="00FF5CE0">
        <w:fldChar w:fldCharType="end"/>
      </w:r>
      <w:r w:rsidRPr="00FF5CE0">
        <w:t>, where the redox activity of lattice oxygen in cobaltite perovskites was varied through Sr(II) substitution of La(III) in La</w:t>
      </w:r>
      <w:r w:rsidRPr="00FF5CE0">
        <w:rPr>
          <w:vertAlign w:val="subscript"/>
        </w:rPr>
        <w:t>1-</w:t>
      </w:r>
      <w:r w:rsidRPr="00FF5CE0">
        <w:rPr>
          <w:i/>
          <w:iCs/>
          <w:vertAlign w:val="subscript"/>
        </w:rPr>
        <w:t>x</w:t>
      </w:r>
      <w:r w:rsidRPr="00FF5CE0">
        <w:t>Sr</w:t>
      </w:r>
      <w:r w:rsidRPr="00FF5CE0">
        <w:rPr>
          <w:i/>
          <w:iCs/>
          <w:vertAlign w:val="subscript"/>
        </w:rPr>
        <w:t>x</w:t>
      </w:r>
      <w:r w:rsidRPr="00FF5CE0">
        <w:t>CoO</w:t>
      </w:r>
      <w:r w:rsidRPr="00FF5CE0">
        <w:rPr>
          <w:vertAlign w:val="subscript"/>
        </w:rPr>
        <w:t>3-</w:t>
      </w:r>
      <w:r w:rsidRPr="00FF5CE0">
        <w:rPr>
          <w:i/>
          <w:iCs/>
          <w:vertAlign w:val="subscript"/>
        </w:rPr>
        <w:sym w:font="Symbol" w:char="F064"/>
      </w:r>
      <w:r w:rsidRPr="00FF5CE0">
        <w:t xml:space="preserve">. The concept was based on the fact that substituting </w:t>
      </w:r>
      <w:proofErr w:type="gramStart"/>
      <w:r w:rsidRPr="00FF5CE0">
        <w:t>La(</w:t>
      </w:r>
      <w:proofErr w:type="gramEnd"/>
      <w:r w:rsidRPr="00FF5CE0">
        <w:t>III) with Sr(II) requires either an increase in oxygen vacancies and/or an increase in Co oxidation state to maintain charge neutrality via:</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1F280C" w:rsidRPr="001F280C" w14:paraId="548489CE" w14:textId="77777777" w:rsidTr="00DE0988">
        <w:tc>
          <w:tcPr>
            <w:tcW w:w="7938" w:type="dxa"/>
            <w:tcMar>
              <w:left w:w="28" w:type="dxa"/>
              <w:right w:w="28" w:type="dxa"/>
            </w:tcMar>
            <w:vAlign w:val="center"/>
          </w:tcPr>
          <w:p w14:paraId="7F93C937" w14:textId="701926E5" w:rsidR="001F280C" w:rsidRPr="001F280C" w:rsidRDefault="00102CDB" w:rsidP="00E45E28">
            <w:pPr>
              <w:spacing w:before="60" w:after="60"/>
              <w:rPr>
                <w:bCs/>
                <w:sz w:val="20"/>
                <w:szCs w:val="20"/>
              </w:rPr>
            </w:pPr>
            <m:oMathPara>
              <m:oMath>
                <m:r>
                  <m:rPr>
                    <m:sty m:val="p"/>
                  </m:rPr>
                  <w:rPr>
                    <w:rFonts w:ascii="Cambria Math" w:hAnsi="Cambria Math"/>
                    <w:sz w:val="20"/>
                    <w:szCs w:val="20"/>
                  </w:rPr>
                  <m:t>LaCo</m:t>
                </m:r>
                <m:d>
                  <m:dPr>
                    <m:ctrlPr>
                      <w:rPr>
                        <w:rFonts w:ascii="Cambria Math" w:hAnsi="Cambria Math"/>
                        <w:iCs/>
                        <w:sz w:val="20"/>
                        <w:szCs w:val="20"/>
                      </w:rPr>
                    </m:ctrlPr>
                  </m:dPr>
                  <m:e>
                    <m:r>
                      <m:rPr>
                        <m:sty m:val="p"/>
                      </m:rPr>
                      <w:rPr>
                        <w:rFonts w:ascii="Cambria Math" w:hAnsi="Cambria Math"/>
                        <w:sz w:val="20"/>
                        <w:szCs w:val="20"/>
                      </w:rPr>
                      <m:t>III</m:t>
                    </m:r>
                  </m:e>
                </m:d>
                <m:sSub>
                  <m:sSubPr>
                    <m:ctrlPr>
                      <w:rPr>
                        <w:rFonts w:ascii="Cambria Math" w:hAnsi="Cambria Math"/>
                        <w:iCs/>
                        <w:sz w:val="20"/>
                        <w:szCs w:val="20"/>
                      </w:rPr>
                    </m:ctrlPr>
                  </m:sSubPr>
                  <m:e>
                    <m:r>
                      <m:rPr>
                        <m:sty m:val="p"/>
                      </m:rPr>
                      <w:rPr>
                        <w:rFonts w:ascii="Cambria Math" w:hAnsi="Cambria Math"/>
                        <w:sz w:val="20"/>
                        <w:szCs w:val="20"/>
                      </w:rPr>
                      <m:t>O</m:t>
                    </m:r>
                  </m:e>
                  <m:sub>
                    <m:r>
                      <m:rPr>
                        <m:sty m:val="p"/>
                      </m:rPr>
                      <w:rPr>
                        <w:rFonts w:ascii="Cambria Math" w:hAnsi="Cambria Math"/>
                        <w:sz w:val="20"/>
                        <w:szCs w:val="20"/>
                      </w:rPr>
                      <m:t>3</m:t>
                    </m:r>
                  </m:sub>
                </m:sSub>
                <m:r>
                  <m:rPr>
                    <m:sty m:val="p"/>
                  </m:rPr>
                  <w:rPr>
                    <w:rFonts w:ascii="Cambria Math" w:hAnsi="Cambria Math"/>
                    <w:sz w:val="20"/>
                    <w:szCs w:val="20"/>
                  </w:rPr>
                  <m:t>+</m:t>
                </m:r>
                <m:r>
                  <w:rPr>
                    <w:rFonts w:ascii="Cambria Math" w:hAnsi="Cambria Math"/>
                    <w:sz w:val="20"/>
                    <w:szCs w:val="20"/>
                  </w:rPr>
                  <m:t>x</m:t>
                </m:r>
                <m:sSup>
                  <m:sSupPr>
                    <m:ctrlPr>
                      <w:rPr>
                        <w:rFonts w:ascii="Cambria Math" w:hAnsi="Cambria Math"/>
                        <w:iCs/>
                        <w:sz w:val="20"/>
                        <w:szCs w:val="20"/>
                      </w:rPr>
                    </m:ctrlPr>
                  </m:sSupPr>
                  <m:e>
                    <m:r>
                      <m:rPr>
                        <m:sty m:val="p"/>
                      </m:rPr>
                      <w:rPr>
                        <w:rFonts w:ascii="Cambria Math" w:hAnsi="Cambria Math"/>
                        <w:sz w:val="20"/>
                        <w:szCs w:val="20"/>
                      </w:rPr>
                      <m:t>Sr</m:t>
                    </m:r>
                  </m:e>
                  <m:sup>
                    <m:r>
                      <m:rPr>
                        <m:sty m:val="p"/>
                      </m:rPr>
                      <w:rPr>
                        <w:rFonts w:ascii="Cambria Math" w:hAnsi="Cambria Math"/>
                        <w:sz w:val="20"/>
                        <w:szCs w:val="20"/>
                      </w:rPr>
                      <m:t>2+</m:t>
                    </m:r>
                  </m:sup>
                </m:sSup>
                <m:r>
                  <m:rPr>
                    <m:sty m:val="p"/>
                  </m:rPr>
                  <w:rPr>
                    <w:rFonts w:ascii="Cambria Math" w:hAnsi="Cambria Math"/>
                    <w:sz w:val="20"/>
                    <w:szCs w:val="20"/>
                  </w:rPr>
                  <m:t>-</m:t>
                </m:r>
                <m:r>
                  <w:rPr>
                    <w:rFonts w:ascii="Cambria Math" w:hAnsi="Cambria Math"/>
                    <w:sz w:val="20"/>
                    <w:szCs w:val="20"/>
                  </w:rPr>
                  <m:t>x</m:t>
                </m:r>
                <m:sSup>
                  <m:sSupPr>
                    <m:ctrlPr>
                      <w:rPr>
                        <w:rFonts w:ascii="Cambria Math" w:hAnsi="Cambria Math"/>
                        <w:iCs/>
                        <w:sz w:val="20"/>
                        <w:szCs w:val="20"/>
                      </w:rPr>
                    </m:ctrlPr>
                  </m:sSupPr>
                  <m:e>
                    <m:r>
                      <m:rPr>
                        <m:sty m:val="p"/>
                      </m:rPr>
                      <w:rPr>
                        <w:rFonts w:ascii="Cambria Math" w:hAnsi="Cambria Math"/>
                        <w:sz w:val="20"/>
                        <w:szCs w:val="20"/>
                      </w:rPr>
                      <m:t>La</m:t>
                    </m:r>
                  </m:e>
                  <m:sup>
                    <m:r>
                      <m:rPr>
                        <m:sty m:val="p"/>
                      </m:rPr>
                      <w:rPr>
                        <w:rFonts w:ascii="Cambria Math" w:hAnsi="Cambria Math"/>
                        <w:sz w:val="20"/>
                        <w:szCs w:val="20"/>
                      </w:rPr>
                      <m:t>3+</m:t>
                    </m:r>
                  </m:sup>
                </m:sSup>
                <m:r>
                  <m:rPr>
                    <m:sty m:val="p"/>
                  </m:rPr>
                  <w:rPr>
                    <w:rFonts w:ascii="Cambria Math" w:hAnsi="Cambria Math"/>
                    <w:sz w:val="20"/>
                    <w:szCs w:val="20"/>
                  </w:rPr>
                  <m:t>→</m:t>
                </m:r>
                <m:sSub>
                  <m:sSubPr>
                    <m:ctrlPr>
                      <w:rPr>
                        <w:rFonts w:ascii="Cambria Math" w:hAnsi="Cambria Math"/>
                        <w:iCs/>
                        <w:sz w:val="20"/>
                        <w:szCs w:val="20"/>
                      </w:rPr>
                    </m:ctrlPr>
                  </m:sSubPr>
                  <m:e>
                    <m:r>
                      <m:rPr>
                        <m:sty m:val="p"/>
                      </m:rPr>
                      <w:rPr>
                        <w:rFonts w:ascii="Cambria Math" w:hAnsi="Cambria Math"/>
                        <w:sz w:val="20"/>
                        <w:szCs w:val="20"/>
                      </w:rPr>
                      <m:t>La</m:t>
                    </m:r>
                  </m:e>
                  <m:sub>
                    <m:r>
                      <m:rPr>
                        <m:sty m:val="p"/>
                      </m:rPr>
                      <w:rPr>
                        <w:rFonts w:ascii="Cambria Math" w:hAnsi="Cambria Math"/>
                        <w:sz w:val="20"/>
                        <w:szCs w:val="20"/>
                      </w:rPr>
                      <m:t>1-</m:t>
                    </m:r>
                    <m:r>
                      <w:rPr>
                        <w:rFonts w:ascii="Cambria Math" w:hAnsi="Cambria Math"/>
                        <w:sz w:val="20"/>
                        <w:szCs w:val="20"/>
                      </w:rPr>
                      <m:t>x</m:t>
                    </m:r>
                  </m:sub>
                </m:sSub>
                <m:sSub>
                  <m:sSubPr>
                    <m:ctrlPr>
                      <w:rPr>
                        <w:rFonts w:ascii="Cambria Math" w:hAnsi="Cambria Math"/>
                        <w:iCs/>
                        <w:sz w:val="20"/>
                        <w:szCs w:val="20"/>
                      </w:rPr>
                    </m:ctrlPr>
                  </m:sSubPr>
                  <m:e>
                    <m:r>
                      <m:rPr>
                        <m:sty m:val="p"/>
                      </m:rPr>
                      <w:rPr>
                        <w:rFonts w:ascii="Cambria Math" w:hAnsi="Cambria Math"/>
                        <w:sz w:val="20"/>
                        <w:szCs w:val="20"/>
                      </w:rPr>
                      <m:t>Sr</m:t>
                    </m:r>
                  </m:e>
                  <m:sub>
                    <m:r>
                      <w:rPr>
                        <w:rFonts w:ascii="Cambria Math" w:hAnsi="Cambria Math"/>
                        <w:sz w:val="20"/>
                        <w:szCs w:val="20"/>
                      </w:rPr>
                      <m:t>x</m:t>
                    </m:r>
                  </m:sub>
                </m:sSub>
                <m:sSub>
                  <m:sSubPr>
                    <m:ctrlPr>
                      <w:rPr>
                        <w:rFonts w:ascii="Cambria Math" w:hAnsi="Cambria Math"/>
                        <w:iCs/>
                        <w:sz w:val="20"/>
                        <w:szCs w:val="20"/>
                      </w:rPr>
                    </m:ctrlPr>
                  </m:sSubPr>
                  <m:e>
                    <m:r>
                      <m:rPr>
                        <m:sty m:val="p"/>
                      </m:rPr>
                      <w:rPr>
                        <w:rFonts w:ascii="Cambria Math" w:hAnsi="Cambria Math"/>
                        <w:sz w:val="20"/>
                        <w:szCs w:val="20"/>
                      </w:rPr>
                      <m:t>Co</m:t>
                    </m:r>
                  </m:e>
                  <m:sub>
                    <m:r>
                      <w:rPr>
                        <w:rFonts w:ascii="Cambria Math" w:hAnsi="Cambria Math"/>
                        <w:sz w:val="20"/>
                        <w:szCs w:val="20"/>
                      </w:rPr>
                      <m:t>y</m:t>
                    </m:r>
                  </m:sub>
                </m:sSub>
                <m:d>
                  <m:dPr>
                    <m:ctrlPr>
                      <w:rPr>
                        <w:rFonts w:ascii="Cambria Math" w:hAnsi="Cambria Math"/>
                        <w:iCs/>
                        <w:sz w:val="20"/>
                        <w:szCs w:val="20"/>
                      </w:rPr>
                    </m:ctrlPr>
                  </m:dPr>
                  <m:e>
                    <m:r>
                      <m:rPr>
                        <m:sty m:val="p"/>
                      </m:rPr>
                      <w:rPr>
                        <w:rFonts w:ascii="Cambria Math" w:hAnsi="Cambria Math"/>
                        <w:sz w:val="20"/>
                        <w:szCs w:val="20"/>
                      </w:rPr>
                      <m:t>III</m:t>
                    </m:r>
                  </m:e>
                </m:d>
                <m:sSub>
                  <m:sSubPr>
                    <m:ctrlPr>
                      <w:rPr>
                        <w:rFonts w:ascii="Cambria Math" w:hAnsi="Cambria Math"/>
                        <w:iCs/>
                        <w:sz w:val="20"/>
                        <w:szCs w:val="20"/>
                      </w:rPr>
                    </m:ctrlPr>
                  </m:sSubPr>
                  <m:e>
                    <m:r>
                      <m:rPr>
                        <m:sty m:val="p"/>
                      </m:rPr>
                      <w:rPr>
                        <w:rFonts w:ascii="Cambria Math" w:hAnsi="Cambria Math"/>
                        <w:sz w:val="20"/>
                        <w:szCs w:val="20"/>
                      </w:rPr>
                      <m:t>Co</m:t>
                    </m:r>
                  </m:e>
                  <m:sub>
                    <m:r>
                      <m:rPr>
                        <m:sty m:val="p"/>
                      </m:rPr>
                      <w:rPr>
                        <w:rFonts w:ascii="Cambria Math" w:hAnsi="Cambria Math"/>
                        <w:sz w:val="20"/>
                        <w:szCs w:val="20"/>
                      </w:rPr>
                      <m:t>1-</m:t>
                    </m:r>
                    <m:r>
                      <w:rPr>
                        <w:rFonts w:ascii="Cambria Math" w:hAnsi="Cambria Math"/>
                        <w:sz w:val="20"/>
                        <w:szCs w:val="20"/>
                      </w:rPr>
                      <m:t>y</m:t>
                    </m:r>
                  </m:sub>
                </m:sSub>
                <m:d>
                  <m:dPr>
                    <m:ctrlPr>
                      <w:rPr>
                        <w:rFonts w:ascii="Cambria Math" w:hAnsi="Cambria Math"/>
                        <w:iCs/>
                        <w:sz w:val="20"/>
                        <w:szCs w:val="20"/>
                      </w:rPr>
                    </m:ctrlPr>
                  </m:dPr>
                  <m:e>
                    <m:r>
                      <m:rPr>
                        <m:sty m:val="p"/>
                      </m:rPr>
                      <w:rPr>
                        <w:rFonts w:ascii="Cambria Math" w:hAnsi="Cambria Math"/>
                        <w:sz w:val="20"/>
                        <w:szCs w:val="20"/>
                      </w:rPr>
                      <m:t>IV</m:t>
                    </m:r>
                  </m:e>
                </m:d>
                <m:sSub>
                  <m:sSubPr>
                    <m:ctrlPr>
                      <w:rPr>
                        <w:rFonts w:ascii="Cambria Math" w:hAnsi="Cambria Math"/>
                        <w:iCs/>
                        <w:sz w:val="20"/>
                        <w:szCs w:val="20"/>
                      </w:rPr>
                    </m:ctrlPr>
                  </m:sSubPr>
                  <m:e>
                    <m:r>
                      <m:rPr>
                        <m:sty m:val="p"/>
                      </m:rPr>
                      <w:rPr>
                        <w:rFonts w:ascii="Cambria Math" w:hAnsi="Cambria Math"/>
                        <w:sz w:val="20"/>
                        <w:szCs w:val="20"/>
                      </w:rPr>
                      <m:t>O</m:t>
                    </m:r>
                  </m:e>
                  <m:sub>
                    <m:r>
                      <m:rPr>
                        <m:sty m:val="p"/>
                      </m:rPr>
                      <w:rPr>
                        <w:rFonts w:ascii="Cambria Math" w:hAnsi="Cambria Math"/>
                        <w:sz w:val="20"/>
                        <w:szCs w:val="20"/>
                      </w:rPr>
                      <m:t>3-</m:t>
                    </m:r>
                    <m:r>
                      <w:rPr>
                        <w:rFonts w:ascii="Cambria Math" w:hAnsi="Cambria Math"/>
                        <w:sz w:val="20"/>
                        <w:szCs w:val="20"/>
                      </w:rPr>
                      <m:t>δ</m:t>
                    </m:r>
                  </m:sub>
                </m:sSub>
                <m:r>
                  <m:rPr>
                    <m:sty m:val="p"/>
                  </m:rPr>
                  <w:rPr>
                    <w:rFonts w:ascii="Cambria Math" w:hAnsi="Cambria Math"/>
                    <w:sz w:val="20"/>
                    <w:szCs w:val="20"/>
                  </w:rPr>
                  <m:t>+</m:t>
                </m:r>
                <m:f>
                  <m:fPr>
                    <m:ctrlPr>
                      <w:rPr>
                        <w:rFonts w:ascii="Cambria Math" w:hAnsi="Cambria Math"/>
                        <w:iCs/>
                        <w:sz w:val="20"/>
                        <w:szCs w:val="20"/>
                      </w:rPr>
                    </m:ctrlPr>
                  </m:fPr>
                  <m:num>
                    <m:r>
                      <w:rPr>
                        <w:rFonts w:ascii="Cambria Math" w:hAnsi="Cambria Math"/>
                        <w:sz w:val="20"/>
                        <w:szCs w:val="20"/>
                      </w:rPr>
                      <m:t>δ</m:t>
                    </m:r>
                  </m:num>
                  <m:den>
                    <m:r>
                      <m:rPr>
                        <m:sty m:val="p"/>
                      </m:rPr>
                      <w:rPr>
                        <w:rFonts w:ascii="Cambria Math" w:hAnsi="Cambria Math"/>
                        <w:sz w:val="20"/>
                        <w:szCs w:val="20"/>
                      </w:rPr>
                      <m:t>2</m:t>
                    </m:r>
                  </m:den>
                </m:f>
                <m:sSub>
                  <m:sSubPr>
                    <m:ctrlPr>
                      <w:rPr>
                        <w:rFonts w:ascii="Cambria Math" w:hAnsi="Cambria Math"/>
                        <w:iCs/>
                        <w:sz w:val="20"/>
                        <w:szCs w:val="20"/>
                      </w:rPr>
                    </m:ctrlPr>
                  </m:sSubPr>
                  <m:e>
                    <m:r>
                      <m:rPr>
                        <m:sty m:val="p"/>
                      </m:rPr>
                      <w:rPr>
                        <w:rFonts w:ascii="Cambria Math" w:hAnsi="Cambria Math"/>
                        <w:sz w:val="20"/>
                        <w:szCs w:val="20"/>
                      </w:rPr>
                      <m:t>O</m:t>
                    </m:r>
                  </m:e>
                  <m:sub>
                    <m:r>
                      <m:rPr>
                        <m:sty m:val="p"/>
                      </m:rPr>
                      <w:rPr>
                        <w:rFonts w:ascii="Cambria Math" w:hAnsi="Cambria Math"/>
                        <w:sz w:val="20"/>
                        <w:szCs w:val="20"/>
                      </w:rPr>
                      <m:t>2</m:t>
                    </m:r>
                  </m:sub>
                </m:sSub>
              </m:oMath>
            </m:oMathPara>
          </w:p>
        </w:tc>
        <w:tc>
          <w:tcPr>
            <w:tcW w:w="1134" w:type="dxa"/>
            <w:tcMar>
              <w:left w:w="28" w:type="dxa"/>
              <w:right w:w="28" w:type="dxa"/>
            </w:tcMar>
            <w:vAlign w:val="center"/>
          </w:tcPr>
          <w:p w14:paraId="639B3671" w14:textId="1190990B" w:rsidR="001F280C" w:rsidRPr="001F280C" w:rsidRDefault="001F280C" w:rsidP="00E45E28">
            <w:pPr>
              <w:keepNext/>
              <w:jc w:val="right"/>
              <w:rPr>
                <w:bCs/>
                <w:sz w:val="20"/>
                <w:szCs w:val="20"/>
              </w:rPr>
            </w:pPr>
            <w:bookmarkStart w:id="106" w:name="_Ref159519378"/>
            <w:r w:rsidRPr="001F280C">
              <w:rPr>
                <w:sz w:val="20"/>
                <w:szCs w:val="20"/>
              </w:rPr>
              <w:t xml:space="preserve">Equation </w:t>
            </w:r>
            <w:r w:rsidRPr="001F280C">
              <w:rPr>
                <w:sz w:val="20"/>
                <w:szCs w:val="20"/>
              </w:rPr>
              <w:fldChar w:fldCharType="begin"/>
            </w:r>
            <w:r w:rsidRPr="001F280C">
              <w:rPr>
                <w:sz w:val="20"/>
                <w:szCs w:val="20"/>
              </w:rPr>
              <w:instrText xml:space="preserve"> SEQ Equation \* ARABIC </w:instrText>
            </w:r>
            <w:r w:rsidRPr="001F280C">
              <w:rPr>
                <w:sz w:val="20"/>
                <w:szCs w:val="20"/>
              </w:rPr>
              <w:fldChar w:fldCharType="separate"/>
            </w:r>
            <w:r w:rsidR="00B52708">
              <w:rPr>
                <w:noProof/>
                <w:sz w:val="20"/>
                <w:szCs w:val="20"/>
              </w:rPr>
              <w:t>70</w:t>
            </w:r>
            <w:r w:rsidRPr="001F280C">
              <w:rPr>
                <w:sz w:val="20"/>
                <w:szCs w:val="20"/>
              </w:rPr>
              <w:fldChar w:fldCharType="end"/>
            </w:r>
            <w:bookmarkEnd w:id="106"/>
          </w:p>
        </w:tc>
      </w:tr>
    </w:tbl>
    <w:p w14:paraId="3374A67E" w14:textId="7DDAABA0" w:rsidR="00FF5CE0" w:rsidRPr="00FF5CE0" w:rsidRDefault="00FF5CE0" w:rsidP="00FF5CE0">
      <w:r w:rsidRPr="00FF5CE0">
        <w:t>A high degree of oxygen non-stoichiometry is known in these materials under gas-phase conditions</w:t>
      </w:r>
      <w:r w:rsidRPr="00FF5CE0">
        <w:fldChar w:fldCharType="begin">
          <w:fldData xml:space="preserve">PEVuZE5vdGU+PENpdGU+PEF1dGhvcj5Tw7hnYWFyZDwvQXV0aG9yPjxZZWFyPjIwMDY8L1llYXI+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</w:fldData>
        </w:fldChar>
      </w:r>
      <w:r w:rsidR="00FC5BEB">
        <w:instrText xml:space="preserve"> ADDIN EN.CITE </w:instrText>
      </w:r>
      <w:r w:rsidR="00FC5BEB">
        <w:fldChar w:fldCharType="begin">
          <w:fldData xml:space="preserve">PEVuZE5vdGU+PENpdGU+PEF1dGhvcj5Tw7hnYWFyZDwvQXV0aG9yPjxZZWFyPjIwMDY8L1llYXI+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345, 346</w:t>
      </w:r>
      <w:r w:rsidRPr="00FF5CE0">
        <w:fldChar w:fldCharType="end"/>
      </w:r>
      <w:r w:rsidRPr="00FF5CE0">
        <w:t xml:space="preserve">, which suggests </w:t>
      </w:r>
      <w:r w:rsidRPr="00FF5CE0">
        <w:rPr>
          <w:i/>
          <w:iCs/>
        </w:rPr>
        <w:t>y</w:t>
      </w:r>
      <w:r w:rsidRPr="00FF5CE0">
        <w:t>~</w:t>
      </w:r>
      <w:r w:rsidRPr="004B35B6">
        <w:rPr>
          <w:szCs w:val="22"/>
        </w:rPr>
        <w:t xml:space="preserve">1 in </w:t>
      </w:r>
      <w:r w:rsidR="001F280C" w:rsidRPr="004B35B6">
        <w:rPr>
          <w:szCs w:val="22"/>
        </w:rPr>
        <w:fldChar w:fldCharType="begin"/>
      </w:r>
      <w:r w:rsidR="001F280C" w:rsidRPr="004B35B6">
        <w:rPr>
          <w:szCs w:val="22"/>
        </w:rPr>
        <w:instrText xml:space="preserve"> REF _Ref159519378 \h </w:instrText>
      </w:r>
      <w:r w:rsidR="004B35B6">
        <w:rPr>
          <w:szCs w:val="22"/>
        </w:rPr>
        <w:instrText xml:space="preserve"> \* MERGEFORMAT </w:instrText>
      </w:r>
      <w:r w:rsidR="001F280C" w:rsidRPr="004B35B6">
        <w:rPr>
          <w:szCs w:val="22"/>
        </w:rPr>
      </w:r>
      <w:r w:rsidR="001F280C" w:rsidRPr="004B35B6">
        <w:rPr>
          <w:szCs w:val="22"/>
        </w:rPr>
        <w:fldChar w:fldCharType="separate"/>
      </w:r>
      <w:r w:rsidR="00B52708" w:rsidRPr="00245F0C">
        <w:rPr>
          <w:szCs w:val="22"/>
        </w:rPr>
        <w:t xml:space="preserve">Equation </w:t>
      </w:r>
      <w:r w:rsidR="00B52708" w:rsidRPr="00245F0C">
        <w:rPr>
          <w:noProof/>
          <w:szCs w:val="22"/>
        </w:rPr>
        <w:t>70</w:t>
      </w:r>
      <w:r w:rsidR="001F280C" w:rsidRPr="004B35B6">
        <w:rPr>
          <w:szCs w:val="22"/>
        </w:rPr>
        <w:fldChar w:fldCharType="end"/>
      </w:r>
      <w:r w:rsidRPr="004B35B6">
        <w:rPr>
          <w:szCs w:val="22"/>
        </w:rPr>
        <w:t>, though high oxygen chemical potentials can generate Co(IV)</w:t>
      </w:r>
      <w:r w:rsidRPr="004B35B6">
        <w:rPr>
          <w:szCs w:val="22"/>
        </w:rPr>
        <w:fldChar w:fldCharType="begin"/>
      </w:r>
      <w:r w:rsidR="00FC5BEB">
        <w:rPr>
          <w:szCs w:val="22"/>
        </w:rPr>
        <w:instrText xml:space="preserve"> ADDIN EN.CITE &lt;EndNote&gt;&lt;Cite&gt;&lt;Author&gt;Abbate&lt;/Author&gt;&lt;Year&gt;2002&lt;/Year&gt;&lt;RecNum&gt;345&lt;/RecNum&gt;&lt;DisplayText&gt;&lt;style face="superscript"&gt;347&lt;/style&gt;&lt;/DisplayText&gt;&lt;record&gt;&lt;rec-number&gt;345&lt;/rec-number&gt;&lt;foreign-keys&gt;&lt;key app="EN" db-id="2xex0erf4eexr4e2dpbxpdd829xttesxxxdr" timestamp="1715075296"&gt;345&lt;/key&gt;&lt;/foreign-keys&gt;&lt;ref-type name="Journal Article"&gt;17&lt;/ref-type&gt;&lt;contributors&gt;&lt;authors&gt;&lt;author&gt;Abbate, M.&lt;/author&gt;&lt;author&gt;Zampieri, G.&lt;/author&gt;&lt;author&gt;Okamoto, J.&lt;/author&gt;&lt;author&gt;Fujimori, A.&lt;/author&gt;&lt;author&gt;Kawasaki, S.&lt;/author&gt;&lt;author&gt;Takano, M.&lt;/author&gt;&lt;/authors&gt;&lt;/contributors&gt;&lt;titles&gt;&lt;title&gt;X-ray absorption of the negative charge-transfer material SrFe1−xCoxO3&lt;/title&gt;&lt;secondary-title&gt;Physical Review B&lt;/secondary-title&gt;&lt;/titles&gt;&lt;periodical&gt;&lt;full-title&gt;Physical Review B&lt;/full-title&gt;&lt;abbr-1&gt;Phys. Rev. B&lt;/abbr-1&gt;&lt;abbr-2&gt;Phys Rev B&lt;/abbr-2&gt;&lt;/periodical&gt;&lt;pages&gt;165120&lt;/pages&gt;&lt;volume&gt;65&lt;/volume&gt;&lt;number&gt;16&lt;/number&gt;&lt;dates&gt;&lt;year&gt;2002&lt;/year&gt;&lt;pub-dates&gt;&lt;date&gt;04/15/&lt;/date&gt;&lt;/pub-dates&gt;&lt;/dates&gt;&lt;publisher&gt;American Physical Society&lt;/publisher&gt;&lt;urls&gt;&lt;related-urls&gt;&lt;url&gt;https://link.aps.org/doi/10.1103/PhysRevB.65.165120&lt;/url&gt;&lt;/related-urls&gt;&lt;/urls&gt;&lt;electronic-resource-num&gt;10.1103/PhysRevB.65.165120&lt;/electronic-resource-num&gt;&lt;/record&gt;&lt;/Cite&gt;&lt;/EndNote&gt;</w:instrText>
      </w:r>
      <w:r w:rsidRPr="004B35B6">
        <w:rPr>
          <w:szCs w:val="22"/>
        </w:rPr>
        <w:fldChar w:fldCharType="separate"/>
      </w:r>
      <w:r w:rsidR="00FC5BEB" w:rsidRPr="00FC5BEB">
        <w:rPr>
          <w:noProof/>
          <w:szCs w:val="22"/>
          <w:vertAlign w:val="superscript"/>
        </w:rPr>
        <w:t>347</w:t>
      </w:r>
      <w:r w:rsidRPr="004B35B6">
        <w:rPr>
          <w:szCs w:val="22"/>
        </w:rPr>
        <w:fldChar w:fldCharType="end"/>
      </w:r>
      <w:r w:rsidRPr="004B35B6">
        <w:rPr>
          <w:szCs w:val="22"/>
        </w:rPr>
        <w:t xml:space="preserve">. The highly oxidizing conditions of the OER may then be expected to result in </w:t>
      </w:r>
      <w:proofErr w:type="gramStart"/>
      <w:r w:rsidRPr="004B35B6">
        <w:rPr>
          <w:szCs w:val="22"/>
        </w:rPr>
        <w:t>Co(</w:t>
      </w:r>
      <w:proofErr w:type="gramEnd"/>
      <w:r w:rsidRPr="004B35B6">
        <w:rPr>
          <w:szCs w:val="22"/>
        </w:rPr>
        <w:t xml:space="preserve">IV) formation leading to </w:t>
      </w:r>
      <w:r w:rsidRPr="004B35B6">
        <w:rPr>
          <w:i/>
          <w:iCs/>
          <w:szCs w:val="22"/>
        </w:rPr>
        <w:t>y</w:t>
      </w:r>
      <w:r w:rsidRPr="004B35B6">
        <w:rPr>
          <w:szCs w:val="22"/>
        </w:rPr>
        <w:t xml:space="preserve">&lt;1 in </w:t>
      </w:r>
      <w:r w:rsidR="001F280C" w:rsidRPr="004B35B6">
        <w:rPr>
          <w:szCs w:val="22"/>
        </w:rPr>
        <w:fldChar w:fldCharType="begin"/>
      </w:r>
      <w:r w:rsidR="001F280C" w:rsidRPr="004B35B6">
        <w:rPr>
          <w:szCs w:val="22"/>
        </w:rPr>
        <w:instrText xml:space="preserve"> REF _Ref159519378 \h </w:instrText>
      </w:r>
      <w:r w:rsidR="004B35B6">
        <w:rPr>
          <w:szCs w:val="22"/>
        </w:rPr>
        <w:instrText xml:space="preserve"> \* MERGEFORMAT </w:instrText>
      </w:r>
      <w:r w:rsidR="001F280C" w:rsidRPr="004B35B6">
        <w:rPr>
          <w:szCs w:val="22"/>
        </w:rPr>
      </w:r>
      <w:r w:rsidR="001F280C" w:rsidRPr="004B35B6">
        <w:rPr>
          <w:szCs w:val="22"/>
        </w:rPr>
        <w:fldChar w:fldCharType="separate"/>
      </w:r>
      <w:r w:rsidR="00B52708" w:rsidRPr="00245F0C">
        <w:rPr>
          <w:szCs w:val="22"/>
        </w:rPr>
        <w:t xml:space="preserve">Equation </w:t>
      </w:r>
      <w:r w:rsidR="00B52708" w:rsidRPr="00245F0C">
        <w:rPr>
          <w:noProof/>
          <w:szCs w:val="22"/>
        </w:rPr>
        <w:t>70</w:t>
      </w:r>
      <w:r w:rsidR="001F280C" w:rsidRPr="004B35B6">
        <w:rPr>
          <w:szCs w:val="22"/>
        </w:rPr>
        <w:fldChar w:fldCharType="end"/>
      </w:r>
      <w:r w:rsidRPr="004B35B6">
        <w:rPr>
          <w:szCs w:val="22"/>
        </w:rPr>
        <w:t>.</w:t>
      </w:r>
      <w:r w:rsidRPr="00FF5CE0">
        <w:t xml:space="preserve"> However, because Co(IV) is in the negative charge transfer regime for most oxides</w:t>
      </w:r>
      <w:r w:rsidRPr="00FF5CE0">
        <w:fldChar w:fldCharType="begin">
          <w:fldData xml:space="preserve">PEVuZE5vdGU+PENpdGU+PEF1dGhvcj5BYmJhdGU8L0F1dGhvcj48WWVhcj4yMDAyPC9ZZWFyPjxS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</w:fldData>
        </w:fldChar>
      </w:r>
      <w:r w:rsidR="00FC5BEB">
        <w:instrText xml:space="preserve"> ADDIN EN.CITE </w:instrText>
      </w:r>
      <w:r w:rsidR="00FC5BEB">
        <w:fldChar w:fldCharType="begin">
          <w:fldData xml:space="preserve">PEVuZE5vdGU+PENpdGU+PEF1dGhvcj5BYmJhdGU8L0F1dGhvcj48WWVhcj4yMDAyPC9ZZWFyPjxS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347-350</w:t>
      </w:r>
      <w:r w:rsidRPr="00FF5CE0">
        <w:fldChar w:fldCharType="end"/>
      </w:r>
      <w:r w:rsidRPr="00FF5CE0">
        <w:t>, its formation will introduce electron holes on the oxygen atoms in the lattice</w:t>
      </w:r>
      <w:r w:rsidR="005C74B4">
        <w:t xml:space="preserve"> </w:t>
      </w:r>
      <w:r w:rsidRPr="00FF5CE0">
        <w:t xml:space="preserve">or, alternatively, Co(IV) increases in the covalency of the Co-O bond. In Ref. </w:t>
      </w:r>
      <w:r w:rsidRPr="00FF5CE0">
        <w:fldChar w:fldCharType="begin"/>
      </w:r>
      <w:r w:rsidR="00FC5BEB">
        <w:instrText xml:space="preserve"> ADDIN EN.CITE &lt;EndNote&gt;&lt;Cite&gt;&lt;Author&gt;Mefford&lt;/Author&gt;&lt;Year&gt;2016&lt;/Year&gt;&lt;RecNum&gt;325&lt;/RecNum&gt;&lt;DisplayText&gt;&lt;style face="superscript"&gt;327&lt;/style&gt;&lt;/DisplayText&gt;&lt;record&gt;&lt;rec-number&gt;325&lt;/rec-number&gt;&lt;foreign-keys&gt;&lt;key app="EN" db-id="2xex0erf4eexr4e2dpbxpdd829xttesxxxdr" timestamp="1715075296"&gt;325&lt;/key&gt;&lt;/foreign-keys&gt;&lt;ref-type name="Journal Article"&gt;17&lt;/ref-type&gt;&lt;contributors&gt;&lt;authors&gt;&lt;author&gt;Mefford, J. Tyler&lt;/author&gt;&lt;author&gt;Rong, Xi&lt;/author&gt;&lt;author&gt;Abakumov, Artem M.&lt;/author&gt;&lt;author&gt;Hardin, William G.&lt;/author&gt;&lt;author&gt;Dai, Sheng&lt;/author&gt;&lt;author&gt;Kolpak, Alexie M.&lt;/author&gt;&lt;author&gt;Johnston, Keith P.&lt;/author&gt;&lt;author&gt;Stevenson, Keith J.&lt;/author&gt;&lt;/authors&gt;&lt;/contributors&gt;&lt;titles&gt;&lt;title&gt;Water electrolysis on La1−xSrxCoO3−δ perovskite electrocatalysts&lt;/title&gt;&lt;secondary-title&gt;Nat. Commun.&lt;/secondary-title&gt;&lt;/titles&gt;&lt;periodical&gt;&lt;full-title&gt;Nat. Commun.&lt;/full-title&gt;&lt;abbr-1&gt;Nat. Commun.&lt;/abbr-1&gt;&lt;/periodical&gt;&lt;pages&gt;11053&lt;/pages&gt;&lt;volume&gt;7&lt;/volume&gt;&lt;number&gt;1&lt;/number&gt;&lt;dates&gt;&lt;year&gt;2016&lt;/year&gt;&lt;pub-dates&gt;&lt;date&gt;2016/03/23&lt;/date&gt;&lt;/pub-dates&gt;&lt;/dates&gt;&lt;isbn&gt;2041-1723&lt;/isbn&gt;&lt;urls&gt;&lt;related-urls&gt;&lt;url&gt;https://doi.org/10.1038/ncomms11053&lt;/url&gt;&lt;/related-urls&gt;&lt;/urls&gt;&lt;electronic-resource-num&gt;10.1038/ncomms11053&lt;/electronic-resource-num&gt;&lt;/record&gt;&lt;/Cite&gt;&lt;/EndNote&gt;</w:instrText>
      </w:r>
      <w:r w:rsidRPr="00FF5CE0">
        <w:fldChar w:fldCharType="separate"/>
      </w:r>
      <w:r w:rsidR="00FC5BEB" w:rsidRPr="00FC5BEB">
        <w:rPr>
          <w:noProof/>
          <w:vertAlign w:val="superscript"/>
        </w:rPr>
        <w:t>327</w:t>
      </w:r>
      <w:r w:rsidRPr="00FF5CE0">
        <w:fldChar w:fldCharType="end"/>
      </w:r>
      <w:r w:rsidRPr="00FF5CE0">
        <w:t xml:space="preserve"> the authors argued this increase in covalency would lead to the evolution of O</w:t>
      </w:r>
      <w:r w:rsidRPr="00FF5CE0">
        <w:rPr>
          <w:vertAlign w:val="subscript"/>
        </w:rPr>
        <w:t>2</w:t>
      </w:r>
      <w:r w:rsidRPr="00FF5CE0">
        <w:t xml:space="preserve"> from the lattice oxygen, where the generation of lattice vacancies pins the Fermi energy at the top of the Co 3d band</w:t>
      </w:r>
      <w:r w:rsidRPr="00FF5CE0">
        <w:fldChar w:fldCharType="begin"/>
      </w:r>
      <w:r w:rsidR="00FC5BEB">
        <w:instrText xml:space="preserve"> ADDIN EN.CITE &lt;EndNote&gt;&lt;Cite&gt;&lt;Author&gt;Maiyalagan&lt;/Author&gt;&lt;Year&gt;2014&lt;/Year&gt;&lt;RecNum&gt;349&lt;/RecNum&gt;&lt;DisplayText&gt;&lt;style face="superscript"&gt;351&lt;/style&gt;&lt;/DisplayText&gt;&lt;record&gt;&lt;rec-number&gt;349&lt;/rec-number&gt;&lt;foreign-keys&gt;&lt;key app="EN" db-id="2xex0erf4eexr4e2dpbxpdd829xttesxxxdr" timestamp="1715075296"&gt;349&lt;/key&gt;&lt;/foreign-keys&gt;&lt;ref-type name="Journal Article"&gt;17&lt;/ref-type&gt;&lt;contributors&gt;&lt;authors&gt;&lt;author&gt;Maiyalagan, Thandavarayan&lt;/author&gt;&lt;author&gt;Jarvis, Karalee A.&lt;/author&gt;&lt;author&gt;Therese, Soosairaj&lt;/author&gt;&lt;author&gt;Ferreira, Paulo J.&lt;/author&gt;&lt;author&gt;Manthiram, Arumugam&lt;/author&gt;&lt;/authors&gt;&lt;/contributors&gt;&lt;titles&gt;&lt;title&gt;Spinel-type lithium cobalt oxide as a bifunctional electrocatalyst for the oxygen evolution and oxygen reduction reactions&lt;/title&gt;&lt;secondary-title&gt;Nat. Commun.&lt;/secondary-title&gt;&lt;/titles&gt;&lt;periodical&gt;&lt;full-title&gt;Nat. Commun.&lt;/full-title&gt;&lt;abbr-1&gt;Nat. Commun.&lt;/abbr-1&gt;&lt;/periodical&gt;&lt;pages&gt;3949&lt;/pages&gt;&lt;volume&gt;5&lt;/volume&gt;&lt;number&gt;1&lt;/number&gt;&lt;dates&gt;&lt;year&gt;2014&lt;/year&gt;&lt;pub-dates&gt;&lt;date&gt;2014/05/27&lt;/date&gt;&lt;/pub-dates&gt;&lt;/dates&gt;&lt;isbn&gt;2041-1723&lt;/isbn&gt;&lt;urls&gt;&lt;related-urls&gt;&lt;url&gt;https://doi.org/10.1038/ncomms4949&lt;/url&gt;&lt;/related-urls&gt;&lt;/urls&gt;&lt;electronic-resource-num&gt;10.1038/ncomms4949&lt;/electronic-resource-num&gt;&lt;/record&gt;&lt;/Cite&gt;&lt;/EndNote&gt;</w:instrText>
      </w:r>
      <w:r w:rsidRPr="00FF5CE0">
        <w:fldChar w:fldCharType="separate"/>
      </w:r>
      <w:r w:rsidR="00FC5BEB" w:rsidRPr="00FC5BEB">
        <w:rPr>
          <w:noProof/>
          <w:vertAlign w:val="superscript"/>
        </w:rPr>
        <w:t>351</w:t>
      </w:r>
      <w:r w:rsidRPr="00FF5CE0">
        <w:fldChar w:fldCharType="end"/>
      </w:r>
      <w:r w:rsidRPr="00FF5CE0">
        <w:t>.</w:t>
      </w:r>
    </w:p>
    <w:p w14:paraId="6BF8647A" w14:textId="77777777" w:rsidR="00FF5CE0" w:rsidRPr="00FF5CE0" w:rsidRDefault="00FF5CE0" w:rsidP="00FF5CE0"/>
    <w:p w14:paraId="3333857C" w14:textId="717935E8" w:rsidR="00FF5CE0" w:rsidRPr="00FF5CE0" w:rsidRDefault="00FF5CE0" w:rsidP="00FF5CE0">
      <w:r w:rsidRPr="00FF5CE0">
        <w:tab/>
        <w:t xml:space="preserve">The authors of Ref. </w:t>
      </w:r>
      <w:r w:rsidRPr="00FF5CE0">
        <w:fldChar w:fldCharType="begin"/>
      </w:r>
      <w:r w:rsidR="00FC5BEB">
        <w:instrText xml:space="preserve"> ADDIN EN.CITE &lt;EndNote&gt;&lt;Cite&gt;&lt;Author&gt;Mefford&lt;/Author&gt;&lt;Year&gt;2016&lt;/Year&gt;&lt;RecNum&gt;325&lt;/RecNum&gt;&lt;DisplayText&gt;&lt;style face="superscript"&gt;327&lt;/style&gt;&lt;/DisplayText&gt;&lt;record&gt;&lt;rec-number&gt;325&lt;/rec-number&gt;&lt;foreign-keys&gt;&lt;key app="EN" db-id="2xex0erf4eexr4e2dpbxpdd829xttesxxxdr" timestamp="1715075296"&gt;325&lt;/key&gt;&lt;/foreign-keys&gt;&lt;ref-type name="Journal Article"&gt;17&lt;/ref-type&gt;&lt;contributors&gt;&lt;authors&gt;&lt;author&gt;Mefford, J. Tyler&lt;/author&gt;&lt;author&gt;Rong, Xi&lt;/author&gt;&lt;author&gt;Abakumov, Artem M.&lt;/author&gt;&lt;author&gt;Hardin, William G.&lt;/author&gt;&lt;author&gt;Dai, Sheng&lt;/author&gt;&lt;author&gt;Kolpak, Alexie M.&lt;/author&gt;&lt;author&gt;Johnston, Keith P.&lt;/author&gt;&lt;author&gt;Stevenson, Keith J.&lt;/author&gt;&lt;/authors&gt;&lt;/contributors&gt;&lt;titles&gt;&lt;title&gt;Water electrolysis on La1−xSrxCoO3−δ perovskite electrocatalysts&lt;/title&gt;&lt;secondary-title&gt;Nat. Commun.&lt;/secondary-title&gt;&lt;/titles&gt;&lt;periodical&gt;&lt;full-title&gt;Nat. Commun.&lt;/full-title&gt;&lt;abbr-1&gt;Nat. Commun.&lt;/abbr-1&gt;&lt;/periodical&gt;&lt;pages&gt;11053&lt;/pages&gt;&lt;volume&gt;7&lt;/volume&gt;&lt;number&gt;1&lt;/number&gt;&lt;dates&gt;&lt;year&gt;2016&lt;/year&gt;&lt;pub-dates&gt;&lt;date&gt;2016/03/23&lt;/date&gt;&lt;/pub-dates&gt;&lt;/dates&gt;&lt;isbn&gt;2041-1723&lt;/isbn&gt;&lt;urls&gt;&lt;related-urls&gt;&lt;url&gt;https://doi.org/10.1038/ncomms11053&lt;/url&gt;&lt;/related-urls&gt;&lt;/urls&gt;&lt;electronic-resource-num&gt;10.1038/ncomms11053&lt;/electronic-resource-num&gt;&lt;/record&gt;&lt;/Cite&gt;&lt;/EndNote&gt;</w:instrText>
      </w:r>
      <w:r w:rsidRPr="00FF5CE0">
        <w:fldChar w:fldCharType="separate"/>
      </w:r>
      <w:r w:rsidR="00FC5BEB" w:rsidRPr="00FC5BEB">
        <w:rPr>
          <w:noProof/>
          <w:vertAlign w:val="superscript"/>
        </w:rPr>
        <w:t>327</w:t>
      </w:r>
      <w:r w:rsidRPr="00FF5CE0">
        <w:fldChar w:fldCharType="end"/>
      </w:r>
      <w:r w:rsidRPr="00FF5CE0">
        <w:t xml:space="preserve"> reasoned that if the Fermi energy is pinned at the top of O 2p band by liberating O</w:t>
      </w:r>
      <w:r w:rsidRPr="00FF5CE0">
        <w:rPr>
          <w:vertAlign w:val="subscript"/>
        </w:rPr>
        <w:t>2,gas</w:t>
      </w:r>
      <w:r w:rsidRPr="00FF5CE0">
        <w:t xml:space="preserve"> through the creation of oxygen vacancies, varying the Fermi energy through the electrode potential will evolve lattice oxygen through an LOM, as the potential directly controls the number of oxygen vacancies. This view of the LOM differs somewhat from that developed in Ref. </w:t>
      </w:r>
      <w:r w:rsidRPr="00FF5CE0">
        <w:fldChar w:fldCharType="begin"/>
      </w:r>
      <w:r w:rsidR="00FC5BEB">
        <w:instrText xml:space="preserve"> ADDIN EN.CITE &lt;EndNote&gt;&lt;Cite&gt;&lt;Author&gt;Rong&lt;/Author&gt;&lt;Year&gt;2016&lt;/Year&gt;&lt;RecNum&gt;322&lt;/RecNum&gt;&lt;DisplayText&gt;&lt;style face="superscript"&gt;324&lt;/style&gt;&lt;/DisplayText&gt;&lt;record&gt;&lt;rec-number&gt;322&lt;/rec-number&gt;&lt;foreign-keys&gt;&lt;key app="EN" db-id="2xex0erf4eexr4e2dpbxpdd829xttesxxxdr" timestamp="1715075296"&gt;322&lt;/key&gt;&lt;/foreign-keys&gt;&lt;ref-type name="Journal Article"&gt;17&lt;/ref-type&gt;&lt;contributors&gt;&lt;authors&gt;&lt;author&gt;Rong, Xi&lt;/author&gt;&lt;author&gt;Parolin, Jules&lt;/author&gt;&lt;author&gt;Kolpak, Alexie M.&lt;/author&gt;&lt;/authors&gt;&lt;/contributors&gt;&lt;titles&gt;&lt;title&gt;A Fundamental Relationship between Reaction Mechanism and Stability in Metal Oxide Catalysts for Oxygen Evolution&lt;/title&gt;&lt;secondary-title&gt;ACS Catal.&lt;/secondary-title&gt;&lt;/titles&gt;&lt;periodical&gt;&lt;full-title&gt;ACS Catal.&lt;/full-title&gt;&lt;/periodical&gt;&lt;pages&gt;1153-1158&lt;/pages&gt;&lt;volume&gt;6&lt;/volume&gt;&lt;number&gt;2&lt;/number&gt;&lt;dates&gt;&lt;year&gt;2016&lt;/year&gt;&lt;pub-dates&gt;&lt;date&gt;2016/02/05&lt;/date&gt;&lt;/pub-dates&gt;&lt;/dates&gt;&lt;publisher&gt;American Chemical Society&lt;/publisher&gt;&lt;urls&gt;&lt;related-urls&gt;&lt;url&gt;https://doi.org/10.1021/acscatal.5b02432&lt;/url&gt;&lt;/related-urls&gt;&lt;/urls&gt;&lt;electronic-resource-num&gt;10.1021/acscatal.5b02432&lt;/electronic-resource-num&gt;&lt;/record&gt;&lt;/Cite&gt;&lt;/EndNote&gt;</w:instrText>
      </w:r>
      <w:r w:rsidRPr="00FF5CE0">
        <w:fldChar w:fldCharType="separate"/>
      </w:r>
      <w:r w:rsidR="00FC5BEB" w:rsidRPr="00FC5BEB">
        <w:rPr>
          <w:noProof/>
          <w:vertAlign w:val="superscript"/>
        </w:rPr>
        <w:t>324</w:t>
      </w:r>
      <w:r w:rsidRPr="00FF5CE0">
        <w:fldChar w:fldCharType="end"/>
      </w:r>
      <w:r w:rsidRPr="00FF5CE0">
        <w:t xml:space="preserve"> in its reliance on Fermi level pinning, though it still stands in stark contrast to the nucleophilic attack mechanisms popularized by the CHE. This contrast can be seen in </w:t>
      </w:r>
      <w:r w:rsidR="001F280C">
        <w:fldChar w:fldCharType="begin"/>
      </w:r>
      <w:r w:rsidR="001F280C">
        <w:instrText xml:space="preserve"> REF _Ref159519580 \h </w:instrText>
      </w:r>
      <w:r w:rsidR="001F280C">
        <w:fldChar w:fldCharType="separate"/>
      </w:r>
      <w:r w:rsidR="00B52708" w:rsidRPr="001F280C">
        <w:rPr>
          <w:b/>
          <w:bCs/>
        </w:rPr>
        <w:t xml:space="preserve">Figure </w:t>
      </w:r>
      <w:r w:rsidR="00B52708">
        <w:rPr>
          <w:b/>
          <w:bCs/>
          <w:noProof/>
        </w:rPr>
        <w:t>24</w:t>
      </w:r>
      <w:r w:rsidR="001F280C">
        <w:fldChar w:fldCharType="end"/>
      </w:r>
      <w:r w:rsidRPr="00FF5CE0">
        <w:t xml:space="preserve">, which compares hydroxide nucleophilic attack </w:t>
      </w:r>
      <w:r w:rsidRPr="00B91CD5">
        <w:rPr>
          <w:szCs w:val="22"/>
        </w:rPr>
        <w:t xml:space="preserve">mechanism, </w:t>
      </w:r>
      <w:r w:rsidR="001F280C" w:rsidRPr="00B91CD5">
        <w:rPr>
          <w:szCs w:val="22"/>
        </w:rPr>
        <w:fldChar w:fldCharType="begin"/>
      </w:r>
      <w:r w:rsidR="001F280C" w:rsidRPr="00B91CD5">
        <w:rPr>
          <w:szCs w:val="22"/>
        </w:rPr>
        <w:instrText xml:space="preserve"> REF _Ref159510701 \h </w:instrText>
      </w:r>
      <w:r w:rsidR="00B91CD5">
        <w:rPr>
          <w:szCs w:val="22"/>
        </w:rPr>
        <w:instrText xml:space="preserve"> \* MERGEFORMAT </w:instrText>
      </w:r>
      <w:r w:rsidR="001F280C" w:rsidRPr="00B91CD5">
        <w:rPr>
          <w:szCs w:val="22"/>
        </w:rPr>
      </w:r>
      <w:r w:rsidR="001F280C" w:rsidRPr="00B91CD5">
        <w:rPr>
          <w:szCs w:val="22"/>
        </w:rPr>
        <w:fldChar w:fldCharType="separate"/>
      </w:r>
      <w:r w:rsidR="00B52708" w:rsidRPr="00245F0C">
        <w:rPr>
          <w:szCs w:val="22"/>
        </w:rPr>
        <w:t xml:space="preserve">Equation </w:t>
      </w:r>
      <w:r w:rsidR="00B52708" w:rsidRPr="00245F0C">
        <w:rPr>
          <w:noProof/>
          <w:szCs w:val="22"/>
        </w:rPr>
        <w:t>42</w:t>
      </w:r>
      <w:r w:rsidR="001F280C" w:rsidRPr="00B91CD5">
        <w:rPr>
          <w:szCs w:val="22"/>
        </w:rPr>
        <w:fldChar w:fldCharType="end"/>
      </w:r>
      <w:r w:rsidR="001F280C">
        <w:t>-45</w:t>
      </w:r>
      <w:r w:rsidRPr="00FF5CE0">
        <w:t xml:space="preserve">, in </w:t>
      </w:r>
      <w:r w:rsidR="001F280C">
        <w:fldChar w:fldCharType="begin"/>
      </w:r>
      <w:r w:rsidR="001F280C">
        <w:instrText xml:space="preserve"> REF _Ref159519580 \h </w:instrText>
      </w:r>
      <w:r w:rsidR="001F280C">
        <w:fldChar w:fldCharType="separate"/>
      </w:r>
      <w:r w:rsidR="00B52708" w:rsidRPr="001F280C">
        <w:rPr>
          <w:b/>
          <w:bCs/>
        </w:rPr>
        <w:t xml:space="preserve">Figure </w:t>
      </w:r>
      <w:r w:rsidR="00B52708">
        <w:rPr>
          <w:b/>
          <w:bCs/>
          <w:noProof/>
        </w:rPr>
        <w:t>24</w:t>
      </w:r>
      <w:r w:rsidR="001F280C">
        <w:fldChar w:fldCharType="end"/>
      </w:r>
      <w:r w:rsidRPr="00967BAD">
        <w:rPr>
          <w:b/>
          <w:bCs/>
        </w:rPr>
        <w:t>a</w:t>
      </w:r>
      <w:r w:rsidRPr="00FF5CE0">
        <w:t xml:space="preserve"> with the single-metal-site LOM in </w:t>
      </w:r>
      <w:r w:rsidR="001F280C">
        <w:fldChar w:fldCharType="begin"/>
      </w:r>
      <w:r w:rsidR="001F280C">
        <w:instrText xml:space="preserve"> REF _Ref159519580 \h </w:instrText>
      </w:r>
      <w:r w:rsidR="001F280C">
        <w:fldChar w:fldCharType="separate"/>
      </w:r>
      <w:r w:rsidR="00B52708" w:rsidRPr="001F280C">
        <w:rPr>
          <w:b/>
          <w:bCs/>
        </w:rPr>
        <w:t xml:space="preserve">Figure </w:t>
      </w:r>
      <w:r w:rsidR="00B52708">
        <w:rPr>
          <w:b/>
          <w:bCs/>
          <w:noProof/>
        </w:rPr>
        <w:t>24</w:t>
      </w:r>
      <w:r w:rsidR="001F280C">
        <w:fldChar w:fldCharType="end"/>
      </w:r>
      <w:r w:rsidRPr="00967BAD">
        <w:rPr>
          <w:b/>
          <w:bCs/>
        </w:rPr>
        <w:t>b</w:t>
      </w:r>
      <w:r w:rsidRPr="00FF5CE0">
        <w:t xml:space="preserve">. The nucleophilic attack mechanism can be seen to occur via the familiar formation of *OOH, in this case on a single site, hence the authors using the term AEM. The single-metal-site LOM can be seen to involve the coupling of adsorbed and lattice oxygen to produce the O-O bond in step 1 of </w:t>
      </w:r>
      <w:r w:rsidR="001F280C">
        <w:fldChar w:fldCharType="begin"/>
      </w:r>
      <w:r w:rsidR="001F280C">
        <w:instrText xml:space="preserve"> REF _Ref159519580 \h </w:instrText>
      </w:r>
      <w:r w:rsidR="001F280C">
        <w:fldChar w:fldCharType="separate"/>
      </w:r>
      <w:r w:rsidR="00B52708" w:rsidRPr="001F280C">
        <w:rPr>
          <w:b/>
          <w:bCs/>
        </w:rPr>
        <w:t xml:space="preserve">Figure </w:t>
      </w:r>
      <w:r w:rsidR="00B52708">
        <w:rPr>
          <w:b/>
          <w:bCs/>
          <w:noProof/>
        </w:rPr>
        <w:t>24</w:t>
      </w:r>
      <w:r w:rsidR="001F280C">
        <w:fldChar w:fldCharType="end"/>
      </w:r>
      <w:r w:rsidRPr="00967BAD">
        <w:rPr>
          <w:b/>
          <w:bCs/>
        </w:rPr>
        <w:t>b</w:t>
      </w:r>
      <w:r w:rsidRPr="00FF5CE0">
        <w:t xml:space="preserve">, in direct analogy to Ref. </w:t>
      </w:r>
      <w:r w:rsidRPr="00FF5CE0">
        <w:fldChar w:fldCharType="begin"/>
      </w:r>
      <w:r w:rsidR="00FC5BEB">
        <w:instrText xml:space="preserve"> ADDIN EN.CITE &lt;EndNote&gt;&lt;Cite&gt;&lt;Author&gt;Rong&lt;/Author&gt;&lt;Year&gt;2016&lt;/Year&gt;&lt;RecNum&gt;322&lt;/RecNum&gt;&lt;DisplayText&gt;&lt;style face="superscript"&gt;324&lt;/style&gt;&lt;/DisplayText&gt;&lt;record&gt;&lt;rec-number&gt;322&lt;/rec-number&gt;&lt;foreign-keys&gt;&lt;key app="EN" db-id="2xex0erf4eexr4e2dpbxpdd829xttesxxxdr" timestamp="1715075296"&gt;322&lt;/key&gt;&lt;/foreign-keys&gt;&lt;ref-type name="Journal Article"&gt;17&lt;/ref-type&gt;&lt;contributors&gt;&lt;authors&gt;&lt;author&gt;Rong, Xi&lt;/author&gt;&lt;author&gt;Parolin, Jules&lt;/author&gt;&lt;author&gt;Kolpak, Alexie M.&lt;/author&gt;&lt;/authors&gt;&lt;/contributors&gt;&lt;titles&gt;&lt;title&gt;A Fundamental Relationship between Reaction Mechanism and Stability in Metal Oxide Catalysts for Oxygen Evolution&lt;/title&gt;&lt;secondary-title&gt;ACS Catal.&lt;/secondary-title&gt;&lt;/titles&gt;&lt;periodical&gt;&lt;full-title&gt;ACS Catal.&lt;/full-title&gt;&lt;/periodical&gt;&lt;pages&gt;1153-1158&lt;/pages&gt;&lt;volume&gt;6&lt;/volume&gt;&lt;number&gt;2&lt;/number&gt;&lt;dates&gt;&lt;year&gt;2016&lt;/year&gt;&lt;pub-dates&gt;&lt;date&gt;2016/02/05&lt;/date&gt;&lt;/pub-dates&gt;&lt;/dates&gt;&lt;publisher&gt;American Chemical Society&lt;/publisher&gt;&lt;urls&gt;&lt;related-urls&gt;&lt;url&gt;https://doi.org/10.1021/acscatal.5b02432&lt;/url&gt;&lt;/related-urls&gt;&lt;/urls&gt;&lt;electronic-resource-num&gt;10.1021/acscatal.5b02432&lt;/electronic-resource-num&gt;&lt;/record&gt;&lt;/Cite&gt;&lt;/EndNote&gt;</w:instrText>
      </w:r>
      <w:r w:rsidRPr="00FF5CE0">
        <w:fldChar w:fldCharType="separate"/>
      </w:r>
      <w:r w:rsidR="00FC5BEB" w:rsidRPr="00FC5BEB">
        <w:rPr>
          <w:noProof/>
          <w:vertAlign w:val="superscript"/>
        </w:rPr>
        <w:t>324</w:t>
      </w:r>
      <w:r w:rsidRPr="00FF5CE0">
        <w:fldChar w:fldCharType="end"/>
      </w:r>
      <w:r w:rsidRPr="00FF5CE0">
        <w:t>.</w:t>
      </w:r>
      <w:r w:rsidR="004E2316">
        <w:t xml:space="preserve"> </w:t>
      </w:r>
      <w:r w:rsidRPr="00FF5CE0">
        <w:t xml:space="preserve">From the figure, the direct participation of lattice oxygen can be seen to be tied to the ease with which an oxygen vacancy can be formed, again in analogy with Ref. </w:t>
      </w:r>
      <w:r w:rsidRPr="00FF5CE0">
        <w:fldChar w:fldCharType="begin"/>
      </w:r>
      <w:r w:rsidR="00FC5BEB">
        <w:instrText xml:space="preserve"> ADDIN EN.CITE &lt;EndNote&gt;&lt;Cite&gt;&lt;Author&gt;Rong&lt;/Author&gt;&lt;Year&gt;2016&lt;/Year&gt;&lt;RecNum&gt;322&lt;/RecNum&gt;&lt;DisplayText&gt;&lt;style face="superscript"&gt;324&lt;/style&gt;&lt;/DisplayText&gt;&lt;record&gt;&lt;rec-number&gt;322&lt;/rec-number&gt;&lt;foreign-keys&gt;&lt;key app="EN" db-id="2xex0erf4eexr4e2dpbxpdd829xttesxxxdr" timestamp="1715075296"&gt;322&lt;/key&gt;&lt;/foreign-keys&gt;&lt;ref-type name="Journal Article"&gt;17&lt;/ref-type&gt;&lt;contributors&gt;&lt;authors&gt;&lt;author&gt;Rong, Xi&lt;/author&gt;&lt;author&gt;Parolin, Jules&lt;/author&gt;&lt;author&gt;Kolpak, Alexie M.&lt;/author&gt;&lt;/authors&gt;&lt;/contributors&gt;&lt;titles&gt;&lt;title&gt;A Fundamental Relationship between Reaction Mechanism and Stability in Metal Oxide Catalysts for Oxygen Evolution&lt;/title&gt;&lt;secondary-title&gt;ACS Catal.&lt;/secondary-title&gt;&lt;/titles&gt;&lt;periodical&gt;&lt;full-title&gt;ACS Catal.&lt;/full-title&gt;&lt;/periodical&gt;&lt;pages&gt;1153-1158&lt;/pages&gt;&lt;volume&gt;6&lt;/volume&gt;&lt;number&gt;2&lt;/number&gt;&lt;dates&gt;&lt;year&gt;2016&lt;/year&gt;&lt;pub-dates&gt;&lt;date&gt;2016/02/05&lt;/date&gt;&lt;/pub-dates&gt;&lt;/dates&gt;&lt;publisher&gt;American Chemical Society&lt;/publisher&gt;&lt;urls&gt;&lt;related-urls&gt;&lt;url&gt;https://doi.org/10.1021/acscatal.5b02432&lt;/url&gt;&lt;/related-urls&gt;&lt;/urls&gt;&lt;electronic-resource-num&gt;10.1021/acscatal.5b02432&lt;/electronic-resource-num&gt;&lt;/record&gt;&lt;/Cite&gt;&lt;/EndNote&gt;</w:instrText>
      </w:r>
      <w:r w:rsidRPr="00FF5CE0">
        <w:fldChar w:fldCharType="separate"/>
      </w:r>
      <w:r w:rsidR="00FC5BEB" w:rsidRPr="00FC5BEB">
        <w:rPr>
          <w:noProof/>
          <w:vertAlign w:val="superscript"/>
        </w:rPr>
        <w:t>324</w:t>
      </w:r>
      <w:r w:rsidRPr="00FF5CE0">
        <w:fldChar w:fldCharType="end"/>
      </w:r>
      <w:r w:rsidRPr="00FF5CE0">
        <w:t>,</w:t>
      </w:r>
      <w:r w:rsidR="004E2316">
        <w:t xml:space="preserve"> </w:t>
      </w:r>
      <w:r w:rsidRPr="00FF5CE0">
        <w:t xml:space="preserve">but in Ref. </w:t>
      </w:r>
      <w:r w:rsidRPr="00FF5CE0">
        <w:fldChar w:fldCharType="begin"/>
      </w:r>
      <w:r w:rsidR="00FC5BEB">
        <w:instrText xml:space="preserve"> ADDIN EN.CITE &lt;EndNote&gt;&lt;Cite&gt;&lt;Author&gt;Mefford&lt;/Author&gt;&lt;Year&gt;2016&lt;/Year&gt;&lt;RecNum&gt;325&lt;/RecNum&gt;&lt;DisplayText&gt;&lt;style face="superscript"&gt;327&lt;/style&gt;&lt;/DisplayText&gt;&lt;record&gt;&lt;rec-number&gt;325&lt;/rec-number&gt;&lt;foreign-keys&gt;&lt;key app="EN" db-id="2xex0erf4eexr4e2dpbxpdd829xttesxxxdr" timestamp="1715075296"&gt;325&lt;/key&gt;&lt;/foreign-keys&gt;&lt;ref-type name="Journal Article"&gt;17&lt;/ref-type&gt;&lt;contributors&gt;&lt;authors&gt;&lt;author&gt;Mefford, J. Tyler&lt;/author&gt;&lt;author&gt;Rong, Xi&lt;/author&gt;&lt;author&gt;Abakumov, Artem M.&lt;/author&gt;&lt;author&gt;Hardin, William G.&lt;/author&gt;&lt;author&gt;Dai, Sheng&lt;/author&gt;&lt;author&gt;Kolpak, Alexie M.&lt;/author&gt;&lt;author&gt;Johnston, Keith P.&lt;/author&gt;&lt;author&gt;Stevenson, Keith J.&lt;/author&gt;&lt;/authors&gt;&lt;/contributors&gt;&lt;titles&gt;&lt;title&gt;Water electrolysis on La1−xSrxCoO3−δ perovskite electrocatalysts&lt;/title&gt;&lt;secondary-title&gt;Nat. Commun.&lt;/secondary-title&gt;&lt;/titles&gt;&lt;periodical&gt;&lt;full-title&gt;Nat. Commun.&lt;/full-title&gt;&lt;abbr-1&gt;Nat. Commun.&lt;/abbr-1&gt;&lt;/periodical&gt;&lt;pages&gt;11053&lt;/pages&gt;&lt;volume&gt;7&lt;/volume&gt;&lt;number&gt;1&lt;/number&gt;&lt;dates&gt;&lt;year&gt;2016&lt;/year&gt;&lt;pub-dates&gt;&lt;date&gt;2016/03/23&lt;/date&gt;&lt;/pub-dates&gt;&lt;/dates&gt;&lt;isbn&gt;2041-1723&lt;/isbn&gt;&lt;urls&gt;&lt;related-urls&gt;&lt;url&gt;https://doi.org/10.1038/ncomms11053&lt;/url&gt;&lt;/related-urls&gt;&lt;/urls&gt;&lt;electronic-resource-num&gt;10.1038/ncomms11053&lt;/electronic-resource-num&gt;&lt;/record&gt;&lt;/Cite&gt;&lt;/EndNote&gt;</w:instrText>
      </w:r>
      <w:r w:rsidRPr="00FF5CE0">
        <w:fldChar w:fldCharType="separate"/>
      </w:r>
      <w:r w:rsidR="00FC5BEB" w:rsidRPr="00FC5BEB">
        <w:rPr>
          <w:noProof/>
          <w:vertAlign w:val="superscript"/>
        </w:rPr>
        <w:t>327</w:t>
      </w:r>
      <w:r w:rsidRPr="00FF5CE0">
        <w:fldChar w:fldCharType="end"/>
      </w:r>
      <w:r w:rsidRPr="00FF5CE0">
        <w:t xml:space="preserve">, and </w:t>
      </w:r>
      <w:r w:rsidR="001F280C">
        <w:fldChar w:fldCharType="begin"/>
      </w:r>
      <w:r w:rsidR="001F280C">
        <w:instrText xml:space="preserve"> REF _Ref159519580 \h </w:instrText>
      </w:r>
      <w:r w:rsidR="001F280C">
        <w:fldChar w:fldCharType="separate"/>
      </w:r>
      <w:r w:rsidR="00B52708" w:rsidRPr="001F280C">
        <w:rPr>
          <w:b/>
          <w:bCs/>
        </w:rPr>
        <w:t xml:space="preserve">Figure </w:t>
      </w:r>
      <w:r w:rsidR="00B52708">
        <w:rPr>
          <w:b/>
          <w:bCs/>
          <w:noProof/>
        </w:rPr>
        <w:t>24</w:t>
      </w:r>
      <w:r w:rsidR="001F280C">
        <w:fldChar w:fldCharType="end"/>
      </w:r>
      <w:r w:rsidRPr="00FF5CE0">
        <w:t>, the driving force for lattice vacancy formation is tied to varying the Fermi energy of the electrode. The AEM can be seen to evolve the formation of Co(IV), whereas the LOM avoids Co(IV) formation by producing adsorbed superoxo and oxygen vacancy pair (*OO,</w:t>
      </w:r>
      <w:r w:rsidR="004E2316">
        <w:t xml:space="preserve"> </w:t>
      </w:r>
      <w:proofErr w:type="spellStart"/>
      <w:r w:rsidRPr="00FF5CE0">
        <w:t>O</w:t>
      </w:r>
      <w:r w:rsidRPr="00FF5CE0">
        <w:rPr>
          <w:vertAlign w:val="subscript"/>
        </w:rPr>
        <w:t>vac</w:t>
      </w:r>
      <w:proofErr w:type="spellEnd"/>
      <w:r w:rsidRPr="00FF5CE0">
        <w:t xml:space="preserve">), where the *OO forms by coupling a lattice oxygen with adsorbed </w:t>
      </w:r>
      <w:proofErr w:type="spellStart"/>
      <w:r w:rsidRPr="00FF5CE0">
        <w:t>hydroxl</w:t>
      </w:r>
      <w:proofErr w:type="spellEnd"/>
      <w:r w:rsidRPr="00FF5CE0">
        <w:t xml:space="preserve"> radical through a PCET step, see </w:t>
      </w:r>
      <w:r w:rsidR="001F280C">
        <w:fldChar w:fldCharType="begin"/>
      </w:r>
      <w:r w:rsidR="001F280C">
        <w:instrText xml:space="preserve"> REF _Ref159519580 \h </w:instrText>
      </w:r>
      <w:r w:rsidR="001F280C">
        <w:fldChar w:fldCharType="separate"/>
      </w:r>
      <w:r w:rsidR="00B52708" w:rsidRPr="001F280C">
        <w:rPr>
          <w:b/>
          <w:bCs/>
        </w:rPr>
        <w:t xml:space="preserve">Figure </w:t>
      </w:r>
      <w:r w:rsidR="00B52708">
        <w:rPr>
          <w:b/>
          <w:bCs/>
          <w:noProof/>
        </w:rPr>
        <w:t>24</w:t>
      </w:r>
      <w:r w:rsidR="001F280C">
        <w:fldChar w:fldCharType="end"/>
      </w:r>
      <w:r w:rsidRPr="00967BAD">
        <w:rPr>
          <w:b/>
          <w:bCs/>
        </w:rPr>
        <w:t>b</w:t>
      </w:r>
      <w:r w:rsidRPr="00FF5CE0">
        <w:t xml:space="preserve"> step 1.  </w:t>
      </w:r>
    </w:p>
    <w:p w14:paraId="5A94AA28" w14:textId="3E07B7F1" w:rsidR="00FF5CE0" w:rsidRPr="00FF5CE0" w:rsidRDefault="00FF5CE0" w:rsidP="00FF5CE0">
      <w:r w:rsidRPr="00FF5CE0">
        <w:lastRenderedPageBreak/>
        <w:fldChar w:fldCharType="begin"/>
      </w:r>
      <w:r w:rsidRPr="00FF5CE0">
        <w:instrText xml:space="preserve"> INCLUDEPICTURE "https://media.springernature.com/full/springer-static/image/art%3A10.1038%2Fncomms11053/MediaObjects/41467_2016_Article_BFncomms11053_Fig6_HTML.jpg" \* MERGEFORMATINET </w:instrText>
      </w:r>
      <w:r w:rsidRPr="00FF5CE0">
        <w:fldChar w:fldCharType="separate"/>
      </w:r>
      <w:r>
        <w:rPr>
          <w:noProof/>
          <w14:ligatures w14:val="standardContextual"/>
        </w:rPr>
        <w:fldChar w:fldCharType="begin"/>
      </w:r>
      <w:r>
        <w:rPr>
          <w:noProof/>
          <w14:ligatures w14:val="standardContextual"/>
        </w:rPr>
        <w:instrText xml:space="preserve"> INCLUDEPICTURE  "https://media.springernature.com/full/springer-static/image/art:10.1038/ncomms11053/MediaObjects/41467_2016_Article_BFncomms11053_Fig6_HTML.jpg" \* MERGEFORMATINET </w:instrText>
      </w:r>
      <w:r>
        <w:rPr>
          <w:noProof/>
          <w14:ligatures w14:val="standardContextual"/>
        </w:rPr>
        <w:fldChar w:fldCharType="separate"/>
      </w:r>
      <w:r>
        <w:rPr>
          <w:noProof/>
          <w14:ligatures w14:val="standardContextual"/>
        </w:rPr>
        <w:fldChar w:fldCharType="begin"/>
      </w:r>
      <w:r>
        <w:rPr>
          <w:noProof/>
          <w14:ligatures w14:val="standardContextual"/>
        </w:rPr>
        <w:instrText xml:space="preserve"> INCLUDEPICTURE  "https://media.springernature.com/full/springer-static/image/art:10.1038/ncomms11053/MediaObjects/41467_2016_Article_BFncomms11053_Fig6_HTML.jpg" \* MERGEFORMATINET </w:instrText>
      </w:r>
      <w:r>
        <w:rPr>
          <w:noProof/>
          <w14:ligatures w14:val="standardContextual"/>
        </w:rPr>
        <w:fldChar w:fldCharType="separate"/>
      </w:r>
      <w:r>
        <w:rPr>
          <w:noProof/>
          <w14:ligatures w14:val="standardContextual"/>
        </w:rPr>
        <w:fldChar w:fldCharType="begin"/>
      </w:r>
      <w:r>
        <w:rPr>
          <w:noProof/>
          <w14:ligatures w14:val="standardContextual"/>
        </w:rPr>
        <w:instrText xml:space="preserve"> INCLUDEPICTURE  "https://media.springernature.com/full/springer-static/image/art:10.1038/ncomms11053/MediaObjects/41467_2016_Article_BFncomms11053_Fig6_HTML.jpg" \* MERGEFORMATINET </w:instrText>
      </w:r>
      <w:r>
        <w:rPr>
          <w:noProof/>
          <w14:ligatures w14:val="standardContextual"/>
        </w:rPr>
        <w:fldChar w:fldCharType="separate"/>
      </w:r>
      <w:r>
        <w:rPr>
          <w:noProof/>
          <w14:ligatures w14:val="standardContextual"/>
        </w:rPr>
        <w:fldChar w:fldCharType="begin"/>
      </w:r>
      <w:r>
        <w:rPr>
          <w:noProof/>
          <w14:ligatures w14:val="standardContextual"/>
        </w:rPr>
        <w:instrText xml:space="preserve"> INCLUDEPICTURE  "https://media.springernature.com/full/springer-static/image/art:10.1038/ncomms11053/MediaObjects/41467_2016_Article_BFncomms11053_Fig6_HTML.jpg" \* MERGEFORMATINET </w:instrText>
      </w:r>
      <w:r>
        <w:rPr>
          <w:noProof/>
          <w14:ligatures w14:val="standardContextual"/>
        </w:rPr>
        <w:fldChar w:fldCharType="separate"/>
      </w:r>
      <w:r>
        <w:rPr>
          <w:noProof/>
          <w14:ligatures w14:val="standardContextual"/>
        </w:rPr>
        <w:fldChar w:fldCharType="begin"/>
      </w:r>
      <w:r>
        <w:rPr>
          <w:noProof/>
          <w14:ligatures w14:val="standardContextual"/>
        </w:rPr>
        <w:instrText xml:space="preserve"> INCLUDEPICTURE  "https://media.springernature.com/full/springer-static/image/art:10.1038/ncomms11053/MediaObjects/41467_2016_Article_BFncomms11053_Fig6_HTML.jpg" \* MERGEFORMATINET </w:instrText>
      </w:r>
      <w:r>
        <w:rPr>
          <w:noProof/>
          <w14:ligatures w14:val="standardContextual"/>
        </w:rPr>
        <w:fldChar w:fldCharType="separate"/>
      </w:r>
      <w:r>
        <w:rPr>
          <w:noProof/>
          <w14:ligatures w14:val="standardContextual"/>
        </w:rPr>
        <w:fldChar w:fldCharType="begin"/>
      </w:r>
      <w:r>
        <w:rPr>
          <w:noProof/>
          <w14:ligatures w14:val="standardContextual"/>
        </w:rPr>
        <w:instrText xml:space="preserve"> INCLUDEPICTURE  "https://media.springernature.com/full/springer-static/image/art:10.1038/ncomms11053/MediaObjects/41467_2016_Article_BFncomms11053_Fig6_HTML.jpg" \* MERGEFORMATINET </w:instrText>
      </w:r>
      <w:r>
        <w:rPr>
          <w:noProof/>
          <w14:ligatures w14:val="standardContextual"/>
        </w:rPr>
        <w:fldChar w:fldCharType="separate"/>
      </w:r>
      <w:r>
        <w:rPr>
          <w:noProof/>
          <w14:ligatures w14:val="standardContextual"/>
        </w:rPr>
        <w:fldChar w:fldCharType="begin"/>
      </w:r>
      <w:r>
        <w:rPr>
          <w:noProof/>
          <w14:ligatures w14:val="standardContextual"/>
        </w:rPr>
        <w:instrText xml:space="preserve"> INCLUDEPICTURE  "https://media.springernature.com/full/springer-static/image/art:10.1038/ncomms11053/MediaObjects/41467_2016_Article_BFncomms11053_Fig6_HTML.jpg" \* MERGEFORMATINET </w:instrText>
      </w:r>
      <w:r>
        <w:rPr>
          <w:noProof/>
          <w14:ligatures w14:val="standardContextual"/>
        </w:rPr>
        <w:fldChar w:fldCharType="separate"/>
      </w:r>
      <w:r>
        <w:rPr>
          <w:noProof/>
          <w14:ligatures w14:val="standardContextual"/>
        </w:rPr>
        <w:fldChar w:fldCharType="begin"/>
      </w:r>
      <w:r>
        <w:rPr>
          <w:noProof/>
          <w14:ligatures w14:val="standardContextual"/>
        </w:rPr>
        <w:instrText xml:space="preserve"> INCLUDEPICTURE  "https://media.springernature.com/full/springer-static/image/art:10.1038/ncomms11053/MediaObjects/41467_2016_Article_BFncomms11053_Fig6_HTML.jpg" \* MERGEFORMATINET </w:instrText>
      </w:r>
      <w:r>
        <w:rPr>
          <w:noProof/>
          <w14:ligatures w14:val="standardContextual"/>
        </w:rPr>
        <w:fldChar w:fldCharType="separate"/>
      </w:r>
      <w:r w:rsidR="00E45E28">
        <w:rPr>
          <w:noProof/>
          <w14:ligatures w14:val="standardContextual"/>
        </w:rPr>
        <w:fldChar w:fldCharType="begin"/>
      </w:r>
      <w:r w:rsidR="00E45E28">
        <w:rPr>
          <w:noProof/>
          <w14:ligatures w14:val="standardContextual"/>
        </w:rPr>
        <w:instrText xml:space="preserve"> INCLUDEPICTURE  "https://media.springernature.com/full/springer-static/image/art:10.1038/ncomms11053/MediaObjects/41467_2016_Article_BFncomms11053_Fig6_HTML.jpg" \* MERGEFORMATINET </w:instrText>
      </w:r>
      <w:r w:rsidR="00E45E28">
        <w:rPr>
          <w:noProof/>
          <w14:ligatures w14:val="standardContextual"/>
        </w:rPr>
        <w:fldChar w:fldCharType="separate"/>
      </w:r>
      <w:r w:rsidR="00FB7E27" w:rsidRPr="00E45E28">
        <w:rPr>
          <w:noProof/>
          <w14:ligatures w14:val="standardContextual"/>
        </w:rPr>
        <w:drawing>
          <wp:inline distT="0" distB="0" distL="0" distR="0" wp14:anchorId="07434965" wp14:editId="5C2F3034">
            <wp:extent cx="5727700" cy="5753100"/>
            <wp:effectExtent l="0" t="0" r="0" b="0"/>
            <wp:docPr id="1"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27700" cy="5753100"/>
                    </a:xfrm>
                    <a:prstGeom prst="rect">
                      <a:avLst/>
                    </a:prstGeom>
                    <a:noFill/>
                    <a:ln>
                      <a:noFill/>
                    </a:ln>
                  </pic:spPr>
                </pic:pic>
              </a:graphicData>
            </a:graphic>
          </wp:inline>
        </w:drawing>
      </w:r>
      <w:r w:rsidR="00E45E28">
        <w:rPr>
          <w:noProof/>
          <w14:ligatures w14:val="standardContextual"/>
        </w:rPr>
        <w:fldChar w:fldCharType="end"/>
      </w:r>
      <w:r>
        <w:rPr>
          <w:noProof/>
          <w14:ligatures w14:val="standardContextual"/>
        </w:rPr>
        <w:fldChar w:fldCharType="end"/>
      </w:r>
      <w:r>
        <w:rPr>
          <w:noProof/>
          <w14:ligatures w14:val="standardContextual"/>
        </w:rPr>
        <w:fldChar w:fldCharType="end"/>
      </w:r>
      <w:r>
        <w:rPr>
          <w:noProof/>
          <w14:ligatures w14:val="standardContextual"/>
        </w:rPr>
        <w:fldChar w:fldCharType="end"/>
      </w:r>
      <w:r>
        <w:rPr>
          <w:noProof/>
          <w14:ligatures w14:val="standardContextual"/>
        </w:rPr>
        <w:fldChar w:fldCharType="end"/>
      </w:r>
      <w:r>
        <w:rPr>
          <w:noProof/>
          <w14:ligatures w14:val="standardContextual"/>
        </w:rPr>
        <w:fldChar w:fldCharType="end"/>
      </w:r>
      <w:r>
        <w:rPr>
          <w:noProof/>
          <w14:ligatures w14:val="standardContextual"/>
        </w:rPr>
        <w:fldChar w:fldCharType="end"/>
      </w:r>
      <w:r>
        <w:rPr>
          <w:noProof/>
          <w14:ligatures w14:val="standardContextual"/>
        </w:rPr>
        <w:fldChar w:fldCharType="end"/>
      </w:r>
      <w:r>
        <w:rPr>
          <w:noProof/>
          <w14:ligatures w14:val="standardContextual"/>
        </w:rPr>
        <w:fldChar w:fldCharType="end"/>
      </w:r>
      <w:r w:rsidRPr="00FF5CE0">
        <w:fldChar w:fldCharType="end"/>
      </w:r>
    </w:p>
    <w:p w14:paraId="14509EA5" w14:textId="4E18BE49" w:rsidR="00FF5CE0" w:rsidRPr="00FF5CE0" w:rsidRDefault="001F280C" w:rsidP="001F280C">
      <w:pPr>
        <w:pStyle w:val="Caption"/>
      </w:pPr>
      <w:bookmarkStart w:id="107" w:name="_Ref159519580"/>
      <w:r w:rsidRPr="001F280C">
        <w:rPr>
          <w:b/>
          <w:bCs w:val="0"/>
          <w:sz w:val="22"/>
        </w:rPr>
        <w:t xml:space="preserve">Figure </w:t>
      </w:r>
      <w:r w:rsidRPr="001F280C">
        <w:rPr>
          <w:b/>
          <w:bCs w:val="0"/>
          <w:sz w:val="22"/>
        </w:rPr>
        <w:fldChar w:fldCharType="begin"/>
      </w:r>
      <w:r w:rsidRPr="001F280C">
        <w:rPr>
          <w:b/>
          <w:bCs w:val="0"/>
          <w:sz w:val="22"/>
        </w:rPr>
        <w:instrText xml:space="preserve"> SEQ Figure \* ARABIC </w:instrText>
      </w:r>
      <w:r w:rsidRPr="001F280C">
        <w:rPr>
          <w:b/>
          <w:bCs w:val="0"/>
          <w:sz w:val="22"/>
        </w:rPr>
        <w:fldChar w:fldCharType="separate"/>
      </w:r>
      <w:r w:rsidR="00B52708">
        <w:rPr>
          <w:b/>
          <w:bCs w:val="0"/>
          <w:noProof/>
          <w:sz w:val="22"/>
        </w:rPr>
        <w:t>24</w:t>
      </w:r>
      <w:r w:rsidRPr="001F280C">
        <w:rPr>
          <w:b/>
          <w:bCs w:val="0"/>
          <w:sz w:val="22"/>
        </w:rPr>
        <w:fldChar w:fldCharType="end"/>
      </w:r>
      <w:bookmarkEnd w:id="107"/>
      <w:r w:rsidR="00FF5CE0" w:rsidRPr="00FF5CE0">
        <w:rPr>
          <w:b/>
        </w:rPr>
        <w:t xml:space="preserve"> </w:t>
      </w:r>
      <w:r w:rsidR="00FA3D7E">
        <w:rPr>
          <w:b/>
        </w:rPr>
        <w:t>(</w:t>
      </w:r>
      <w:r w:rsidR="00FF5CE0" w:rsidRPr="00FF5CE0">
        <w:t>a)</w:t>
      </w:r>
      <w:r w:rsidR="00FF5CE0" w:rsidRPr="00FF5CE0">
        <w:rPr>
          <w:b/>
        </w:rPr>
        <w:t xml:space="preserve"> </w:t>
      </w:r>
      <w:r w:rsidR="00FF5CE0" w:rsidRPr="00FF5CE0">
        <w:t>Schematic of the single site nucleophilic attack mechanism, referred to at the adsorbate evolution mechanism (AEM),</w:t>
      </w:r>
      <w:r w:rsidR="008E62C9">
        <w:t xml:space="preserve"> </w:t>
      </w:r>
      <w:r w:rsidR="00FA3D7E">
        <w:t>(</w:t>
      </w:r>
      <w:r w:rsidR="00FF5CE0" w:rsidRPr="00FF5CE0">
        <w:t xml:space="preserve">b) Schematic of the lattice oxidation mechanism (LOM). The projected density of states </w:t>
      </w:r>
      <w:proofErr w:type="gramStart"/>
      <w:r w:rsidR="00FF5CE0" w:rsidRPr="00FF5CE0">
        <w:t>show</w:t>
      </w:r>
      <w:proofErr w:type="gramEnd"/>
      <w:r w:rsidR="00FF5CE0" w:rsidRPr="00FF5CE0">
        <w:t xml:space="preserve"> the change in oxidation states associated with the first step in each reaction, where the LOM is separated into electron hole formation via an electrochemical step and a chemical step. Electrolyte species are shown on the left of the energy axis and crystal states on the right of each projected density of states. Figure </w:t>
      </w:r>
      <w:r w:rsidR="00397759">
        <w:t xml:space="preserve">adapted </w:t>
      </w:r>
      <w:r w:rsidR="000757AA">
        <w:t>from Ref.</w:t>
      </w:r>
      <w:r w:rsidR="00FF5CE0" w:rsidRPr="00FF5CE0">
        <w:t xml:space="preserve"> </w:t>
      </w:r>
      <w:r w:rsidR="00FF5CE0" w:rsidRPr="00FF5CE0">
        <w:fldChar w:fldCharType="begin"/>
      </w:r>
      <w:r w:rsidR="00FC5BEB">
        <w:instrText xml:space="preserve"> ADDIN EN.CITE &lt;EndNote&gt;&lt;Cite&gt;&lt;Author&gt;Mefford&lt;/Author&gt;&lt;Year&gt;2016&lt;/Year&gt;&lt;RecNum&gt;325&lt;/RecNum&gt;&lt;DisplayText&gt;&lt;style face="superscript"&gt;327&lt;/style&gt;&lt;/DisplayText&gt;&lt;record&gt;&lt;rec-number&gt;325&lt;/rec-number&gt;&lt;foreign-keys&gt;&lt;key app="EN" db-id="2xex0erf4eexr4e2dpbxpdd829xttesxxxdr" timestamp="1715075296"&gt;325&lt;/key&gt;&lt;/foreign-keys&gt;&lt;ref-type name="Journal Article"&gt;17&lt;/ref-type&gt;&lt;contributors&gt;&lt;authors&gt;&lt;author&gt;Mefford, J. Tyler&lt;/author&gt;&lt;author&gt;Rong, Xi&lt;/author&gt;&lt;author&gt;Abakumov, Artem M.&lt;/author&gt;&lt;author&gt;Hardin, William G.&lt;/author&gt;&lt;author&gt;Dai, Sheng&lt;/author&gt;&lt;author&gt;Kolpak, Alexie M.&lt;/author&gt;&lt;author&gt;Johnston, Keith P.&lt;/author&gt;&lt;author&gt;Stevenson, Keith J.&lt;/author&gt;&lt;/authors&gt;&lt;/contributors&gt;&lt;titles&gt;&lt;title&gt;Water electrolysis on La1−xSrxCoO3−δ perovskite electrocatalysts&lt;/title&gt;&lt;secondary-title&gt;Nat. Commun.&lt;/secondary-title&gt;&lt;/titles&gt;&lt;periodical&gt;&lt;full-title&gt;Nat. Commun.&lt;/full-title&gt;&lt;abbr-1&gt;Nat. Commun.&lt;/abbr-1&gt;&lt;/periodical&gt;&lt;pages&gt;11053&lt;/pages&gt;&lt;volume&gt;7&lt;/volume&gt;&lt;number&gt;1&lt;/number&gt;&lt;dates&gt;&lt;year&gt;2016&lt;/year&gt;&lt;pub-dates&gt;&lt;date&gt;2016/03/23&lt;/date&gt;&lt;/pub-dates&gt;&lt;/dates&gt;&lt;isbn&gt;2041-1723&lt;/isbn&gt;&lt;urls&gt;&lt;related-urls&gt;&lt;url&gt;https://doi.org/10.1038/ncomms11053&lt;/url&gt;&lt;/related-urls&gt;&lt;/urls&gt;&lt;electronic-resource-num&gt;10.1038/ncomms11053&lt;/electronic-resource-num&gt;&lt;/record&gt;&lt;/Cite&gt;&lt;/EndNote&gt;</w:instrText>
      </w:r>
      <w:r w:rsidR="00FF5CE0" w:rsidRPr="00FF5CE0">
        <w:fldChar w:fldCharType="separate"/>
      </w:r>
      <w:r w:rsidR="00FC5BEB" w:rsidRPr="00FC5BEB">
        <w:rPr>
          <w:noProof/>
          <w:vertAlign w:val="superscript"/>
        </w:rPr>
        <w:t>327</w:t>
      </w:r>
      <w:r w:rsidR="00FF5CE0" w:rsidRPr="00FF5CE0">
        <w:fldChar w:fldCharType="end"/>
      </w:r>
      <w:r w:rsidR="00BA0A8B">
        <w:t xml:space="preserve"> under </w:t>
      </w:r>
      <w:r w:rsidR="00BA0A8B" w:rsidRPr="00BA0A8B">
        <w:t>Creative Commons Attribution 4.0</w:t>
      </w:r>
      <w:r w:rsidR="00BA0A8B">
        <w:t>.</w:t>
      </w:r>
    </w:p>
    <w:p w14:paraId="73E2D8CF" w14:textId="77777777" w:rsidR="00FF5CE0" w:rsidRPr="00FF5CE0" w:rsidRDefault="00FF5CE0" w:rsidP="00FF5CE0"/>
    <w:p w14:paraId="60A4783B" w14:textId="30CC6036" w:rsidR="00FF5CE0" w:rsidRDefault="00FF5CE0" w:rsidP="00E1473E">
      <w:pPr>
        <w:ind w:firstLine="720"/>
        <w:rPr>
          <w:iCs/>
        </w:rPr>
      </w:pPr>
      <w:r w:rsidRPr="00FF5CE0">
        <w:t xml:space="preserve">The picture developed in Ref. </w:t>
      </w:r>
      <w:r w:rsidRPr="00FF5CE0">
        <w:fldChar w:fldCharType="begin"/>
      </w:r>
      <w:r w:rsidR="00FC5BEB">
        <w:instrText xml:space="preserve"> ADDIN EN.CITE &lt;EndNote&gt;&lt;Cite&gt;&lt;Author&gt;Mefford&lt;/Author&gt;&lt;Year&gt;2016&lt;/Year&gt;&lt;RecNum&gt;325&lt;/RecNum&gt;&lt;DisplayText&gt;&lt;style face="superscript"&gt;327&lt;/style&gt;&lt;/DisplayText&gt;&lt;record&gt;&lt;rec-number&gt;325&lt;/rec-number&gt;&lt;foreign-keys&gt;&lt;key app="EN" db-id="2xex0erf4eexr4e2dpbxpdd829xttesxxxdr" timestamp="1715075296"&gt;325&lt;/key&gt;&lt;/foreign-keys&gt;&lt;ref-type name="Journal Article"&gt;17&lt;/ref-type&gt;&lt;contributors&gt;&lt;authors&gt;&lt;author&gt;Mefford, J. Tyler&lt;/author&gt;&lt;author&gt;Rong, Xi&lt;/author&gt;&lt;author&gt;Abakumov, Artem M.&lt;/author&gt;&lt;author&gt;Hardin, William G.&lt;/author&gt;&lt;author&gt;Dai, Sheng&lt;/author&gt;&lt;author&gt;Kolpak, Alexie M.&lt;/author&gt;&lt;author&gt;Johnston, Keith P.&lt;/author&gt;&lt;author&gt;Stevenson, Keith J.&lt;/author&gt;&lt;/authors&gt;&lt;/contributors&gt;&lt;titles&gt;&lt;title&gt;Water electrolysis on La1−xSrxCoO3−δ perovskite electrocatalysts&lt;/title&gt;&lt;secondary-title&gt;Nat. Commun.&lt;/secondary-title&gt;&lt;/titles&gt;&lt;periodical&gt;&lt;full-title&gt;Nat. Commun.&lt;/full-title&gt;&lt;abbr-1&gt;Nat. Commun.&lt;/abbr-1&gt;&lt;/periodical&gt;&lt;pages&gt;11053&lt;/pages&gt;&lt;volume&gt;7&lt;/volume&gt;&lt;number&gt;1&lt;/number&gt;&lt;dates&gt;&lt;year&gt;2016&lt;/year&gt;&lt;pub-dates&gt;&lt;date&gt;2016/03/23&lt;/date&gt;&lt;/pub-dates&gt;&lt;/dates&gt;&lt;isbn&gt;2041-1723&lt;/isbn&gt;&lt;urls&gt;&lt;related-urls&gt;&lt;url&gt;https://doi.org/10.1038/ncomms11053&lt;/url&gt;&lt;/related-urls&gt;&lt;/urls&gt;&lt;electronic-resource-num&gt;10.1038/ncomms11053&lt;/electronic-resource-num&gt;&lt;/record&gt;&lt;/Cite&gt;&lt;/EndNote&gt;</w:instrText>
      </w:r>
      <w:r w:rsidRPr="00FF5CE0">
        <w:fldChar w:fldCharType="separate"/>
      </w:r>
      <w:r w:rsidR="00FC5BEB" w:rsidRPr="00FC5BEB">
        <w:rPr>
          <w:noProof/>
          <w:vertAlign w:val="superscript"/>
        </w:rPr>
        <w:t>327</w:t>
      </w:r>
      <w:r w:rsidRPr="00FF5CE0">
        <w:fldChar w:fldCharType="end"/>
      </w:r>
      <w:r w:rsidRPr="00FF5CE0">
        <w:t xml:space="preserve"> was argued to be consistent with the high oxygen redox activity of </w:t>
      </w:r>
      <w:proofErr w:type="spellStart"/>
      <w:r w:rsidRPr="00FF5CE0">
        <w:t>cobaltites</w:t>
      </w:r>
      <w:proofErr w:type="spellEnd"/>
      <w:r w:rsidRPr="00FF5CE0">
        <w:t xml:space="preserve"> with high Sr(II) concentrations</w:t>
      </w:r>
      <w:r w:rsidRPr="00FF5CE0">
        <w:fldChar w:fldCharType="begin">
          <w:fldData xml:space="preserve">PEVuZE5vdGU+PENpdGU+PEF1dGhvcj5JbWFtdXJhPC9BdXRob3I+PFllYXI+MjAwMDwvWWVhcj48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</w:fldData>
        </w:fldChar>
      </w:r>
      <w:r w:rsidR="00FC5BEB">
        <w:instrText xml:space="preserve"> ADDIN EN.CITE </w:instrText>
      </w:r>
      <w:r w:rsidR="00FC5BEB">
        <w:fldChar w:fldCharType="begin">
          <w:fldData xml:space="preserve">PEVuZE5vdGU+PENpdGU+PEF1dGhvcj5JbWFtdXJhPC9BdXRob3I+PFllYXI+MjAwMDwvWWVhcj48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352-354</w:t>
      </w:r>
      <w:r w:rsidRPr="00FF5CE0">
        <w:fldChar w:fldCharType="end"/>
      </w:r>
      <w:r w:rsidRPr="00FF5CE0">
        <w:t xml:space="preserve"> and consistent with XPS measurements</w:t>
      </w:r>
      <w:r w:rsidRPr="00FF5CE0">
        <w:fldChar w:fldCharType="begin">
          <w:fldData xml:space="preserve">PEVuZE5vdGU+PENpdGU+PEF1dGhvcj5NdWVsbGVyPC9BdXRob3I+PFllYXI+MjAxNTwvWWVhcj48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</w:fldData>
        </w:fldChar>
      </w:r>
      <w:r w:rsidR="00FC5BEB">
        <w:instrText xml:space="preserve"> ADDIN EN.CITE </w:instrText>
      </w:r>
      <w:r w:rsidR="00FC5BEB">
        <w:fldChar w:fldCharType="begin">
          <w:fldData xml:space="preserve">PEVuZE5vdGU+PENpdGU+PEF1dGhvcj5NdWVsbGVyPC9BdXRob3I+PFllYXI+MjAxNTwvWWVhcj48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341, 355</w:t>
      </w:r>
      <w:r w:rsidRPr="00FF5CE0">
        <w:fldChar w:fldCharType="end"/>
      </w:r>
      <w:r w:rsidRPr="00FF5CE0">
        <w:t xml:space="preserve">. But moreover, the authors employed the CHE to demonstrate the single-metal-site LOM has a lower </w:t>
      </w:r>
      <w:r w:rsidRPr="00FF5CE0">
        <w:rPr>
          <w:i/>
        </w:rPr>
        <w:sym w:font="Symbol" w:char="F068"/>
      </w:r>
      <w:r w:rsidRPr="00FF5CE0">
        <w:rPr>
          <w:iCs/>
          <w:vertAlign w:val="subscript"/>
        </w:rPr>
        <w:t>CHE</w:t>
      </w:r>
      <w:r w:rsidRPr="00FF5CE0">
        <w:rPr>
          <w:iCs/>
        </w:rPr>
        <w:t xml:space="preserve"> than the nucleophilic attack, or AEM, mechanism. In the AEM, *O is formed</w:t>
      </w:r>
      <w:r w:rsidR="00E1473E">
        <w:rPr>
          <w:iCs/>
        </w:rPr>
        <w:t>—again we can denote this as</w:t>
      </w:r>
      <w:r w:rsidRPr="00FF5CE0">
        <w:rPr>
          <w:iCs/>
        </w:rPr>
        <w:t xml:space="preserve"> </w:t>
      </w:r>
      <w:r w:rsidR="00E1473E">
        <w:rPr>
          <w:iCs/>
        </w:rPr>
        <w:t>A</w:t>
      </w:r>
      <w:r w:rsidRPr="00FF5CE0">
        <w:rPr>
          <w:iCs/>
          <w:vertAlign w:val="subscript"/>
        </w:rPr>
        <w:t>0</w:t>
      </w:r>
      <w:r w:rsidR="00E1473E">
        <w:rPr>
          <w:iCs/>
        </w:rPr>
        <w:t xml:space="preserve"> to be consistent with </w:t>
      </w:r>
      <w:r w:rsidR="00E1473E" w:rsidRPr="00FF5CE0">
        <w:rPr>
          <w:iCs/>
        </w:rPr>
        <w:t xml:space="preserve">Ref. </w:t>
      </w:r>
      <w:r w:rsidR="00E1473E" w:rsidRPr="00FF5CE0">
        <w:rPr>
          <w:iCs/>
        </w:rPr>
        <w:fldChar w:fldCharType="begin"/>
      </w:r>
      <w:r w:rsidR="00FC5BEB">
        <w:rPr>
          <w:iCs/>
        </w:rPr>
        <w:instrText xml:space="preserve"> ADDIN EN.CITE &lt;EndNote&gt;&lt;Cite&gt;&lt;Author&gt;Rong&lt;/Author&gt;&lt;Year&gt;2016&lt;/Year&gt;&lt;RecNum&gt;322&lt;/RecNum&gt;&lt;DisplayText&gt;&lt;style face="superscript"&gt;324&lt;/style&gt;&lt;/DisplayText&gt;&lt;record&gt;&lt;rec-number&gt;322&lt;/rec-number&gt;&lt;foreign-keys&gt;&lt;key app="EN" db-id="2xex0erf4eexr4e2dpbxpdd829xttesxxxdr" timestamp="1715075296"&gt;322&lt;/key&gt;&lt;/foreign-keys&gt;&lt;ref-type name="Journal Article"&gt;17&lt;/ref-type&gt;&lt;contributors&gt;&lt;authors&gt;&lt;author&gt;Rong, Xi&lt;/author&gt;&lt;author&gt;Parolin, Jules&lt;/author&gt;&lt;author&gt;Kolpak, Alexie M.&lt;/author&gt;&lt;/authors&gt;&lt;/contributors&gt;&lt;titles&gt;&lt;title&gt;A Fundamental Relationship between Reaction Mechanism and Stability in Metal Oxide Catalysts for Oxygen Evolution&lt;/title&gt;&lt;secondary-title&gt;ACS Catal.&lt;/secondary-title&gt;&lt;/titles&gt;&lt;periodical&gt;&lt;full-title&gt;ACS Catal.&lt;/full-title&gt;&lt;/periodical&gt;&lt;pages&gt;1153-1158&lt;/pages&gt;&lt;volume&gt;6&lt;/volume&gt;&lt;number&gt;2&lt;/number&gt;&lt;dates&gt;&lt;year&gt;2016&lt;/year&gt;&lt;pub-dates&gt;&lt;date&gt;2016/02/05&lt;/date&gt;&lt;/pub-dates&gt;&lt;/dates&gt;&lt;publisher&gt;American Chemical Society&lt;/publisher&gt;&lt;urls&gt;&lt;related-urls&gt;&lt;url&gt;https://doi.org/10.1021/acscatal.5b02432&lt;/url&gt;&lt;/related-urls&gt;&lt;/urls&gt;&lt;electronic-resource-num&gt;10.1021/acscatal.5b02432&lt;/electronic-resource-num&gt;&lt;/record&gt;&lt;/Cite&gt;&lt;/EndNote&gt;</w:instrText>
      </w:r>
      <w:r w:rsidR="00E1473E" w:rsidRPr="00FF5CE0">
        <w:rPr>
          <w:iCs/>
        </w:rPr>
        <w:fldChar w:fldCharType="separate"/>
      </w:r>
      <w:r w:rsidR="00FC5BEB" w:rsidRPr="00FC5BEB">
        <w:rPr>
          <w:iCs/>
          <w:noProof/>
          <w:vertAlign w:val="superscript"/>
        </w:rPr>
        <w:t>324</w:t>
      </w:r>
      <w:r w:rsidR="00E1473E" w:rsidRPr="00FF5CE0">
        <w:fldChar w:fldCharType="end"/>
      </w:r>
      <w:r w:rsidR="00E1473E">
        <w:rPr>
          <w:iCs/>
        </w:rPr>
        <w:t xml:space="preserve">, though the authors of </w:t>
      </w:r>
      <w:r w:rsidR="00E1473E" w:rsidRPr="00FF5CE0">
        <w:t xml:space="preserve">Ref. </w:t>
      </w:r>
      <w:r w:rsidR="00E1473E" w:rsidRPr="00FF5CE0">
        <w:fldChar w:fldCharType="begin"/>
      </w:r>
      <w:r w:rsidR="00FC5BEB">
        <w:instrText xml:space="preserve"> ADDIN EN.CITE &lt;EndNote&gt;&lt;Cite&gt;&lt;Author&gt;Mefford&lt;/Author&gt;&lt;Year&gt;2016&lt;/Year&gt;&lt;RecNum&gt;325&lt;/RecNum&gt;&lt;DisplayText&gt;&lt;style face="superscript"&gt;327&lt;/style&gt;&lt;/DisplayText&gt;&lt;record&gt;&lt;rec-number&gt;325&lt;/rec-number&gt;&lt;foreign-keys&gt;&lt;key app="EN" db-id="2xex0erf4eexr4e2dpbxpdd829xttesxxxdr" timestamp="1715075296"&gt;325&lt;/key&gt;&lt;/foreign-keys&gt;&lt;ref-type name="Journal Article"&gt;17&lt;/ref-type&gt;&lt;contributors&gt;&lt;authors&gt;&lt;author&gt;Mefford, J. Tyler&lt;/author&gt;&lt;author&gt;Rong, Xi&lt;/author&gt;&lt;author&gt;Abakumov, Artem M.&lt;/author&gt;&lt;author&gt;Hardin, William G.&lt;/author&gt;&lt;author&gt;Dai, Sheng&lt;/author&gt;&lt;author&gt;Kolpak, Alexie M.&lt;/author&gt;&lt;author&gt;Johnston, Keith P.&lt;/author&gt;&lt;author&gt;Stevenson, Keith J.&lt;/author&gt;&lt;/authors&gt;&lt;/contributors&gt;&lt;titles&gt;&lt;title&gt;Water electrolysis on La1−xSrxCoO3−δ perovskite electrocatalysts&lt;/title&gt;&lt;secondary-title&gt;Nat. Commun.&lt;/secondary-title&gt;&lt;/titles&gt;&lt;periodical&gt;&lt;full-title&gt;Nat. Commun.&lt;/full-title&gt;&lt;abbr-1&gt;Nat. Commun.&lt;/abbr-1&gt;&lt;/periodical&gt;&lt;pages&gt;11053&lt;/pages&gt;&lt;volume&gt;7&lt;/volume&gt;&lt;number&gt;1&lt;/number&gt;&lt;dates&gt;&lt;year&gt;2016&lt;/year&gt;&lt;pub-dates&gt;&lt;date&gt;2016/03/23&lt;/date&gt;&lt;/pub-dates&gt;&lt;/dates&gt;&lt;isbn&gt;2041-1723&lt;/isbn&gt;&lt;urls&gt;&lt;related-urls&gt;&lt;url&gt;https://doi.org/10.1038/ncomms11053&lt;/url&gt;&lt;/related-urls&gt;&lt;/urls&gt;&lt;electronic-resource-num&gt;10.1038/ncomms11053&lt;/electronic-resource-num&gt;&lt;/record&gt;&lt;/Cite&gt;&lt;/EndNote&gt;</w:instrText>
      </w:r>
      <w:r w:rsidR="00E1473E" w:rsidRPr="00FF5CE0">
        <w:fldChar w:fldCharType="separate"/>
      </w:r>
      <w:r w:rsidR="00FC5BEB" w:rsidRPr="00FC5BEB">
        <w:rPr>
          <w:noProof/>
          <w:vertAlign w:val="superscript"/>
        </w:rPr>
        <w:t>327</w:t>
      </w:r>
      <w:r w:rsidR="00E1473E" w:rsidRPr="00FF5CE0">
        <w:fldChar w:fldCharType="end"/>
      </w:r>
      <w:r w:rsidR="00E1473E">
        <w:t xml:space="preserve"> use I</w:t>
      </w:r>
      <w:r w:rsidR="00E1473E">
        <w:rPr>
          <w:vertAlign w:val="subscript"/>
        </w:rPr>
        <w:t>0</w:t>
      </w:r>
      <w:r w:rsidR="00E1473E">
        <w:t xml:space="preserve"> rather than A</w:t>
      </w:r>
      <w:r w:rsidR="00E1473E">
        <w:rPr>
          <w:vertAlign w:val="subscript"/>
        </w:rPr>
        <w:t>0</w:t>
      </w:r>
      <w:r w:rsidR="00E1473E">
        <w:rPr>
          <w:iCs/>
        </w:rPr>
        <w:t>—</w:t>
      </w:r>
      <w:r w:rsidRPr="00FF5CE0">
        <w:rPr>
          <w:iCs/>
        </w:rPr>
        <w:t>while in the LOM, an (*OO,</w:t>
      </w:r>
      <w:r w:rsidR="004E2316">
        <w:rPr>
          <w:iCs/>
        </w:rPr>
        <w:t xml:space="preserve"> </w:t>
      </w:r>
      <w:proofErr w:type="spellStart"/>
      <w:r w:rsidRPr="00FF5CE0">
        <w:rPr>
          <w:iCs/>
        </w:rPr>
        <w:t>O</w:t>
      </w:r>
      <w:r w:rsidRPr="00FF5CE0">
        <w:rPr>
          <w:iCs/>
          <w:vertAlign w:val="subscript"/>
        </w:rPr>
        <w:t>vac</w:t>
      </w:r>
      <w:proofErr w:type="spellEnd"/>
      <w:r w:rsidRPr="00FF5CE0">
        <w:rPr>
          <w:iCs/>
        </w:rPr>
        <w:t>) pair is formed</w:t>
      </w:r>
      <w:r w:rsidR="00E1473E">
        <w:rPr>
          <w:iCs/>
        </w:rPr>
        <w:t>—</w:t>
      </w:r>
      <w:r w:rsidRPr="00FF5CE0">
        <w:rPr>
          <w:iCs/>
        </w:rPr>
        <w:t xml:space="preserve">denoted </w:t>
      </w:r>
      <w:r w:rsidR="00E1473E">
        <w:rPr>
          <w:iCs/>
        </w:rPr>
        <w:t>A</w:t>
      </w:r>
      <w:r w:rsidRPr="00FF5CE0">
        <w:rPr>
          <w:iCs/>
          <w:vertAlign w:val="subscript"/>
        </w:rPr>
        <w:t>1</w:t>
      </w:r>
      <w:r w:rsidR="00E1473E">
        <w:rPr>
          <w:iCs/>
        </w:rPr>
        <w:t xml:space="preserve"> here to be consistent with </w:t>
      </w:r>
      <w:r w:rsidR="00E1473E" w:rsidRPr="00FF5CE0">
        <w:rPr>
          <w:iCs/>
        </w:rPr>
        <w:t xml:space="preserve">Ref. </w:t>
      </w:r>
      <w:r w:rsidR="00E1473E" w:rsidRPr="00FF5CE0">
        <w:rPr>
          <w:iCs/>
        </w:rPr>
        <w:fldChar w:fldCharType="begin"/>
      </w:r>
      <w:r w:rsidR="00FC5BEB">
        <w:rPr>
          <w:iCs/>
        </w:rPr>
        <w:instrText xml:space="preserve"> ADDIN EN.CITE &lt;EndNote&gt;&lt;Cite&gt;&lt;Author&gt;Rong&lt;/Author&gt;&lt;Year&gt;2016&lt;/Year&gt;&lt;RecNum&gt;322&lt;/RecNum&gt;&lt;DisplayText&gt;&lt;style face="superscript"&gt;324&lt;/style&gt;&lt;/DisplayText&gt;&lt;record&gt;&lt;rec-number&gt;322&lt;/rec-number&gt;&lt;foreign-keys&gt;&lt;key app="EN" db-id="2xex0erf4eexr4e2dpbxpdd829xttesxxxdr" timestamp="1715075296"&gt;322&lt;/key&gt;&lt;/foreign-keys&gt;&lt;ref-type name="Journal Article"&gt;17&lt;/ref-type&gt;&lt;contributors&gt;&lt;authors&gt;&lt;author&gt;Rong, Xi&lt;/author&gt;&lt;author&gt;Parolin, Jules&lt;/author&gt;&lt;author&gt;Kolpak, Alexie M.&lt;/author&gt;&lt;/authors&gt;&lt;/contributors&gt;&lt;titles&gt;&lt;title&gt;A Fundamental Relationship between Reaction Mechanism and Stability in Metal Oxide Catalysts for Oxygen Evolution&lt;/title&gt;&lt;secondary-title&gt;ACS Catal.&lt;/secondary-title&gt;&lt;/titles&gt;&lt;periodical&gt;&lt;full-title&gt;ACS Catal.&lt;/full-title&gt;&lt;/periodical&gt;&lt;pages&gt;1153-1158&lt;/pages&gt;&lt;volume&gt;6&lt;/volume&gt;&lt;number&gt;2&lt;/number&gt;&lt;dates&gt;&lt;year&gt;2016&lt;/year&gt;&lt;pub-dates&gt;&lt;date&gt;2016/02/05&lt;/date&gt;&lt;/pub-dates&gt;&lt;/dates&gt;&lt;publisher&gt;American Chemical Society&lt;/publisher&gt;&lt;urls&gt;&lt;related-urls&gt;&lt;url&gt;https://doi.org/10.1021/acscatal.5b02432&lt;/url&gt;&lt;/related-urls&gt;&lt;/urls&gt;&lt;electronic-resource-num&gt;10.1021/acscatal.5b02432&lt;/electronic-resource-num&gt;&lt;/record&gt;&lt;/Cite&gt;&lt;/EndNote&gt;</w:instrText>
      </w:r>
      <w:r w:rsidR="00E1473E" w:rsidRPr="00FF5CE0">
        <w:rPr>
          <w:iCs/>
        </w:rPr>
        <w:fldChar w:fldCharType="separate"/>
      </w:r>
      <w:r w:rsidR="00FC5BEB" w:rsidRPr="00FC5BEB">
        <w:rPr>
          <w:iCs/>
          <w:noProof/>
          <w:vertAlign w:val="superscript"/>
        </w:rPr>
        <w:t>324</w:t>
      </w:r>
      <w:r w:rsidR="00E1473E" w:rsidRPr="00FF5CE0">
        <w:fldChar w:fldCharType="end"/>
      </w:r>
      <w:r w:rsidR="00E1473E">
        <w:t>.</w:t>
      </w:r>
      <w:r w:rsidR="00E1473E">
        <w:rPr>
          <w:iCs/>
        </w:rPr>
        <w:t xml:space="preserve"> </w:t>
      </w:r>
      <w:r w:rsidRPr="00FF5CE0">
        <w:rPr>
          <w:iCs/>
        </w:rPr>
        <w:t xml:space="preserve">The energy difference between </w:t>
      </w:r>
      <w:r w:rsidR="00E1473E">
        <w:rPr>
          <w:iCs/>
        </w:rPr>
        <w:t>A</w:t>
      </w:r>
      <w:r w:rsidRPr="00FF5CE0">
        <w:rPr>
          <w:iCs/>
          <w:vertAlign w:val="subscript"/>
        </w:rPr>
        <w:t>0</w:t>
      </w:r>
      <w:r w:rsidRPr="00FF5CE0">
        <w:rPr>
          <w:iCs/>
        </w:rPr>
        <w:t xml:space="preserve"> and </w:t>
      </w:r>
      <w:r w:rsidR="00E1473E">
        <w:rPr>
          <w:iCs/>
        </w:rPr>
        <w:t>A</w:t>
      </w:r>
      <w:r w:rsidRPr="00FF5CE0">
        <w:rPr>
          <w:iCs/>
          <w:vertAlign w:val="subscript"/>
        </w:rPr>
        <w:t>1</w:t>
      </w:r>
      <w:r w:rsidRPr="00FF5CE0">
        <w:rPr>
          <w:iCs/>
        </w:rPr>
        <w:t xml:space="preserve"> was argued to determine which mechanism is operative, in complete analogy with </w:t>
      </w:r>
      <w:r w:rsidR="00304BE2">
        <w:rPr>
          <w:iCs/>
        </w:rPr>
        <w:fldChar w:fldCharType="begin"/>
      </w:r>
      <w:r w:rsidR="00304BE2">
        <w:rPr>
          <w:iCs/>
        </w:rPr>
        <w:instrText xml:space="preserve"> REF _Ref159518643 \h </w:instrText>
      </w:r>
      <w:r w:rsidR="00304BE2">
        <w:rPr>
          <w:iCs/>
        </w:rPr>
      </w:r>
      <w:r w:rsidR="00304BE2">
        <w:rPr>
          <w:iCs/>
        </w:rPr>
        <w:fldChar w:fldCharType="separate"/>
      </w:r>
      <w:r w:rsidR="00304BE2" w:rsidRPr="00FF5CE0">
        <w:rPr>
          <w:b/>
        </w:rPr>
        <w:t xml:space="preserve">Figure </w:t>
      </w:r>
      <w:r w:rsidR="00304BE2">
        <w:rPr>
          <w:b/>
          <w:noProof/>
        </w:rPr>
        <w:t>22</w:t>
      </w:r>
      <w:r w:rsidR="00304BE2">
        <w:rPr>
          <w:iCs/>
        </w:rPr>
        <w:fldChar w:fldCharType="end"/>
      </w:r>
      <w:r w:rsidR="00304BE2">
        <w:rPr>
          <w:iCs/>
        </w:rPr>
        <w:t xml:space="preserve"> </w:t>
      </w:r>
      <w:r w:rsidRPr="00FF5CE0">
        <w:rPr>
          <w:iCs/>
        </w:rPr>
        <w:t xml:space="preserve">and Ref. </w:t>
      </w:r>
      <w:r w:rsidRPr="00FF5CE0">
        <w:rPr>
          <w:iCs/>
        </w:rPr>
        <w:fldChar w:fldCharType="begin"/>
      </w:r>
      <w:r w:rsidR="00FC5BEB">
        <w:rPr>
          <w:iCs/>
        </w:rPr>
        <w:instrText xml:space="preserve"> ADDIN EN.CITE &lt;EndNote&gt;&lt;Cite&gt;&lt;Author&gt;Rong&lt;/Author&gt;&lt;Year&gt;2016&lt;/Year&gt;&lt;RecNum&gt;322&lt;/RecNum&gt;&lt;DisplayText&gt;&lt;style face="superscript"&gt;324&lt;/style&gt;&lt;/DisplayText&gt;&lt;record&gt;&lt;rec-number&gt;322&lt;/rec-number&gt;&lt;foreign-keys&gt;&lt;key app="EN" db-id="2xex0erf4eexr4e2dpbxpdd829xttesxxxdr" timestamp="1715075296"&gt;322&lt;/key&gt;&lt;/foreign-keys&gt;&lt;ref-type name="Journal Article"&gt;17&lt;/ref-type&gt;&lt;contributors&gt;&lt;authors&gt;&lt;author&gt;Rong, Xi&lt;/author&gt;&lt;author&gt;Parolin, Jules&lt;/author&gt;&lt;author&gt;Kolpak, Alexie M.&lt;/author&gt;&lt;/authors&gt;&lt;/contributors&gt;&lt;titles&gt;&lt;title&gt;A Fundamental Relationship between Reaction Mechanism and Stability in Metal Oxide Catalysts for Oxygen Evolution&lt;/title&gt;&lt;secondary-title&gt;ACS Catal.&lt;/secondary-title&gt;&lt;/titles&gt;&lt;periodical&gt;&lt;full-title&gt;ACS Catal.&lt;/full-title&gt;&lt;/periodical&gt;&lt;pages&gt;1153-1158&lt;/pages&gt;&lt;volume&gt;6&lt;/volume&gt;&lt;number&gt;2&lt;/number&gt;&lt;dates&gt;&lt;year&gt;2016&lt;/year&gt;&lt;pub-dates&gt;&lt;date&gt;2016/02/05&lt;/date&gt;&lt;/pub-dates&gt;&lt;/dates&gt;&lt;publisher&gt;American Chemical Society&lt;/publisher&gt;&lt;urls&gt;&lt;related-urls&gt;&lt;url&gt;https://doi.org/10.1021/acscatal.5b02432&lt;/url&gt;&lt;/related-urls&gt;&lt;/urls&gt;&lt;electronic-resource-num&gt;10.1021/acscatal.5b02432&lt;/electronic-resource-num&gt;&lt;/record&gt;&lt;/Cite&gt;&lt;/EndNote&gt;</w:instrText>
      </w:r>
      <w:r w:rsidRPr="00FF5CE0">
        <w:rPr>
          <w:iCs/>
        </w:rPr>
        <w:fldChar w:fldCharType="separate"/>
      </w:r>
      <w:r w:rsidR="00FC5BEB" w:rsidRPr="00FC5BEB">
        <w:rPr>
          <w:iCs/>
          <w:noProof/>
          <w:vertAlign w:val="superscript"/>
        </w:rPr>
        <w:t>324</w:t>
      </w:r>
      <w:r w:rsidRPr="00FF5CE0">
        <w:fldChar w:fldCharType="end"/>
      </w:r>
      <w:r w:rsidRPr="00FF5CE0">
        <w:rPr>
          <w:iCs/>
        </w:rPr>
        <w:t xml:space="preserve">. The authors of </w:t>
      </w:r>
      <w:r w:rsidRPr="00FF5CE0">
        <w:t xml:space="preserve">Ref. </w:t>
      </w:r>
      <w:r w:rsidRPr="00FF5CE0">
        <w:fldChar w:fldCharType="begin"/>
      </w:r>
      <w:r w:rsidR="00FC5BEB">
        <w:instrText xml:space="preserve"> ADDIN EN.CITE &lt;EndNote&gt;&lt;Cite&gt;&lt;Author&gt;Mefford&lt;/Author&gt;&lt;Year&gt;2016&lt;/Year&gt;&lt;RecNum&gt;325&lt;/RecNum&gt;&lt;DisplayText&gt;&lt;style face="superscript"&gt;327&lt;/style&gt;&lt;/DisplayText&gt;&lt;record&gt;&lt;rec-number&gt;325&lt;/rec-number&gt;&lt;foreign-keys&gt;&lt;key app="EN" db-id="2xex0erf4eexr4e2dpbxpdd829xttesxxxdr" timestamp="1715075296"&gt;325&lt;/key&gt;&lt;/foreign-keys&gt;&lt;ref-type name="Journal Article"&gt;17&lt;/ref-type&gt;&lt;contributors&gt;&lt;authors&gt;&lt;author&gt;Mefford, J. Tyler&lt;/author&gt;&lt;author&gt;Rong, Xi&lt;/author&gt;&lt;author&gt;Abakumov, Artem M.&lt;/author&gt;&lt;author&gt;Hardin, William G.&lt;/author&gt;&lt;author&gt;Dai, Sheng&lt;/author&gt;&lt;author&gt;Kolpak, Alexie M.&lt;/author&gt;&lt;author&gt;Johnston, Keith P.&lt;/author&gt;&lt;author&gt;Stevenson, Keith J.&lt;/author&gt;&lt;/authors&gt;&lt;/contributors&gt;&lt;titles&gt;&lt;title&gt;Water electrolysis on La1−xSrxCoO3−δ perovskite electrocatalysts&lt;/title&gt;&lt;secondary-title&gt;Nat. Commun.&lt;/secondary-title&gt;&lt;/titles&gt;&lt;periodical&gt;&lt;full-title&gt;Nat. Commun.&lt;/full-title&gt;&lt;abbr-1&gt;Nat. Commun.&lt;/abbr-1&gt;&lt;/periodical&gt;&lt;pages&gt;11053&lt;/pages&gt;&lt;volume&gt;7&lt;/volume&gt;&lt;number&gt;1&lt;/number&gt;&lt;dates&gt;&lt;year&gt;2016&lt;/year&gt;&lt;pub-dates&gt;&lt;date&gt;2016/03/23&lt;/date&gt;&lt;/pub-dates&gt;&lt;/dates&gt;&lt;isbn&gt;2041-1723&lt;/isbn&gt;&lt;urls&gt;&lt;related-urls&gt;&lt;url&gt;https://doi.org/10.1038/ncomms11053&lt;/url&gt;&lt;/related-urls&gt;&lt;/urls&gt;&lt;electronic-resource-num&gt;10.1038/ncomms11053&lt;/electronic-resource-num&gt;&lt;/record&gt;&lt;/Cite&gt;&lt;/EndNote&gt;</w:instrText>
      </w:r>
      <w:r w:rsidRPr="00FF5CE0">
        <w:fldChar w:fldCharType="separate"/>
      </w:r>
      <w:r w:rsidR="00FC5BEB" w:rsidRPr="00FC5BEB">
        <w:rPr>
          <w:noProof/>
          <w:vertAlign w:val="superscript"/>
        </w:rPr>
        <w:t>327</w:t>
      </w:r>
      <w:r w:rsidRPr="00FF5CE0">
        <w:fldChar w:fldCharType="end"/>
      </w:r>
      <w:r w:rsidRPr="00FF5CE0">
        <w:t xml:space="preserve"> </w:t>
      </w:r>
      <w:r w:rsidRPr="00FF5CE0">
        <w:rPr>
          <w:iCs/>
        </w:rPr>
        <w:t xml:space="preserve">showed that like in Ref. </w:t>
      </w:r>
      <w:r w:rsidRPr="00FF5CE0">
        <w:fldChar w:fldCharType="begin"/>
      </w:r>
      <w:r w:rsidR="00FC5BEB">
        <w:instrText xml:space="preserve"> ADDIN EN.CITE &lt;EndNote&gt;&lt;Cite&gt;&lt;Author&gt;Rong&lt;/Author&gt;&lt;Year&gt;2016&lt;/Year&gt;&lt;RecNum&gt;322&lt;/RecNum&gt;&lt;DisplayText&gt;&lt;style face="superscript"&gt;324&lt;/style&gt;&lt;/DisplayText&gt;&lt;record&gt;&lt;rec-number&gt;322&lt;/rec-number&gt;&lt;foreign-keys&gt;&lt;key app="EN" db-id="2xex0erf4eexr4e2dpbxpdd829xttesxxxdr" timestamp="1715075296"&gt;322&lt;/key&gt;&lt;/foreign-keys&gt;&lt;ref-type name="Journal Article"&gt;17&lt;/ref-type&gt;&lt;contributors&gt;&lt;authors&gt;&lt;author&gt;Rong, Xi&lt;/author&gt;&lt;author&gt;Parolin, Jules&lt;/author&gt;&lt;author&gt;Kolpak, Alexie M.&lt;/author&gt;&lt;/authors&gt;&lt;/contributors&gt;&lt;titles&gt;&lt;title&gt;A Fundamental Relationship between Reaction Mechanism and Stability in Metal Oxide Catalysts for Oxygen Evolution&lt;/title&gt;&lt;secondary-title&gt;ACS Catal.&lt;/secondary-title&gt;&lt;/titles&gt;&lt;periodical&gt;&lt;full-title&gt;ACS Catal.&lt;/full-title&gt;&lt;/periodical&gt;&lt;pages&gt;1153-1158&lt;/pages&gt;&lt;volume&gt;6&lt;/volume&gt;&lt;number&gt;2&lt;/number&gt;&lt;dates&gt;&lt;year&gt;2016&lt;/year&gt;&lt;pub-dates&gt;&lt;date&gt;2016/02/05&lt;/date&gt;&lt;/pub-dates&gt;&lt;/dates&gt;&lt;publisher&gt;American Chemical Society&lt;/publisher&gt;&lt;urls&gt;&lt;related-urls&gt;&lt;url&gt;https://doi.org/10.1021/acscatal.5b02432&lt;/url&gt;&lt;/related-urls&gt;&lt;/urls&gt;&lt;electronic-resource-num&gt;10.1021/acscatal.5b02432&lt;/electronic-resource-num&gt;&lt;/record&gt;&lt;/Cite&gt;&lt;/EndNote&gt;</w:instrText>
      </w:r>
      <w:r w:rsidRPr="00FF5CE0">
        <w:fldChar w:fldCharType="separate"/>
      </w:r>
      <w:r w:rsidR="00FC5BEB" w:rsidRPr="00FC5BEB">
        <w:rPr>
          <w:noProof/>
          <w:vertAlign w:val="superscript"/>
        </w:rPr>
        <w:t>324</w:t>
      </w:r>
      <w:r w:rsidRPr="00FF5CE0">
        <w:fldChar w:fldCharType="end"/>
      </w:r>
      <w:r w:rsidRPr="00FF5CE0">
        <w:t xml:space="preserve">, </w:t>
      </w:r>
      <w:r w:rsidR="00E1473E" w:rsidRPr="00FF5CE0">
        <w:sym w:font="Symbol" w:char="F044"/>
      </w:r>
      <w:r w:rsidR="00E1473E" w:rsidRPr="00FF5CE0">
        <w:rPr>
          <w:i/>
          <w:iCs/>
        </w:rPr>
        <w:t>G</w:t>
      </w:r>
      <w:r w:rsidR="00E1473E" w:rsidRPr="00FF5CE0">
        <w:t xml:space="preserve"> = </w:t>
      </w:r>
      <w:r w:rsidR="00E1473E" w:rsidRPr="00FF5CE0">
        <w:sym w:font="Symbol" w:char="F044"/>
      </w:r>
      <w:r w:rsidR="00E1473E" w:rsidRPr="00FF5CE0">
        <w:rPr>
          <w:i/>
          <w:iCs/>
        </w:rPr>
        <w:t>G</w:t>
      </w:r>
      <w:r w:rsidR="00E1473E" w:rsidRPr="00FF5CE0">
        <w:t>(A</w:t>
      </w:r>
      <w:r w:rsidR="00E1473E" w:rsidRPr="00FF5CE0">
        <w:rPr>
          <w:vertAlign w:val="subscript"/>
        </w:rPr>
        <w:t>1</w:t>
      </w:r>
      <w:r w:rsidR="00E1473E" w:rsidRPr="00FF5CE0">
        <w:t xml:space="preserve">)- </w:t>
      </w:r>
      <w:r w:rsidR="00E1473E" w:rsidRPr="00FF5CE0">
        <w:sym w:font="Symbol" w:char="F044"/>
      </w:r>
      <w:r w:rsidR="00E1473E" w:rsidRPr="00FF5CE0">
        <w:rPr>
          <w:i/>
          <w:iCs/>
        </w:rPr>
        <w:t>G</w:t>
      </w:r>
      <w:r w:rsidR="00E1473E" w:rsidRPr="00FF5CE0">
        <w:t>(A</w:t>
      </w:r>
      <w:r w:rsidR="00E1473E" w:rsidRPr="00FF5CE0">
        <w:rPr>
          <w:vertAlign w:val="subscript"/>
        </w:rPr>
        <w:t>0</w:t>
      </w:r>
      <w:r w:rsidR="00E1473E" w:rsidRPr="00FF5CE0">
        <w:t>)</w:t>
      </w:r>
      <w:r w:rsidR="00E1473E">
        <w:t xml:space="preserve"> </w:t>
      </w:r>
      <w:r w:rsidRPr="00512B20">
        <w:t>is largely determined by the oxygen vacancy formation energy</w:t>
      </w:r>
      <w:r w:rsidR="00E1473E">
        <w:t>, which</w:t>
      </w:r>
      <w:r w:rsidRPr="00512B20">
        <w:t xml:space="preserve"> </w:t>
      </w:r>
      <w:r w:rsidRPr="00FF5CE0">
        <w:t xml:space="preserve">is expected to be related to the Co 3d band center. Thus, for the formally </w:t>
      </w:r>
      <w:proofErr w:type="gramStart"/>
      <w:r w:rsidRPr="00FF5CE0">
        <w:t>Co(</w:t>
      </w:r>
      <w:proofErr w:type="gramEnd"/>
      <w:r w:rsidRPr="00FF5CE0">
        <w:t>IV) in SrCoO</w:t>
      </w:r>
      <w:r w:rsidRPr="00FF5CE0">
        <w:rPr>
          <w:vertAlign w:val="subscript"/>
        </w:rPr>
        <w:t>3</w:t>
      </w:r>
      <w:r w:rsidRPr="00FF5CE0">
        <w:t xml:space="preserve">, the intermediates of the single-metal-site LOM are lower in free energy within the CHE model than those along the path of </w:t>
      </w:r>
      <w:r w:rsidRPr="00FF5CE0">
        <w:lastRenderedPageBreak/>
        <w:t>the nucleophilic attack mechanism</w:t>
      </w:r>
      <w:r w:rsidR="00E1473E">
        <w:t xml:space="preserve">. </w:t>
      </w:r>
      <w:r w:rsidRPr="00FF5CE0">
        <w:t xml:space="preserve">This finding demonstrates the </w:t>
      </w:r>
      <w:r w:rsidRPr="00FF5CE0">
        <w:rPr>
          <w:i/>
        </w:rPr>
        <w:sym w:font="Symbol" w:char="F068"/>
      </w:r>
      <w:r w:rsidRPr="00FF5CE0">
        <w:rPr>
          <w:iCs/>
          <w:vertAlign w:val="subscript"/>
        </w:rPr>
        <w:t>CHE</w:t>
      </w:r>
      <w:r w:rsidRPr="00FF5CE0">
        <w:rPr>
          <w:iCs/>
        </w:rPr>
        <w:t xml:space="preserve"> for the</w:t>
      </w:r>
      <w:r w:rsidRPr="00FF5CE0">
        <w:t xml:space="preserve"> single-metal-site</w:t>
      </w:r>
      <w:r w:rsidRPr="00FF5CE0">
        <w:rPr>
          <w:iCs/>
        </w:rPr>
        <w:t xml:space="preserve"> LOM (</w:t>
      </w:r>
      <w:r w:rsidRPr="00FF5CE0">
        <w:rPr>
          <w:i/>
        </w:rPr>
        <w:sym w:font="Symbol" w:char="F068"/>
      </w:r>
      <w:r w:rsidRPr="00FF5CE0">
        <w:rPr>
          <w:iCs/>
          <w:vertAlign w:val="subscript"/>
        </w:rPr>
        <w:t>CHE</w:t>
      </w:r>
      <w:r w:rsidRPr="00FF5CE0">
        <w:rPr>
          <w:iCs/>
        </w:rPr>
        <w:t xml:space="preserve">=0.22 V) is lower than the </w:t>
      </w:r>
      <w:r w:rsidRPr="00FF5CE0">
        <w:rPr>
          <w:i/>
        </w:rPr>
        <w:sym w:font="Symbol" w:char="F068"/>
      </w:r>
      <w:r w:rsidRPr="00FF5CE0">
        <w:rPr>
          <w:iCs/>
          <w:vertAlign w:val="subscript"/>
        </w:rPr>
        <w:t>CHE</w:t>
      </w:r>
      <w:r w:rsidRPr="00FF5CE0">
        <w:rPr>
          <w:iCs/>
        </w:rPr>
        <w:t xml:space="preserve"> for the AEM in </w:t>
      </w:r>
      <w:r w:rsidRPr="00FF5CE0">
        <w:t>SrCoO</w:t>
      </w:r>
      <w:r w:rsidRPr="00FF5CE0">
        <w:rPr>
          <w:vertAlign w:val="subscript"/>
        </w:rPr>
        <w:t>3</w:t>
      </w:r>
      <w:r w:rsidRPr="00FF5CE0">
        <w:t xml:space="preserve"> </w:t>
      </w:r>
      <w:r w:rsidRPr="00FF5CE0">
        <w:rPr>
          <w:iCs/>
        </w:rPr>
        <w:t>(</w:t>
      </w:r>
      <w:r w:rsidRPr="00FF5CE0">
        <w:rPr>
          <w:i/>
        </w:rPr>
        <w:sym w:font="Symbol" w:char="F068"/>
      </w:r>
      <w:r w:rsidRPr="00FF5CE0">
        <w:rPr>
          <w:iCs/>
          <w:vertAlign w:val="subscript"/>
        </w:rPr>
        <w:t>CHE</w:t>
      </w:r>
      <w:r w:rsidRPr="00FF5CE0">
        <w:rPr>
          <w:iCs/>
        </w:rPr>
        <w:t>=0.4 V).</w:t>
      </w:r>
    </w:p>
    <w:p w14:paraId="1B25CCE6" w14:textId="77777777" w:rsidR="00DB5848" w:rsidRPr="00FF5CE0" w:rsidRDefault="00DB5848" w:rsidP="00E1473E">
      <w:pPr>
        <w:ind w:firstLine="720"/>
        <w:rPr>
          <w:iCs/>
        </w:rPr>
      </w:pPr>
    </w:p>
    <w:p w14:paraId="74191453" w14:textId="11E6E907" w:rsidR="00FF5CE0" w:rsidRPr="00FF5CE0" w:rsidRDefault="00DB5848" w:rsidP="00DB5848">
      <w:pPr>
        <w:jc w:val="center"/>
        <w:rPr>
          <w:b/>
          <w:bCs/>
        </w:rPr>
      </w:pPr>
      <w:r>
        <w:rPr>
          <w:noProof/>
          <w14:ligatures w14:val="standardContextual"/>
        </w:rPr>
        <w:fldChar w:fldCharType="begin"/>
      </w:r>
      <w:r>
        <w:rPr>
          <w:noProof/>
          <w14:ligatures w14:val="standardContextual"/>
        </w:rPr>
        <w:instrText xml:space="preserve"> INCLUDEPICTURE  "https://media.springernature.com/full/springer-static/image/art:10.1038/nchem.2695/MediaObjects/41557_2017_Article_BFnchem2695_Fig4_HTML.jpg" \* MERGEFORMATINET </w:instrText>
      </w:r>
      <w:r>
        <w:rPr>
          <w:noProof/>
          <w14:ligatures w14:val="standardContextual"/>
        </w:rPr>
        <w:fldChar w:fldCharType="separate"/>
      </w:r>
      <w:r>
        <w:rPr>
          <w:noProof/>
          <w14:ligatures w14:val="standardContextual"/>
        </w:rPr>
        <w:fldChar w:fldCharType="begin"/>
      </w:r>
      <w:r>
        <w:rPr>
          <w:noProof/>
          <w14:ligatures w14:val="standardContextual"/>
        </w:rPr>
        <w:instrText xml:space="preserve"> INCLUDEPICTURE  "https://media.springernature.com/full/springer-static/image/art:10.1038/nchem.2695/MediaObjects/41557_2017_Article_BFnchem2695_Fig4_HTML.jpg" \* MERGEFORMATINET </w:instrText>
      </w:r>
      <w:r>
        <w:rPr>
          <w:noProof/>
          <w14:ligatures w14:val="standardContextual"/>
        </w:rPr>
        <w:fldChar w:fldCharType="separate"/>
      </w:r>
      <w:r w:rsidRPr="00E45E28">
        <w:rPr>
          <w:noProof/>
          <w14:ligatures w14:val="standardContextual"/>
        </w:rPr>
        <w:drawing>
          <wp:inline distT="0" distB="0" distL="0" distR="0" wp14:anchorId="62866BC3" wp14:editId="59E0F6D9">
            <wp:extent cx="4343400" cy="6210300"/>
            <wp:effectExtent l="0" t="0" r="0" b="0"/>
            <wp:docPr id="2"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343400" cy="6210300"/>
                    </a:xfrm>
                    <a:prstGeom prst="rect">
                      <a:avLst/>
                    </a:prstGeom>
                    <a:noFill/>
                    <a:ln>
                      <a:noFill/>
                    </a:ln>
                  </pic:spPr>
                </pic:pic>
              </a:graphicData>
            </a:graphic>
          </wp:inline>
        </w:drawing>
      </w:r>
      <w:r>
        <w:rPr>
          <w:noProof/>
          <w14:ligatures w14:val="standardContextual"/>
        </w:rPr>
        <w:fldChar w:fldCharType="end"/>
      </w:r>
      <w:r>
        <w:rPr>
          <w:noProof/>
          <w14:ligatures w14:val="standardContextual"/>
        </w:rPr>
        <w:fldChar w:fldCharType="end"/>
      </w:r>
    </w:p>
    <w:p w14:paraId="55835308" w14:textId="43735932" w:rsidR="00DB5848" w:rsidRPr="00FF5CE0" w:rsidRDefault="00DB5848" w:rsidP="00DB5848">
      <w:pPr>
        <w:pStyle w:val="Caption"/>
        <w:spacing w:after="0"/>
      </w:pPr>
      <w:bookmarkStart w:id="108" w:name="_Ref159520414"/>
      <w:r w:rsidRPr="002102C6">
        <w:rPr>
          <w:b/>
          <w:bCs w:val="0"/>
          <w:sz w:val="22"/>
        </w:rPr>
        <w:t xml:space="preserve">Figure </w:t>
      </w:r>
      <w:r w:rsidRPr="002102C6">
        <w:rPr>
          <w:b/>
          <w:bCs w:val="0"/>
          <w:sz w:val="22"/>
        </w:rPr>
        <w:fldChar w:fldCharType="begin"/>
      </w:r>
      <w:r w:rsidRPr="002102C6">
        <w:rPr>
          <w:b/>
          <w:bCs w:val="0"/>
          <w:sz w:val="22"/>
        </w:rPr>
        <w:instrText xml:space="preserve"> SEQ Figure \* ARABIC </w:instrText>
      </w:r>
      <w:r w:rsidRPr="002102C6">
        <w:rPr>
          <w:b/>
          <w:bCs w:val="0"/>
          <w:sz w:val="22"/>
        </w:rPr>
        <w:fldChar w:fldCharType="separate"/>
      </w:r>
      <w:r>
        <w:rPr>
          <w:b/>
          <w:bCs w:val="0"/>
          <w:noProof/>
          <w:sz w:val="22"/>
        </w:rPr>
        <w:t>25</w:t>
      </w:r>
      <w:r w:rsidRPr="002102C6">
        <w:rPr>
          <w:b/>
          <w:bCs w:val="0"/>
          <w:sz w:val="22"/>
        </w:rPr>
        <w:fldChar w:fldCharType="end"/>
      </w:r>
      <w:bookmarkEnd w:id="108"/>
      <w:r w:rsidRPr="00FF5CE0">
        <w:rPr>
          <w:b/>
        </w:rPr>
        <w:t xml:space="preserve"> </w:t>
      </w:r>
      <w:r>
        <w:rPr>
          <w:b/>
        </w:rPr>
        <w:t>(</w:t>
      </w:r>
      <w:r w:rsidRPr="00FF5CE0">
        <w:t xml:space="preserve">a) The single-site nucleophilic attack OER mechanism. </w:t>
      </w:r>
      <w:r>
        <w:t>(</w:t>
      </w:r>
      <w:r w:rsidRPr="00FF5CE0">
        <w:t>b) Free energy profile computed within the CHE for the nucleophilic attack mechanism over SrCoO</w:t>
      </w:r>
      <w:r w:rsidRPr="00FF5CE0">
        <w:rPr>
          <w:vertAlign w:val="subscript"/>
        </w:rPr>
        <w:t>3</w:t>
      </w:r>
      <w:r w:rsidRPr="00FF5CE0">
        <w:t xml:space="preserve"> and LaCoO</w:t>
      </w:r>
      <w:r w:rsidRPr="00FF5CE0">
        <w:rPr>
          <w:vertAlign w:val="subscript"/>
        </w:rPr>
        <w:t>3</w:t>
      </w:r>
      <w:r w:rsidRPr="00FF5CE0">
        <w:t xml:space="preserve">. </w:t>
      </w:r>
      <w:r>
        <w:t>(</w:t>
      </w:r>
      <w:r w:rsidRPr="00FF5CE0">
        <w:t xml:space="preserve">c) </w:t>
      </w:r>
      <w:r>
        <w:t xml:space="preserve"> and (e)</w:t>
      </w:r>
      <w:r w:rsidRPr="00FF5CE0">
        <w:t xml:space="preserve"> proposed nucleophilic attack mechanism</w:t>
      </w:r>
      <w:r>
        <w:t>s</w:t>
      </w:r>
      <w:r w:rsidRPr="00FF5CE0">
        <w:t xml:space="preserve"> involving lattice oxygen. </w:t>
      </w:r>
      <w:r>
        <w:t>(</w:t>
      </w:r>
      <w:r w:rsidRPr="00FF5CE0">
        <w:t>d) Free energy profile computed within the CHE for the nucleophilic attack on lattice oxygen (c) over SrCoO</w:t>
      </w:r>
      <w:r w:rsidRPr="00FF5CE0">
        <w:rPr>
          <w:vertAlign w:val="subscript"/>
        </w:rPr>
        <w:t>3</w:t>
      </w:r>
      <w:r w:rsidRPr="00FF5CE0">
        <w:t xml:space="preserve"> and LaCoO</w:t>
      </w:r>
      <w:r w:rsidRPr="00FF5CE0">
        <w:rPr>
          <w:vertAlign w:val="subscript"/>
        </w:rPr>
        <w:t>3</w:t>
      </w:r>
      <w:r w:rsidRPr="00FF5CE0">
        <w:t xml:space="preserve">.  </w:t>
      </w:r>
      <w:r>
        <w:t>(</w:t>
      </w:r>
      <w:r w:rsidRPr="00FF5CE0">
        <w:t>f) computed free energy of O-O bond formation on lattice oxygen for LaC</w:t>
      </w:r>
      <w:r>
        <w:t>o</w:t>
      </w:r>
      <w:r w:rsidRPr="00FF5CE0">
        <w:t>O</w:t>
      </w:r>
      <w:r w:rsidRPr="00FF5CE0">
        <w:rPr>
          <w:vertAlign w:val="subscript"/>
        </w:rPr>
        <w:t>3</w:t>
      </w:r>
      <w:r w:rsidRPr="00FF5CE0">
        <w:t xml:space="preserve"> and SrC</w:t>
      </w:r>
      <w:r>
        <w:t>o</w:t>
      </w:r>
      <w:r w:rsidRPr="00FF5CE0">
        <w:t>O</w:t>
      </w:r>
      <w:r w:rsidRPr="00FF5CE0">
        <w:rPr>
          <w:vertAlign w:val="subscript"/>
        </w:rPr>
        <w:t>3</w:t>
      </w:r>
      <w:r w:rsidRPr="00FF5CE0">
        <w:t xml:space="preserve">, where only the latter is energetically </w:t>
      </w:r>
      <w:proofErr w:type="spellStart"/>
      <w:r w:rsidRPr="00FF5CE0">
        <w:t>favorable</w:t>
      </w:r>
      <w:proofErr w:type="spellEnd"/>
      <w:r w:rsidRPr="00FF5CE0">
        <w:t xml:space="preserve">. </w:t>
      </w:r>
      <w:r>
        <w:t>(</w:t>
      </w:r>
      <w:r w:rsidRPr="00FF5CE0">
        <w:t xml:space="preserve">g), and </w:t>
      </w:r>
      <w:r>
        <w:t>(</w:t>
      </w:r>
      <w:r w:rsidRPr="00FF5CE0">
        <w:t xml:space="preserve">h) possible mechanisms involving non-concerted electron-proton transfer. Figure </w:t>
      </w:r>
      <w:r>
        <w:t>reproduced with permission from Ref.</w:t>
      </w:r>
      <w:r w:rsidRPr="00FF5CE0">
        <w:t xml:space="preserve"> </w:t>
      </w:r>
      <w:r w:rsidRPr="00FF5CE0">
        <w:fldChar w:fldCharType="begin"/>
      </w:r>
      <w:r>
        <w:instrText xml:space="preserve"> ADDIN EN.CITE &lt;EndNote&gt;&lt;Cite&gt;&lt;Author&gt;Grimaud&lt;/Author&gt;&lt;Year&gt;2017&lt;/Year&gt;&lt;RecNum&gt;327&lt;/RecNum&gt;&lt;DisplayText&gt;&lt;style face="superscript"&gt;329&lt;/style&gt;&lt;/DisplayText&gt;&lt;record&gt;&lt;rec-number&gt;327&lt;/rec-number&gt;&lt;foreign-keys&gt;&lt;key app="EN" db-id="2xex0erf4eexr4e2dpbxpdd829xttesxxxdr" timestamp="1715075296"&gt;327&lt;/key&gt;&lt;/foreign-keys&gt;&lt;ref-type name="Journal Article"&gt;17&lt;/ref-type&gt;&lt;contributors&gt;&lt;authors&gt;&lt;author&gt;Grimaud, Alexis&lt;/author&gt;&lt;author&gt;Diaz-Morales, Oscar&lt;/author&gt;&lt;author&gt;Han, Binghong&lt;/author&gt;&lt;author&gt;Hong, Wesley T.&lt;/author&gt;&lt;author&gt;Lee, Yueh-Lin&lt;/author&gt;&lt;author&gt;Giordano, Livia&lt;/author&gt;&lt;author&gt;Stoerzinger, Kelsey A.&lt;/author&gt;&lt;author&gt;Koper, Marc T. M.&lt;/author&gt;&lt;author&gt;Shao-Horn, Yang&lt;/author&gt;&lt;/authors&gt;&lt;/contributors&gt;&lt;titles&gt;&lt;title&gt;Activating lattice oxygen redox reactions in metal oxides to catalyse oxygen evolution&lt;/title&gt;&lt;secondary-title&gt;Nat. Chem.&lt;/secondary-title&gt;&lt;/titles&gt;&lt;periodical&gt;&lt;full-title&gt;Nat. Chem.&lt;/full-title&gt;&lt;abbr-1&gt;Nat. Chem.&lt;/abbr-1&gt;&lt;/periodical&gt;&lt;pages&gt;457-465&lt;/pages&gt;&lt;volume&gt;9&lt;/volume&gt;&lt;number&gt;5&lt;/number&gt;&lt;dates&gt;&lt;year&gt;2017&lt;/year&gt;&lt;pub-dates&gt;&lt;date&gt;2017/05/01&lt;/date&gt;&lt;/pub-dates&gt;&lt;/dates&gt;&lt;isbn&gt;1755-4349&lt;/isbn&gt;&lt;urls&gt;&lt;related-urls&gt;&lt;url&gt;https://doi.org/10.1038/nchem.2695&lt;/url&gt;&lt;/related-urls&gt;&lt;/urls&gt;&lt;electronic-resource-num&gt;10.1038/nchem.2695&lt;/electronic-resource-num&gt;&lt;/record&gt;&lt;/Cite&gt;&lt;/EndNote&gt;</w:instrText>
      </w:r>
      <w:r w:rsidRPr="00FF5CE0">
        <w:fldChar w:fldCharType="separate"/>
      </w:r>
      <w:r w:rsidRPr="00FC5BEB">
        <w:rPr>
          <w:noProof/>
          <w:vertAlign w:val="superscript"/>
        </w:rPr>
        <w:t>329</w:t>
      </w:r>
      <w:r w:rsidRPr="00FF5CE0">
        <w:fldChar w:fldCharType="end"/>
      </w:r>
      <w:r w:rsidR="00B13149">
        <w:t xml:space="preserve"> </w:t>
      </w:r>
      <w:r w:rsidR="00B13149" w:rsidRPr="00B13149">
        <w:rPr>
          <w:lang w:val="en-US"/>
        </w:rPr>
        <w:t>Copyright 201</w:t>
      </w:r>
      <w:r w:rsidR="00B13149">
        <w:rPr>
          <w:lang w:val="en-US"/>
        </w:rPr>
        <w:t>7</w:t>
      </w:r>
      <w:r w:rsidR="00B13149" w:rsidRPr="00B13149">
        <w:rPr>
          <w:lang w:val="en-US"/>
        </w:rPr>
        <w:t xml:space="preserve"> Springer Nature.</w:t>
      </w:r>
    </w:p>
    <w:p w14:paraId="2850AC37" w14:textId="77777777" w:rsidR="00DB5848" w:rsidRDefault="00DB5848" w:rsidP="00DB5848"/>
    <w:p w14:paraId="6C356EB8" w14:textId="0B634D12" w:rsidR="008D5367" w:rsidRDefault="00FF5CE0" w:rsidP="00DB5848">
      <w:pPr>
        <w:ind w:firstLine="720"/>
      </w:pPr>
      <w:r w:rsidRPr="00FF5CE0">
        <w:t xml:space="preserve">Another critical step to cementing the LOM as one of the currently adopted OER mechanisms was made in Ref. </w:t>
      </w:r>
      <w:r w:rsidRPr="00FF5CE0">
        <w:fldChar w:fldCharType="begin"/>
      </w:r>
      <w:r w:rsidR="00FC5BEB">
        <w:instrText xml:space="preserve"> ADDIN EN.CITE &lt;EndNote&gt;&lt;Cite&gt;&lt;Author&gt;Grimaud&lt;/Author&gt;&lt;Year&gt;2017&lt;/Year&gt;&lt;RecNum&gt;327&lt;/RecNum&gt;&lt;DisplayText&gt;&lt;style face="superscript"&gt;329&lt;/style&gt;&lt;/DisplayText&gt;&lt;record&gt;&lt;rec-number&gt;327&lt;/rec-number&gt;&lt;foreign-keys&gt;&lt;key app="EN" db-id="2xex0erf4eexr4e2dpbxpdd829xttesxxxdr" timestamp="1715075296"&gt;327&lt;/key&gt;&lt;/foreign-keys&gt;&lt;ref-type name="Journal Article"&gt;17&lt;/ref-type&gt;&lt;contributors&gt;&lt;authors&gt;&lt;author&gt;Grimaud, Alexis&lt;/author&gt;&lt;author&gt;Diaz-Morales, Oscar&lt;/author&gt;&lt;author&gt;Han, Binghong&lt;/author&gt;&lt;author&gt;Hong, Wesley T.&lt;/author&gt;&lt;author&gt;Lee, Yueh-Lin&lt;/author&gt;&lt;author&gt;Giordano, Livia&lt;/author&gt;&lt;author&gt;Stoerzinger, Kelsey A.&lt;/author&gt;&lt;author&gt;Koper, Marc T. M.&lt;/author&gt;&lt;author&gt;Shao-Horn, Yang&lt;/author&gt;&lt;/authors&gt;&lt;/contributors&gt;&lt;titles&gt;&lt;title&gt;Activating lattice oxygen redox reactions in metal oxides to catalyse oxygen evolution&lt;/title&gt;&lt;secondary-title&gt;Nat. Chem.&lt;/secondary-title&gt;&lt;/titles&gt;&lt;periodical&gt;&lt;full-title&gt;Nat. Chem.&lt;/full-title&gt;&lt;abbr-1&gt;Nat. Chem.&lt;/abbr-1&gt;&lt;/periodical&gt;&lt;pages&gt;457-465&lt;/pages&gt;&lt;volume&gt;9&lt;/volume&gt;&lt;number&gt;5&lt;/number&gt;&lt;dates&gt;&lt;year&gt;2017&lt;/year&gt;&lt;pub-dates&gt;&lt;date&gt;2017/05/01&lt;/date&gt;&lt;/pub-dates&gt;&lt;/dates&gt;&lt;isbn&gt;1755-4349&lt;/isbn&gt;&lt;urls&gt;&lt;related-urls&gt;&lt;url&gt;https://doi.org/10.1038/nchem.2695&lt;/url&gt;&lt;/related-urls&gt;&lt;/urls&gt;&lt;electronic-resource-num&gt;10.1038/nchem.2695&lt;/electronic-resource-num&gt;&lt;/record&gt;&lt;/Cite&gt;&lt;/EndNote&gt;</w:instrText>
      </w:r>
      <w:r w:rsidRPr="00FF5CE0">
        <w:fldChar w:fldCharType="separate"/>
      </w:r>
      <w:r w:rsidR="00FC5BEB" w:rsidRPr="00FC5BEB">
        <w:rPr>
          <w:noProof/>
          <w:vertAlign w:val="superscript"/>
        </w:rPr>
        <w:t>329</w:t>
      </w:r>
      <w:r w:rsidRPr="00FF5CE0">
        <w:fldChar w:fldCharType="end"/>
      </w:r>
      <w:r w:rsidRPr="00FF5CE0">
        <w:t xml:space="preserve">. The authors employed similar arguments to the </w:t>
      </w:r>
      <w:r w:rsidR="00A9023B">
        <w:t>previous</w:t>
      </w:r>
      <w:r w:rsidR="00A9023B" w:rsidRPr="00FF5CE0">
        <w:t xml:space="preserve"> </w:t>
      </w:r>
      <w:r w:rsidRPr="00FF5CE0">
        <w:t xml:space="preserve">examples, but they performed online electrochemical mass spectrometry (OLEMS) measurements using </w:t>
      </w:r>
      <w:r w:rsidRPr="00FF5CE0">
        <w:rPr>
          <w:vertAlign w:val="superscript"/>
        </w:rPr>
        <w:t>18</w:t>
      </w:r>
      <w:r w:rsidRPr="00FF5CE0">
        <w:t xml:space="preserve">O labeled perovskites in </w:t>
      </w:r>
      <w:r w:rsidRPr="00FF5CE0">
        <w:rPr>
          <w:vertAlign w:val="superscript"/>
        </w:rPr>
        <w:t>16</w:t>
      </w:r>
      <w:r w:rsidRPr="00FF5CE0">
        <w:t>O electrolyte to provide direct experimental evidence for the participation of lattice oxygen in the OER. For different catalyst</w:t>
      </w:r>
      <w:r w:rsidR="002E3C4D">
        <w:t>s</w:t>
      </w:r>
      <w:r w:rsidRPr="00FF5CE0">
        <w:t xml:space="preserve"> they observed </w:t>
      </w:r>
      <w:r w:rsidRPr="00FF5CE0">
        <w:rPr>
          <w:vertAlign w:val="superscript"/>
        </w:rPr>
        <w:t>16</w:t>
      </w:r>
      <w:r w:rsidRPr="00FF5CE0">
        <w:t>O</w:t>
      </w:r>
      <w:r w:rsidRPr="00FF5CE0">
        <w:rPr>
          <w:vertAlign w:val="superscript"/>
        </w:rPr>
        <w:t>16</w:t>
      </w:r>
      <w:r w:rsidRPr="00FF5CE0">
        <w:t xml:space="preserve">O, </w:t>
      </w:r>
      <w:r w:rsidRPr="00FF5CE0">
        <w:rPr>
          <w:vertAlign w:val="superscript"/>
        </w:rPr>
        <w:t>16</w:t>
      </w:r>
      <w:r w:rsidRPr="00FF5CE0">
        <w:t>O</w:t>
      </w:r>
      <w:r w:rsidRPr="00FF5CE0">
        <w:rPr>
          <w:vertAlign w:val="superscript"/>
        </w:rPr>
        <w:t>18</w:t>
      </w:r>
      <w:r w:rsidRPr="00FF5CE0">
        <w:t xml:space="preserve">O, and </w:t>
      </w:r>
      <w:r w:rsidRPr="00FF5CE0">
        <w:rPr>
          <w:vertAlign w:val="superscript"/>
        </w:rPr>
        <w:t>18</w:t>
      </w:r>
      <w:r w:rsidRPr="00FF5CE0">
        <w:t>O</w:t>
      </w:r>
      <w:r w:rsidRPr="00FF5CE0">
        <w:rPr>
          <w:vertAlign w:val="superscript"/>
        </w:rPr>
        <w:t>18</w:t>
      </w:r>
      <w:r w:rsidRPr="00FF5CE0">
        <w:t xml:space="preserve">O gas-phase </w:t>
      </w:r>
      <w:r w:rsidRPr="00FF5CE0">
        <w:lastRenderedPageBreak/>
        <w:t xml:space="preserve">products. In particular, labeled oxygen was found </w:t>
      </w:r>
      <w:r w:rsidR="002E3C4D">
        <w:t xml:space="preserve">in </w:t>
      </w:r>
      <w:r w:rsidRPr="00FF5CE0">
        <w:t>the gas-phase products for SrCoO</w:t>
      </w:r>
      <w:r w:rsidRPr="00FF5CE0">
        <w:rPr>
          <w:vertAlign w:val="subscript"/>
        </w:rPr>
        <w:t>3</w:t>
      </w:r>
      <w:r w:rsidRPr="00FF5CE0">
        <w:t xml:space="preserve"> but not LaCoO</w:t>
      </w:r>
      <w:r w:rsidRPr="00FF5CE0">
        <w:rPr>
          <w:vertAlign w:val="subscript"/>
        </w:rPr>
        <w:t>3</w:t>
      </w:r>
      <w:r w:rsidRPr="00FF5CE0">
        <w:t xml:space="preserve">, supporting the claims of Ref. </w:t>
      </w:r>
      <w:r w:rsidRPr="00FF5CE0">
        <w:fldChar w:fldCharType="begin"/>
      </w:r>
      <w:r w:rsidR="00FC5BEB">
        <w:instrText xml:space="preserve"> ADDIN EN.CITE &lt;EndNote&gt;&lt;Cite&gt;&lt;Author&gt;Mefford&lt;/Author&gt;&lt;Year&gt;2016&lt;/Year&gt;&lt;RecNum&gt;325&lt;/RecNum&gt;&lt;DisplayText&gt;&lt;style face="superscript"&gt;327&lt;/style&gt;&lt;/DisplayText&gt;&lt;record&gt;&lt;rec-number&gt;325&lt;/rec-number&gt;&lt;foreign-keys&gt;&lt;key app="EN" db-id="2xex0erf4eexr4e2dpbxpdd829xttesxxxdr" timestamp="1715075296"&gt;325&lt;/key&gt;&lt;/foreign-keys&gt;&lt;ref-type name="Journal Article"&gt;17&lt;/ref-type&gt;&lt;contributors&gt;&lt;authors&gt;&lt;author&gt;Mefford, J. Tyler&lt;/author&gt;&lt;author&gt;Rong, Xi&lt;/author&gt;&lt;author&gt;Abakumov, Artem M.&lt;/author&gt;&lt;author&gt;Hardin, William G.&lt;/author&gt;&lt;author&gt;Dai, Sheng&lt;/author&gt;&lt;author&gt;Kolpak, Alexie M.&lt;/author&gt;&lt;author&gt;Johnston, Keith P.&lt;/author&gt;&lt;author&gt;Stevenson, Keith J.&lt;/author&gt;&lt;/authors&gt;&lt;/contributors&gt;&lt;titles&gt;&lt;title&gt;Water electrolysis on La1−xSrxCoO3−δ perovskite electrocatalysts&lt;/title&gt;&lt;secondary-title&gt;Nat. Commun.&lt;/secondary-title&gt;&lt;/titles&gt;&lt;periodical&gt;&lt;full-title&gt;Nat. Commun.&lt;/full-title&gt;&lt;abbr-1&gt;Nat. Commun.&lt;/abbr-1&gt;&lt;/periodical&gt;&lt;pages&gt;11053&lt;/pages&gt;&lt;volume&gt;7&lt;/volume&gt;&lt;number&gt;1&lt;/number&gt;&lt;dates&gt;&lt;year&gt;2016&lt;/year&gt;&lt;pub-dates&gt;&lt;date&gt;2016/03/23&lt;/date&gt;&lt;/pub-dates&gt;&lt;/dates&gt;&lt;isbn&gt;2041-1723&lt;/isbn&gt;&lt;urls&gt;&lt;related-urls&gt;&lt;url&gt;https://doi.org/10.1038/ncomms11053&lt;/url&gt;&lt;/related-urls&gt;&lt;/urls&gt;&lt;electronic-resource-num&gt;10.1038/ncomms11053&lt;/electronic-resource-num&gt;&lt;/record&gt;&lt;/Cite&gt;&lt;/EndNote&gt;</w:instrText>
      </w:r>
      <w:r w:rsidRPr="00FF5CE0">
        <w:fldChar w:fldCharType="separate"/>
      </w:r>
      <w:r w:rsidR="00FC5BEB" w:rsidRPr="00FC5BEB">
        <w:rPr>
          <w:noProof/>
          <w:vertAlign w:val="superscript"/>
        </w:rPr>
        <w:t>327</w:t>
      </w:r>
      <w:r w:rsidRPr="00FF5CE0">
        <w:fldChar w:fldCharType="end"/>
      </w:r>
      <w:r w:rsidRPr="00FF5CE0">
        <w:t xml:space="preserve">. From this, the authors of Ref. </w:t>
      </w:r>
      <w:r w:rsidRPr="00FF5CE0">
        <w:fldChar w:fldCharType="begin"/>
      </w:r>
      <w:r w:rsidR="00FC5BEB">
        <w:instrText xml:space="preserve"> ADDIN EN.CITE &lt;EndNote&gt;&lt;Cite&gt;&lt;Author&gt;Grimaud&lt;/Author&gt;&lt;Year&gt;2017&lt;/Year&gt;&lt;RecNum&gt;327&lt;/RecNum&gt;&lt;DisplayText&gt;&lt;style face="superscript"&gt;329&lt;/style&gt;&lt;/DisplayText&gt;&lt;record&gt;&lt;rec-number&gt;327&lt;/rec-number&gt;&lt;foreign-keys&gt;&lt;key app="EN" db-id="2xex0erf4eexr4e2dpbxpdd829xttesxxxdr" timestamp="1715075296"&gt;327&lt;/key&gt;&lt;/foreign-keys&gt;&lt;ref-type name="Journal Article"&gt;17&lt;/ref-type&gt;&lt;contributors&gt;&lt;authors&gt;&lt;author&gt;Grimaud, Alexis&lt;/author&gt;&lt;author&gt;Diaz-Morales, Oscar&lt;/author&gt;&lt;author&gt;Han, Binghong&lt;/author&gt;&lt;author&gt;Hong, Wesley T.&lt;/author&gt;&lt;author&gt;Lee, Yueh-Lin&lt;/author&gt;&lt;author&gt;Giordano, Livia&lt;/author&gt;&lt;author&gt;Stoerzinger, Kelsey A.&lt;/author&gt;&lt;author&gt;Koper, Marc T. M.&lt;/author&gt;&lt;author&gt;Shao-Horn, Yang&lt;/author&gt;&lt;/authors&gt;&lt;/contributors&gt;&lt;titles&gt;&lt;title&gt;Activating lattice oxygen redox reactions in metal oxides to catalyse oxygen evolution&lt;/title&gt;&lt;secondary-title&gt;Nat. Chem.&lt;/secondary-title&gt;&lt;/titles&gt;&lt;periodical&gt;&lt;full-title&gt;Nat. Chem.&lt;/full-title&gt;&lt;abbr-1&gt;Nat. Chem.&lt;/abbr-1&gt;&lt;/periodical&gt;&lt;pages&gt;457-465&lt;/pages&gt;&lt;volume&gt;9&lt;/volume&gt;&lt;number&gt;5&lt;/number&gt;&lt;dates&gt;&lt;year&gt;2017&lt;/year&gt;&lt;pub-dates&gt;&lt;date&gt;2017/05/01&lt;/date&gt;&lt;/pub-dates&gt;&lt;/dates&gt;&lt;isbn&gt;1755-4349&lt;/isbn&gt;&lt;urls&gt;&lt;related-urls&gt;&lt;url&gt;https://doi.org/10.1038/nchem.2695&lt;/url&gt;&lt;/related-urls&gt;&lt;/urls&gt;&lt;electronic-resource-num&gt;10.1038/nchem.2695&lt;/electronic-resource-num&gt;&lt;/record&gt;&lt;/Cite&gt;&lt;/EndNote&gt;</w:instrText>
      </w:r>
      <w:r w:rsidRPr="00FF5CE0">
        <w:fldChar w:fldCharType="separate"/>
      </w:r>
      <w:r w:rsidR="00FC5BEB" w:rsidRPr="00FC5BEB">
        <w:rPr>
          <w:noProof/>
          <w:vertAlign w:val="superscript"/>
        </w:rPr>
        <w:t>329</w:t>
      </w:r>
      <w:r w:rsidRPr="00FF5CE0">
        <w:fldChar w:fldCharType="end"/>
      </w:r>
      <w:r w:rsidRPr="00FF5CE0">
        <w:t xml:space="preserve"> suggested the mechanisms shown in </w:t>
      </w:r>
      <w:r w:rsidR="002102C6">
        <w:fldChar w:fldCharType="begin"/>
      </w:r>
      <w:r w:rsidR="002102C6">
        <w:instrText xml:space="preserve"> REF _Ref159520414 \h </w:instrText>
      </w:r>
      <w:r w:rsidR="002102C6">
        <w:fldChar w:fldCharType="separate"/>
      </w:r>
      <w:r w:rsidR="00B52708" w:rsidRPr="002102C6">
        <w:rPr>
          <w:b/>
          <w:bCs/>
        </w:rPr>
        <w:t xml:space="preserve">Figure </w:t>
      </w:r>
      <w:r w:rsidR="00B52708">
        <w:rPr>
          <w:b/>
          <w:bCs/>
          <w:noProof/>
        </w:rPr>
        <w:t>25</w:t>
      </w:r>
      <w:r w:rsidR="002102C6">
        <w:fldChar w:fldCharType="end"/>
      </w:r>
      <w:r w:rsidRPr="00FF5CE0">
        <w:t xml:space="preserve">. </w:t>
      </w:r>
      <w:r w:rsidRPr="00B91CD5">
        <w:rPr>
          <w:szCs w:val="22"/>
        </w:rPr>
        <w:t>Note an RHE scale is used rather than SHE, which is a trivial change in the CHE</w:t>
      </w:r>
      <w:r w:rsidRPr="00B91CD5">
        <w:rPr>
          <w:szCs w:val="22"/>
        </w:rPr>
        <w:fldChar w:fldCharType="begin">
          <w:fldData xml:space="preserve">PEVuZE5vdGU+PENpdGU+PEF1dGhvcj5Hcm/DnzwvQXV0aG9yPjxZZWFyPjIwMjI8L1llYXI+PFJl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</w:fldData>
        </w:fldChar>
      </w:r>
      <w:r w:rsidR="00FC5BEB">
        <w:rPr>
          <w:szCs w:val="22"/>
        </w:rPr>
        <w:instrText xml:space="preserve"> ADDIN EN.CITE </w:instrText>
      </w:r>
      <w:r w:rsidR="00FC5BEB">
        <w:rPr>
          <w:szCs w:val="22"/>
        </w:rPr>
        <w:fldChar w:fldCharType="begin">
          <w:fldData xml:space="preserve">PEVuZE5vdGU+PENpdGU+PEF1dGhvcj5Hcm/DnzwvQXV0aG9yPjxZZWFyPjIwMjI8L1llYXI+PFJl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</w:fldData>
        </w:fldChar>
      </w:r>
      <w:r w:rsidR="00FC5BEB">
        <w:rPr>
          <w:szCs w:val="22"/>
        </w:rPr>
        <w:instrText xml:space="preserve"> ADDIN EN.CITE.DATA </w:instrText>
      </w:r>
      <w:r w:rsidR="00FC5BEB">
        <w:rPr>
          <w:szCs w:val="22"/>
        </w:rPr>
      </w:r>
      <w:r w:rsidR="00FC5BEB">
        <w:rPr>
          <w:szCs w:val="22"/>
        </w:rPr>
        <w:fldChar w:fldCharType="end"/>
      </w:r>
      <w:r w:rsidRPr="00B91CD5">
        <w:rPr>
          <w:szCs w:val="22"/>
        </w:rPr>
      </w:r>
      <w:r w:rsidRPr="00B91CD5">
        <w:rPr>
          <w:szCs w:val="22"/>
        </w:rPr>
        <w:fldChar w:fldCharType="separate"/>
      </w:r>
      <w:r w:rsidR="00FC5BEB" w:rsidRPr="00FC5BEB">
        <w:rPr>
          <w:noProof/>
          <w:szCs w:val="22"/>
          <w:vertAlign w:val="superscript"/>
        </w:rPr>
        <w:t>125, 142</w:t>
      </w:r>
      <w:r w:rsidRPr="00B91CD5">
        <w:rPr>
          <w:szCs w:val="22"/>
        </w:rPr>
        <w:fldChar w:fldCharType="end"/>
      </w:r>
      <w:r w:rsidRPr="00B91CD5">
        <w:rPr>
          <w:szCs w:val="22"/>
        </w:rPr>
        <w:t xml:space="preserve">, compare </w:t>
      </w:r>
      <w:r w:rsidR="002E34F3" w:rsidRPr="00B91CD5">
        <w:rPr>
          <w:szCs w:val="22"/>
        </w:rPr>
        <w:fldChar w:fldCharType="begin"/>
      </w:r>
      <w:r w:rsidR="002E34F3" w:rsidRPr="00B91CD5">
        <w:rPr>
          <w:szCs w:val="22"/>
        </w:rPr>
        <w:instrText xml:space="preserve"> REF _Ref159520302 \h </w:instrText>
      </w:r>
      <w:r w:rsidR="00B91CD5">
        <w:rPr>
          <w:szCs w:val="22"/>
        </w:rPr>
        <w:instrText xml:space="preserve"> \* MERGEFORMAT </w:instrText>
      </w:r>
      <w:r w:rsidR="002E34F3" w:rsidRPr="00B91CD5">
        <w:rPr>
          <w:szCs w:val="22"/>
        </w:rPr>
      </w:r>
      <w:r w:rsidR="002E34F3" w:rsidRPr="00B91CD5">
        <w:rPr>
          <w:szCs w:val="22"/>
        </w:rPr>
        <w:fldChar w:fldCharType="separate"/>
      </w:r>
      <w:r w:rsidR="00B52708" w:rsidRPr="00245F0C">
        <w:rPr>
          <w:szCs w:val="22"/>
        </w:rPr>
        <w:t xml:space="preserve">Equation </w:t>
      </w:r>
      <w:r w:rsidR="00B52708" w:rsidRPr="00245F0C">
        <w:rPr>
          <w:noProof/>
          <w:szCs w:val="22"/>
        </w:rPr>
        <w:t>46</w:t>
      </w:r>
      <w:r w:rsidR="002E34F3" w:rsidRPr="00B91CD5">
        <w:rPr>
          <w:szCs w:val="22"/>
        </w:rPr>
        <w:fldChar w:fldCharType="end"/>
      </w:r>
      <w:r w:rsidRPr="00B91CD5">
        <w:rPr>
          <w:szCs w:val="22"/>
        </w:rPr>
        <w:t xml:space="preserve"> and </w:t>
      </w:r>
      <w:r w:rsidR="002E34F3" w:rsidRPr="00B91CD5">
        <w:rPr>
          <w:szCs w:val="22"/>
        </w:rPr>
        <w:fldChar w:fldCharType="begin"/>
      </w:r>
      <w:r w:rsidR="002E34F3" w:rsidRPr="00B91CD5">
        <w:rPr>
          <w:szCs w:val="22"/>
        </w:rPr>
        <w:instrText xml:space="preserve"> REF _Ref159508699 \h </w:instrText>
      </w:r>
      <w:r w:rsidR="00B91CD5">
        <w:rPr>
          <w:szCs w:val="22"/>
        </w:rPr>
        <w:instrText xml:space="preserve"> \* MERGEFORMAT </w:instrText>
      </w:r>
      <w:r w:rsidR="002E34F3" w:rsidRPr="00B91CD5">
        <w:rPr>
          <w:szCs w:val="22"/>
        </w:rPr>
      </w:r>
      <w:r w:rsidR="002E34F3" w:rsidRPr="00B91CD5">
        <w:rPr>
          <w:szCs w:val="22"/>
        </w:rPr>
        <w:fldChar w:fldCharType="separate"/>
      </w:r>
      <w:r w:rsidR="00B52708" w:rsidRPr="00245F0C">
        <w:rPr>
          <w:szCs w:val="22"/>
        </w:rPr>
        <w:t xml:space="preserve">Equation </w:t>
      </w:r>
      <w:r w:rsidR="00B52708" w:rsidRPr="00245F0C">
        <w:rPr>
          <w:noProof/>
          <w:szCs w:val="22"/>
        </w:rPr>
        <w:t>32</w:t>
      </w:r>
      <w:r w:rsidR="002E34F3" w:rsidRPr="00B91CD5">
        <w:rPr>
          <w:szCs w:val="22"/>
        </w:rPr>
        <w:fldChar w:fldCharType="end"/>
      </w:r>
      <w:r w:rsidRPr="00B91CD5">
        <w:rPr>
          <w:szCs w:val="22"/>
        </w:rPr>
        <w:t>.</w:t>
      </w:r>
      <w:r w:rsidR="008D5367" w:rsidRPr="00FF5CE0">
        <w:fldChar w:fldCharType="begin"/>
      </w:r>
      <w:r w:rsidR="008D5367" w:rsidRPr="00FF5CE0">
        <w:instrText xml:space="preserve"> INCLUDEPICTURE "https://media.springernature.com/full/springer-static/image/art%3A10.1038%2Fnchem.2695/MediaObjects/41557_2017_Article_BFnchem2695_Fig4_HTML.jpg" \* MERGEFORMATINET </w:instrText>
      </w:r>
      <w:r w:rsidR="008D5367" w:rsidRPr="00FF5CE0">
        <w:fldChar w:fldCharType="separate"/>
      </w:r>
      <w:r w:rsidR="008D5367">
        <w:rPr>
          <w:noProof/>
          <w14:ligatures w14:val="standardContextual"/>
        </w:rPr>
        <w:fldChar w:fldCharType="begin"/>
      </w:r>
      <w:r w:rsidR="008D5367">
        <w:rPr>
          <w:noProof/>
          <w14:ligatures w14:val="standardContextual"/>
        </w:rPr>
        <w:instrText xml:space="preserve"> INCLUDEPICTURE  "https://media.springernature.com/full/springer-static/image/art:10.1038/nchem.2695/MediaObjects/41557_2017_Article_BFnchem2695_Fig4_HTML.jpg" \* MERGEFORMATINET </w:instrText>
      </w:r>
      <w:r w:rsidR="008D5367">
        <w:rPr>
          <w:noProof/>
          <w14:ligatures w14:val="standardContextual"/>
        </w:rPr>
        <w:fldChar w:fldCharType="separate"/>
      </w:r>
      <w:r w:rsidR="008D5367">
        <w:rPr>
          <w:noProof/>
          <w14:ligatures w14:val="standardContextual"/>
        </w:rPr>
        <w:fldChar w:fldCharType="begin"/>
      </w:r>
      <w:r w:rsidR="008D5367">
        <w:rPr>
          <w:noProof/>
          <w14:ligatures w14:val="standardContextual"/>
        </w:rPr>
        <w:instrText xml:space="preserve"> INCLUDEPICTURE  "https://media.springernature.com/full/springer-static/image/art:10.1038/nchem.2695/MediaObjects/41557_2017_Article_BFnchem2695_Fig4_HTML.jpg" \* MERGEFORMATINET </w:instrText>
      </w:r>
      <w:r w:rsidR="008D5367">
        <w:rPr>
          <w:noProof/>
          <w14:ligatures w14:val="standardContextual"/>
        </w:rPr>
        <w:fldChar w:fldCharType="separate"/>
      </w:r>
      <w:r w:rsidR="008D5367">
        <w:rPr>
          <w:noProof/>
          <w14:ligatures w14:val="standardContextual"/>
        </w:rPr>
        <w:fldChar w:fldCharType="begin"/>
      </w:r>
      <w:r w:rsidR="008D5367">
        <w:rPr>
          <w:noProof/>
          <w14:ligatures w14:val="standardContextual"/>
        </w:rPr>
        <w:instrText xml:space="preserve"> INCLUDEPICTURE  "https://media.springernature.com/full/springer-static/image/art:10.1038/nchem.2695/MediaObjects/41557_2017_Article_BFnchem2695_Fig4_HTML.jpg" \* MERGEFORMATINET </w:instrText>
      </w:r>
      <w:r w:rsidR="008D5367">
        <w:rPr>
          <w:noProof/>
          <w14:ligatures w14:val="standardContextual"/>
        </w:rPr>
        <w:fldChar w:fldCharType="separate"/>
      </w:r>
      <w:r w:rsidR="008D5367">
        <w:rPr>
          <w:noProof/>
          <w14:ligatures w14:val="standardContextual"/>
        </w:rPr>
        <w:fldChar w:fldCharType="begin"/>
      </w:r>
      <w:r w:rsidR="008D5367">
        <w:rPr>
          <w:noProof/>
          <w14:ligatures w14:val="standardContextual"/>
        </w:rPr>
        <w:instrText xml:space="preserve"> INCLUDEPICTURE  "https://media.springernature.com/full/springer-static/image/art:10.1038/nchem.2695/MediaObjects/41557_2017_Article_BFnchem2695_Fig4_HTML.jpg" \* MERGEFORMATINET </w:instrText>
      </w:r>
      <w:r w:rsidR="008D5367">
        <w:rPr>
          <w:noProof/>
          <w14:ligatures w14:val="standardContextual"/>
        </w:rPr>
        <w:fldChar w:fldCharType="separate"/>
      </w:r>
      <w:r w:rsidR="008D5367">
        <w:rPr>
          <w:noProof/>
          <w14:ligatures w14:val="standardContextual"/>
        </w:rPr>
        <w:fldChar w:fldCharType="begin"/>
      </w:r>
      <w:r w:rsidR="008D5367">
        <w:rPr>
          <w:noProof/>
          <w14:ligatures w14:val="standardContextual"/>
        </w:rPr>
        <w:instrText xml:space="preserve"> INCLUDEPICTURE  "https://media.springernature.com/full/springer-static/image/art:10.1038/nchem.2695/MediaObjects/41557_2017_Article_BFnchem2695_Fig4_HTML.jpg" \* MERGEFORMATINET </w:instrText>
      </w:r>
      <w:r w:rsidR="008D5367">
        <w:rPr>
          <w:noProof/>
          <w14:ligatures w14:val="standardContextual"/>
        </w:rPr>
        <w:fldChar w:fldCharType="separate"/>
      </w:r>
      <w:r w:rsidR="008D5367">
        <w:rPr>
          <w:noProof/>
          <w14:ligatures w14:val="standardContextual"/>
        </w:rPr>
        <w:fldChar w:fldCharType="begin"/>
      </w:r>
      <w:r w:rsidR="008D5367">
        <w:rPr>
          <w:noProof/>
          <w14:ligatures w14:val="standardContextual"/>
        </w:rPr>
        <w:instrText xml:space="preserve"> INCLUDEPICTURE  "https://media.springernature.com/full/springer-static/image/art:10.1038/nchem.2695/MediaObjects/41557_2017_Article_BFnchem2695_Fig4_HTML.jpg" \* MERGEFORMATINET </w:instrText>
      </w:r>
      <w:r w:rsidR="008D5367">
        <w:rPr>
          <w:noProof/>
          <w14:ligatures w14:val="standardContextual"/>
        </w:rPr>
        <w:fldChar w:fldCharType="separate"/>
      </w:r>
      <w:r w:rsidR="008D5367">
        <w:rPr>
          <w:noProof/>
          <w14:ligatures w14:val="standardContextual"/>
        </w:rPr>
        <w:fldChar w:fldCharType="begin"/>
      </w:r>
      <w:r w:rsidR="008D5367">
        <w:rPr>
          <w:noProof/>
          <w14:ligatures w14:val="standardContextual"/>
        </w:rPr>
        <w:instrText xml:space="preserve"> INCLUDEPICTURE  "https://media.springernature.com/full/springer-static/image/art:10.1038/nchem.2695/MediaObjects/41557_2017_Article_BFnchem2695_Fig4_HTML.jpg" \* MERGEFORMATINET </w:instrText>
      </w:r>
      <w:r w:rsidR="00000000">
        <w:rPr>
          <w:noProof/>
          <w14:ligatures w14:val="standardContextual"/>
        </w:rPr>
        <w:fldChar w:fldCharType="separate"/>
      </w:r>
      <w:r w:rsidR="008D5367">
        <w:rPr>
          <w:noProof/>
          <w14:ligatures w14:val="standardContextual"/>
        </w:rPr>
        <w:fldChar w:fldCharType="end"/>
      </w:r>
      <w:r w:rsidR="008D5367">
        <w:rPr>
          <w:noProof/>
          <w14:ligatures w14:val="standardContextual"/>
        </w:rPr>
        <w:fldChar w:fldCharType="end"/>
      </w:r>
      <w:r w:rsidR="008D5367">
        <w:rPr>
          <w:noProof/>
          <w14:ligatures w14:val="standardContextual"/>
        </w:rPr>
        <w:fldChar w:fldCharType="end"/>
      </w:r>
      <w:r w:rsidR="008D5367">
        <w:rPr>
          <w:noProof/>
          <w14:ligatures w14:val="standardContextual"/>
        </w:rPr>
        <w:fldChar w:fldCharType="end"/>
      </w:r>
      <w:r w:rsidR="008D5367">
        <w:rPr>
          <w:noProof/>
          <w14:ligatures w14:val="standardContextual"/>
        </w:rPr>
        <w:fldChar w:fldCharType="end"/>
      </w:r>
      <w:r w:rsidR="008D5367">
        <w:rPr>
          <w:noProof/>
          <w14:ligatures w14:val="standardContextual"/>
        </w:rPr>
        <w:fldChar w:fldCharType="end"/>
      </w:r>
      <w:r w:rsidR="008D5367">
        <w:rPr>
          <w:noProof/>
          <w14:ligatures w14:val="standardContextual"/>
        </w:rPr>
        <w:fldChar w:fldCharType="end"/>
      </w:r>
      <w:r w:rsidR="008D5367" w:rsidRPr="00FF5CE0">
        <w:fldChar w:fldCharType="end"/>
      </w:r>
    </w:p>
    <w:p w14:paraId="76A3CBA1" w14:textId="77777777" w:rsidR="008D5367" w:rsidRDefault="008D5367" w:rsidP="00FF5CE0"/>
    <w:p w14:paraId="209EB272" w14:textId="357745DD" w:rsidR="00FF5CE0" w:rsidRPr="00FF5CE0" w:rsidRDefault="002102C6" w:rsidP="002E34F3">
      <w:pPr>
        <w:ind w:firstLine="720"/>
        <w:rPr>
          <w:iCs/>
        </w:rPr>
      </w:pPr>
      <w:r>
        <w:fldChar w:fldCharType="begin"/>
      </w:r>
      <w:r>
        <w:instrText xml:space="preserve"> REF _Ref159520414 \h </w:instrText>
      </w:r>
      <w:r>
        <w:fldChar w:fldCharType="separate"/>
      </w:r>
      <w:r w:rsidR="00B52708" w:rsidRPr="002102C6">
        <w:rPr>
          <w:b/>
          <w:bCs/>
        </w:rPr>
        <w:t xml:space="preserve">Figure </w:t>
      </w:r>
      <w:r w:rsidR="00B52708">
        <w:rPr>
          <w:b/>
          <w:bCs/>
          <w:noProof/>
        </w:rPr>
        <w:t>25</w:t>
      </w:r>
      <w:r>
        <w:fldChar w:fldCharType="end"/>
      </w:r>
      <w:r w:rsidR="00FF5CE0" w:rsidRPr="00967BAD">
        <w:rPr>
          <w:b/>
          <w:bCs/>
        </w:rPr>
        <w:t>a</w:t>
      </w:r>
      <w:r w:rsidR="00FF5CE0" w:rsidRPr="00FF5CE0">
        <w:t xml:space="preserve"> shows the standard single-site nucleophilic attack mechanism, the AEM, argued to produce </w:t>
      </w:r>
      <w:r w:rsidR="00FF5CE0" w:rsidRPr="00FF5CE0">
        <w:rPr>
          <w:vertAlign w:val="superscript"/>
        </w:rPr>
        <w:t>16</w:t>
      </w:r>
      <w:r w:rsidR="00FF5CE0" w:rsidRPr="00FF5CE0">
        <w:t>O</w:t>
      </w:r>
      <w:r w:rsidR="00FF5CE0" w:rsidRPr="00FF5CE0">
        <w:rPr>
          <w:vertAlign w:val="superscript"/>
        </w:rPr>
        <w:t>16</w:t>
      </w:r>
      <w:r w:rsidR="00FF5CE0" w:rsidRPr="00FF5CE0">
        <w:t>O over LaCoO</w:t>
      </w:r>
      <w:r w:rsidR="00FF5CE0" w:rsidRPr="00FF5CE0">
        <w:rPr>
          <w:vertAlign w:val="subscript"/>
        </w:rPr>
        <w:t>3</w:t>
      </w:r>
      <w:r w:rsidR="00FF5CE0" w:rsidRPr="00FF5CE0">
        <w:t xml:space="preserve">, whereas </w:t>
      </w:r>
      <w:r w:rsidR="003467F6">
        <w:fldChar w:fldCharType="begin"/>
      </w:r>
      <w:r w:rsidR="003467F6">
        <w:instrText xml:space="preserve"> REF _Ref159520414 \h </w:instrText>
      </w:r>
      <w:r w:rsidR="003467F6">
        <w:fldChar w:fldCharType="separate"/>
      </w:r>
      <w:r w:rsidR="00B52708" w:rsidRPr="002102C6">
        <w:rPr>
          <w:b/>
          <w:bCs/>
        </w:rPr>
        <w:t xml:space="preserve">Figure </w:t>
      </w:r>
      <w:r w:rsidR="00B52708">
        <w:rPr>
          <w:b/>
          <w:bCs/>
          <w:noProof/>
        </w:rPr>
        <w:t>25</w:t>
      </w:r>
      <w:r w:rsidR="003467F6">
        <w:fldChar w:fldCharType="end"/>
      </w:r>
      <w:r w:rsidR="003467F6">
        <w:rPr>
          <w:b/>
          <w:bCs/>
        </w:rPr>
        <w:t>c</w:t>
      </w:r>
      <w:r w:rsidR="003467F6" w:rsidRPr="00FF5CE0">
        <w:t xml:space="preserve"> </w:t>
      </w:r>
      <w:r w:rsidR="00FF5CE0" w:rsidRPr="00FF5CE0">
        <w:t xml:space="preserve">represents a route to form </w:t>
      </w:r>
      <w:r w:rsidR="00FF5CE0" w:rsidRPr="00FF5CE0">
        <w:rPr>
          <w:vertAlign w:val="superscript"/>
        </w:rPr>
        <w:t>16</w:t>
      </w:r>
      <w:r w:rsidR="00FF5CE0" w:rsidRPr="00FF5CE0">
        <w:t>O</w:t>
      </w:r>
      <w:r w:rsidR="00FF5CE0" w:rsidRPr="00FF5CE0">
        <w:rPr>
          <w:vertAlign w:val="superscript"/>
        </w:rPr>
        <w:t>18</w:t>
      </w:r>
      <w:r w:rsidR="00FF5CE0" w:rsidRPr="00FF5CE0">
        <w:t xml:space="preserve">O, and </w:t>
      </w:r>
      <w:r>
        <w:fldChar w:fldCharType="begin"/>
      </w:r>
      <w:r>
        <w:instrText xml:space="preserve"> REF _Ref159520414 \h </w:instrText>
      </w:r>
      <w:r>
        <w:fldChar w:fldCharType="separate"/>
      </w:r>
      <w:r w:rsidR="00B52708" w:rsidRPr="002102C6">
        <w:rPr>
          <w:b/>
          <w:bCs/>
        </w:rPr>
        <w:t xml:space="preserve">Figure </w:t>
      </w:r>
      <w:r w:rsidR="00B52708">
        <w:rPr>
          <w:b/>
          <w:bCs/>
          <w:noProof/>
        </w:rPr>
        <w:t>25</w:t>
      </w:r>
      <w:r>
        <w:fldChar w:fldCharType="end"/>
      </w:r>
      <w:r w:rsidR="003467F6">
        <w:rPr>
          <w:b/>
          <w:bCs/>
        </w:rPr>
        <w:t>e</w:t>
      </w:r>
      <w:r w:rsidR="00FF5CE0" w:rsidRPr="00FF5CE0">
        <w:t xml:space="preserve"> shows a route to </w:t>
      </w:r>
      <w:r w:rsidR="00FF5CE0" w:rsidRPr="00FF5CE0">
        <w:rPr>
          <w:vertAlign w:val="superscript"/>
        </w:rPr>
        <w:t>18</w:t>
      </w:r>
      <w:r w:rsidR="00FF5CE0" w:rsidRPr="00FF5CE0">
        <w:t>O</w:t>
      </w:r>
      <w:r w:rsidR="00FF5CE0" w:rsidRPr="00FF5CE0">
        <w:rPr>
          <w:vertAlign w:val="superscript"/>
        </w:rPr>
        <w:t>18</w:t>
      </w:r>
      <w:r w:rsidR="00FF5CE0" w:rsidRPr="00FF5CE0">
        <w:t xml:space="preserve">O. All three examples involve only PCET reactions </w:t>
      </w:r>
      <w:r w:rsidR="00890084">
        <w:t>and</w:t>
      </w:r>
      <w:r w:rsidR="00890084" w:rsidRPr="00FF5CE0">
        <w:t xml:space="preserve"> </w:t>
      </w:r>
      <w:r w:rsidR="00FF5CE0" w:rsidRPr="00FF5CE0">
        <w:t xml:space="preserve">so are amenable to calculations within the CHE. Notice, however, that both LOMs are distinct from the single-metal-site and dual-metal-site LOMs previously discussed; this demonstrates the large mechanistic diversity that was ignored when the AEM was the primary focus. </w:t>
      </w:r>
      <w:r>
        <w:fldChar w:fldCharType="begin"/>
      </w:r>
      <w:r>
        <w:instrText xml:space="preserve"> REF _Ref159520414 \h </w:instrText>
      </w:r>
      <w:r>
        <w:fldChar w:fldCharType="separate"/>
      </w:r>
      <w:r w:rsidR="00B52708" w:rsidRPr="002102C6">
        <w:rPr>
          <w:b/>
          <w:bCs/>
        </w:rPr>
        <w:t xml:space="preserve">Figure </w:t>
      </w:r>
      <w:r w:rsidR="00B52708">
        <w:rPr>
          <w:b/>
          <w:bCs/>
          <w:noProof/>
        </w:rPr>
        <w:t>25</w:t>
      </w:r>
      <w:r>
        <w:fldChar w:fldCharType="end"/>
      </w:r>
      <w:r w:rsidR="00FF5CE0" w:rsidRPr="00967BAD">
        <w:rPr>
          <w:b/>
          <w:bCs/>
        </w:rPr>
        <w:t>b</w:t>
      </w:r>
      <w:r w:rsidR="00FF5CE0" w:rsidRPr="00FF5CE0">
        <w:t xml:space="preserve"> shows the computed energetics for reactions on the metal sites though the AEM. LaCoO</w:t>
      </w:r>
      <w:r w:rsidR="00FF5CE0" w:rsidRPr="00FF5CE0">
        <w:rPr>
          <w:vertAlign w:val="subscript"/>
        </w:rPr>
        <w:t>3</w:t>
      </w:r>
      <w:r w:rsidR="00FF5CE0" w:rsidRPr="00FF5CE0">
        <w:t xml:space="preserve"> can be seen to have a predicted </w:t>
      </w:r>
      <w:r w:rsidR="00FF5CE0" w:rsidRPr="00FF5CE0">
        <w:rPr>
          <w:i/>
        </w:rPr>
        <w:sym w:font="Symbol" w:char="F068"/>
      </w:r>
      <w:r w:rsidR="00FF5CE0" w:rsidRPr="00FF5CE0">
        <w:rPr>
          <w:iCs/>
          <w:vertAlign w:val="subscript"/>
        </w:rPr>
        <w:t>CHE</w:t>
      </w:r>
      <w:r w:rsidR="00FF5CE0" w:rsidRPr="00FF5CE0">
        <w:rPr>
          <w:iCs/>
        </w:rPr>
        <w:t xml:space="preserve"> of 0.61 V vs RHE through the AEM over the Co site of the CoO</w:t>
      </w:r>
      <w:r w:rsidR="00FF5CE0" w:rsidRPr="00FF5CE0">
        <w:rPr>
          <w:iCs/>
          <w:vertAlign w:val="subscript"/>
        </w:rPr>
        <w:t>2</w:t>
      </w:r>
      <w:r w:rsidR="00FF5CE0" w:rsidRPr="00FF5CE0">
        <w:rPr>
          <w:iCs/>
        </w:rPr>
        <w:t xml:space="preserve"> terminated (001) surface, while SrCoO</w:t>
      </w:r>
      <w:r w:rsidR="00FF5CE0" w:rsidRPr="00FF5CE0">
        <w:rPr>
          <w:iCs/>
          <w:vertAlign w:val="subscript"/>
        </w:rPr>
        <w:t>3</w:t>
      </w:r>
      <w:r w:rsidR="00FF5CE0" w:rsidRPr="00FF5CE0">
        <w:rPr>
          <w:iCs/>
        </w:rPr>
        <w:t xml:space="preserve"> is predicted to have </w:t>
      </w:r>
      <w:r w:rsidR="00FF5CE0" w:rsidRPr="00FF5CE0">
        <w:rPr>
          <w:i/>
        </w:rPr>
        <w:sym w:font="Symbol" w:char="F068"/>
      </w:r>
      <w:r w:rsidR="00FF5CE0" w:rsidRPr="00FF5CE0">
        <w:rPr>
          <w:iCs/>
          <w:vertAlign w:val="subscript"/>
        </w:rPr>
        <w:t>CHE</w:t>
      </w:r>
      <w:r w:rsidR="00FF5CE0" w:rsidRPr="00FF5CE0">
        <w:rPr>
          <w:iCs/>
        </w:rPr>
        <w:t>=0.46 V vs RHE through the AEM operating on the metal sites of the CoO</w:t>
      </w:r>
      <w:r w:rsidR="00FF5CE0" w:rsidRPr="00FF5CE0">
        <w:rPr>
          <w:iCs/>
          <w:vertAlign w:val="subscript"/>
        </w:rPr>
        <w:t>2</w:t>
      </w:r>
      <w:r w:rsidR="00FF5CE0" w:rsidRPr="00FF5CE0">
        <w:rPr>
          <w:iCs/>
        </w:rPr>
        <w:t xml:space="preserve"> terminated (001) surface. </w:t>
      </w:r>
    </w:p>
    <w:p w14:paraId="033087CD" w14:textId="77777777" w:rsidR="00FF5CE0" w:rsidRPr="00FF5CE0" w:rsidRDefault="00FF5CE0" w:rsidP="00FF5CE0">
      <w:pPr>
        <w:rPr>
          <w:iCs/>
        </w:rPr>
      </w:pPr>
    </w:p>
    <w:p w14:paraId="77D6626A" w14:textId="6B6B44E8" w:rsidR="00FF5CE0" w:rsidRPr="00FF5CE0" w:rsidRDefault="00FF5CE0" w:rsidP="002E34F3">
      <w:pPr>
        <w:ind w:firstLine="720"/>
      </w:pPr>
      <w:r w:rsidRPr="00FF5CE0">
        <w:rPr>
          <w:iCs/>
        </w:rPr>
        <w:t>When lattice oxygen is involved in O-O bond formation through the oxygen-vacancy-site LOM</w:t>
      </w:r>
      <w:r w:rsidRPr="00FF5CE0">
        <w:rPr>
          <w:iCs/>
        </w:rPr>
        <w:fldChar w:fldCharType="begin"/>
      </w:r>
      <w:r w:rsidR="00FC5BEB">
        <w:rPr>
          <w:iCs/>
        </w:rPr>
        <w:instrText xml:space="preserve"> ADDIN EN.CITE &lt;EndNote&gt;&lt;Cite&gt;&lt;Author&gt;Zhang&lt;/Author&gt;&lt;Year&gt;2021&lt;/Year&gt;&lt;RecNum&gt;336&lt;/RecNum&gt;&lt;DisplayText&gt;&lt;style face="superscript"&gt;338&lt;/style&gt;&lt;/DisplayText&gt;&lt;record&gt;&lt;rec-number&gt;336&lt;/rec-number&gt;&lt;foreign-keys&gt;&lt;key app="EN" db-id="2xex0erf4eexr4e2dpbxpdd829xttesxxxdr" timestamp="1715075296"&gt;336&lt;/key&gt;&lt;/foreign-keys&gt;&lt;ref-type name="Journal Article"&gt;17&lt;/ref-type&gt;&lt;contributors&gt;&lt;authors&gt;&lt;author&gt;Zhang, Ning&lt;/author&gt;&lt;author&gt;Chai, Yang&lt;/author&gt;&lt;/authors&gt;&lt;/contributors&gt;&lt;titles&gt;&lt;title&gt;Lattice oxygen redox chemistry in solid-state electrocatalysts for water oxidation&lt;/title&gt;&lt;secondary-title&gt;Energy Environ. Sci.&lt;/secondary-title&gt;&lt;/titles&gt;&lt;periodical&gt;&lt;full-title&gt;Energy Environ. Sci.&lt;/full-title&gt;&lt;/periodical&gt;&lt;pages&gt;4647-4671&lt;/pages&gt;&lt;volume&gt;14&lt;/volume&gt;&lt;number&gt;9&lt;/number&gt;&lt;dates&gt;&lt;year&gt;2021&lt;/year&gt;&lt;/dates&gt;&lt;publisher&gt;The Royal Society of Chemistry&lt;/publisher&gt;&lt;isbn&gt;1754-5692&lt;/isbn&gt;&lt;work-type&gt;10.1039/D1EE01277K&lt;/work-type&gt;&lt;urls&gt;&lt;related-urls&gt;&lt;url&gt;http://dx.doi.org/10.1039/D1EE01277K&lt;/url&gt;&lt;/related-urls&gt;&lt;/urls&gt;&lt;electronic-resource-num&gt;10.1039/D1EE01277K&lt;/electronic-resource-num&gt;&lt;/record&gt;&lt;/Cite&gt;&lt;/EndNote&gt;</w:instrText>
      </w:r>
      <w:r w:rsidRPr="00FF5CE0">
        <w:rPr>
          <w:iCs/>
        </w:rPr>
        <w:fldChar w:fldCharType="separate"/>
      </w:r>
      <w:r w:rsidR="00FC5BEB" w:rsidRPr="00FC5BEB">
        <w:rPr>
          <w:iCs/>
          <w:noProof/>
          <w:vertAlign w:val="superscript"/>
        </w:rPr>
        <w:t>338</w:t>
      </w:r>
      <w:r w:rsidRPr="00FF5CE0">
        <w:fldChar w:fldCharType="end"/>
      </w:r>
      <w:r w:rsidRPr="00FF5CE0">
        <w:rPr>
          <w:iCs/>
        </w:rPr>
        <w:t xml:space="preserve"> shown in </w:t>
      </w:r>
      <w:r w:rsidR="002102C6">
        <w:rPr>
          <w:iCs/>
        </w:rPr>
        <w:fldChar w:fldCharType="begin"/>
      </w:r>
      <w:r w:rsidR="002102C6">
        <w:rPr>
          <w:iCs/>
        </w:rPr>
        <w:instrText xml:space="preserve"> REF _Ref159520414 \h </w:instrText>
      </w:r>
      <w:r w:rsidR="002102C6">
        <w:rPr>
          <w:iCs/>
        </w:rPr>
      </w:r>
      <w:r w:rsidR="002102C6">
        <w:rPr>
          <w:iCs/>
        </w:rPr>
        <w:fldChar w:fldCharType="separate"/>
      </w:r>
      <w:r w:rsidR="00B52708" w:rsidRPr="002102C6">
        <w:rPr>
          <w:b/>
          <w:bCs/>
        </w:rPr>
        <w:t xml:space="preserve">Figure </w:t>
      </w:r>
      <w:r w:rsidR="00B52708">
        <w:rPr>
          <w:b/>
          <w:bCs/>
          <w:noProof/>
        </w:rPr>
        <w:t>25</w:t>
      </w:r>
      <w:r w:rsidR="002102C6">
        <w:rPr>
          <w:iCs/>
        </w:rPr>
        <w:fldChar w:fldCharType="end"/>
      </w:r>
      <w:r w:rsidRPr="00967BAD">
        <w:rPr>
          <w:b/>
          <w:bCs/>
          <w:iCs/>
        </w:rPr>
        <w:t>c</w:t>
      </w:r>
      <w:r w:rsidRPr="00FF5CE0">
        <w:rPr>
          <w:iCs/>
        </w:rPr>
        <w:t>, the computed energetics LaCoO</w:t>
      </w:r>
      <w:r w:rsidRPr="00FF5CE0">
        <w:rPr>
          <w:iCs/>
          <w:vertAlign w:val="subscript"/>
        </w:rPr>
        <w:t>3</w:t>
      </w:r>
      <w:r w:rsidRPr="00FF5CE0">
        <w:rPr>
          <w:iCs/>
        </w:rPr>
        <w:t xml:space="preserve"> charge drastically while those over SrCoO</w:t>
      </w:r>
      <w:r w:rsidRPr="00FF5CE0">
        <w:rPr>
          <w:iCs/>
          <w:vertAlign w:val="subscript"/>
        </w:rPr>
        <w:t>3</w:t>
      </w:r>
      <w:r w:rsidRPr="00FF5CE0">
        <w:rPr>
          <w:iCs/>
        </w:rPr>
        <w:t xml:space="preserve"> do not, </w:t>
      </w:r>
      <w:r w:rsidR="002102C6">
        <w:rPr>
          <w:iCs/>
        </w:rPr>
        <w:fldChar w:fldCharType="begin"/>
      </w:r>
      <w:r w:rsidR="002102C6">
        <w:rPr>
          <w:iCs/>
        </w:rPr>
        <w:instrText xml:space="preserve"> REF _Ref159520414 \h </w:instrText>
      </w:r>
      <w:r w:rsidR="002102C6">
        <w:rPr>
          <w:iCs/>
        </w:rPr>
      </w:r>
      <w:r w:rsidR="002102C6">
        <w:rPr>
          <w:iCs/>
        </w:rPr>
        <w:fldChar w:fldCharType="separate"/>
      </w:r>
      <w:r w:rsidR="00B52708" w:rsidRPr="002102C6">
        <w:rPr>
          <w:b/>
          <w:bCs/>
        </w:rPr>
        <w:t xml:space="preserve">Figure </w:t>
      </w:r>
      <w:r w:rsidR="00B52708">
        <w:rPr>
          <w:b/>
          <w:bCs/>
          <w:noProof/>
        </w:rPr>
        <w:t>25</w:t>
      </w:r>
      <w:r w:rsidR="002102C6">
        <w:rPr>
          <w:iCs/>
        </w:rPr>
        <w:fldChar w:fldCharType="end"/>
      </w:r>
      <w:r w:rsidRPr="00967BAD">
        <w:rPr>
          <w:b/>
          <w:bCs/>
          <w:iCs/>
        </w:rPr>
        <w:t>d</w:t>
      </w:r>
      <w:r w:rsidRPr="00FF5CE0">
        <w:rPr>
          <w:iCs/>
        </w:rPr>
        <w:t xml:space="preserve">. The authors claim these results can explain the appearance of </w:t>
      </w:r>
      <w:r w:rsidRPr="00FF5CE0">
        <w:rPr>
          <w:vertAlign w:val="superscript"/>
        </w:rPr>
        <w:t>16</w:t>
      </w:r>
      <w:r w:rsidRPr="00FF5CE0">
        <w:t>O</w:t>
      </w:r>
      <w:r w:rsidRPr="00FF5CE0">
        <w:rPr>
          <w:vertAlign w:val="superscript"/>
        </w:rPr>
        <w:t>18</w:t>
      </w:r>
      <w:r w:rsidRPr="00FF5CE0">
        <w:t>O product over SrCoO</w:t>
      </w:r>
      <w:r w:rsidRPr="00FF5CE0">
        <w:rPr>
          <w:vertAlign w:val="subscript"/>
        </w:rPr>
        <w:t>3</w:t>
      </w:r>
      <w:r w:rsidRPr="00FF5CE0">
        <w:t>, though it should be noted that the single-metal-site</w:t>
      </w:r>
      <w:r w:rsidRPr="00FF5CE0">
        <w:rPr>
          <w:iCs/>
        </w:rPr>
        <w:t xml:space="preserve"> LOM was shown to have </w:t>
      </w:r>
      <w:r w:rsidRPr="00FF5CE0">
        <w:rPr>
          <w:i/>
        </w:rPr>
        <w:sym w:font="Symbol" w:char="F068"/>
      </w:r>
      <w:r w:rsidRPr="00FF5CE0">
        <w:rPr>
          <w:iCs/>
          <w:vertAlign w:val="subscript"/>
        </w:rPr>
        <w:t>CHE</w:t>
      </w:r>
      <w:r w:rsidRPr="00FF5CE0">
        <w:rPr>
          <w:iCs/>
        </w:rPr>
        <w:t xml:space="preserve">=0.22 V in </w:t>
      </w:r>
      <w:r w:rsidRPr="00FF5CE0">
        <w:t xml:space="preserve">Ref. </w:t>
      </w:r>
      <w:r w:rsidRPr="00FF5CE0">
        <w:fldChar w:fldCharType="begin"/>
      </w:r>
      <w:r w:rsidR="00FC5BEB">
        <w:instrText xml:space="preserve"> ADDIN EN.CITE &lt;EndNote&gt;&lt;Cite&gt;&lt;Author&gt;Mefford&lt;/Author&gt;&lt;Year&gt;2016&lt;/Year&gt;&lt;RecNum&gt;325&lt;/RecNum&gt;&lt;DisplayText&gt;&lt;style face="superscript"&gt;327&lt;/style&gt;&lt;/DisplayText&gt;&lt;record&gt;&lt;rec-number&gt;325&lt;/rec-number&gt;&lt;foreign-keys&gt;&lt;key app="EN" db-id="2xex0erf4eexr4e2dpbxpdd829xttesxxxdr" timestamp="1715075296"&gt;325&lt;/key&gt;&lt;/foreign-keys&gt;&lt;ref-type name="Journal Article"&gt;17&lt;/ref-type&gt;&lt;contributors&gt;&lt;authors&gt;&lt;author&gt;Mefford, J. Tyler&lt;/author&gt;&lt;author&gt;Rong, Xi&lt;/author&gt;&lt;author&gt;Abakumov, Artem M.&lt;/author&gt;&lt;author&gt;Hardin, William G.&lt;/author&gt;&lt;author&gt;Dai, Sheng&lt;/author&gt;&lt;author&gt;Kolpak, Alexie M.&lt;/author&gt;&lt;author&gt;Johnston, Keith P.&lt;/author&gt;&lt;author&gt;Stevenson, Keith J.&lt;/author&gt;&lt;/authors&gt;&lt;/contributors&gt;&lt;titles&gt;&lt;title&gt;Water electrolysis on La1−xSrxCoO3−δ perovskite electrocatalysts&lt;/title&gt;&lt;secondary-title&gt;Nat. Commun.&lt;/secondary-title&gt;&lt;/titles&gt;&lt;periodical&gt;&lt;full-title&gt;Nat. Commun.&lt;/full-title&gt;&lt;abbr-1&gt;Nat. Commun.&lt;/abbr-1&gt;&lt;/periodical&gt;&lt;pages&gt;11053&lt;/pages&gt;&lt;volume&gt;7&lt;/volume&gt;&lt;number&gt;1&lt;/number&gt;&lt;dates&gt;&lt;year&gt;2016&lt;/year&gt;&lt;pub-dates&gt;&lt;date&gt;2016/03/23&lt;/date&gt;&lt;/pub-dates&gt;&lt;/dates&gt;&lt;isbn&gt;2041-1723&lt;/isbn&gt;&lt;urls&gt;&lt;related-urls&gt;&lt;url&gt;https://doi.org/10.1038/ncomms11053&lt;/url&gt;&lt;/related-urls&gt;&lt;/urls&gt;&lt;electronic-resource-num&gt;10.1038/ncomms11053&lt;/electronic-resource-num&gt;&lt;/record&gt;&lt;/Cite&gt;&lt;/EndNote&gt;</w:instrText>
      </w:r>
      <w:r w:rsidRPr="00FF5CE0">
        <w:fldChar w:fldCharType="separate"/>
      </w:r>
      <w:r w:rsidR="00FC5BEB" w:rsidRPr="00FC5BEB">
        <w:rPr>
          <w:noProof/>
          <w:vertAlign w:val="superscript"/>
        </w:rPr>
        <w:t>327</w:t>
      </w:r>
      <w:r w:rsidRPr="00FF5CE0">
        <w:fldChar w:fldCharType="end"/>
      </w:r>
      <w:r w:rsidRPr="00FF5CE0">
        <w:t>, suggesting the single-metal-site</w:t>
      </w:r>
      <w:r w:rsidRPr="00FF5CE0">
        <w:rPr>
          <w:iCs/>
        </w:rPr>
        <w:t xml:space="preserve"> LOM may be more active than the oxygen-vacancy-site LOM shown in </w:t>
      </w:r>
      <w:r w:rsidR="002102C6">
        <w:fldChar w:fldCharType="begin"/>
      </w:r>
      <w:r w:rsidR="002102C6">
        <w:rPr>
          <w:iCs/>
        </w:rPr>
        <w:instrText xml:space="preserve"> REF _Ref159520414 \h </w:instrText>
      </w:r>
      <w:r w:rsidR="002102C6">
        <w:fldChar w:fldCharType="separate"/>
      </w:r>
      <w:r w:rsidR="00B52708" w:rsidRPr="002102C6">
        <w:rPr>
          <w:b/>
          <w:bCs/>
        </w:rPr>
        <w:t xml:space="preserve">Figure </w:t>
      </w:r>
      <w:r w:rsidR="00B52708">
        <w:rPr>
          <w:b/>
          <w:bCs/>
          <w:noProof/>
        </w:rPr>
        <w:t>25</w:t>
      </w:r>
      <w:r w:rsidR="002102C6">
        <w:fldChar w:fldCharType="end"/>
      </w:r>
      <w:r w:rsidRPr="00967BAD">
        <w:rPr>
          <w:b/>
          <w:bCs/>
        </w:rPr>
        <w:t>c</w:t>
      </w:r>
      <w:r w:rsidRPr="00FF5CE0">
        <w:t xml:space="preserve">; both would produce </w:t>
      </w:r>
      <w:r w:rsidRPr="00FF5CE0">
        <w:rPr>
          <w:vertAlign w:val="superscript"/>
        </w:rPr>
        <w:t>16</w:t>
      </w:r>
      <w:r w:rsidRPr="00FF5CE0">
        <w:t>O</w:t>
      </w:r>
      <w:r w:rsidRPr="00FF5CE0">
        <w:rPr>
          <w:vertAlign w:val="superscript"/>
        </w:rPr>
        <w:t>18</w:t>
      </w:r>
      <w:r w:rsidRPr="00FF5CE0">
        <w:t xml:space="preserve">O gas-phase product. </w:t>
      </w:r>
      <w:r w:rsidRPr="00FF5CE0">
        <w:rPr>
          <w:iCs/>
        </w:rPr>
        <w:t>Regardless of this mechanistic flexibility in the LOM, it appears the LOM is activated when the Fermi energy crosses the O 2p band</w:t>
      </w:r>
      <w:r w:rsidRPr="00FF5CE0">
        <w:fldChar w:fldCharType="begin">
          <w:fldData xml:space="preserve">PEVuZE5vdGU+PENpdGU+PEF1dGhvcj5NZWZmb3JkPC9BdXRob3I+PFllYXI+MjAxNjwvWWVhcj48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</w:fldData>
        </w:fldChar>
      </w:r>
      <w:r w:rsidR="00FC5BEB">
        <w:instrText xml:space="preserve"> ADDIN EN.CITE </w:instrText>
      </w:r>
      <w:r w:rsidR="00FC5BEB">
        <w:fldChar w:fldCharType="begin">
          <w:fldData xml:space="preserve">PEVuZE5vdGU+PENpdGU+PEF1dGhvcj5NZWZmb3JkPC9BdXRob3I+PFllYXI+MjAxNjwvWWVhcj48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327, 329</w:t>
      </w:r>
      <w:r w:rsidRPr="00FF5CE0">
        <w:fldChar w:fldCharType="end"/>
      </w:r>
      <w:r w:rsidR="000E375E">
        <w:rPr>
          <w:iCs/>
        </w:rPr>
        <w:t xml:space="preserve"> </w:t>
      </w:r>
      <w:r w:rsidRPr="00FF5CE0">
        <w:rPr>
          <w:iCs/>
        </w:rPr>
        <w:fldChar w:fldCharType="begin"/>
      </w:r>
      <w:r w:rsidR="00FC5BEB">
        <w:rPr>
          <w:iCs/>
        </w:rPr>
        <w:instrText xml:space="preserve"> ADDIN EN.CITE &lt;EndNote&gt;&lt;Cite&gt;&lt;Author&gt;Rong&lt;/Author&gt;&lt;Year&gt;2016&lt;/Year&gt;&lt;RecNum&gt;322&lt;/RecNum&gt;&lt;DisplayText&gt;&lt;style face="superscript"&gt;324&lt;/style&gt;&lt;/DisplayText&gt;&lt;record&gt;&lt;rec-number&gt;322&lt;/rec-number&gt;&lt;foreign-keys&gt;&lt;key app="EN" db-id="2xex0erf4eexr4e2dpbxpdd829xttesxxxdr" timestamp="1715075296"&gt;322&lt;/key&gt;&lt;/foreign-keys&gt;&lt;ref-type name="Journal Article"&gt;17&lt;/ref-type&gt;&lt;contributors&gt;&lt;authors&gt;&lt;author&gt;Rong, Xi&lt;/author&gt;&lt;author&gt;Parolin, Jules&lt;/author&gt;&lt;author&gt;Kolpak, Alexie M.&lt;/author&gt;&lt;/authors&gt;&lt;/contributors&gt;&lt;titles&gt;&lt;title&gt;A Fundamental Relationship between Reaction Mechanism and Stability in Metal Oxide Catalysts for Oxygen Evolution&lt;/title&gt;&lt;secondary-title&gt;ACS Catal.&lt;/secondary-title&gt;&lt;/titles&gt;&lt;periodical&gt;&lt;full-title&gt;ACS Catal.&lt;/full-title&gt;&lt;/periodical&gt;&lt;pages&gt;1153-1158&lt;/pages&gt;&lt;volume&gt;6&lt;/volume&gt;&lt;number&gt;2&lt;/number&gt;&lt;dates&gt;&lt;year&gt;2016&lt;/year&gt;&lt;pub-dates&gt;&lt;date&gt;2016/02/05&lt;/date&gt;&lt;/pub-dates&gt;&lt;/dates&gt;&lt;publisher&gt;American Chemical Society&lt;/publisher&gt;&lt;urls&gt;&lt;related-urls&gt;&lt;url&gt;https://doi.org/10.1021/acscatal.5b02432&lt;/url&gt;&lt;/related-urls&gt;&lt;/urls&gt;&lt;electronic-resource-num&gt;10.1021/acscatal.5b02432&lt;/electronic-resource-num&gt;&lt;/record&gt;&lt;/Cite&gt;&lt;/EndNote&gt;</w:instrText>
      </w:r>
      <w:r w:rsidRPr="00FF5CE0">
        <w:rPr>
          <w:iCs/>
        </w:rPr>
        <w:fldChar w:fldCharType="separate"/>
      </w:r>
      <w:r w:rsidR="00FC5BEB" w:rsidRPr="00FC5BEB">
        <w:rPr>
          <w:iCs/>
          <w:noProof/>
          <w:vertAlign w:val="superscript"/>
        </w:rPr>
        <w:t>324</w:t>
      </w:r>
      <w:r w:rsidRPr="00FF5CE0">
        <w:fldChar w:fldCharType="end"/>
      </w:r>
      <w:r w:rsidRPr="00FF5CE0">
        <w:rPr>
          <w:iCs/>
        </w:rPr>
        <w:t>, which occurs with high M-O covalency either due to orbital overlap or when high metal oxidation states drive an oxide into the negative charge transfer regime</w:t>
      </w:r>
      <w:r w:rsidRPr="00FF5CE0">
        <w:fldChar w:fldCharType="begin">
          <w:fldData xml:space="preserve">PEVuZE5vdGU+PENpdGU+PEF1dGhvcj5LaG9tc2tpaTwvQXV0aG9yPjxZZWFyPjIwMTQ8L1llYXI+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</w:fldData>
        </w:fldChar>
      </w:r>
      <w:r w:rsidR="00FC5BEB">
        <w:instrText xml:space="preserve"> ADDIN EN.CITE </w:instrText>
      </w:r>
      <w:r w:rsidR="00FC5BEB">
        <w:fldChar w:fldCharType="begin">
          <w:fldData xml:space="preserve">PEVuZE5vdGU+PENpdGU+PEF1dGhvcj5LaG9tc2tpaTwvQXV0aG9yPjxZZWFyPjIwMTQ8L1llYXI+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340, 356-358</w:t>
      </w:r>
      <w:r w:rsidRPr="00FF5CE0">
        <w:fldChar w:fldCharType="end"/>
      </w:r>
      <w:r w:rsidRPr="00FF5CE0">
        <w:rPr>
          <w:iCs/>
        </w:rPr>
        <w:t>. Thus, both orbital overlap</w:t>
      </w:r>
      <w:r w:rsidRPr="00FF5CE0">
        <w:fldChar w:fldCharType="begin">
          <w:fldData xml:space="preserve">PEVuZE5vdGU+PENpdGU+PEF1dGhvcj5ZYWdpPC9BdXRob3I+PFllYXI+MjAxNTwvWWVhcj48UmVj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</w:fldData>
        </w:fldChar>
      </w:r>
      <w:r w:rsidR="00FC5BEB">
        <w:instrText xml:space="preserve"> ADDIN EN.CITE </w:instrText>
      </w:r>
      <w:r w:rsidR="00FC5BEB">
        <w:fldChar w:fldCharType="begin">
          <w:fldData xml:space="preserve">PEVuZE5vdGU+PENpdGU+PEF1dGhvcj5ZYWdpPC9BdXRob3I+PFllYXI+MjAxNTwvWWVhcj48UmVj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292, 339, 359, 360</w:t>
      </w:r>
      <w:r w:rsidRPr="00FF5CE0">
        <w:fldChar w:fldCharType="end"/>
      </w:r>
      <w:r w:rsidRPr="00FF5CE0">
        <w:t xml:space="preserve"> </w:t>
      </w:r>
      <w:r w:rsidRPr="00FF5CE0">
        <w:rPr>
          <w:iCs/>
        </w:rPr>
        <w:t>and the charge transfer energy emerge as descriptors of OER activity and mechanism</w:t>
      </w:r>
      <w:r w:rsidRPr="00FF5CE0">
        <w:fldChar w:fldCharType="begin"/>
      </w:r>
      <w:r w:rsidR="00FC5BEB">
        <w:instrText xml:space="preserve"> ADDIN EN.CITE &lt;EndNote&gt;&lt;Cite&gt;&lt;Author&gt;Hong&lt;/Author&gt;&lt;Year&gt;2017&lt;/Year&gt;&lt;RecNum&gt;293&lt;/RecNum&gt;&lt;DisplayText&gt;&lt;style face="superscript"&gt;295&lt;/style&gt;&lt;/DisplayText&gt;&lt;record&gt;&lt;rec-number&gt;293&lt;/rec-number&gt;&lt;foreign-keys&gt;&lt;key app="EN" db-id="2xex0erf4eexr4e2dpbxpdd829xttesxxxdr" timestamp="1715075296"&gt;293&lt;/key&gt;&lt;/foreign-keys&gt;&lt;ref-type name="Journal Article"&gt;17&lt;/ref-type&gt;&lt;contributors&gt;&lt;authors&gt;&lt;author&gt;Hong, Wesley T.&lt;/author&gt;&lt;author&gt;Stoerzinger, Kelsey A.&lt;/author&gt;&lt;author&gt;Lee, Yueh-Lin&lt;/author&gt;&lt;author&gt;Giordano, Livia&lt;/author&gt;&lt;author&gt;Grimaud, Alexis&lt;/author&gt;&lt;author&gt;Johnson, Alyssa M.&lt;/author&gt;&lt;author&gt;Hwang, Jonathan&lt;/author&gt;&lt;author&gt;Crumlin, Ethan J.&lt;/author&gt;&lt;author&gt;Yang, Wanli&lt;/author&gt;&lt;author&gt;Shao-Horn, Yang&lt;/author&gt;&lt;/authors&gt;&lt;/contributors&gt;&lt;titles&gt;&lt;title&gt;Charge-transfer-energy-dependent oxygen evolution reaction mechanisms for perovskite oxides&lt;/title&gt;&lt;secondary-title&gt;Energy Environ. Sci.&lt;/secondary-title&gt;&lt;/titles&gt;&lt;periodical&gt;&lt;full-title&gt;Energy Environ. Sci.&lt;/full-title&gt;&lt;/periodical&gt;&lt;pages&gt;2190-2200&lt;/pages&gt;&lt;volume&gt;10&lt;/volume&gt;&lt;number&gt;10&lt;/number&gt;&lt;dates&gt;&lt;year&gt;2017&lt;/year&gt;&lt;/dates&gt;&lt;publisher&gt;The Royal Society of Chemistry&lt;/publisher&gt;&lt;isbn&gt;1754-5692&lt;/isbn&gt;&lt;work-type&gt;10.1039/C7EE02052J&lt;/work-type&gt;&lt;urls&gt;&lt;related-urls&gt;&lt;url&gt;http://dx.doi.org/10.1039/C7EE02052J&lt;/url&gt;&lt;/related-urls&gt;&lt;/urls&gt;&lt;electronic-resource-num&gt;10.1039/C7EE02052J&lt;/electronic-resource-num&gt;&lt;/record&gt;&lt;/Cite&gt;&lt;/EndNote&gt;</w:instrText>
      </w:r>
      <w:r w:rsidRPr="00FF5CE0">
        <w:fldChar w:fldCharType="separate"/>
      </w:r>
      <w:r w:rsidR="00FC5BEB" w:rsidRPr="00FC5BEB">
        <w:rPr>
          <w:noProof/>
          <w:vertAlign w:val="superscript"/>
        </w:rPr>
        <w:t>295</w:t>
      </w:r>
      <w:r w:rsidRPr="00FF5CE0">
        <w:fldChar w:fldCharType="end"/>
      </w:r>
      <w:r w:rsidR="00663F98">
        <w:t xml:space="preserve"> </w:t>
      </w:r>
      <w:r w:rsidRPr="00FF5CE0">
        <w:fldChar w:fldCharType="begin">
          <w:fldData xml:space="preserve">PEVuZE5vdGU+PENpdGU+PEF1dGhvcj5MaXU8L0F1dGhvcj48WWVhcj4yMDE5PC9ZZWFyPjxSZWNO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</w:fldData>
        </w:fldChar>
      </w:r>
      <w:r w:rsidR="00FC5BEB">
        <w:instrText xml:space="preserve"> ADDIN EN.CITE </w:instrText>
      </w:r>
      <w:r w:rsidR="00FC5BEB">
        <w:fldChar w:fldCharType="begin">
          <w:fldData xml:space="preserve">PEVuZE5vdGU+PENpdGU+PEF1dGhvcj5MaXU8L0F1dGhvcj48WWVhcj4yMDE5PC9ZZWFyPjxSZWNO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268, 336, 361</w:t>
      </w:r>
      <w:r w:rsidRPr="00FF5CE0">
        <w:fldChar w:fldCharType="end"/>
      </w:r>
      <w:r w:rsidRPr="00FF5CE0">
        <w:rPr>
          <w:iCs/>
        </w:rPr>
        <w:t>. It should be noted that electron holes on oxygen are not only required for the LOM; the oxyl</w:t>
      </w:r>
      <w:r w:rsidRPr="00FF5CE0">
        <w:rPr>
          <w:iCs/>
        </w:rPr>
        <w:fldChar w:fldCharType="begin"/>
      </w:r>
      <w:r w:rsidR="00FC5BEB">
        <w:rPr>
          <w:iCs/>
        </w:rPr>
        <w:instrText xml:space="preserve"> ADDIN EN.CITE &lt;EndNote&gt;&lt;Cite&gt;&lt;Author&gt;Frevel&lt;/Author&gt;&lt;Year&gt;2019&lt;/Year&gt;&lt;RecNum&gt;217&lt;/RecNum&gt;&lt;DisplayText&gt;&lt;style face="superscript"&gt;219&lt;/style&gt;&lt;/DisplayText&gt;&lt;record&gt;&lt;rec-number&gt;217&lt;/rec-number&gt;&lt;foreign-keys&gt;&lt;key app="EN" db-id="2xex0erf4eexr4e2dpbxpdd829xttesxxxdr" timestamp="1715075296"&gt;217&lt;/key&gt;&lt;/foreign-keys&gt;&lt;ref-type name="Journal Article"&gt;17&lt;/ref-type&gt;&lt;contributors&gt;&lt;authors&gt;&lt;author&gt;Frevel, Lorenz J.&lt;/author&gt;&lt;author&gt;Mom, Rik&lt;/author&gt;&lt;author&gt;Velasco-Vélez, Juan-Jesús&lt;/author&gt;&lt;author&gt;Plodinec, Milivoj&lt;/author&gt;&lt;author&gt;Knop-Gericke, Axel&lt;/author&gt;&lt;author&gt;Schlögl, Robert&lt;/author&gt;&lt;author&gt;Jones, Travis E.&lt;/author&gt;&lt;/authors&gt;&lt;/contributors&gt;&lt;titles&gt;&lt;title&gt;In Situ X-ray Spectroscopy of the Electrochemical Development of Iridium Nanoparticles in Confined Electrolyte&lt;/title&gt;&lt;secondary-title&gt;Journal of Physical Chemistry C&lt;/secondary-title&gt;&lt;/titles&gt;&lt;periodical&gt;&lt;full-title&gt;Journal of Physical Chemistry C&lt;/full-title&gt;&lt;abbr-1&gt;J. Phys. Chem. C&lt;/abbr-1&gt;&lt;/periodical&gt;&lt;pages&gt;9146-9152&lt;/pages&gt;&lt;volume&gt;123&lt;/volume&gt;&lt;number&gt;14&lt;/number&gt;&lt;dates&gt;&lt;year&gt;2019&lt;/year&gt;&lt;pub-dates&gt;&lt;date&gt;2019/04/11&lt;/date&gt;&lt;/pub-dates&gt;&lt;/dates&gt;&lt;publisher&gt;American Chemical Society&lt;/publisher&gt;&lt;isbn&gt;1932-7447&lt;/isbn&gt;&lt;urls&gt;&lt;related-urls&gt;&lt;url&gt;https://doi.org/10.1021/acs.jpcc.9b00731&lt;/url&gt;&lt;/related-urls&gt;&lt;/urls&gt;&lt;electronic-resource-num&gt;10.1021/acs.jpcc.9b00731&lt;/electronic-resource-num&gt;&lt;/record&gt;&lt;/Cite&gt;&lt;/EndNote&gt;</w:instrText>
      </w:r>
      <w:r w:rsidRPr="00FF5CE0">
        <w:rPr>
          <w:iCs/>
        </w:rPr>
        <w:fldChar w:fldCharType="separate"/>
      </w:r>
      <w:r w:rsidR="00FC5BEB" w:rsidRPr="00FC5BEB">
        <w:rPr>
          <w:iCs/>
          <w:noProof/>
          <w:vertAlign w:val="superscript"/>
        </w:rPr>
        <w:t>219</w:t>
      </w:r>
      <w:r w:rsidRPr="00FF5CE0">
        <w:fldChar w:fldCharType="end"/>
      </w:r>
      <w:r w:rsidRPr="00FF5CE0">
        <w:rPr>
          <w:iCs/>
        </w:rPr>
        <w:t xml:space="preserve"> needed to activate the AEM</w:t>
      </w:r>
      <w:r w:rsidRPr="00FF5CE0">
        <w:rPr>
          <w:iCs/>
        </w:rPr>
        <w:fldChar w:fldCharType="begin"/>
      </w:r>
      <w:r w:rsidR="00FC5BEB">
        <w:rPr>
          <w:iCs/>
        </w:rPr>
        <w:instrText xml:space="preserve"> ADDIN EN.CITE &lt;EndNote&gt;&lt;Cite&gt;&lt;Author&gt;Rossmeisl&lt;/Author&gt;&lt;Year&gt;2007&lt;/Year&gt;&lt;RecNum&gt;86&lt;/RecNum&gt;&lt;DisplayText&gt;&lt;style face="superscript"&gt;88&lt;/style&gt;&lt;/DisplayText&gt;&lt;record&gt;&lt;rec-number&gt;86&lt;/rec-number&gt;&lt;foreign-keys&gt;&lt;key app="EN" db-id="2xex0erf4eexr4e2dpbxpdd829xttesxxxdr" timestamp="1715075296"&gt;86&lt;/key&gt;&lt;/foreign-keys&gt;&lt;ref-type name="Journal Article"&gt;17&lt;/ref-type&gt;&lt;contributors&gt;&lt;authors&gt;&lt;author&gt;Rossmeisl, J.&lt;/author&gt;&lt;author&gt;Qu, Z. W.&lt;/author&gt;&lt;author&gt;Zhu, H.&lt;/author&gt;&lt;author&gt;Kroes, G. J.&lt;/author&gt;&lt;author&gt;Nørskov, J. K.&lt;/author&gt;&lt;/authors&gt;&lt;/contributors&gt;&lt;titles&gt;&lt;title&gt;Electrolysis of water on oxide surfaces&lt;/title&gt;&lt;secondary-title&gt;Journal of Electroanalytical Chemistry&lt;/secondary-title&gt;&lt;/titles&gt;&lt;periodical&gt;&lt;full-title&gt;Journal of Electroanalytical Chemistry&lt;/full-title&gt;&lt;abbr-1&gt;J. Electroanal. Chem.&lt;/abbr-1&gt;&lt;abbr-2&gt;J Electroanal Chem&lt;/abbr-2&gt;&lt;/periodical&gt;&lt;pages&gt;83-89&lt;/pages&gt;&lt;volume&gt;607&lt;/volume&gt;&lt;number&gt;1&lt;/number&gt;&lt;keywords&gt;&lt;keyword&gt;Electrolysis&lt;/keyword&gt;&lt;keyword&gt;Oxide surfaces&lt;/keyword&gt;&lt;keyword&gt;Density functional theory&lt;/keyword&gt;&lt;keyword&gt;Linear relations&lt;/keyword&gt;&lt;/keywords&gt;&lt;dates&gt;&lt;year&gt;2007&lt;/year&gt;&lt;pub-dates&gt;&lt;date&gt;2007/09/01/&lt;/date&gt;&lt;/pub-dates&gt;&lt;/dates&gt;&lt;isbn&gt;1572-6657&lt;/isbn&gt;&lt;urls&gt;&lt;related-urls&gt;&lt;url&gt;https://www.sciencedirect.com/science/article/pii/S0022072806006371&lt;/url&gt;&lt;/related-urls&gt;&lt;/urls&gt;&lt;electronic-resource-num&gt;https://doi.org/10.1016/j.jelechem.2006.11.008&lt;/electronic-resource-num&gt;&lt;/record&gt;&lt;/Cite&gt;&lt;/EndNote&gt;</w:instrText>
      </w:r>
      <w:r w:rsidRPr="00FF5CE0">
        <w:rPr>
          <w:iCs/>
        </w:rPr>
        <w:fldChar w:fldCharType="separate"/>
      </w:r>
      <w:r w:rsidR="00FC5BEB" w:rsidRPr="00FC5BEB">
        <w:rPr>
          <w:iCs/>
          <w:noProof/>
          <w:vertAlign w:val="superscript"/>
        </w:rPr>
        <w:t>88</w:t>
      </w:r>
      <w:r w:rsidRPr="00FF5CE0">
        <w:fldChar w:fldCharType="end"/>
      </w:r>
      <w:r w:rsidRPr="00FF5CE0">
        <w:rPr>
          <w:iCs/>
        </w:rPr>
        <w:t xml:space="preserve"> </w:t>
      </w:r>
      <w:r w:rsidRPr="00FF5CE0">
        <w:rPr>
          <w:iCs/>
        </w:rPr>
        <w:fldChar w:fldCharType="begin"/>
      </w:r>
      <w:r w:rsidR="00FC5BEB">
        <w:rPr>
          <w:iCs/>
        </w:rPr>
        <w:instrText xml:space="preserve"> ADDIN EN.CITE &lt;EndNote&gt;&lt;Cite&gt;&lt;Author&gt;Rong&lt;/Author&gt;&lt;Year&gt;2016&lt;/Year&gt;&lt;RecNum&gt;322&lt;/RecNum&gt;&lt;DisplayText&gt;&lt;style face="superscript"&gt;324&lt;/style&gt;&lt;/DisplayText&gt;&lt;record&gt;&lt;rec-number&gt;322&lt;/rec-number&gt;&lt;foreign-keys&gt;&lt;key app="EN" db-id="2xex0erf4eexr4e2dpbxpdd829xttesxxxdr" timestamp="1715075296"&gt;322&lt;/key&gt;&lt;/foreign-keys&gt;&lt;ref-type name="Journal Article"&gt;17&lt;/ref-type&gt;&lt;contributors&gt;&lt;authors&gt;&lt;author&gt;Rong, Xi&lt;/author&gt;&lt;author&gt;Parolin, Jules&lt;/author&gt;&lt;author&gt;Kolpak, Alexie M.&lt;/author&gt;&lt;/authors&gt;&lt;/contributors&gt;&lt;titles&gt;&lt;title&gt;A Fundamental Relationship between Reaction Mechanism and Stability in Metal Oxide Catalysts for Oxygen Evolution&lt;/title&gt;&lt;secondary-title&gt;ACS Catal.&lt;/secondary-title&gt;&lt;/titles&gt;&lt;periodical&gt;&lt;full-title&gt;ACS Catal.&lt;/full-title&gt;&lt;/periodical&gt;&lt;pages&gt;1153-1158&lt;/pages&gt;&lt;volume&gt;6&lt;/volume&gt;&lt;number&gt;2&lt;/number&gt;&lt;dates&gt;&lt;year&gt;2016&lt;/year&gt;&lt;pub-dates&gt;&lt;date&gt;2016/02/05&lt;/date&gt;&lt;/pub-dates&gt;&lt;/dates&gt;&lt;publisher&gt;American Chemical Society&lt;/publisher&gt;&lt;urls&gt;&lt;related-urls&gt;&lt;url&gt;https://doi.org/10.1021/acscatal.5b02432&lt;/url&gt;&lt;/related-urls&gt;&lt;/urls&gt;&lt;electronic-resource-num&gt;10.1021/acscatal.5b02432&lt;/electronic-resource-num&gt;&lt;/record&gt;&lt;/Cite&gt;&lt;/EndNote&gt;</w:instrText>
      </w:r>
      <w:r w:rsidRPr="00FF5CE0">
        <w:rPr>
          <w:iCs/>
        </w:rPr>
        <w:fldChar w:fldCharType="separate"/>
      </w:r>
      <w:r w:rsidR="00FC5BEB" w:rsidRPr="00FC5BEB">
        <w:rPr>
          <w:iCs/>
          <w:noProof/>
          <w:vertAlign w:val="superscript"/>
        </w:rPr>
        <w:t>324</w:t>
      </w:r>
      <w:r w:rsidRPr="00FF5CE0">
        <w:fldChar w:fldCharType="end"/>
      </w:r>
      <w:r w:rsidRPr="00FF5CE0">
        <w:rPr>
          <w:iCs/>
        </w:rPr>
        <w:t xml:space="preserve"> also requires an electron hole on oxygen. Tuning the oxygen to metal charge transfer to activate oxygen then becomes a power general design tool </w:t>
      </w:r>
      <w:r w:rsidRPr="00FF5CE0">
        <w:fldChar w:fldCharType="begin">
          <w:fldData xml:space="preserve">PEVuZE5vdGU+PENpdGU+PEF1dGhvcj5aaGFuZzwvQXV0aG9yPjxZZWFyPjIwMjE8L1llYXI+PFJl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</w:fldData>
        </w:fldChar>
      </w:r>
      <w:r w:rsidR="00FC5BEB">
        <w:instrText xml:space="preserve"> ADDIN EN.CITE </w:instrText>
      </w:r>
      <w:r w:rsidR="00FC5BEB">
        <w:fldChar w:fldCharType="begin">
          <w:fldData xml:space="preserve">PEVuZE5vdGU+PENpdGU+PEF1dGhvcj5aaGFuZzwvQXV0aG9yPjxZZWFyPjIwMjE8L1llYXI+PFJl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338, 362</w:t>
      </w:r>
      <w:r w:rsidRPr="00FF5CE0">
        <w:fldChar w:fldCharType="end"/>
      </w:r>
      <w:r w:rsidRPr="00FF5CE0">
        <w:t>,</w:t>
      </w:r>
      <w:r w:rsidRPr="00FF5CE0">
        <w:rPr>
          <w:iCs/>
        </w:rPr>
        <w:t xml:space="preserve"> and once the LOM is triggered, reduced oxygen separation distances can increase the participating of lattice oxygen</w:t>
      </w:r>
      <w:r w:rsidRPr="00FF5CE0">
        <w:rPr>
          <w:iCs/>
        </w:rPr>
        <w:fldChar w:fldCharType="begin"/>
      </w:r>
      <w:r w:rsidR="00FC5BEB">
        <w:rPr>
          <w:iCs/>
        </w:rPr>
        <w:instrText xml:space="preserve"> ADDIN EN.CITE &lt;EndNote&gt;&lt;Cite&gt;&lt;Author&gt;Li&lt;/Author&gt;&lt;Year&gt;2019&lt;/Year&gt;&lt;RecNum&gt;361&lt;/RecNum&gt;&lt;DisplayText&gt;&lt;style face="superscript"&gt;363&lt;/style&gt;&lt;/DisplayText&gt;&lt;record&gt;&lt;rec-number&gt;361&lt;/rec-number&gt;&lt;foreign-keys&gt;&lt;key app="EN" db-id="2xex0erf4eexr4e2dpbxpdd829xttesxxxdr" timestamp="1715075296"&gt;361&lt;/key&gt;&lt;/foreign-keys&gt;&lt;ref-type name="Journal Article"&gt;17&lt;/ref-type&gt;&lt;contributors&gt;&lt;authors&gt;&lt;author&gt;Li, Xiang&lt;/author&gt;&lt;author&gt;Wang, Hao&lt;/author&gt;&lt;author&gt;Cui, Zhiming&lt;/author&gt;&lt;author&gt;Li, Yutao&lt;/author&gt;&lt;author&gt;Xin, Sen&lt;/author&gt;&lt;author&gt;Zhou, Jianshi&lt;/author&gt;&lt;author&gt;Long, Youwen&lt;/author&gt;&lt;author&gt;Jin, Changqing&lt;/author&gt;&lt;author&gt;Goodenough, John B.&lt;/author&gt;&lt;/authors&gt;&lt;/contributors&gt;&lt;titles&gt;&lt;title&gt;Exceptional oxygen evolution reactivities on CaCoO3 and SrCoO3&lt;/title&gt;&lt;secondary-title&gt;Sci. Adv.&lt;/secondary-title&gt;&lt;/titles&gt;&lt;periodical&gt;&lt;full-title&gt;Sci. Adv.&lt;/full-title&gt;&lt;/periodical&gt;&lt;pages&gt;eaav6262&lt;/pages&gt;&lt;volume&gt;5&lt;/volume&gt;&lt;number&gt;8&lt;/number&gt;&lt;dates&gt;&lt;year&gt;2019&lt;/year&gt;&lt;/dates&gt;&lt;urls&gt;&lt;related-urls&gt;&lt;url&gt;https://www.science.org/doi/abs/10.1126/sciadv.aav6262&lt;/url&gt;&lt;/related-urls&gt;&lt;/urls&gt;&lt;electronic-resource-num&gt;doi:10.1126/sciadv.aav6262&lt;/electronic-resource-num&gt;&lt;/record&gt;&lt;/Cite&gt;&lt;/EndNote&gt;</w:instrText>
      </w:r>
      <w:r w:rsidRPr="00FF5CE0">
        <w:rPr>
          <w:iCs/>
        </w:rPr>
        <w:fldChar w:fldCharType="separate"/>
      </w:r>
      <w:r w:rsidR="00FC5BEB" w:rsidRPr="00FC5BEB">
        <w:rPr>
          <w:iCs/>
          <w:noProof/>
          <w:vertAlign w:val="superscript"/>
        </w:rPr>
        <w:t>363</w:t>
      </w:r>
      <w:r w:rsidRPr="00FF5CE0">
        <w:fldChar w:fldCharType="end"/>
      </w:r>
      <w:r w:rsidRPr="00FF5CE0">
        <w:rPr>
          <w:iCs/>
        </w:rPr>
        <w:t xml:space="preserve">. However, the CHE cannot capture all aspects of the LOMs; besides the PCET steps that could be involved in the LOM, Ref. </w:t>
      </w:r>
      <w:r w:rsidRPr="00FF5CE0">
        <w:fldChar w:fldCharType="begin"/>
      </w:r>
      <w:r w:rsidR="00FC5BEB">
        <w:instrText xml:space="preserve"> ADDIN EN.CITE &lt;EndNote&gt;&lt;Cite&gt;&lt;Author&gt;Grimaud&lt;/Author&gt;&lt;Year&gt;2017&lt;/Year&gt;&lt;RecNum&gt;327&lt;/RecNum&gt;&lt;DisplayText&gt;&lt;style face="superscript"&gt;329&lt;/style&gt;&lt;/DisplayText&gt;&lt;record&gt;&lt;rec-number&gt;327&lt;/rec-number&gt;&lt;foreign-keys&gt;&lt;key app="EN" db-id="2xex0erf4eexr4e2dpbxpdd829xttesxxxdr" timestamp="1715075296"&gt;327&lt;/key&gt;&lt;/foreign-keys&gt;&lt;ref-type name="Journal Article"&gt;17&lt;/ref-type&gt;&lt;contributors&gt;&lt;authors&gt;&lt;author&gt;Grimaud, Alexis&lt;/author&gt;&lt;author&gt;Diaz-Morales, Oscar&lt;/author&gt;&lt;author&gt;Han, Binghong&lt;/author&gt;&lt;author&gt;Hong, Wesley T.&lt;/author&gt;&lt;author&gt;Lee, Yueh-Lin&lt;/author&gt;&lt;author&gt;Giordano, Livia&lt;/author&gt;&lt;author&gt;Stoerzinger, Kelsey A.&lt;/author&gt;&lt;author&gt;Koper, Marc T. M.&lt;/author&gt;&lt;author&gt;Shao-Horn, Yang&lt;/author&gt;&lt;/authors&gt;&lt;/contributors&gt;&lt;titles&gt;&lt;title&gt;Activating lattice oxygen redox reactions in metal oxides to catalyse oxygen evolution&lt;/title&gt;&lt;secondary-title&gt;Nat. Chem.&lt;/secondary-title&gt;&lt;/titles&gt;&lt;periodical&gt;&lt;full-title&gt;Nat. Chem.&lt;/full-title&gt;&lt;abbr-1&gt;Nat. Chem.&lt;/abbr-1&gt;&lt;/periodical&gt;&lt;pages&gt;457-465&lt;/pages&gt;&lt;volume&gt;9&lt;/volume&gt;&lt;number&gt;5&lt;/number&gt;&lt;dates&gt;&lt;year&gt;2017&lt;/year&gt;&lt;pub-dates&gt;&lt;date&gt;2017/05/01&lt;/date&gt;&lt;/pub-dates&gt;&lt;/dates&gt;&lt;isbn&gt;1755-4349&lt;/isbn&gt;&lt;urls&gt;&lt;related-urls&gt;&lt;url&gt;https://doi.org/10.1038/nchem.2695&lt;/url&gt;&lt;/related-urls&gt;&lt;/urls&gt;&lt;electronic-resource-num&gt;10.1038/nchem.2695&lt;/electronic-resource-num&gt;&lt;/record&gt;&lt;/Cite&gt;&lt;/EndNote&gt;</w:instrText>
      </w:r>
      <w:r w:rsidRPr="00FF5CE0">
        <w:fldChar w:fldCharType="separate"/>
      </w:r>
      <w:r w:rsidR="00FC5BEB" w:rsidRPr="00FC5BEB">
        <w:rPr>
          <w:noProof/>
          <w:vertAlign w:val="superscript"/>
        </w:rPr>
        <w:t>329</w:t>
      </w:r>
      <w:r w:rsidRPr="00FF5CE0">
        <w:fldChar w:fldCharType="end"/>
      </w:r>
      <w:r w:rsidRPr="00FF5CE0">
        <w:t xml:space="preserve">, suggested non-concerted proton electron transfer mechanisms to explain the pH dependence of the OER observed in their work, </w:t>
      </w:r>
      <w:r w:rsidR="00EC7338">
        <w:fldChar w:fldCharType="begin"/>
      </w:r>
      <w:r w:rsidR="00EC7338">
        <w:instrText xml:space="preserve"> REF _Ref159520414 \h </w:instrText>
      </w:r>
      <w:r w:rsidR="00EC7338">
        <w:fldChar w:fldCharType="separate"/>
      </w:r>
      <w:r w:rsidR="00B52708" w:rsidRPr="002102C6">
        <w:rPr>
          <w:b/>
          <w:bCs/>
        </w:rPr>
        <w:t xml:space="preserve">Figure </w:t>
      </w:r>
      <w:r w:rsidR="00B52708">
        <w:rPr>
          <w:b/>
          <w:bCs/>
          <w:noProof/>
        </w:rPr>
        <w:t>25</w:t>
      </w:r>
      <w:r w:rsidR="00EC7338">
        <w:fldChar w:fldCharType="end"/>
      </w:r>
      <w:r w:rsidRPr="00967BAD">
        <w:rPr>
          <w:b/>
          <w:bCs/>
        </w:rPr>
        <w:t>g</w:t>
      </w:r>
      <w:r w:rsidRPr="00FF5CE0">
        <w:t xml:space="preserve"> and </w:t>
      </w:r>
      <w:r w:rsidR="00EC7338">
        <w:fldChar w:fldCharType="begin"/>
      </w:r>
      <w:r w:rsidR="00EC7338">
        <w:instrText xml:space="preserve"> REF _Ref159520414 \h </w:instrText>
      </w:r>
      <w:r w:rsidR="00EC7338">
        <w:fldChar w:fldCharType="separate"/>
      </w:r>
      <w:r w:rsidR="00B52708" w:rsidRPr="002102C6">
        <w:rPr>
          <w:b/>
          <w:bCs/>
        </w:rPr>
        <w:t xml:space="preserve">Figure </w:t>
      </w:r>
      <w:r w:rsidR="00B52708">
        <w:rPr>
          <w:b/>
          <w:bCs/>
          <w:noProof/>
        </w:rPr>
        <w:t>25</w:t>
      </w:r>
      <w:r w:rsidR="00EC7338">
        <w:fldChar w:fldCharType="end"/>
      </w:r>
      <w:r w:rsidRPr="00967BAD">
        <w:rPr>
          <w:b/>
          <w:bCs/>
        </w:rPr>
        <w:t>h</w:t>
      </w:r>
      <w:r w:rsidRPr="00FF5CE0">
        <w:t>. Such mechanisms are beyond the scope of the CHE model.</w:t>
      </w:r>
    </w:p>
    <w:p w14:paraId="768A7D62" w14:textId="51745C6D" w:rsidR="00FF5CE0" w:rsidRPr="00FF5CE0" w:rsidRDefault="00FF5CE0" w:rsidP="00FF5CE0"/>
    <w:p w14:paraId="48B849B1" w14:textId="7396DF64" w:rsidR="00FF5CE0" w:rsidRPr="00FF5CE0" w:rsidRDefault="00FF5CE0" w:rsidP="002E34F3">
      <w:pPr>
        <w:ind w:firstLine="720"/>
      </w:pPr>
      <w:r w:rsidRPr="00FF5CE0">
        <w:t>Lattice oxidation mechanisms are again widely accepted to be operative in perovskites</w:t>
      </w:r>
      <w:r w:rsidRPr="00FF5CE0">
        <w:fldChar w:fldCharType="begin">
          <w:fldData xml:space="preserve">PEVuZE5vdGU+PENpdGU+PEF1dGhvcj5DaGVuZzwvQXV0aG9yPjxZZWFyPjIwMTU8L1llYXI+PFJl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=
</w:fldData>
        </w:fldChar>
      </w:r>
      <w:r w:rsidR="00FC5BEB">
        <w:instrText xml:space="preserve"> ADDIN EN.CITE </w:instrText>
      </w:r>
      <w:r w:rsidR="00FC5BEB">
        <w:fldChar w:fldCharType="begin">
          <w:fldData xml:space="preserve">PEVuZE5vdGU+PENpdGU+PEF1dGhvcj5DaGVuZzwvQXV0aG9yPjxZZWFyPjIwMTU8L1llYXI+PFJl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=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32, 359, 364-370</w:t>
      </w:r>
      <w:r w:rsidRPr="00FF5CE0">
        <w:fldChar w:fldCharType="end"/>
      </w:r>
      <w:r w:rsidRPr="00FF5CE0">
        <w:t xml:space="preserve">, as well as oxides and oxyhydroxides </w:t>
      </w:r>
      <w:r w:rsidRPr="00FF5CE0">
        <w:fldChar w:fldCharType="begin">
          <w:fldData xml:space="preserve">PEVuZE5vdGU+PENpdGU+PEF1dGhvcj5IdWFuZzwvQXV0aG9yPjxZZWFyPjIwMTk8L1llYXI+PFJl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</w:fldData>
        </w:fldChar>
      </w:r>
      <w:r w:rsidR="00FC5BEB">
        <w:instrText xml:space="preserve"> ADDIN EN.CITE </w:instrText>
      </w:r>
      <w:r w:rsidR="00FC5BEB">
        <w:fldChar w:fldCharType="begin">
          <w:fldData xml:space="preserve">PEVuZE5vdGU+PENpdGU+PEF1dGhvcj5IdWFuZzwvQXV0aG9yPjxZZWFyPjIwMTk8L1llYXI+PFJl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331, 371-375</w:t>
      </w:r>
      <w:r w:rsidRPr="00FF5CE0">
        <w:fldChar w:fldCharType="end"/>
      </w:r>
      <w:r w:rsidR="000C4805">
        <w:t xml:space="preserve"> </w:t>
      </w:r>
      <w:r w:rsidRPr="00FF5CE0">
        <w:fldChar w:fldCharType="begin"/>
      </w:r>
      <w:r w:rsidR="00FC5BEB">
        <w:instrText xml:space="preserve"> ADDIN EN.CITE &lt;EndNote&gt;&lt;Cite&gt;&lt;Author&gt;Liu&lt;/Author&gt;&lt;Year&gt;2023&lt;/Year&gt;&lt;RecNum&gt;374&lt;/RecNum&gt;&lt;DisplayText&gt;&lt;style face="superscript"&gt;376&lt;/style&gt;&lt;/DisplayText&gt;&lt;record&gt;&lt;rec-number&gt;374&lt;/rec-number&gt;&lt;foreign-keys&gt;&lt;key app="EN" db-id="2xex0erf4eexr4e2dpbxpdd829xttesxxxdr" timestamp="1715075297"&gt;374&lt;/key&gt;&lt;/foreign-keys&gt;&lt;ref-type name="Journal Article"&gt;17&lt;/ref-type&gt;&lt;contributors&gt;&lt;authors&gt;&lt;author&gt;Liu, Shangguo&lt;/author&gt;&lt;author&gt;Chang, Yaxiang&lt;/author&gt;&lt;author&gt;He, Na&lt;/author&gt;&lt;author&gt;Zhu, Shenglin&lt;/author&gt;&lt;author&gt;Wang, Lianbao&lt;/author&gt;&lt;author&gt;Liu, Xien&lt;/author&gt;&lt;/authors&gt;&lt;/contributors&gt;&lt;titles&gt;&lt;title&gt;Competition between Lattice Oxygen and Adsorbate Evolving Mechanisms in Rutile Ru-Based Oxide for the Oxygen Evolution Reaction&lt;/title&gt;&lt;secondary-title&gt;ACS Appl. Mater. Interfaces&lt;/secondary-title&gt;&lt;/titles&gt;&lt;periodical&gt;&lt;full-title&gt;ACS Appl. Mater. Interfaces&lt;/full-title&gt;&lt;/periodical&gt;&lt;pages&gt;20563-20570&lt;/pages&gt;&lt;volume&gt;15&lt;/volume&gt;&lt;number&gt;16&lt;/number&gt;&lt;dates&gt;&lt;year&gt;2023&lt;/year&gt;&lt;pub-dates&gt;&lt;date&gt;2023/04/26&lt;/date&gt;&lt;/pub-dates&gt;&lt;/dates&gt;&lt;publisher&gt;American Chemical Society&lt;/publisher&gt;&lt;isbn&gt;1944-8244&lt;/isbn&gt;&lt;urls&gt;&lt;related-urls&gt;&lt;url&gt;https://doi.org/10.1021/acsami.3c02086&lt;/url&gt;&lt;/related-urls&gt;&lt;/urls&gt;&lt;electronic-resource-num&gt;10.1021/acsami.3c02086&lt;/electronic-resource-num&gt;&lt;/record&gt;&lt;/Cite&gt;&lt;/EndNote&gt;</w:instrText>
      </w:r>
      <w:r w:rsidRPr="00FF5CE0">
        <w:fldChar w:fldCharType="separate"/>
      </w:r>
      <w:r w:rsidR="00FC5BEB" w:rsidRPr="00FC5BEB">
        <w:rPr>
          <w:noProof/>
          <w:vertAlign w:val="superscript"/>
        </w:rPr>
        <w:t>376</w:t>
      </w:r>
      <w:r w:rsidRPr="00FF5CE0">
        <w:fldChar w:fldCharType="end"/>
      </w:r>
      <w:r w:rsidR="000C4805">
        <w:t xml:space="preserve"> </w:t>
      </w:r>
      <w:r w:rsidRPr="00FF5CE0">
        <w:fldChar w:fldCharType="begin"/>
      </w:r>
      <w:r w:rsidR="00FC5BEB">
        <w:instrText xml:space="preserve"> ADDIN EN.CITE &lt;EndNote&gt;&lt;Cite&gt;&lt;Author&gt;Zagalskaya&lt;/Author&gt;&lt;Year&gt;2020&lt;/Year&gt;&lt;RecNum&gt;375&lt;/RecNum&gt;&lt;DisplayText&gt;&lt;style face="superscript"&gt;377&lt;/style&gt;&lt;/DisplayText&gt;&lt;record&gt;&lt;rec-number&gt;375&lt;/rec-number&gt;&lt;foreign-keys&gt;&lt;key app="EN" db-id="2xex0erf4eexr4e2dpbxpdd829xttesxxxdr" timestamp="1715075297"&gt;375&lt;/key&gt;&lt;/foreign-keys&gt;&lt;ref-type name="Journal Article"&gt;17&lt;/ref-type&gt;&lt;contributors&gt;&lt;authors&gt;&lt;author&gt;Zagalskaya, Alexandra&lt;/author&gt;&lt;author&gt;Alexandrov, Vitaly&lt;/author&gt;&lt;/authors&gt;&lt;/contributors&gt;&lt;titles&gt;&lt;title&gt;Role of Defects in the Interplay between Adsorbate Evolving and Lattice Oxygen Mechanisms of the Oxygen Evolution Reaction in RuO2 and IrO2&lt;/title&gt;&lt;secondary-title&gt;ACS Catal.&lt;/secondary-title&gt;&lt;/titles&gt;&lt;periodical&gt;&lt;full-title&gt;ACS Catal.&lt;/full-title&gt;&lt;/periodical&gt;&lt;pages&gt;3650-3657&lt;/pages&gt;&lt;volume&gt;10&lt;/volume&gt;&lt;number&gt;6&lt;/number&gt;&lt;dates&gt;&lt;year&gt;2020&lt;/year&gt;&lt;pub-dates&gt;&lt;date&gt;2020/03/20&lt;/date&gt;&lt;/pub-dates&gt;&lt;/dates&gt;&lt;publisher&gt;American Chemical Society&lt;/publisher&gt;&lt;urls&gt;&lt;related-urls&gt;&lt;url&gt;https://doi.org/10.1021/acscatal.9b05544&lt;/url&gt;&lt;/related-urls&gt;&lt;/urls&gt;&lt;electronic-resource-num&gt;10.1021/acscatal.9b05544&lt;/electronic-resource-num&gt;&lt;/record&gt;&lt;/Cite&gt;&lt;/EndNote&gt;</w:instrText>
      </w:r>
      <w:r w:rsidRPr="00FF5CE0">
        <w:fldChar w:fldCharType="separate"/>
      </w:r>
      <w:r w:rsidR="00FC5BEB" w:rsidRPr="00FC5BEB">
        <w:rPr>
          <w:noProof/>
          <w:vertAlign w:val="superscript"/>
        </w:rPr>
        <w:t>377</w:t>
      </w:r>
      <w:r w:rsidRPr="00FF5CE0">
        <w:fldChar w:fldCharType="end"/>
      </w:r>
      <w:r w:rsidR="000C4805">
        <w:t xml:space="preserve"> </w:t>
      </w:r>
      <w:r w:rsidRPr="00FF5CE0">
        <w:fldChar w:fldCharType="begin">
          <w:fldData xml:space="preserve">PEVuZE5vdGU+PENpdGU+PEF1dGhvcj5GYWJicmk8L0F1dGhvcj48WWVhcj4yMDE4PC9ZZWFyPjxS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</w:fldData>
        </w:fldChar>
      </w:r>
      <w:r w:rsidR="00FC5BEB">
        <w:instrText xml:space="preserve"> ADDIN EN.CITE </w:instrText>
      </w:r>
      <w:r w:rsidR="00FC5BEB">
        <w:fldChar w:fldCharType="begin">
          <w:fldData xml:space="preserve">PEVuZE5vdGU+PENpdGU+PEF1dGhvcj5GYWJicmk8L0F1dGhvcj48WWVhcj4yMDE4PC9ZZWFyPjxS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32, 378</w:t>
      </w:r>
      <w:r w:rsidRPr="00FF5CE0">
        <w:fldChar w:fldCharType="end"/>
      </w:r>
      <w:r w:rsidRPr="00FF5CE0">
        <w:t>, making LOM control a major design concept</w:t>
      </w:r>
      <w:r w:rsidRPr="00FF5CE0">
        <w:fldChar w:fldCharType="begin">
          <w:fldData xml:space="preserve">PEVuZE5vdGU+PENpdGU+PEF1dGhvcj5GYWJicmk8L0F1dGhvcj48WWVhcj4yMDE4PC9ZZWFyPjxS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</w:fldData>
        </w:fldChar>
      </w:r>
      <w:r w:rsidR="00FC5BEB">
        <w:instrText xml:space="preserve"> ADDIN EN.CITE </w:instrText>
      </w:r>
      <w:r w:rsidR="00FC5BEB">
        <w:fldChar w:fldCharType="begin">
          <w:fldData xml:space="preserve">PEVuZE5vdGU+PENpdGU+PEF1dGhvcj5GYWJicmk8L0F1dGhvcj48WWVhcj4yMDE4PC9ZZWFyPjxS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32, 363, 373, 379, 380</w:t>
      </w:r>
      <w:r w:rsidRPr="00FF5CE0">
        <w:fldChar w:fldCharType="end"/>
      </w:r>
      <w:r w:rsidRPr="00FF5CE0">
        <w:t xml:space="preserve">. And though </w:t>
      </w:r>
      <w:r w:rsidRPr="00FF5CE0">
        <w:rPr>
          <w:iCs/>
        </w:rPr>
        <w:t>initially the LOM was studied as means of enhancing OER activity, because the LOM is now viewed as a significant source of catalyst instability</w:t>
      </w:r>
      <w:r w:rsidRPr="00FF5CE0">
        <w:fldChar w:fldCharType="begin">
          <w:fldData xml:space="preserve">PEVuZE5vdGU+PENpdGU+PEF1dGhvcj5CaW5uaW5nZXI8L0F1dGhvcj48WWVhcj4yMDE1PC9ZZWFy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</w:fldData>
        </w:fldChar>
      </w:r>
      <w:r w:rsidR="00FC5BEB">
        <w:instrText xml:space="preserve"> ADDIN EN.CITE </w:instrText>
      </w:r>
      <w:r w:rsidR="00FC5BEB">
        <w:fldChar w:fldCharType="begin">
          <w:fldData xml:space="preserve">PEVuZE5vdGU+PENpdGU+PEF1dGhvcj5CaW5uaW5nZXI8L0F1dGhvcj48WWVhcj4yMDE1PC9ZZWFy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381, 382</w:t>
      </w:r>
      <w:r w:rsidRPr="00FF5CE0">
        <w:fldChar w:fldCharType="end"/>
      </w:r>
      <w:r w:rsidR="006147EE">
        <w:rPr>
          <w:iCs/>
        </w:rPr>
        <w:t xml:space="preserve">, </w:t>
      </w:r>
      <w:r w:rsidRPr="00FF5CE0">
        <w:rPr>
          <w:iCs/>
        </w:rPr>
        <w:t>effort is now also going into finding means of suppressing it</w:t>
      </w:r>
      <w:r w:rsidRPr="00FF5CE0">
        <w:rPr>
          <w:iCs/>
        </w:rPr>
        <w:fldChar w:fldCharType="begin"/>
      </w:r>
      <w:r w:rsidR="00FC5BEB">
        <w:rPr>
          <w:iCs/>
        </w:rPr>
        <w:instrText xml:space="preserve"> ADDIN EN.CITE &lt;EndNote&gt;&lt;Cite&gt;&lt;Author&gt;Wen&lt;/Author&gt;&lt;Year&gt;2021&lt;/Year&gt;&lt;RecNum&gt;381&lt;/RecNum&gt;&lt;DisplayText&gt;&lt;style face="superscript"&gt;383&lt;/style&gt;&lt;/DisplayText&gt;&lt;record&gt;&lt;rec-number&gt;381&lt;/rec-number&gt;&lt;foreign-keys&gt;&lt;key app="EN" db-id="2xex0erf4eexr4e2dpbxpdd829xttesxxxdr" timestamp="1715075297"&gt;381&lt;/key&gt;&lt;/foreign-keys&gt;&lt;ref-type name="Journal Article"&gt;17&lt;/ref-type&gt;&lt;contributors&gt;&lt;authors&gt;&lt;author&gt;Wen, Yunzhou&lt;/author&gt;&lt;author&gt;Chen, Peining&lt;/author&gt;&lt;author&gt;Wang, Lu&lt;/author&gt;&lt;author&gt;Li, Shangyu&lt;/author&gt;&lt;author&gt;Wang, Ziyun&lt;/author&gt;&lt;author&gt;Abed, Jehad&lt;/author&gt;&lt;author&gt;Mao, Xinnan&lt;/author&gt;&lt;author&gt;Min, Yimeng&lt;/author&gt;&lt;author&gt;Dinh, Cao Thang&lt;/author&gt;&lt;author&gt;Luna, Phil De&lt;/author&gt;&lt;author&gt;Huang, Rui&lt;/author&gt;&lt;author&gt;Zhang, Longsheng&lt;/author&gt;&lt;author&gt;Wang, Lie&lt;/author&gt;&lt;author&gt;Wang, Liping&lt;/author&gt;&lt;author&gt;Nielsen, Robert J.&lt;/author&gt;&lt;author&gt;Li, Huihui&lt;/author&gt;&lt;author&gt;Zhuang, Taotao&lt;/author&gt;&lt;author&gt;Ke, Changchun&lt;/author&gt;&lt;author&gt;Voznyy, Oleksandr&lt;/author&gt;&lt;author&gt;Hu, Yongfeng&lt;/author&gt;&lt;author&gt;Li, Youyong&lt;/author&gt;&lt;author&gt;Goddard Iii, William A.&lt;/author&gt;&lt;author&gt;Zhang, Bo&lt;/author&gt;&lt;author&gt;Peng, Huisheng&lt;/author&gt;&lt;author&gt;Sargent, Edward H.&lt;/author&gt;&lt;/authors&gt;&lt;/contributors&gt;&lt;titles&gt;&lt;title&gt;Stabilizing Highly Active Ru Sites by Suppressing Lattice Oxygen Participation in Acidic Water Oxidation&lt;/title&gt;&lt;secondary-title&gt;Journal of the American Chemical Society&lt;/secondary-title&gt;&lt;/titles&gt;&lt;periodical&gt;&lt;full-title&gt;Journal of the American Chemical Society&lt;/full-title&gt;&lt;abbr-1&gt;J. Am. Chem. Soc.&lt;/abbr-1&gt;&lt;abbr-2&gt;J Am Chem Soc&lt;/abbr-2&gt;&lt;/periodical&gt;&lt;pages&gt;6482-6490&lt;/pages&gt;&lt;volume&gt;143&lt;/volume&gt;&lt;number&gt;17&lt;/number&gt;&lt;dates&gt;&lt;year&gt;2021&lt;/year&gt;&lt;pub-dates&gt;&lt;date&gt;2021/05/05&lt;/date&gt;&lt;/pub-dates&gt;&lt;/dates&gt;&lt;publisher&gt;American Chemical Society&lt;/publisher&gt;&lt;isbn&gt;0002-7863&lt;/isbn&gt;&lt;urls&gt;&lt;related-urls&gt;&lt;url&gt;https://doi.org/10.1021/jacs.1c00384&lt;/url&gt;&lt;/related-urls&gt;&lt;/urls&gt;&lt;electronic-resource-num&gt;10.1021/jacs.1c00384&lt;/electronic-resource-num&gt;&lt;/record&gt;&lt;/Cite&gt;&lt;/EndNote&gt;</w:instrText>
      </w:r>
      <w:r w:rsidRPr="00FF5CE0">
        <w:rPr>
          <w:iCs/>
        </w:rPr>
        <w:fldChar w:fldCharType="separate"/>
      </w:r>
      <w:r w:rsidR="00FC5BEB" w:rsidRPr="00FC5BEB">
        <w:rPr>
          <w:iCs/>
          <w:noProof/>
          <w:vertAlign w:val="superscript"/>
        </w:rPr>
        <w:t>383</w:t>
      </w:r>
      <w:r w:rsidRPr="00FF5CE0">
        <w:fldChar w:fldCharType="end"/>
      </w:r>
      <w:r w:rsidRPr="00FF5CE0">
        <w:rPr>
          <w:iCs/>
        </w:rPr>
        <w:t>, though there are reports that increased covalency could result in decreased dissolution of ions and increased stability</w:t>
      </w:r>
      <w:r w:rsidRPr="00FF5CE0">
        <w:fldChar w:fldCharType="begin">
          <w:fldData xml:space="preserve">PEVuZE5vdGU+PENpdGU+PEF1dGhvcj5ZYWdpPC9BdXRob3I+PFllYXI+MjAxNTwvWWVhcj48UmVj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</w:fldData>
        </w:fldChar>
      </w:r>
      <w:r w:rsidR="00FC5BEB">
        <w:instrText xml:space="preserve"> ADDIN EN.CITE </w:instrText>
      </w:r>
      <w:r w:rsidR="00FC5BEB">
        <w:fldChar w:fldCharType="begin">
          <w:fldData xml:space="preserve">PEVuZE5vdGU+PENpdGU+PEF1dGhvcj5ZYWdpPC9BdXRob3I+PFllYXI+MjAxNTwvWWVhcj48UmVj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</w:fldData>
        </w:fldChar>
      </w:r>
      <w:r w:rsidR="00FC5BEB">
        <w:instrText xml:space="preserve"> ADDIN EN.CITE.DATA </w:instrText>
      </w:r>
      <w:r w:rsidR="00FC5BEB">
        <w:fldChar w:fldCharType="end"/>
      </w:r>
      <w:r w:rsidRPr="00FF5CE0">
        <w:fldChar w:fldCharType="separate"/>
      </w:r>
      <w:r w:rsidR="00FC5BEB" w:rsidRPr="00FC5BEB">
        <w:rPr>
          <w:noProof/>
          <w:vertAlign w:val="superscript"/>
        </w:rPr>
        <w:t>359, 384</w:t>
      </w:r>
      <w:r w:rsidRPr="00FF5CE0">
        <w:fldChar w:fldCharType="end"/>
      </w:r>
      <w:r w:rsidRPr="00FF5CE0">
        <w:t>. Further work will be needed to understand if catalysts should be designed to have increased LOM activity, and if so, which type of LOM is preferred. Unfortunately, much of that work is outside the capabilities of the CHE.</w:t>
      </w:r>
    </w:p>
    <w:p w14:paraId="60EFD4E1" w14:textId="77777777" w:rsidR="00FF5CE0" w:rsidRDefault="00FF5CE0" w:rsidP="00FF5CE0"/>
    <w:p w14:paraId="75F45566" w14:textId="66C143C8" w:rsidR="00282227" w:rsidRPr="00282227" w:rsidRDefault="00282227" w:rsidP="00BC7855">
      <w:pPr>
        <w:pStyle w:val="Heading2"/>
      </w:pPr>
      <w:bookmarkStart w:id="109" w:name="_Toc166441741"/>
      <w:r w:rsidRPr="00282227">
        <w:t xml:space="preserve">Mechanistic </w:t>
      </w:r>
      <w:r w:rsidR="004D7F67">
        <w:t>d</w:t>
      </w:r>
      <w:r w:rsidRPr="00282227">
        <w:t xml:space="preserve">etails over </w:t>
      </w:r>
      <w:proofErr w:type="spellStart"/>
      <w:r w:rsidRPr="00282227">
        <w:t>Ir</w:t>
      </w:r>
      <w:proofErr w:type="spellEnd"/>
      <w:r w:rsidRPr="00282227">
        <w:t xml:space="preserve">-based materials and </w:t>
      </w:r>
      <w:r w:rsidR="004D7F67">
        <w:t>a</w:t>
      </w:r>
      <w:r w:rsidRPr="00282227">
        <w:t>ctive phases from the CHE</w:t>
      </w:r>
      <w:bookmarkEnd w:id="109"/>
      <w:r w:rsidRPr="00282227">
        <w:t xml:space="preserve"> </w:t>
      </w:r>
    </w:p>
    <w:p w14:paraId="397D210B" w14:textId="77777777" w:rsidR="00282227" w:rsidRPr="00282227" w:rsidRDefault="00282227" w:rsidP="00282227"/>
    <w:p w14:paraId="1069678F" w14:textId="4F90B072" w:rsidR="00282227" w:rsidRPr="00282227" w:rsidRDefault="00282227" w:rsidP="00282227">
      <w:pPr>
        <w:ind w:firstLine="720"/>
      </w:pPr>
      <w:r w:rsidRPr="00282227">
        <w:rPr>
          <w:iCs/>
        </w:rPr>
        <w:t>In the preceding examples we saw how the development and application of the CHE model within DFT influenced our mechanistic understanding of the OER by first popularizing a water/hydroxide nucleophilic attack mechanism proposed in Refs.</w:t>
      </w:r>
      <w:r w:rsidRPr="00282227">
        <w:t xml:space="preserve"> </w:t>
      </w:r>
      <w:r w:rsidRPr="00282227">
        <w:fldChar w:fldCharType="begin">
          <w:fldData xml:space="preserve">PEVuZE5vdGU+PENpdGU+PEF1dGhvcj5Lb2J1c3NlbjwvQXV0aG9yPjxZZWFyPjE5ODE8L1llYXI+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</w:fldData>
        </w:fldChar>
      </w:r>
      <w:r w:rsidR="00FC5BEB">
        <w:instrText xml:space="preserve"> ADDIN EN.CITE </w:instrText>
      </w:r>
      <w:r w:rsidR="00FC5BEB">
        <w:fldChar w:fldCharType="begin">
          <w:fldData xml:space="preserve">PEVuZE5vdGU+PENpdGU+PEF1dGhvcj5Lb2J1c3NlbjwvQXV0aG9yPjxZZWFyPjE5ODE8L1llYXI+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</w:fldData>
        </w:fldChar>
      </w:r>
      <w:r w:rsidR="00FC5BEB">
        <w:instrText xml:space="preserve"> ADDIN EN.CITE.DATA </w:instrText>
      </w:r>
      <w:r w:rsidR="00FC5BEB">
        <w:fldChar w:fldCharType="end"/>
      </w:r>
      <w:r w:rsidRPr="00282227">
        <w:fldChar w:fldCharType="separate"/>
      </w:r>
      <w:r w:rsidR="00FC5BEB" w:rsidRPr="00FC5BEB">
        <w:rPr>
          <w:noProof/>
          <w:vertAlign w:val="superscript"/>
        </w:rPr>
        <w:t>86, 141</w:t>
      </w:r>
      <w:r w:rsidRPr="00282227">
        <w:fldChar w:fldCharType="end"/>
      </w:r>
      <w:r w:rsidRPr="00282227">
        <w:t>. This path, which is now often referred to as the adsorbate evolution mechanism (AEM), quickly supplanted the more accepted mechanisms involving direct coupling of adsorbed and/or lattice oxygen that were derived from experiment</w:t>
      </w:r>
      <w:r w:rsidRPr="00282227">
        <w:fldChar w:fldCharType="begin">
          <w:fldData xml:space="preserve">PEVuZE5vdGU+PENpdGU+PEF1dGhvcj5GaWVycm88L0F1dGhvcj48WWVhcj4yMDA3PC9ZZWFyPjxS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</w:fldData>
        </w:fldChar>
      </w:r>
      <w:r w:rsidR="00FC5BEB">
        <w:instrText xml:space="preserve"> ADDIN EN.CITE </w:instrText>
      </w:r>
      <w:r w:rsidR="00FC5BEB">
        <w:fldChar w:fldCharType="begin">
          <w:fldData xml:space="preserve">PEVuZE5vdGU+PENpdGU+PEF1dGhvcj5GaWVycm88L0F1dGhvcj48WWVhcj4yMDA3PC9ZZWFyPjxS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</w:fldData>
        </w:fldChar>
      </w:r>
      <w:r w:rsidR="00FC5BEB">
        <w:instrText xml:space="preserve"> ADDIN EN.CITE.DATA </w:instrText>
      </w:r>
      <w:r w:rsidR="00FC5BEB">
        <w:fldChar w:fldCharType="end"/>
      </w:r>
      <w:r w:rsidRPr="00282227">
        <w:fldChar w:fldCharType="separate"/>
      </w:r>
      <w:r w:rsidR="00FC5BEB" w:rsidRPr="00FC5BEB">
        <w:rPr>
          <w:noProof/>
          <w:vertAlign w:val="superscript"/>
        </w:rPr>
        <w:t>132-137</w:t>
      </w:r>
      <w:r w:rsidRPr="00282227">
        <w:fldChar w:fldCharType="end"/>
      </w:r>
      <w:r w:rsidR="000E0EFA">
        <w:t xml:space="preserve"> </w:t>
      </w:r>
      <w:r w:rsidRPr="00282227">
        <w:fldChar w:fldCharType="begin">
          <w:fldData xml:space="preserve">PEVuZE5vdGU+PENpdGU+PEF1dGhvcj5NYXRzdW1vdG88L0F1dGhvcj48WWVhcj4xOTg2PC9ZZWFy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</w:fldData>
        </w:fldChar>
      </w:r>
      <w:r w:rsidR="00FC5BEB">
        <w:instrText xml:space="preserve"> ADDIN EN.CITE </w:instrText>
      </w:r>
      <w:r w:rsidR="00FC5BEB">
        <w:fldChar w:fldCharType="begin">
          <w:fldData xml:space="preserve">PEVuZE5vdGU+PENpdGU+PEF1dGhvcj5NYXRzdW1vdG88L0F1dGhvcj48WWVhcj4xOTg2PC9ZZWFy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</w:fldData>
        </w:fldChar>
      </w:r>
      <w:r w:rsidR="00FC5BEB">
        <w:instrText xml:space="preserve"> ADDIN EN.CITE.DATA </w:instrText>
      </w:r>
      <w:r w:rsidR="00FC5BEB">
        <w:fldChar w:fldCharType="end"/>
      </w:r>
      <w:r w:rsidRPr="00282227">
        <w:fldChar w:fldCharType="separate"/>
      </w:r>
      <w:r w:rsidR="00FC5BEB" w:rsidRPr="00FC5BEB">
        <w:rPr>
          <w:noProof/>
          <w:vertAlign w:val="superscript"/>
        </w:rPr>
        <w:t>138-140, 323</w:t>
      </w:r>
      <w:r w:rsidRPr="00282227">
        <w:fldChar w:fldCharType="end"/>
      </w:r>
      <w:r w:rsidRPr="00282227">
        <w:t xml:space="preserve">. Ultimately, however, several lattice oxidation mechanisms (LOMs) were studied within the CHE </w:t>
      </w:r>
      <w:r w:rsidRPr="00282227">
        <w:fldChar w:fldCharType="begin">
          <w:fldData xml:space="preserve">PEVuZE5vdGU+PENpdGU+PEF1dGhvcj5Sb25nPC9BdXRob3I+PFllYXI+MjAxNjwvWWVhcj48UmVj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</w:fldData>
        </w:fldChar>
      </w:r>
      <w:r w:rsidR="00FC5BEB">
        <w:instrText xml:space="preserve"> ADDIN EN.CITE </w:instrText>
      </w:r>
      <w:r w:rsidR="00FC5BEB">
        <w:fldChar w:fldCharType="begin">
          <w:fldData xml:space="preserve">PEVuZE5vdGU+PENpdGU+PEF1dGhvcj5Sb25nPC9BdXRob3I+PFllYXI+MjAxNjwvWWVhcj48UmVj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</w:fldData>
        </w:fldChar>
      </w:r>
      <w:r w:rsidR="00FC5BEB">
        <w:instrText xml:space="preserve"> ADDIN EN.CITE.DATA </w:instrText>
      </w:r>
      <w:r w:rsidR="00FC5BEB">
        <w:fldChar w:fldCharType="end"/>
      </w:r>
      <w:r w:rsidRPr="00282227">
        <w:fldChar w:fldCharType="separate"/>
      </w:r>
      <w:r w:rsidR="00FC5BEB" w:rsidRPr="00FC5BEB">
        <w:rPr>
          <w:noProof/>
          <w:vertAlign w:val="superscript"/>
        </w:rPr>
        <w:t>324, 327, 329</w:t>
      </w:r>
      <w:r w:rsidRPr="00282227">
        <w:fldChar w:fldCharType="end"/>
      </w:r>
      <w:r w:rsidRPr="00282227">
        <w:t xml:space="preserve"> and direct oxygen coupling mechanisms are again accepted. With </w:t>
      </w:r>
      <w:r w:rsidRPr="00282227">
        <w:lastRenderedPageBreak/>
        <w:t>broader agreement between predictions made using the CHE and interpretations of experimental results, researchers have also turned to developing more accurate models of the active surfaces of catalysts within DFT. The first CHE studies of the OER revealed the importance of surface phases in the reaction mechanism</w:t>
      </w:r>
      <w:r w:rsidRPr="00282227">
        <w:fldChar w:fldCharType="begin">
          <w:fldData xml:space="preserve">PEVuZE5vdGU+PENpdGU+PEF1dGhvcj5Sb3NzbWVpc2w8L0F1dGhvcj48WWVhcj4yMDA1PC9ZZWFy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</w:fldData>
        </w:fldChar>
      </w:r>
      <w:r w:rsidR="00FC5BEB">
        <w:instrText xml:space="preserve"> ADDIN EN.CITE </w:instrText>
      </w:r>
      <w:r w:rsidR="00FC5BEB">
        <w:fldChar w:fldCharType="begin">
          <w:fldData xml:space="preserve">PEVuZE5vdGU+PENpdGU+PEF1dGhvcj5Sb3NzbWVpc2w8L0F1dGhvcj48WWVhcj4yMDA1PC9ZZWFy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</w:fldData>
        </w:fldChar>
      </w:r>
      <w:r w:rsidR="00FC5BEB">
        <w:instrText xml:space="preserve"> ADDIN EN.CITE.DATA </w:instrText>
      </w:r>
      <w:r w:rsidR="00FC5BEB">
        <w:fldChar w:fldCharType="end"/>
      </w:r>
      <w:r w:rsidRPr="00282227">
        <w:fldChar w:fldCharType="separate"/>
      </w:r>
      <w:r w:rsidR="00FC5BEB" w:rsidRPr="00FC5BEB">
        <w:rPr>
          <w:noProof/>
          <w:vertAlign w:val="superscript"/>
        </w:rPr>
        <w:t>87, 88</w:t>
      </w:r>
      <w:r w:rsidRPr="00282227">
        <w:fldChar w:fldCharType="end"/>
      </w:r>
      <w:r w:rsidRPr="00282227">
        <w:t xml:space="preserve">, which was only further underscored through the development of the LOM </w:t>
      </w:r>
      <w:r w:rsidRPr="00282227">
        <w:fldChar w:fldCharType="begin">
          <w:fldData xml:space="preserve">PEVuZE5vdGU+PENpdGU+PEF1dGhvcj5Sb25nPC9BdXRob3I+PFllYXI+MjAxNjwvWWVhcj48UmVj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</w:fldData>
        </w:fldChar>
      </w:r>
      <w:r w:rsidR="00FC5BEB">
        <w:instrText xml:space="preserve"> ADDIN EN.CITE </w:instrText>
      </w:r>
      <w:r w:rsidR="00FC5BEB">
        <w:fldChar w:fldCharType="begin">
          <w:fldData xml:space="preserve">PEVuZE5vdGU+PENpdGU+PEF1dGhvcj5Sb25nPC9BdXRob3I+PFllYXI+MjAxNjwvWWVhcj48UmVj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</w:fldData>
        </w:fldChar>
      </w:r>
      <w:r w:rsidR="00FC5BEB">
        <w:instrText xml:space="preserve"> ADDIN EN.CITE.DATA </w:instrText>
      </w:r>
      <w:r w:rsidR="00FC5BEB">
        <w:fldChar w:fldCharType="end"/>
      </w:r>
      <w:r w:rsidRPr="00282227">
        <w:fldChar w:fldCharType="separate"/>
      </w:r>
      <w:r w:rsidR="00FC5BEB" w:rsidRPr="00FC5BEB">
        <w:rPr>
          <w:noProof/>
          <w:vertAlign w:val="superscript"/>
        </w:rPr>
        <w:t>324, 327</w:t>
      </w:r>
      <w:r w:rsidRPr="00282227">
        <w:fldChar w:fldCharType="end"/>
      </w:r>
      <w:r w:rsidRPr="00282227">
        <w:t xml:space="preserve">. Moreover, studies of the influence of crystal structure on </w:t>
      </w:r>
      <w:r w:rsidRPr="00282227">
        <w:rPr>
          <w:i/>
        </w:rPr>
        <w:sym w:font="Symbol" w:char="F068"/>
      </w:r>
      <w:r w:rsidRPr="00282227">
        <w:rPr>
          <w:iCs/>
          <w:vertAlign w:val="subscript"/>
        </w:rPr>
        <w:t>CHE</w:t>
      </w:r>
      <w:r w:rsidRPr="00282227">
        <w:rPr>
          <w:iCs/>
        </w:rPr>
        <w:t xml:space="preserve"> </w:t>
      </w:r>
      <w:r w:rsidRPr="00282227">
        <w:t xml:space="preserve">of </w:t>
      </w:r>
      <w:proofErr w:type="spellStart"/>
      <w:r w:rsidRPr="00282227">
        <w:t>Ir</w:t>
      </w:r>
      <w:proofErr w:type="spellEnd"/>
      <w:r w:rsidRPr="00282227">
        <w:t xml:space="preserve">-based materials revealed </w:t>
      </w:r>
      <w:r w:rsidRPr="00282227">
        <w:rPr>
          <w:i/>
        </w:rPr>
        <w:sym w:font="Symbol" w:char="F068"/>
      </w:r>
      <w:r w:rsidRPr="00282227">
        <w:rPr>
          <w:iCs/>
          <w:vertAlign w:val="subscript"/>
        </w:rPr>
        <w:t>CHE</w:t>
      </w:r>
      <w:r w:rsidRPr="00282227">
        <w:rPr>
          <w:iCs/>
        </w:rPr>
        <w:t xml:space="preserve"> varies strongly with crystal structure and surface termination</w:t>
      </w:r>
      <w:r w:rsidRPr="00282227">
        <w:fldChar w:fldCharType="begin">
          <w:fldData xml:space="preserve">PEVuZE5vdGU+PENpdGU+PEF1dGhvcj5CYWNrPC9BdXRob3I+PFllYXI+MjAxOTwvWWVhcj48UmVj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</w:fldData>
        </w:fldChar>
      </w:r>
      <w:r w:rsidR="00FC5BEB">
        <w:instrText xml:space="preserve"> ADDIN EN.CITE </w:instrText>
      </w:r>
      <w:r w:rsidR="00FC5BEB">
        <w:fldChar w:fldCharType="begin">
          <w:fldData xml:space="preserve">PEVuZE5vdGU+PENpdGU+PEF1dGhvcj5CYWNrPC9BdXRob3I+PFllYXI+MjAxOTwvWWVhcj48UmVj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</w:fldData>
        </w:fldChar>
      </w:r>
      <w:r w:rsidR="00FC5BEB">
        <w:instrText xml:space="preserve"> ADDIN EN.CITE.DATA </w:instrText>
      </w:r>
      <w:r w:rsidR="00FC5BEB">
        <w:fldChar w:fldCharType="end"/>
      </w:r>
      <w:r w:rsidRPr="00282227">
        <w:fldChar w:fldCharType="separate"/>
      </w:r>
      <w:r w:rsidR="00FC5BEB" w:rsidRPr="00FC5BEB">
        <w:rPr>
          <w:noProof/>
          <w:vertAlign w:val="superscript"/>
        </w:rPr>
        <w:t>269, 385</w:t>
      </w:r>
      <w:r w:rsidRPr="00282227">
        <w:fldChar w:fldCharType="end"/>
      </w:r>
      <w:r w:rsidRPr="00282227">
        <w:t xml:space="preserve">. We will focus on efforts in </w:t>
      </w:r>
      <w:proofErr w:type="spellStart"/>
      <w:r w:rsidRPr="00282227">
        <w:t>Ir</w:t>
      </w:r>
      <w:proofErr w:type="spellEnd"/>
      <w:r w:rsidRPr="00282227">
        <w:t xml:space="preserve">-based materials since they are the experimental benchmark. </w:t>
      </w:r>
    </w:p>
    <w:p w14:paraId="36B69425" w14:textId="77777777" w:rsidR="00282227" w:rsidRPr="00282227" w:rsidRDefault="00282227" w:rsidP="00282227"/>
    <w:p w14:paraId="155E15F4" w14:textId="2941B781" w:rsidR="00282227" w:rsidRPr="00282227" w:rsidRDefault="00282227" w:rsidP="00282227">
      <w:pPr>
        <w:ind w:firstLine="720"/>
      </w:pPr>
      <w:r w:rsidRPr="00282227">
        <w:t xml:space="preserve">A detailed investigation of the roles of crystal structure and surface termination on </w:t>
      </w:r>
      <w:r w:rsidRPr="00282227">
        <w:rPr>
          <w:i/>
        </w:rPr>
        <w:sym w:font="Symbol" w:char="F068"/>
      </w:r>
      <w:r w:rsidRPr="00282227">
        <w:rPr>
          <w:iCs/>
          <w:vertAlign w:val="subscript"/>
        </w:rPr>
        <w:t>CHE</w:t>
      </w:r>
      <w:r w:rsidRPr="00282227">
        <w:rPr>
          <w:iCs/>
        </w:rPr>
        <w:t xml:space="preserve"> over </w:t>
      </w:r>
      <w:proofErr w:type="spellStart"/>
      <w:r w:rsidRPr="00282227">
        <w:rPr>
          <w:iCs/>
        </w:rPr>
        <w:t>Ir</w:t>
      </w:r>
      <w:proofErr w:type="spellEnd"/>
      <w:r w:rsidRPr="00282227">
        <w:rPr>
          <w:iCs/>
        </w:rPr>
        <w:t>-based materials</w:t>
      </w:r>
      <w:r w:rsidRPr="00282227">
        <w:t xml:space="preserve"> was reported in Ref. </w:t>
      </w:r>
      <w:r w:rsidRPr="00282227">
        <w:fldChar w:fldCharType="begin"/>
      </w:r>
      <w:r w:rsidR="00FC5BEB">
        <w:instrText xml:space="preserve"> ADDIN EN.CITE &lt;EndNote&gt;&lt;Cite&gt;&lt;Author&gt;Back&lt;/Author&gt;&lt;Year&gt;2019&lt;/Year&gt;&lt;RecNum&gt;383&lt;/RecNum&gt;&lt;DisplayText&gt;&lt;style face="superscript"&gt;385&lt;/style&gt;&lt;/DisplayText&gt;&lt;record&gt;&lt;rec-number&gt;383&lt;/rec-number&gt;&lt;foreign-keys&gt;&lt;key app="EN" db-id="2xex0erf4eexr4e2dpbxpdd829xttesxxxdr" timestamp="1715075297"&gt;383&lt;/key&gt;&lt;/foreign-keys&gt;&lt;ref-type name="Journal Article"&gt;17&lt;/ref-type&gt;&lt;contributors&gt;&lt;authors&gt;&lt;author&gt;Back, Seoin&lt;/author&gt;&lt;author&gt;Tran, Kevin&lt;/author&gt;&lt;author&gt;Ulissi, Zachary W.&lt;/author&gt;&lt;/authors&gt;&lt;/contributors&gt;&lt;titles&gt;&lt;title&gt;Toward a Design of Active Oxygen Evolution Catalysts: Insights from Automated Density Functional Theory Calculations and Machine Learning&lt;/title&gt;&lt;secondary-title&gt;ACS Catal.&lt;/secondary-title&gt;&lt;/titles&gt;&lt;periodical&gt;&lt;full-title&gt;ACS Catal.&lt;/full-title&gt;&lt;/periodical&gt;&lt;pages&gt;7651-7659&lt;/pages&gt;&lt;volume&gt;9&lt;/volume&gt;&lt;number&gt;9&lt;/number&gt;&lt;dates&gt;&lt;year&gt;2019&lt;/year&gt;&lt;pub-dates&gt;&lt;date&gt;2019/09/06&lt;/date&gt;&lt;/pub-dates&gt;&lt;/dates&gt;&lt;publisher&gt;American Chemical Society&lt;/publisher&gt;&lt;urls&gt;&lt;related-urls&gt;&lt;url&gt;https://doi.org/10.1021/acscatal.9b02416&lt;/url&gt;&lt;/related-urls&gt;&lt;/urls&gt;&lt;electronic-resource-num&gt;10.1021/acscatal.9b02416&lt;/electronic-resource-num&gt;&lt;/record&gt;&lt;/Cite&gt;&lt;/EndNote&gt;</w:instrText>
      </w:r>
      <w:r w:rsidRPr="00282227">
        <w:fldChar w:fldCharType="separate"/>
      </w:r>
      <w:r w:rsidR="00FC5BEB" w:rsidRPr="00FC5BEB">
        <w:rPr>
          <w:noProof/>
          <w:vertAlign w:val="superscript"/>
        </w:rPr>
        <w:t>385</w:t>
      </w:r>
      <w:r w:rsidRPr="00282227">
        <w:fldChar w:fldCharType="end"/>
      </w:r>
      <w:r w:rsidRPr="00282227">
        <w:t>,</w:t>
      </w:r>
      <w:r w:rsidR="00D822F0">
        <w:t xml:space="preserve"> </w:t>
      </w:r>
      <w:r w:rsidRPr="00282227">
        <w:t>where the theoretical OER overpotential was computed over a variety of rutile-type IrO</w:t>
      </w:r>
      <w:r w:rsidRPr="00282227">
        <w:rPr>
          <w:vertAlign w:val="subscript"/>
        </w:rPr>
        <w:t>2</w:t>
      </w:r>
      <w:r w:rsidRPr="00282227">
        <w:t xml:space="preserve"> surface as well as other IrO</w:t>
      </w:r>
      <w:r w:rsidRPr="00282227">
        <w:rPr>
          <w:vertAlign w:val="subscript"/>
        </w:rPr>
        <w:t>2</w:t>
      </w:r>
      <w:r w:rsidRPr="00282227">
        <w:t xml:space="preserve"> and IrO</w:t>
      </w:r>
      <w:r w:rsidRPr="00282227">
        <w:rPr>
          <w:vertAlign w:val="subscript"/>
        </w:rPr>
        <w:t>3</w:t>
      </w:r>
      <w:r w:rsidRPr="00282227">
        <w:t xml:space="preserve"> polymorphs. To ensure an accurate surface structure was modeled, surface </w:t>
      </w:r>
      <w:r w:rsidRPr="00282227">
        <w:rPr>
          <w:iCs/>
        </w:rPr>
        <w:t xml:space="preserve">(pH, </w:t>
      </w:r>
      <w:r w:rsidRPr="00282227">
        <w:rPr>
          <w:i/>
        </w:rPr>
        <w:t>U</w:t>
      </w:r>
      <w:r w:rsidRPr="00282227">
        <w:rPr>
          <w:iCs/>
        </w:rPr>
        <w:t xml:space="preserve">) </w:t>
      </w:r>
      <w:r w:rsidRPr="00282227">
        <w:t xml:space="preserve">diagrams were calculated using the CHE by assuming </w:t>
      </w:r>
      <w:r w:rsidRPr="00282227">
        <w:rPr>
          <w:iCs/>
        </w:rPr>
        <w:t>the surface sites were either empty or covered in *O or *OH. Regardless of the surface orientation, this approach predicts the rutile-type IrO</w:t>
      </w:r>
      <w:r w:rsidRPr="00282227">
        <w:rPr>
          <w:iCs/>
          <w:vertAlign w:val="subscript"/>
        </w:rPr>
        <w:t>2</w:t>
      </w:r>
      <w:r w:rsidRPr="00282227">
        <w:rPr>
          <w:iCs/>
        </w:rPr>
        <w:t xml:space="preserve"> surfaces are fully oxidized before the oxygen stability limit (1.23 V vs RHE). In such a case, the authors show that the</w:t>
      </w:r>
      <w:r w:rsidR="00D822F0">
        <w:rPr>
          <w:iCs/>
        </w:rPr>
        <w:t xml:space="preserve"> </w:t>
      </w:r>
      <w:r w:rsidRPr="00282227">
        <w:rPr>
          <w:i/>
        </w:rPr>
        <w:sym w:font="Symbol" w:char="F068"/>
      </w:r>
      <w:r w:rsidRPr="00282227">
        <w:rPr>
          <w:iCs/>
          <w:vertAlign w:val="subscript"/>
        </w:rPr>
        <w:t>CHE</w:t>
      </w:r>
      <w:r w:rsidRPr="00282227">
        <w:t xml:space="preserve"> computed for the AEM over rutile-type IrO</w:t>
      </w:r>
      <w:r w:rsidRPr="00282227">
        <w:rPr>
          <w:vertAlign w:val="subscript"/>
        </w:rPr>
        <w:t>2</w:t>
      </w:r>
      <w:r w:rsidRPr="00282227">
        <w:t xml:space="preserve"> varied by as much as 440 mV across surface terminations. These results are shown </w:t>
      </w:r>
      <w:r>
        <w:fldChar w:fldCharType="begin"/>
      </w:r>
      <w:r>
        <w:instrText xml:space="preserve"> REF _Ref159521590 \h </w:instrText>
      </w:r>
      <w:r>
        <w:fldChar w:fldCharType="separate"/>
      </w:r>
      <w:r w:rsidR="00B52708" w:rsidRPr="00282227">
        <w:rPr>
          <w:b/>
          <w:bCs/>
        </w:rPr>
        <w:t xml:space="preserve">Figure </w:t>
      </w:r>
      <w:r w:rsidR="00B52708">
        <w:rPr>
          <w:b/>
          <w:bCs/>
          <w:noProof/>
        </w:rPr>
        <w:t>26</w:t>
      </w:r>
      <w:r>
        <w:fldChar w:fldCharType="end"/>
      </w:r>
      <w:r w:rsidRPr="00282227">
        <w:t xml:space="preserve">, where the computed value of </w:t>
      </w:r>
      <w:r w:rsidRPr="00282227">
        <w:rPr>
          <w:i/>
        </w:rPr>
        <w:sym w:font="Symbol" w:char="F068"/>
      </w:r>
      <w:r w:rsidRPr="00282227">
        <w:rPr>
          <w:iCs/>
          <w:vertAlign w:val="subscript"/>
        </w:rPr>
        <w:t>CHE</w:t>
      </w:r>
      <w:r w:rsidRPr="00282227">
        <w:rPr>
          <w:iCs/>
        </w:rPr>
        <w:t xml:space="preserve"> is indicated for each site considered. These results suggest that a terminal oxygen, </w:t>
      </w:r>
      <w:r w:rsidRPr="00282227">
        <w:rPr>
          <w:iCs/>
        </w:rPr>
        <w:sym w:font="Symbol" w:char="F06D"/>
      </w:r>
      <w:r w:rsidRPr="00282227">
        <w:rPr>
          <w:iCs/>
          <w:vertAlign w:val="subscript"/>
        </w:rPr>
        <w:t>1</w:t>
      </w:r>
      <w:r w:rsidRPr="00282227">
        <w:rPr>
          <w:iCs/>
        </w:rPr>
        <w:t xml:space="preserve">-O, is always the active site but that the </w:t>
      </w:r>
      <w:r w:rsidRPr="00282227">
        <w:rPr>
          <w:i/>
        </w:rPr>
        <w:sym w:font="Symbol" w:char="F068"/>
      </w:r>
      <w:r w:rsidRPr="00282227">
        <w:rPr>
          <w:iCs/>
          <w:vertAlign w:val="subscript"/>
        </w:rPr>
        <w:t>CHE</w:t>
      </w:r>
      <w:r w:rsidRPr="00282227">
        <w:rPr>
          <w:iCs/>
        </w:rPr>
        <w:t xml:space="preserve"> of each </w:t>
      </w:r>
      <w:r w:rsidRPr="00282227">
        <w:rPr>
          <w:iCs/>
        </w:rPr>
        <w:sym w:font="Symbol" w:char="F06D"/>
      </w:r>
      <w:r w:rsidRPr="00282227">
        <w:rPr>
          <w:iCs/>
          <w:vertAlign w:val="subscript"/>
        </w:rPr>
        <w:t>1</w:t>
      </w:r>
      <w:r w:rsidRPr="00282227">
        <w:rPr>
          <w:iCs/>
        </w:rPr>
        <w:t xml:space="preserve">-O species depends on the surface termination and local geometry. If we assume </w:t>
      </w:r>
      <w:r w:rsidRPr="00282227">
        <w:rPr>
          <w:i/>
        </w:rPr>
        <w:sym w:font="Symbol" w:char="F068"/>
      </w:r>
      <w:r w:rsidRPr="00282227">
        <w:rPr>
          <w:iCs/>
          <w:vertAlign w:val="subscript"/>
        </w:rPr>
        <w:t>CHE</w:t>
      </w:r>
      <w:r w:rsidRPr="00282227">
        <w:rPr>
          <w:iCs/>
        </w:rPr>
        <w:t xml:space="preserve"> correlates with activity, these results predict the (110) surface will show the lowest activity. Similar results have been found for defects on the RuO</w:t>
      </w:r>
      <w:r w:rsidRPr="00282227">
        <w:rPr>
          <w:iCs/>
          <w:vertAlign w:val="subscript"/>
        </w:rPr>
        <w:t>2</w:t>
      </w:r>
      <w:r w:rsidRPr="00282227">
        <w:rPr>
          <w:iCs/>
        </w:rPr>
        <w:t xml:space="preserve"> (110) surface</w:t>
      </w:r>
      <w:r w:rsidRPr="00282227">
        <w:rPr>
          <w:iCs/>
        </w:rPr>
        <w:fldChar w:fldCharType="begin"/>
      </w:r>
      <w:r w:rsidR="00FC5BEB">
        <w:rPr>
          <w:iCs/>
        </w:rPr>
        <w:instrText xml:space="preserve"> ADDIN EN.CITE &lt;EndNote&gt;&lt;Cite&gt;&lt;Author&gt;Dickens&lt;/Author&gt;&lt;Year&gt;2017&lt;/Year&gt;&lt;RecNum&gt;299&lt;/RecNum&gt;&lt;DisplayText&gt;&lt;style face="superscript"&gt;301&lt;/style&gt;&lt;/DisplayText&gt;&lt;record&gt;&lt;rec-number&gt;299&lt;/rec-number&gt;&lt;foreign-keys&gt;&lt;key app="EN" db-id="2xex0erf4eexr4e2dpbxpdd829xttesxxxdr" timestamp="1715075296"&gt;299&lt;/key&gt;&lt;/foreign-keys&gt;&lt;ref-type name="Journal Article"&gt;17&lt;/ref-type&gt;&lt;contributors&gt;&lt;authors&gt;&lt;author&gt;Dickens, Colin F.&lt;/author&gt;&lt;author&gt;Nørskov, Jens K.&lt;/author&gt;&lt;/authors&gt;&lt;/contributors&gt;&lt;titles&gt;&lt;title&gt;A Theoretical Investigation into the Role of Surface Defects for Oxygen Evolution on RuO2&lt;/title&gt;&lt;secondary-title&gt;Journal of Physical Chemistry C&lt;/secondary-title&gt;&lt;/titles&gt;&lt;periodical&gt;&lt;full-title&gt;Journal of Physical Chemistry C&lt;/full-title&gt;&lt;abbr-1&gt;J. Phys. Chem. C&lt;/abbr-1&gt;&lt;/periodical&gt;&lt;pages&gt;18516-18524&lt;/pages&gt;&lt;volume&gt;121&lt;/volume&gt;&lt;number&gt;34&lt;/number&gt;&lt;dates&gt;&lt;year&gt;2017&lt;/year&gt;&lt;pub-dates&gt;&lt;date&gt;2017/08/31&lt;/date&gt;&lt;/pub-dates&gt;&lt;/dates&gt;&lt;publisher&gt;American Chemical Society&lt;/publisher&gt;&lt;isbn&gt;1932-7447&lt;/isbn&gt;&lt;urls&gt;&lt;related-urls&gt;&lt;url&gt;https://doi.org/10.1021/acs.jpcc.7b03481&lt;/url&gt;&lt;/related-urls&gt;&lt;/urls&gt;&lt;electronic-resource-num&gt;10.1021/acs.jpcc.7b03481&lt;/electronic-resource-num&gt;&lt;/record&gt;&lt;/Cite&gt;&lt;/EndNote&gt;</w:instrText>
      </w:r>
      <w:r w:rsidRPr="00282227">
        <w:rPr>
          <w:iCs/>
        </w:rPr>
        <w:fldChar w:fldCharType="separate"/>
      </w:r>
      <w:r w:rsidR="00FC5BEB" w:rsidRPr="00FC5BEB">
        <w:rPr>
          <w:iCs/>
          <w:noProof/>
          <w:vertAlign w:val="superscript"/>
        </w:rPr>
        <w:t>301</w:t>
      </w:r>
      <w:r w:rsidRPr="00282227">
        <w:fldChar w:fldCharType="end"/>
      </w:r>
      <w:r w:rsidRPr="00282227">
        <w:rPr>
          <w:iCs/>
        </w:rPr>
        <w:t>,</w:t>
      </w:r>
      <w:r w:rsidRPr="00282227">
        <w:t xml:space="preserve"> which suggests such behavior may apply to rutile-type oxides.</w:t>
      </w:r>
    </w:p>
    <w:p w14:paraId="557CE231" w14:textId="77777777" w:rsidR="00282227" w:rsidRPr="00282227" w:rsidRDefault="00282227" w:rsidP="00282227"/>
    <w:p w14:paraId="32FE669D" w14:textId="77777777" w:rsidR="00282227" w:rsidRPr="00282227" w:rsidRDefault="00282227" w:rsidP="00282227">
      <w:pPr>
        <w:rPr>
          <w:iCs/>
        </w:rPr>
      </w:pPr>
      <w:r w:rsidRPr="00282227">
        <w:rPr>
          <w:noProof/>
        </w:rPr>
        <w:drawing>
          <wp:inline distT="0" distB="0" distL="0" distR="0" wp14:anchorId="15E3C514" wp14:editId="5E0C5DD1">
            <wp:extent cx="5624280" cy="3809880"/>
            <wp:effectExtent l="0" t="0" r="1905" b="635"/>
            <wp:docPr id="1609675992" name="Picture 1609675992">
              <a:extLst xmlns:a="http://schemas.openxmlformats.org/drawingml/2006/main">
                <a:ext uri="{FF2B5EF4-FFF2-40B4-BE49-F238E27FC236}">
                  <a16:creationId xmlns:a16="http://schemas.microsoft.com/office/drawing/2014/main" id="{827660DD-BCE2-8979-8DBD-C689A7BA52B0}"/>
                </a:ext>
              </a:extLst>
            </wp:docPr>
            <wp:cNvGraphicFramePr/>
            <a:graphic xmlns:a="http://schemas.openxmlformats.org/drawingml/2006/main">
              <a:graphicData uri="http://schemas.openxmlformats.org/drawingml/2006/picture">
                <pic:pic xmlns:pic="http://schemas.openxmlformats.org/drawingml/2006/picture">
                  <pic:nvPicPr>
                    <pic:cNvPr id="2" name="Main graphic">
                      <a:extLst>
                        <a:ext uri="{FF2B5EF4-FFF2-40B4-BE49-F238E27FC236}">
                          <a16:creationId xmlns:a16="http://schemas.microsoft.com/office/drawing/2014/main" id="{827660DD-BCE2-8979-8DBD-C689A7BA52B0}"/>
                        </a:ext>
                      </a:extLst>
                    </pic:cNvPr>
                    <pic:cNvPicPr/>
                  </pic:nvPicPr>
                  <pic:blipFill>
                    <a:blip r:embed="rId36"/>
                    <a:stretch/>
                  </pic:blipFill>
                  <pic:spPr>
                    <a:xfrm>
                      <a:off x="0" y="0"/>
                      <a:ext cx="5624280" cy="3809880"/>
                    </a:xfrm>
                    <a:prstGeom prst="rect">
                      <a:avLst/>
                    </a:prstGeom>
                    <a:ln>
                      <a:noFill/>
                    </a:ln>
                  </pic:spPr>
                </pic:pic>
              </a:graphicData>
            </a:graphic>
          </wp:inline>
        </w:drawing>
      </w:r>
    </w:p>
    <w:p w14:paraId="64B375B1" w14:textId="3B31AD61" w:rsidR="00282227" w:rsidRPr="00282227" w:rsidRDefault="00282227" w:rsidP="00282227">
      <w:pPr>
        <w:pStyle w:val="Caption"/>
      </w:pPr>
      <w:bookmarkStart w:id="110" w:name="_Ref159521590"/>
      <w:r w:rsidRPr="00282227">
        <w:rPr>
          <w:b/>
          <w:bCs w:val="0"/>
          <w:sz w:val="22"/>
        </w:rPr>
        <w:t xml:space="preserve">Figure </w:t>
      </w:r>
      <w:r w:rsidRPr="00282227">
        <w:rPr>
          <w:b/>
          <w:bCs w:val="0"/>
          <w:sz w:val="22"/>
        </w:rPr>
        <w:fldChar w:fldCharType="begin"/>
      </w:r>
      <w:r w:rsidRPr="00282227">
        <w:rPr>
          <w:b/>
          <w:bCs w:val="0"/>
          <w:sz w:val="22"/>
        </w:rPr>
        <w:instrText xml:space="preserve"> SEQ Figure \* ARABIC </w:instrText>
      </w:r>
      <w:r w:rsidRPr="00282227">
        <w:rPr>
          <w:b/>
          <w:bCs w:val="0"/>
          <w:sz w:val="22"/>
        </w:rPr>
        <w:fldChar w:fldCharType="separate"/>
      </w:r>
      <w:r w:rsidR="00B52708">
        <w:rPr>
          <w:b/>
          <w:bCs w:val="0"/>
          <w:noProof/>
          <w:sz w:val="22"/>
        </w:rPr>
        <w:t>26</w:t>
      </w:r>
      <w:r w:rsidRPr="00282227">
        <w:rPr>
          <w:b/>
          <w:bCs w:val="0"/>
          <w:sz w:val="22"/>
        </w:rPr>
        <w:fldChar w:fldCharType="end"/>
      </w:r>
      <w:bookmarkEnd w:id="110"/>
      <w:r w:rsidRPr="00282227">
        <w:rPr>
          <w:b/>
        </w:rPr>
        <w:t xml:space="preserve"> </w:t>
      </w:r>
      <w:r w:rsidRPr="00282227">
        <w:t xml:space="preserve">Ball and stick models of various rutile-type IrO2 surface terminations. The values of </w:t>
      </w:r>
      <w:r w:rsidRPr="00282227">
        <w:rPr>
          <w:i/>
        </w:rPr>
        <w:sym w:font="Symbol" w:char="F068"/>
      </w:r>
      <w:r w:rsidRPr="00282227">
        <w:rPr>
          <w:iCs/>
          <w:vertAlign w:val="subscript"/>
        </w:rPr>
        <w:t>CHE</w:t>
      </w:r>
      <w:r w:rsidRPr="00282227">
        <w:rPr>
          <w:iCs/>
        </w:rPr>
        <w:t xml:space="preserve"> computed at the different </w:t>
      </w:r>
      <w:r w:rsidRPr="00282227">
        <w:rPr>
          <w:iCs/>
        </w:rPr>
        <w:sym w:font="Symbol" w:char="F06D"/>
      </w:r>
      <w:r w:rsidRPr="00282227">
        <w:rPr>
          <w:iCs/>
          <w:vertAlign w:val="subscript"/>
        </w:rPr>
        <w:t>1</w:t>
      </w:r>
      <w:r w:rsidRPr="00282227">
        <w:rPr>
          <w:iCs/>
        </w:rPr>
        <w:t xml:space="preserve">-O sites are indicated. Oxygen atoms are shown as red and iridium as light green. </w:t>
      </w:r>
      <w:r w:rsidR="00C36C6D" w:rsidRPr="00C36C6D">
        <w:rPr>
          <w:iCs/>
          <w:lang w:val="en-US"/>
        </w:rPr>
        <w:t xml:space="preserve">Reprinted with permission from </w:t>
      </w:r>
      <w:r w:rsidR="00C36C6D">
        <w:rPr>
          <w:iCs/>
        </w:rPr>
        <w:t>Ref.</w:t>
      </w:r>
      <w:r w:rsidR="00C36C6D" w:rsidRPr="00282227">
        <w:rPr>
          <w:iCs/>
        </w:rPr>
        <w:t xml:space="preserve"> </w:t>
      </w:r>
      <w:r w:rsidR="00C36C6D" w:rsidRPr="00282227">
        <w:fldChar w:fldCharType="begin"/>
      </w:r>
      <w:r w:rsidR="00C36C6D">
        <w:instrText xml:space="preserve"> ADDIN EN.CITE &lt;EndNote&gt;&lt;Cite&gt;&lt;Author&gt;Back&lt;/Author&gt;&lt;Year&gt;2019&lt;/Year&gt;&lt;RecNum&gt;383&lt;/RecNum&gt;&lt;DisplayText&gt;&lt;style face="superscript"&gt;385&lt;/style&gt;&lt;/DisplayText&gt;&lt;record&gt;&lt;rec-number&gt;383&lt;/rec-number&gt;&lt;foreign-keys&gt;&lt;key app="EN" db-id="2xex0erf4eexr4e2dpbxpdd829xttesxxxdr" timestamp="1715075297"&gt;383&lt;/key&gt;&lt;/foreign-keys&gt;&lt;ref-type name="Journal Article"&gt;17&lt;/ref-type&gt;&lt;contributors&gt;&lt;authors&gt;&lt;author&gt;Back, Seoin&lt;/author&gt;&lt;author&gt;Tran, Kevin&lt;/author&gt;&lt;author&gt;Ulissi, Zachary W.&lt;/author&gt;&lt;/authors&gt;&lt;/contributors&gt;&lt;titles&gt;&lt;title&gt;Toward a Design of Active Oxygen Evolution Catalysts: Insights from Automated Density Functional Theory Calculations and Machine Learning&lt;/title&gt;&lt;secondary-title&gt;ACS Catal.&lt;/secondary-title&gt;&lt;/titles&gt;&lt;periodical&gt;&lt;full-title&gt;ACS Catal.&lt;/full-title&gt;&lt;/periodical&gt;&lt;pages&gt;7651-7659&lt;/pages&gt;&lt;volume&gt;9&lt;/volume&gt;&lt;number&gt;9&lt;/number&gt;&lt;dates&gt;&lt;year&gt;2019&lt;/year&gt;&lt;pub-dates&gt;&lt;date&gt;2019/09/06&lt;/date&gt;&lt;/pub-dates&gt;&lt;/dates&gt;&lt;publisher&gt;American Chemical Society&lt;/publisher&gt;&lt;urls&gt;&lt;related-urls&gt;&lt;url&gt;https://doi.org/10.1021/acscatal.9b02416&lt;/url&gt;&lt;/related-urls&gt;&lt;/urls&gt;&lt;electronic-resource-num&gt;10.1021/acscatal.9b02416&lt;/electronic-resource-num&gt;&lt;/record&gt;&lt;/Cite&gt;&lt;/EndNote&gt;</w:instrText>
      </w:r>
      <w:r w:rsidR="00C36C6D" w:rsidRPr="00282227">
        <w:fldChar w:fldCharType="separate"/>
      </w:r>
      <w:r w:rsidR="00C36C6D" w:rsidRPr="00FC5BEB">
        <w:rPr>
          <w:noProof/>
          <w:vertAlign w:val="superscript"/>
        </w:rPr>
        <w:t>385</w:t>
      </w:r>
      <w:r w:rsidR="00C36C6D" w:rsidRPr="00282227">
        <w:fldChar w:fldCharType="end"/>
      </w:r>
      <w:r w:rsidR="00C36C6D">
        <w:t xml:space="preserve"> </w:t>
      </w:r>
      <w:r w:rsidR="00C36C6D" w:rsidRPr="00C36C6D">
        <w:rPr>
          <w:iCs/>
          <w:lang w:val="en-US"/>
        </w:rPr>
        <w:t xml:space="preserve">Copyright </w:t>
      </w:r>
      <w:r w:rsidR="00C36C6D">
        <w:rPr>
          <w:iCs/>
          <w:lang w:val="en-US"/>
        </w:rPr>
        <w:t>2019</w:t>
      </w:r>
      <w:r w:rsidR="00C36C6D" w:rsidRPr="00C36C6D">
        <w:rPr>
          <w:iCs/>
          <w:lang w:val="en-US"/>
        </w:rPr>
        <w:t xml:space="preserve"> American Chemical Society.</w:t>
      </w:r>
    </w:p>
    <w:p w14:paraId="53B6ED47" w14:textId="77777777" w:rsidR="00282227" w:rsidRPr="00282227" w:rsidRDefault="00282227" w:rsidP="00282227"/>
    <w:p w14:paraId="641162BF" w14:textId="79F5D38C" w:rsidR="00E87282" w:rsidRDefault="00282227" w:rsidP="00282227">
      <w:r w:rsidRPr="00282227">
        <w:tab/>
        <w:t xml:space="preserve">The authors of Ref. </w:t>
      </w:r>
      <w:r w:rsidRPr="00282227">
        <w:fldChar w:fldCharType="begin"/>
      </w:r>
      <w:r w:rsidR="00FC5BEB">
        <w:instrText xml:space="preserve"> ADDIN EN.CITE &lt;EndNote&gt;&lt;Cite&gt;&lt;Author&gt;Back&lt;/Author&gt;&lt;Year&gt;2019&lt;/Year&gt;&lt;RecNum&gt;383&lt;/RecNum&gt;&lt;DisplayText&gt;&lt;style face="superscript"&gt;385&lt;/style&gt;&lt;/DisplayText&gt;&lt;record&gt;&lt;rec-number&gt;383&lt;/rec-number&gt;&lt;foreign-keys&gt;&lt;key app="EN" db-id="2xex0erf4eexr4e2dpbxpdd829xttesxxxdr" timestamp="1715075297"&gt;383&lt;/key&gt;&lt;/foreign-keys&gt;&lt;ref-type name="Journal Article"&gt;17&lt;/ref-type&gt;&lt;contributors&gt;&lt;authors&gt;&lt;author&gt;Back, Seoin&lt;/author&gt;&lt;author&gt;Tran, Kevin&lt;/author&gt;&lt;author&gt;Ulissi, Zachary W.&lt;/author&gt;&lt;/authors&gt;&lt;/contributors&gt;&lt;titles&gt;&lt;title&gt;Toward a Design of Active Oxygen Evolution Catalysts: Insights from Automated Density Functional Theory Calculations and Machine Learning&lt;/title&gt;&lt;secondary-title&gt;ACS Catal.&lt;/secondary-title&gt;&lt;/titles&gt;&lt;periodical&gt;&lt;full-title&gt;ACS Catal.&lt;/full-title&gt;&lt;/periodical&gt;&lt;pages&gt;7651-7659&lt;/pages&gt;&lt;volume&gt;9&lt;/volume&gt;&lt;number&gt;9&lt;/number&gt;&lt;dates&gt;&lt;year&gt;2019&lt;/year&gt;&lt;pub-dates&gt;&lt;date&gt;2019/09/06&lt;/date&gt;&lt;/pub-dates&gt;&lt;/dates&gt;&lt;publisher&gt;American Chemical Society&lt;/publisher&gt;&lt;urls&gt;&lt;related-urls&gt;&lt;url&gt;https://doi.org/10.1021/acscatal.9b02416&lt;/url&gt;&lt;/related-urls&gt;&lt;/urls&gt;&lt;electronic-resource-num&gt;10.1021/acscatal.9b02416&lt;/electronic-resource-num&gt;&lt;/record&gt;&lt;/Cite&gt;&lt;/EndNote&gt;</w:instrText>
      </w:r>
      <w:r w:rsidRPr="00282227">
        <w:fldChar w:fldCharType="separate"/>
      </w:r>
      <w:r w:rsidR="00FC5BEB" w:rsidRPr="00FC5BEB">
        <w:rPr>
          <w:noProof/>
          <w:vertAlign w:val="superscript"/>
        </w:rPr>
        <w:t>385</w:t>
      </w:r>
      <w:r w:rsidRPr="00282227">
        <w:fldChar w:fldCharType="end"/>
      </w:r>
      <w:r w:rsidRPr="00282227">
        <w:t xml:space="preserve"> went on to compute </w:t>
      </w:r>
      <w:r w:rsidRPr="00282227">
        <w:rPr>
          <w:i/>
        </w:rPr>
        <w:sym w:font="Symbol" w:char="F068"/>
      </w:r>
      <w:r w:rsidRPr="00282227">
        <w:rPr>
          <w:iCs/>
          <w:vertAlign w:val="subscript"/>
        </w:rPr>
        <w:t>CHE</w:t>
      </w:r>
      <w:r w:rsidRPr="00282227">
        <w:rPr>
          <w:iCs/>
        </w:rPr>
        <w:t xml:space="preserve"> for 4 other polymorphs of IrO</w:t>
      </w:r>
      <w:r w:rsidRPr="00282227">
        <w:rPr>
          <w:iCs/>
          <w:vertAlign w:val="subscript"/>
        </w:rPr>
        <w:t>2</w:t>
      </w:r>
      <w:r w:rsidRPr="00282227">
        <w:rPr>
          <w:iCs/>
        </w:rPr>
        <w:t xml:space="preserve"> and 3 polymorphs of IrO</w:t>
      </w:r>
      <w:r w:rsidRPr="00282227">
        <w:rPr>
          <w:iCs/>
          <w:vertAlign w:val="subscript"/>
        </w:rPr>
        <w:t>3</w:t>
      </w:r>
      <w:r w:rsidRPr="00282227">
        <w:rPr>
          <w:iCs/>
        </w:rPr>
        <w:t xml:space="preserve">. Again, they began by identifying the active surface phase by way of computing the surface (pH, </w:t>
      </w:r>
      <w:r w:rsidRPr="00282227">
        <w:rPr>
          <w:i/>
        </w:rPr>
        <w:t>U</w:t>
      </w:r>
      <w:r w:rsidRPr="00282227">
        <w:rPr>
          <w:iCs/>
        </w:rPr>
        <w:t xml:space="preserve">) diagrams within the CHE by assuming sites are </w:t>
      </w:r>
      <w:r w:rsidR="00DE01A3">
        <w:rPr>
          <w:iCs/>
        </w:rPr>
        <w:t>e</w:t>
      </w:r>
      <w:r w:rsidRPr="00282227">
        <w:rPr>
          <w:iCs/>
        </w:rPr>
        <w:t xml:space="preserve">ither empty, populated with *OH </w:t>
      </w:r>
      <w:r w:rsidRPr="00282227">
        <w:rPr>
          <w:iCs/>
        </w:rPr>
        <w:lastRenderedPageBreak/>
        <w:t>or populated with *O. As mentioned, all surfaces of all IrO</w:t>
      </w:r>
      <w:r w:rsidRPr="00282227">
        <w:rPr>
          <w:iCs/>
          <w:vertAlign w:val="subscript"/>
        </w:rPr>
        <w:t>2</w:t>
      </w:r>
      <w:r w:rsidRPr="00282227">
        <w:rPr>
          <w:iCs/>
        </w:rPr>
        <w:t xml:space="preserve"> polymorphs were predicted to be fully deprotonated below 1.23 V vs RHE. The IrO</w:t>
      </w:r>
      <w:r w:rsidRPr="00282227">
        <w:rPr>
          <w:iCs/>
          <w:vertAlign w:val="subscript"/>
        </w:rPr>
        <w:t>3</w:t>
      </w:r>
      <w:r w:rsidRPr="00282227">
        <w:rPr>
          <w:iCs/>
        </w:rPr>
        <w:t xml:space="preserve"> surface showed both *OH and *O surface phases at 1.23 V vs RHE depending on crystal structure and surface termination. However, among the IrO</w:t>
      </w:r>
      <w:r w:rsidRPr="00282227">
        <w:rPr>
          <w:iCs/>
          <w:vertAlign w:val="subscript"/>
        </w:rPr>
        <w:t>3</w:t>
      </w:r>
      <w:r w:rsidRPr="00282227">
        <w:rPr>
          <w:iCs/>
        </w:rPr>
        <w:t xml:space="preserve"> (100) surfaces, which is the most active surface for each polymorph, only the </w:t>
      </w:r>
      <w:proofErr w:type="spellStart"/>
      <w:r w:rsidRPr="00282227">
        <w:rPr>
          <w:i/>
          <w:iCs/>
        </w:rPr>
        <w:t>Cmcm</w:t>
      </w:r>
      <w:proofErr w:type="spellEnd"/>
      <w:r w:rsidRPr="00282227">
        <w:t xml:space="preserve"> (100) is predicted to be *OH terminated under OER conditions. By computing the energetics on the surfaces identified in the surface </w:t>
      </w:r>
      <w:r w:rsidRPr="00282227">
        <w:rPr>
          <w:iCs/>
        </w:rPr>
        <w:t xml:space="preserve">(pH, </w:t>
      </w:r>
      <w:r w:rsidRPr="00282227">
        <w:rPr>
          <w:i/>
        </w:rPr>
        <w:t>U</w:t>
      </w:r>
      <w:r w:rsidRPr="00282227">
        <w:rPr>
          <w:iCs/>
        </w:rPr>
        <w:t xml:space="preserve">) </w:t>
      </w:r>
      <w:r w:rsidRPr="00282227">
        <w:t xml:space="preserve">diagrams the authors found </w:t>
      </w:r>
      <w:r w:rsidRPr="00282227">
        <w:rPr>
          <w:iCs/>
        </w:rPr>
        <w:t xml:space="preserve">that </w:t>
      </w:r>
      <w:r w:rsidRPr="00282227">
        <w:sym w:font="Symbol" w:char="F044"/>
      </w:r>
      <w:r w:rsidRPr="00282227">
        <w:rPr>
          <w:i/>
          <w:iCs/>
        </w:rPr>
        <w:t>G</w:t>
      </w:r>
      <w:r w:rsidRPr="00282227">
        <w:rPr>
          <w:vertAlign w:val="subscript"/>
        </w:rPr>
        <w:t>*OH</w:t>
      </w:r>
      <w:r w:rsidRPr="00282227">
        <w:t xml:space="preserve"> correlates linearly with </w:t>
      </w:r>
      <w:r w:rsidRPr="00282227">
        <w:sym w:font="Symbol" w:char="F044"/>
      </w:r>
      <w:r w:rsidRPr="00282227">
        <w:rPr>
          <w:i/>
          <w:iCs/>
        </w:rPr>
        <w:t>G</w:t>
      </w:r>
      <w:r w:rsidRPr="00282227">
        <w:rPr>
          <w:vertAlign w:val="subscript"/>
        </w:rPr>
        <w:t>*OOH</w:t>
      </w:r>
      <w:r w:rsidRPr="00282227">
        <w:t xml:space="preserve"> as </w:t>
      </w:r>
      <w:r w:rsidRPr="00282227">
        <w:sym w:font="Symbol" w:char="F044"/>
      </w:r>
      <w:r w:rsidRPr="00282227">
        <w:rPr>
          <w:i/>
          <w:iCs/>
        </w:rPr>
        <w:t>G</w:t>
      </w:r>
      <w:r w:rsidRPr="00282227">
        <w:rPr>
          <w:vertAlign w:val="subscript"/>
        </w:rPr>
        <w:t>*OOH</w:t>
      </w:r>
      <w:r w:rsidRPr="00282227">
        <w:t xml:space="preserve"> =0.98</w:t>
      </w:r>
      <w:r w:rsidRPr="00282227">
        <w:sym w:font="Symbol" w:char="F044"/>
      </w:r>
      <w:r w:rsidRPr="00282227">
        <w:rPr>
          <w:i/>
          <w:iCs/>
        </w:rPr>
        <w:t>G</w:t>
      </w:r>
      <w:r w:rsidRPr="00282227">
        <w:rPr>
          <w:vertAlign w:val="subscript"/>
        </w:rPr>
        <w:t>*OH</w:t>
      </w:r>
      <w:r w:rsidRPr="00282227">
        <w:t>+3.04 eV across the entire dataset that includes 5 polymorphs of IrO</w:t>
      </w:r>
      <w:r w:rsidRPr="00282227">
        <w:rPr>
          <w:vertAlign w:val="subscript"/>
        </w:rPr>
        <w:t>2</w:t>
      </w:r>
      <w:r w:rsidRPr="00282227">
        <w:t xml:space="preserve"> and 3 polymorphs of IrO</w:t>
      </w:r>
      <w:r w:rsidRPr="00282227">
        <w:rPr>
          <w:vertAlign w:val="subscript"/>
        </w:rPr>
        <w:t>3</w:t>
      </w:r>
      <w:r w:rsidRPr="00282227">
        <w:t xml:space="preserve">. This result is in good agreement with the scaling </w:t>
      </w:r>
      <w:r w:rsidRPr="00B91CD5">
        <w:rPr>
          <w:szCs w:val="22"/>
        </w:rPr>
        <w:t xml:space="preserve">relationship in </w:t>
      </w:r>
      <w:r w:rsidR="00B91CD5" w:rsidRPr="00B91CD5">
        <w:rPr>
          <w:szCs w:val="22"/>
        </w:rPr>
        <w:fldChar w:fldCharType="begin"/>
      </w:r>
      <w:r w:rsidR="00B91CD5" w:rsidRPr="00B91CD5">
        <w:rPr>
          <w:szCs w:val="22"/>
        </w:rPr>
        <w:instrText xml:space="preserve"> REF _Ref159517156 \h </w:instrText>
      </w:r>
      <w:r w:rsidR="00B91CD5">
        <w:rPr>
          <w:szCs w:val="22"/>
        </w:rPr>
        <w:instrText xml:space="preserve"> \* MERGEFORMAT </w:instrText>
      </w:r>
      <w:r w:rsidR="00B91CD5" w:rsidRPr="00B91CD5">
        <w:rPr>
          <w:szCs w:val="22"/>
        </w:rPr>
      </w:r>
      <w:r w:rsidR="00B91CD5" w:rsidRPr="00B91CD5">
        <w:rPr>
          <w:szCs w:val="22"/>
        </w:rPr>
        <w:fldChar w:fldCharType="separate"/>
      </w:r>
      <w:r w:rsidR="00B52708" w:rsidRPr="00245F0C">
        <w:rPr>
          <w:szCs w:val="22"/>
        </w:rPr>
        <w:t xml:space="preserve">Equation </w:t>
      </w:r>
      <w:r w:rsidR="00B52708" w:rsidRPr="00245F0C">
        <w:rPr>
          <w:noProof/>
          <w:szCs w:val="22"/>
        </w:rPr>
        <w:t>69</w:t>
      </w:r>
      <w:r w:rsidR="00B91CD5" w:rsidRPr="00B91CD5">
        <w:rPr>
          <w:szCs w:val="22"/>
        </w:rPr>
        <w:fldChar w:fldCharType="end"/>
      </w:r>
      <w:r w:rsidRPr="00B91CD5">
        <w:rPr>
          <w:szCs w:val="22"/>
        </w:rPr>
        <w:t xml:space="preserve"> that</w:t>
      </w:r>
      <w:r w:rsidRPr="00282227">
        <w:t xml:space="preserve"> has been widely applied to a range of materials, including rutile-type IrO</w:t>
      </w:r>
      <w:r w:rsidRPr="00282227">
        <w:rPr>
          <w:vertAlign w:val="subscript"/>
        </w:rPr>
        <w:t>2</w:t>
      </w:r>
      <w:r w:rsidRPr="00282227">
        <w:t xml:space="preserve"> (110)</w:t>
      </w:r>
      <w:r w:rsidRPr="00282227">
        <w:fldChar w:fldCharType="begin"/>
      </w:r>
      <w:r w:rsidR="00FC5BEB">
        <w:instrText xml:space="preserve"> ADDIN EN.CITE &lt;EndNote&gt;&lt;Cite&gt;&lt;Author&gt;Man&lt;/Author&gt;&lt;Year&gt;2011&lt;/Year&gt;&lt;RecNum&gt;99&lt;/RecNum&gt;&lt;DisplayText&gt;&lt;style face="superscript"&gt;101&lt;/style&gt;&lt;/DisplayText&gt;&lt;record&gt;&lt;rec-number&gt;99&lt;/rec-number&gt;&lt;foreign-keys&gt;&lt;key app="EN" db-id="2xex0erf4eexr4e2dpbxpdd829xttesxxxdr" timestamp="1715075296"&gt;99&lt;/key&gt;&lt;/foreign-keys&gt;&lt;ref-type name="Journal Article"&gt;17&lt;/ref-type&gt;&lt;contributors&gt;&lt;authors&gt;&lt;author&gt;Man, Isabela C.&lt;/author&gt;&lt;author&gt;Su, Hai-Yan&lt;/author&gt;&lt;author&gt;Calle-Vallejo, Federico&lt;/author&gt;&lt;author&gt;Hansen, Heine A.&lt;/author&gt;&lt;author&gt;Martínez, José I.&lt;/author&gt;&lt;author&gt;Inoglu, Nilay G.&lt;/author&gt;&lt;author&gt;Kitchin, John&lt;/author&gt;&lt;author&gt;Jaramillo, Thomas F.&lt;/author&gt;&lt;author&gt;Nørskov, Jens K.&lt;/author&gt;&lt;author&gt;Rossmeisl, Jan&lt;/author&gt;&lt;/authors&gt;&lt;/contributors&gt;&lt;titles&gt;&lt;title&gt;Universality in Oxygen Evolution Electrocatalysis on Oxide Surfaces&lt;/title&gt;&lt;secondary-title&gt;ChemCatChem&lt;/secondary-title&gt;&lt;/titles&gt;&lt;pages&gt;1159-1165&lt;/pages&gt;&lt;volume&gt;3&lt;/volume&gt;&lt;number&gt;7&lt;/number&gt;&lt;dates&gt;&lt;year&gt;2011&lt;/year&gt;&lt;/dates&gt;&lt;isbn&gt;1867-3880&lt;/isbn&gt;&lt;urls&gt;&lt;related-urls&gt;&lt;url&gt;https://chemistry-europe.onlinelibrary.wiley.com/doi/abs/10.1002/cctc.201000397&lt;/url&gt;&lt;/related-urls&gt;&lt;/urls&gt;&lt;electronic-resource-num&gt;https://doi.org/10.1002/cctc.201000397&lt;/electronic-resource-num&gt;&lt;/record&gt;&lt;/Cite&gt;&lt;/EndNote&gt;</w:instrText>
      </w:r>
      <w:r w:rsidRPr="00282227">
        <w:fldChar w:fldCharType="separate"/>
      </w:r>
      <w:r w:rsidR="00FC5BEB" w:rsidRPr="00FC5BEB">
        <w:rPr>
          <w:noProof/>
          <w:vertAlign w:val="superscript"/>
        </w:rPr>
        <w:t>101</w:t>
      </w:r>
      <w:r w:rsidRPr="00282227">
        <w:fldChar w:fldCharType="end"/>
      </w:r>
      <w:r w:rsidRPr="00282227">
        <w:t xml:space="preserve"> and </w:t>
      </w:r>
      <w:proofErr w:type="spellStart"/>
      <w:r w:rsidRPr="00282227">
        <w:t>IrO</w:t>
      </w:r>
      <w:r w:rsidRPr="00282227">
        <w:rPr>
          <w:vertAlign w:val="subscript"/>
        </w:rPr>
        <w:t>x</w:t>
      </w:r>
      <w:proofErr w:type="spellEnd"/>
      <w:r w:rsidRPr="00282227">
        <w:t>/SrIrO</w:t>
      </w:r>
      <w:r w:rsidRPr="00282227">
        <w:rPr>
          <w:vertAlign w:val="subscript"/>
        </w:rPr>
        <w:t>3</w:t>
      </w:r>
      <w:r w:rsidRPr="00282227">
        <w:fldChar w:fldCharType="begin"/>
      </w:r>
      <w:r w:rsidR="00FC5BEB">
        <w:instrText xml:space="preserve"> ADDIN EN.CITE &lt;EndNote&gt;&lt;Cite&gt;&lt;Author&gt;Seitz&lt;/Author&gt;&lt;Year&gt;2016&lt;/Year&gt;&lt;RecNum&gt;267&lt;/RecNum&gt;&lt;DisplayText&gt;&lt;style face="superscript"&gt;269&lt;/style&gt;&lt;/DisplayText&gt;&lt;record&gt;&lt;rec-number&gt;267&lt;/rec-number&gt;&lt;foreign-keys&gt;&lt;key app="EN" db-id="2xex0erf4eexr4e2dpbxpdd829xttesxxxdr" timestamp="1715075296"&gt;267&lt;/key&gt;&lt;/foreign-keys&gt;&lt;ref-type name="Journal Article"&gt;17&lt;/ref-type&gt;&lt;contributors&gt;&lt;authors&gt;&lt;author&gt;Seitz, Linsey C.&lt;/author&gt;&lt;author&gt;Dickens, Colin F.&lt;/author&gt;&lt;author&gt;Nishio, Kazunori&lt;/author&gt;&lt;author&gt;Hikita, Yasuyuki&lt;/author&gt;&lt;author&gt;Montoya, Joseph&lt;/author&gt;&lt;author&gt;Doyle, Andrew&lt;/author&gt;&lt;author&gt;Kirk, Charlotte&lt;/author&gt;&lt;author&gt;Vojvodic, Aleksandra&lt;/author&gt;&lt;author&gt;Hwang, Harold Y.&lt;/author&gt;&lt;author&gt;Norskov, Jens K.&lt;/author&gt;&lt;author&gt;Jaramillo, Thomas F.&lt;/author&gt;&lt;/authors&gt;&lt;/contributors&gt;&lt;titles&gt;&lt;title&gt;A highly active and stable IrOx/SrIrO3 catalyst for the oxygen evolution reaction&lt;/title&gt;&lt;secondary-title&gt;Science&lt;/secondary-title&gt;&lt;/titles&gt;&lt;periodical&gt;&lt;full-title&gt;Science&lt;/full-title&gt;&lt;abbr-1&gt;Science&lt;/abbr-1&gt;&lt;abbr-2&gt;Science&lt;/abbr-2&gt;&lt;/periodical&gt;&lt;pages&gt;1011-1014&lt;/pages&gt;&lt;volume&gt;353&lt;/volume&gt;&lt;number&gt;6303&lt;/number&gt;&lt;dates&gt;&lt;year&gt;2016&lt;/year&gt;&lt;/dates&gt;&lt;urls&gt;&lt;related-urls&gt;&lt;url&gt;https://www.science.org/doi/abs/10.1126/science.aaf5050&lt;/url&gt;&lt;/related-urls&gt;&lt;/urls&gt;&lt;electronic-resource-num&gt;doi:10.1126/science.aaf5050&lt;/electronic-resource-num&gt;&lt;/record&gt;&lt;/Cite&gt;&lt;/EndNote&gt;</w:instrText>
      </w:r>
      <w:r w:rsidRPr="00282227">
        <w:fldChar w:fldCharType="separate"/>
      </w:r>
      <w:r w:rsidR="00FC5BEB" w:rsidRPr="00FC5BEB">
        <w:rPr>
          <w:noProof/>
          <w:vertAlign w:val="superscript"/>
        </w:rPr>
        <w:t>269</w:t>
      </w:r>
      <w:r w:rsidRPr="00282227">
        <w:fldChar w:fldCharType="end"/>
      </w:r>
      <w:r w:rsidRPr="00282227">
        <w:t xml:space="preserve">. </w:t>
      </w:r>
    </w:p>
    <w:p w14:paraId="3F44AD20" w14:textId="77777777" w:rsidR="00E87282" w:rsidRDefault="00E87282" w:rsidP="00282227"/>
    <w:p w14:paraId="30B67FBA" w14:textId="07E4BFDA" w:rsidR="00E87282" w:rsidRDefault="00E87282" w:rsidP="00282227">
      <w:r>
        <w:rPr>
          <w:noProof/>
          <w14:ligatures w14:val="standardContextual"/>
        </w:rPr>
        <w:drawing>
          <wp:inline distT="0" distB="0" distL="0" distR="0" wp14:anchorId="6DA0C8F0" wp14:editId="4C49889C">
            <wp:extent cx="5694744" cy="3993766"/>
            <wp:effectExtent l="0" t="0" r="0" b="0"/>
            <wp:docPr id="192701539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6376177" name="Picture 2136376177"/>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696884" cy="3995267"/>
                    </a:xfrm>
                    <a:prstGeom prst="rect">
                      <a:avLst/>
                    </a:prstGeom>
                  </pic:spPr>
                </pic:pic>
              </a:graphicData>
            </a:graphic>
          </wp:inline>
        </w:drawing>
      </w:r>
    </w:p>
    <w:p w14:paraId="1BF6E814" w14:textId="7BD53063" w:rsidR="00C36C6D" w:rsidRPr="00397759" w:rsidRDefault="00E87282" w:rsidP="00C36C6D">
      <w:pPr>
        <w:pStyle w:val="Caption"/>
        <w:rPr>
          <w:iCs/>
          <w:lang w:val="en-US"/>
        </w:rPr>
      </w:pPr>
      <w:bookmarkStart w:id="111" w:name="_Ref159521696"/>
      <w:r w:rsidRPr="00282227">
        <w:rPr>
          <w:b/>
          <w:bCs w:val="0"/>
          <w:sz w:val="22"/>
        </w:rPr>
        <w:t xml:space="preserve">Figure </w:t>
      </w:r>
      <w:r w:rsidRPr="00282227">
        <w:rPr>
          <w:b/>
          <w:bCs w:val="0"/>
          <w:sz w:val="22"/>
        </w:rPr>
        <w:fldChar w:fldCharType="begin"/>
      </w:r>
      <w:r w:rsidRPr="00282227">
        <w:rPr>
          <w:b/>
          <w:bCs w:val="0"/>
          <w:sz w:val="22"/>
        </w:rPr>
        <w:instrText xml:space="preserve"> SEQ Figure \* ARABIC </w:instrText>
      </w:r>
      <w:r w:rsidRPr="00282227">
        <w:rPr>
          <w:b/>
          <w:bCs w:val="0"/>
          <w:sz w:val="22"/>
        </w:rPr>
        <w:fldChar w:fldCharType="separate"/>
      </w:r>
      <w:r>
        <w:rPr>
          <w:b/>
          <w:bCs w:val="0"/>
          <w:noProof/>
          <w:sz w:val="22"/>
        </w:rPr>
        <w:t>27</w:t>
      </w:r>
      <w:r w:rsidRPr="00282227">
        <w:rPr>
          <w:b/>
          <w:bCs w:val="0"/>
          <w:sz w:val="22"/>
        </w:rPr>
        <w:fldChar w:fldCharType="end"/>
      </w:r>
      <w:bookmarkEnd w:id="111"/>
      <w:r w:rsidRPr="00282227">
        <w:rPr>
          <w:b/>
        </w:rPr>
        <w:t xml:space="preserve"> </w:t>
      </w:r>
      <w:r>
        <w:rPr>
          <w:b/>
        </w:rPr>
        <w:t>(</w:t>
      </w:r>
      <w:r w:rsidRPr="00282227">
        <w:t xml:space="preserve">a) 2D volcano plot computed from the standard AEM scaling relationships together with the structures with the lowest computed </w:t>
      </w:r>
      <w:r w:rsidRPr="00282227">
        <w:rPr>
          <w:i/>
        </w:rPr>
        <w:sym w:font="Symbol" w:char="F068"/>
      </w:r>
      <w:r w:rsidRPr="00282227">
        <w:rPr>
          <w:iCs/>
          <w:vertAlign w:val="subscript"/>
        </w:rPr>
        <w:t>CHE.</w:t>
      </w:r>
      <w:r w:rsidRPr="00282227">
        <w:rPr>
          <w:b/>
        </w:rPr>
        <w:t xml:space="preserve"> </w:t>
      </w:r>
      <w:r w:rsidRPr="00282227">
        <w:t>The IrO</w:t>
      </w:r>
      <w:r w:rsidRPr="00282227">
        <w:rPr>
          <w:vertAlign w:val="subscript"/>
        </w:rPr>
        <w:t>2</w:t>
      </w:r>
      <w:r w:rsidRPr="00282227">
        <w:t xml:space="preserve"> structures include: </w:t>
      </w:r>
      <w:r>
        <w:t>(</w:t>
      </w:r>
      <w:r w:rsidRPr="00282227">
        <w:t xml:space="preserve">b) rutile-type, </w:t>
      </w:r>
      <w:r>
        <w:t>(</w:t>
      </w:r>
      <w:r w:rsidRPr="00282227">
        <w:t xml:space="preserve">c) anatase-type, </w:t>
      </w:r>
      <w:r>
        <w:t>(</w:t>
      </w:r>
      <w:r w:rsidRPr="00282227">
        <w:t xml:space="preserve">d) pyrite-type, </w:t>
      </w:r>
      <w:r>
        <w:t>(</w:t>
      </w:r>
      <w:r w:rsidRPr="00282227">
        <w:t xml:space="preserve">e) brookite-type, </w:t>
      </w:r>
      <w:r>
        <w:t>(</w:t>
      </w:r>
      <w:r w:rsidRPr="00282227">
        <w:t>f) columbite-type. The IrO</w:t>
      </w:r>
      <w:r w:rsidRPr="00282227">
        <w:rPr>
          <w:vertAlign w:val="subscript"/>
        </w:rPr>
        <w:t>3</w:t>
      </w:r>
      <w:r w:rsidRPr="00282227">
        <w:t xml:space="preserve"> structures include: </w:t>
      </w:r>
      <w:r>
        <w:t>(</w:t>
      </w:r>
      <w:r w:rsidRPr="00282227">
        <w:t xml:space="preserve">g) </w:t>
      </w:r>
      <w:r w:rsidRPr="00282227">
        <w:rPr>
          <w:i/>
          <w:iCs/>
        </w:rPr>
        <w:t>Amm</w:t>
      </w:r>
      <w:r w:rsidRPr="00282227">
        <w:t xml:space="preserve">2, </w:t>
      </w:r>
      <w:r>
        <w:t>(</w:t>
      </w:r>
      <w:r w:rsidRPr="00282227">
        <w:t xml:space="preserve">h) </w:t>
      </w:r>
      <w:r w:rsidRPr="00282227">
        <w:rPr>
          <w:i/>
          <w:iCs/>
        </w:rPr>
        <w:t>Pm-3m</w:t>
      </w:r>
      <w:r w:rsidRPr="00282227">
        <w:t xml:space="preserve">, and </w:t>
      </w:r>
      <w:r>
        <w:t>(</w:t>
      </w:r>
      <w:proofErr w:type="spellStart"/>
      <w:r w:rsidRPr="00282227">
        <w:t>i</w:t>
      </w:r>
      <w:proofErr w:type="spellEnd"/>
      <w:r w:rsidRPr="00282227">
        <w:t xml:space="preserve">) </w:t>
      </w:r>
      <w:proofErr w:type="spellStart"/>
      <w:r w:rsidRPr="00282227">
        <w:rPr>
          <w:i/>
          <w:iCs/>
        </w:rPr>
        <w:t>Cmcm</w:t>
      </w:r>
      <w:proofErr w:type="spellEnd"/>
      <w:r w:rsidRPr="00282227">
        <w:t>. The theoretical overpotential was computed on the fully oxidized surfaces in all cases except for IrO</w:t>
      </w:r>
      <w:r w:rsidRPr="00282227">
        <w:rPr>
          <w:vertAlign w:val="subscript"/>
        </w:rPr>
        <w:t>3</w:t>
      </w:r>
      <w:r w:rsidRPr="00282227">
        <w:t xml:space="preserve"> </w:t>
      </w:r>
      <w:proofErr w:type="spellStart"/>
      <w:r w:rsidRPr="00282227">
        <w:rPr>
          <w:i/>
          <w:iCs/>
        </w:rPr>
        <w:t>Cmcm</w:t>
      </w:r>
      <w:proofErr w:type="spellEnd"/>
      <w:r w:rsidRPr="00282227">
        <w:t xml:space="preserve">, where a *OH terminated surface was used in accord with the computed surface </w:t>
      </w:r>
      <w:r w:rsidRPr="00282227">
        <w:rPr>
          <w:iCs/>
        </w:rPr>
        <w:t xml:space="preserve">(pH, </w:t>
      </w:r>
      <w:r w:rsidRPr="00282227">
        <w:rPr>
          <w:i/>
        </w:rPr>
        <w:t>U</w:t>
      </w:r>
      <w:r w:rsidRPr="00282227">
        <w:rPr>
          <w:iCs/>
        </w:rPr>
        <w:t xml:space="preserve">) </w:t>
      </w:r>
      <w:r w:rsidRPr="00282227">
        <w:t xml:space="preserve">diagram. Oxygen is shown as red, </w:t>
      </w:r>
      <w:proofErr w:type="spellStart"/>
      <w:r w:rsidRPr="00282227">
        <w:t>Ir</w:t>
      </w:r>
      <w:proofErr w:type="spellEnd"/>
      <w:r w:rsidRPr="00282227">
        <w:t xml:space="preserve"> in IrO</w:t>
      </w:r>
      <w:r w:rsidRPr="00282227">
        <w:rPr>
          <w:vertAlign w:val="subscript"/>
        </w:rPr>
        <w:t>2</w:t>
      </w:r>
      <w:r w:rsidRPr="00282227">
        <w:t xml:space="preserve"> is light green, and </w:t>
      </w:r>
      <w:proofErr w:type="spellStart"/>
      <w:r w:rsidRPr="00282227">
        <w:t>Ir</w:t>
      </w:r>
      <w:proofErr w:type="spellEnd"/>
      <w:r w:rsidRPr="00282227">
        <w:t xml:space="preserve"> in IrO</w:t>
      </w:r>
      <w:r w:rsidRPr="00282227">
        <w:rPr>
          <w:vertAlign w:val="subscript"/>
        </w:rPr>
        <w:t>3</w:t>
      </w:r>
      <w:r w:rsidRPr="00282227">
        <w:t xml:space="preserve"> is dark green. </w:t>
      </w:r>
      <w:r w:rsidR="00C36C6D" w:rsidRPr="00C36C6D">
        <w:rPr>
          <w:iCs/>
          <w:lang w:val="en-US"/>
        </w:rPr>
        <w:t xml:space="preserve">Reprinted with permission from </w:t>
      </w:r>
      <w:r w:rsidR="00C36C6D">
        <w:rPr>
          <w:iCs/>
        </w:rPr>
        <w:t>Ref.</w:t>
      </w:r>
      <w:r w:rsidR="00C36C6D" w:rsidRPr="00282227">
        <w:rPr>
          <w:iCs/>
        </w:rPr>
        <w:t xml:space="preserve"> </w:t>
      </w:r>
      <w:r w:rsidR="00C36C6D" w:rsidRPr="00282227">
        <w:fldChar w:fldCharType="begin"/>
      </w:r>
      <w:r w:rsidR="00C36C6D">
        <w:instrText xml:space="preserve"> ADDIN EN.CITE &lt;EndNote&gt;&lt;Cite&gt;&lt;Author&gt;Back&lt;/Author&gt;&lt;Year&gt;2019&lt;/Year&gt;&lt;RecNum&gt;383&lt;/RecNum&gt;&lt;DisplayText&gt;&lt;style face="superscript"&gt;385&lt;/style&gt;&lt;/DisplayText&gt;&lt;record&gt;&lt;rec-number&gt;383&lt;/rec-number&gt;&lt;foreign-keys&gt;&lt;key app="EN" db-id="2xex0erf4eexr4e2dpbxpdd829xttesxxxdr" timestamp="1715075297"&gt;383&lt;/key&gt;&lt;/foreign-keys&gt;&lt;ref-type name="Journal Article"&gt;17&lt;/ref-type&gt;&lt;contributors&gt;&lt;authors&gt;&lt;author&gt;Back, Seoin&lt;/author&gt;&lt;author&gt;Tran, Kevin&lt;/author&gt;&lt;author&gt;Ulissi, Zachary W.&lt;/author&gt;&lt;/authors&gt;&lt;/contributors&gt;&lt;titles&gt;&lt;title&gt;Toward a Design of Active Oxygen Evolution Catalysts: Insights from Automated Density Functional Theory Calculations and Machine Learning&lt;/title&gt;&lt;secondary-title&gt;ACS Catal.&lt;/secondary-title&gt;&lt;/titles&gt;&lt;periodical&gt;&lt;full-title&gt;ACS Catal.&lt;/full-title&gt;&lt;/periodical&gt;&lt;pages&gt;7651-7659&lt;/pages&gt;&lt;volume&gt;9&lt;/volume&gt;&lt;number&gt;9&lt;/number&gt;&lt;dates&gt;&lt;year&gt;2019&lt;/year&gt;&lt;pub-dates&gt;&lt;date&gt;2019/09/06&lt;/date&gt;&lt;/pub-dates&gt;&lt;/dates&gt;&lt;publisher&gt;American Chemical Society&lt;/publisher&gt;&lt;urls&gt;&lt;related-urls&gt;&lt;url&gt;https://doi.org/10.1021/acscatal.9b02416&lt;/url&gt;&lt;/related-urls&gt;&lt;/urls&gt;&lt;electronic-resource-num&gt;10.1021/acscatal.9b02416&lt;/electronic-resource-num&gt;&lt;/record&gt;&lt;/Cite&gt;&lt;/EndNote&gt;</w:instrText>
      </w:r>
      <w:r w:rsidR="00C36C6D" w:rsidRPr="00282227">
        <w:fldChar w:fldCharType="separate"/>
      </w:r>
      <w:r w:rsidR="00C36C6D" w:rsidRPr="00FC5BEB">
        <w:rPr>
          <w:noProof/>
          <w:vertAlign w:val="superscript"/>
        </w:rPr>
        <w:t>385</w:t>
      </w:r>
      <w:r w:rsidR="00C36C6D" w:rsidRPr="00282227">
        <w:fldChar w:fldCharType="end"/>
      </w:r>
      <w:r w:rsidR="00C36C6D">
        <w:t xml:space="preserve"> </w:t>
      </w:r>
      <w:r w:rsidR="00C36C6D" w:rsidRPr="00C36C6D">
        <w:rPr>
          <w:iCs/>
          <w:lang w:val="en-US"/>
        </w:rPr>
        <w:t xml:space="preserve">Copyright </w:t>
      </w:r>
      <w:r w:rsidR="00C36C6D">
        <w:rPr>
          <w:iCs/>
          <w:lang w:val="en-US"/>
        </w:rPr>
        <w:t>2019</w:t>
      </w:r>
      <w:r w:rsidR="00C36C6D" w:rsidRPr="00C36C6D">
        <w:rPr>
          <w:iCs/>
          <w:lang w:val="en-US"/>
        </w:rPr>
        <w:t xml:space="preserve"> American Chemical Society.</w:t>
      </w:r>
    </w:p>
    <w:p w14:paraId="1CFDD532" w14:textId="77777777" w:rsidR="00E87282" w:rsidRDefault="00E87282" w:rsidP="00C36C6D"/>
    <w:p w14:paraId="7441E5F8" w14:textId="3BA8231F" w:rsidR="00D147E5" w:rsidRDefault="00282227" w:rsidP="00E87282">
      <w:pPr>
        <w:ind w:firstLine="720"/>
      </w:pPr>
      <w:r w:rsidRPr="00282227">
        <w:t xml:space="preserve">A volcano plot showing the theoretical overpotential derived from the </w:t>
      </w:r>
      <w:r w:rsidRPr="00282227">
        <w:sym w:font="Symbol" w:char="F044"/>
      </w:r>
      <w:r w:rsidRPr="00282227">
        <w:rPr>
          <w:i/>
          <w:iCs/>
        </w:rPr>
        <w:t>G</w:t>
      </w:r>
      <w:r w:rsidRPr="00282227">
        <w:rPr>
          <w:vertAlign w:val="subscript"/>
        </w:rPr>
        <w:t>*OOH</w:t>
      </w:r>
      <w:r w:rsidRPr="00282227">
        <w:t xml:space="preserve"> =0.98</w:t>
      </w:r>
      <w:r w:rsidRPr="00282227">
        <w:sym w:font="Symbol" w:char="F044"/>
      </w:r>
      <w:r w:rsidRPr="00282227">
        <w:rPr>
          <w:i/>
          <w:iCs/>
        </w:rPr>
        <w:t>G</w:t>
      </w:r>
      <w:r w:rsidRPr="00282227">
        <w:rPr>
          <w:vertAlign w:val="subscript"/>
        </w:rPr>
        <w:t>*OH</w:t>
      </w:r>
      <w:r w:rsidRPr="00282227">
        <w:t>+3.04 eV scaling relationship plotted against (</w:t>
      </w:r>
      <w:r w:rsidRPr="00282227">
        <w:sym w:font="Symbol" w:char="F044"/>
      </w:r>
      <w:r w:rsidRPr="00282227">
        <w:rPr>
          <w:i/>
          <w:iCs/>
        </w:rPr>
        <w:t>G</w:t>
      </w:r>
      <w:r w:rsidRPr="00282227">
        <w:rPr>
          <w:vertAlign w:val="subscript"/>
        </w:rPr>
        <w:t>*O</w:t>
      </w:r>
      <w:r w:rsidRPr="00282227">
        <w:t>-</w:t>
      </w:r>
      <w:r w:rsidRPr="00282227">
        <w:sym w:font="Symbol" w:char="F044"/>
      </w:r>
      <w:r w:rsidRPr="00282227">
        <w:rPr>
          <w:i/>
          <w:iCs/>
        </w:rPr>
        <w:t>G</w:t>
      </w:r>
      <w:r w:rsidRPr="00282227">
        <w:rPr>
          <w:vertAlign w:val="subscript"/>
        </w:rPr>
        <w:t>*OH</w:t>
      </w:r>
      <w:r w:rsidRPr="00282227">
        <w:t xml:space="preserve">) is shown in </w:t>
      </w:r>
      <w:r>
        <w:fldChar w:fldCharType="begin"/>
      </w:r>
      <w:r>
        <w:instrText xml:space="preserve"> REF _Ref159521696 \h </w:instrText>
      </w:r>
      <w:r>
        <w:fldChar w:fldCharType="separate"/>
      </w:r>
      <w:r w:rsidR="00B52708" w:rsidRPr="00282227">
        <w:rPr>
          <w:b/>
          <w:bCs/>
        </w:rPr>
        <w:t xml:space="preserve">Figure </w:t>
      </w:r>
      <w:r w:rsidR="00B52708">
        <w:rPr>
          <w:b/>
          <w:bCs/>
          <w:noProof/>
        </w:rPr>
        <w:t>27</w:t>
      </w:r>
      <w:r>
        <w:fldChar w:fldCharType="end"/>
      </w:r>
      <w:r w:rsidRPr="00282227">
        <w:t xml:space="preserve">. The data points on the figure show the DFT values of </w:t>
      </w:r>
      <w:r w:rsidRPr="00282227">
        <w:rPr>
          <w:i/>
        </w:rPr>
        <w:sym w:font="Symbol" w:char="F068"/>
      </w:r>
      <w:r w:rsidRPr="00282227">
        <w:rPr>
          <w:iCs/>
          <w:vertAlign w:val="subscript"/>
        </w:rPr>
        <w:t>CHE</w:t>
      </w:r>
      <w:r w:rsidRPr="00282227">
        <w:t xml:space="preserve"> computed for the most promising materials identified in Ref. </w:t>
      </w:r>
      <w:r w:rsidRPr="00282227">
        <w:fldChar w:fldCharType="begin"/>
      </w:r>
      <w:r w:rsidR="00FC5BEB">
        <w:instrText xml:space="preserve"> ADDIN EN.CITE &lt;EndNote&gt;&lt;Cite&gt;&lt;Author&gt;Back&lt;/Author&gt;&lt;Year&gt;2019&lt;/Year&gt;&lt;RecNum&gt;383&lt;/RecNum&gt;&lt;DisplayText&gt;&lt;style face="superscript"&gt;385&lt;/style&gt;&lt;/DisplayText&gt;&lt;record&gt;&lt;rec-number&gt;383&lt;/rec-number&gt;&lt;foreign-keys&gt;&lt;key app="EN" db-id="2xex0erf4eexr4e2dpbxpdd829xttesxxxdr" timestamp="1715075297"&gt;383&lt;/key&gt;&lt;/foreign-keys&gt;&lt;ref-type name="Journal Article"&gt;17&lt;/ref-type&gt;&lt;contributors&gt;&lt;authors&gt;&lt;author&gt;Back, Seoin&lt;/author&gt;&lt;author&gt;Tran, Kevin&lt;/author&gt;&lt;author&gt;Ulissi, Zachary W.&lt;/author&gt;&lt;/authors&gt;&lt;/contributors&gt;&lt;titles&gt;&lt;title&gt;Toward a Design of Active Oxygen Evolution Catalysts: Insights from Automated Density Functional Theory Calculations and Machine Learning&lt;/title&gt;&lt;secondary-title&gt;ACS Catal.&lt;/secondary-title&gt;&lt;/titles&gt;&lt;periodical&gt;&lt;full-title&gt;ACS Catal.&lt;/full-title&gt;&lt;/periodical&gt;&lt;pages&gt;7651-7659&lt;/pages&gt;&lt;volume&gt;9&lt;/volume&gt;&lt;number&gt;9&lt;/number&gt;&lt;dates&gt;&lt;year&gt;2019&lt;/year&gt;&lt;pub-dates&gt;&lt;date&gt;2019/09/06&lt;/date&gt;&lt;/pub-dates&gt;&lt;/dates&gt;&lt;publisher&gt;American Chemical Society&lt;/publisher&gt;&lt;urls&gt;&lt;related-urls&gt;&lt;url&gt;https://doi.org/10.1021/acscatal.9b02416&lt;/url&gt;&lt;/related-urls&gt;&lt;/urls&gt;&lt;electronic-resource-num&gt;10.1021/acscatal.9b02416&lt;/electronic-resource-num&gt;&lt;/record&gt;&lt;/Cite&gt;&lt;/EndNote&gt;</w:instrText>
      </w:r>
      <w:r w:rsidRPr="00282227">
        <w:fldChar w:fldCharType="separate"/>
      </w:r>
      <w:r w:rsidR="00FC5BEB" w:rsidRPr="00FC5BEB">
        <w:rPr>
          <w:noProof/>
          <w:vertAlign w:val="superscript"/>
        </w:rPr>
        <w:t>385</w:t>
      </w:r>
      <w:r w:rsidRPr="00282227">
        <w:fldChar w:fldCharType="end"/>
      </w:r>
      <w:r w:rsidRPr="00282227">
        <w:t xml:space="preserve">, together with the surfaces considered in Ref. </w:t>
      </w:r>
      <w:r w:rsidRPr="00282227">
        <w:fldChar w:fldCharType="begin"/>
      </w:r>
      <w:r w:rsidR="00FC5BEB">
        <w:instrText xml:space="preserve"> ADDIN EN.CITE &lt;EndNote&gt;&lt;Cite&gt;&lt;Author&gt;Seitz&lt;/Author&gt;&lt;Year&gt;2016&lt;/Year&gt;&lt;RecNum&gt;267&lt;/RecNum&gt;&lt;DisplayText&gt;&lt;style face="superscript"&gt;269&lt;/style&gt;&lt;/DisplayText&gt;&lt;record&gt;&lt;rec-number&gt;267&lt;/rec-number&gt;&lt;foreign-keys&gt;&lt;key app="EN" db-id="2xex0erf4eexr4e2dpbxpdd829xttesxxxdr" timestamp="1715075296"&gt;267&lt;/key&gt;&lt;/foreign-keys&gt;&lt;ref-type name="Journal Article"&gt;17&lt;/ref-type&gt;&lt;contributors&gt;&lt;authors&gt;&lt;author&gt;Seitz, Linsey C.&lt;/author&gt;&lt;author&gt;Dickens, Colin F.&lt;/author&gt;&lt;author&gt;Nishio, Kazunori&lt;/author&gt;&lt;author&gt;Hikita, Yasuyuki&lt;/author&gt;&lt;author&gt;Montoya, Joseph&lt;/author&gt;&lt;author&gt;Doyle, Andrew&lt;/author&gt;&lt;author&gt;Kirk, Charlotte&lt;/author&gt;&lt;author&gt;Vojvodic, Aleksandra&lt;/author&gt;&lt;author&gt;Hwang, Harold Y.&lt;/author&gt;&lt;author&gt;Norskov, Jens K.&lt;/author&gt;&lt;author&gt;Jaramillo, Thomas F.&lt;/author&gt;&lt;/authors&gt;&lt;/contributors&gt;&lt;titles&gt;&lt;title&gt;A highly active and stable IrOx/SrIrO3 catalyst for the oxygen evolution reaction&lt;/title&gt;&lt;secondary-title&gt;Science&lt;/secondary-title&gt;&lt;/titles&gt;&lt;periodical&gt;&lt;full-title&gt;Science&lt;/full-title&gt;&lt;abbr-1&gt;Science&lt;/abbr-1&gt;&lt;abbr-2&gt;Science&lt;/abbr-2&gt;&lt;/periodical&gt;&lt;pages&gt;1011-1014&lt;/pages&gt;&lt;volume&gt;353&lt;/volume&gt;&lt;number&gt;6303&lt;/number&gt;&lt;dates&gt;&lt;year&gt;2016&lt;/year&gt;&lt;/dates&gt;&lt;urls&gt;&lt;related-urls&gt;&lt;url&gt;https://www.science.org/doi/abs/10.1126/science.aaf5050&lt;/url&gt;&lt;/related-urls&gt;&lt;/urls&gt;&lt;electronic-resource-num&gt;doi:10.1126/science.aaf5050&lt;/electronic-resource-num&gt;&lt;/record&gt;&lt;/Cite&gt;&lt;/EndNote&gt;</w:instrText>
      </w:r>
      <w:r w:rsidRPr="00282227">
        <w:fldChar w:fldCharType="separate"/>
      </w:r>
      <w:r w:rsidR="00FC5BEB" w:rsidRPr="00FC5BEB">
        <w:rPr>
          <w:noProof/>
          <w:vertAlign w:val="superscript"/>
        </w:rPr>
        <w:t>269</w:t>
      </w:r>
      <w:r w:rsidRPr="00282227">
        <w:fldChar w:fldCharType="end"/>
      </w:r>
      <w:r w:rsidR="00D23FC9">
        <w:t xml:space="preserve"> </w:t>
      </w:r>
      <w:r w:rsidRPr="00282227">
        <w:t>(the white stars). A variety of IrO</w:t>
      </w:r>
      <w:r w:rsidRPr="00282227">
        <w:rPr>
          <w:vertAlign w:val="subscript"/>
        </w:rPr>
        <w:t>2</w:t>
      </w:r>
      <w:r w:rsidRPr="00282227">
        <w:t xml:space="preserve"> and IrO</w:t>
      </w:r>
      <w:r w:rsidRPr="00282227">
        <w:rPr>
          <w:vertAlign w:val="subscript"/>
        </w:rPr>
        <w:t>3</w:t>
      </w:r>
      <w:r w:rsidRPr="00282227">
        <w:t xml:space="preserve"> surfaces can be seen near the top of volcano. That is, many </w:t>
      </w:r>
      <w:proofErr w:type="spellStart"/>
      <w:r w:rsidRPr="00282227">
        <w:t>Ir</w:t>
      </w:r>
      <w:proofErr w:type="spellEnd"/>
      <w:r w:rsidRPr="00282227">
        <w:t xml:space="preserve">-based oxides are predicted to have nearly ideal scaling. The computed value of </w:t>
      </w:r>
      <w:r w:rsidRPr="00282227">
        <w:rPr>
          <w:i/>
        </w:rPr>
        <w:sym w:font="Symbol" w:char="F068"/>
      </w:r>
      <w:r w:rsidRPr="00282227">
        <w:rPr>
          <w:iCs/>
          <w:vertAlign w:val="subscript"/>
        </w:rPr>
        <w:t>CHE</w:t>
      </w:r>
      <w:r w:rsidRPr="00282227">
        <w:rPr>
          <w:iCs/>
        </w:rPr>
        <w:t xml:space="preserve"> was shown to correlate with the Bader charge on the surface </w:t>
      </w:r>
      <w:proofErr w:type="spellStart"/>
      <w:r w:rsidRPr="00282227">
        <w:rPr>
          <w:iCs/>
        </w:rPr>
        <w:t>Ir</w:t>
      </w:r>
      <w:proofErr w:type="spellEnd"/>
      <w:r w:rsidRPr="00282227">
        <w:rPr>
          <w:iCs/>
        </w:rPr>
        <w:t xml:space="preserve"> atom involved in the OER through the AEM, where more oxidized metal sites showed a lower </w:t>
      </w:r>
      <w:r w:rsidRPr="00282227">
        <w:rPr>
          <w:i/>
        </w:rPr>
        <w:sym w:font="Symbol" w:char="F068"/>
      </w:r>
      <w:r w:rsidRPr="00282227">
        <w:rPr>
          <w:iCs/>
          <w:vertAlign w:val="subscript"/>
        </w:rPr>
        <w:t>CHE</w:t>
      </w:r>
      <w:r w:rsidRPr="00282227">
        <w:rPr>
          <w:iCs/>
        </w:rPr>
        <w:t xml:space="preserve">. Hence, the OER seems to require </w:t>
      </w:r>
      <w:r w:rsidRPr="00282227">
        <w:rPr>
          <w:iCs/>
        </w:rPr>
        <w:sym w:font="Symbol" w:char="F06D"/>
      </w:r>
      <w:r w:rsidRPr="00282227">
        <w:rPr>
          <w:iCs/>
          <w:vertAlign w:val="subscript"/>
        </w:rPr>
        <w:t>1</w:t>
      </w:r>
      <w:r w:rsidRPr="00282227">
        <w:rPr>
          <w:iCs/>
        </w:rPr>
        <w:t xml:space="preserve">-O sites, where the more heavily oxidized iridium centers show reduced theoretical overpotentials compared to the less reduced species in </w:t>
      </w:r>
      <w:r>
        <w:rPr>
          <w:iCs/>
        </w:rPr>
        <w:fldChar w:fldCharType="begin"/>
      </w:r>
      <w:r>
        <w:rPr>
          <w:iCs/>
        </w:rPr>
        <w:instrText xml:space="preserve"> REF _Ref159521590 \h </w:instrText>
      </w:r>
      <w:r>
        <w:rPr>
          <w:iCs/>
        </w:rPr>
      </w:r>
      <w:r>
        <w:rPr>
          <w:iCs/>
        </w:rPr>
        <w:fldChar w:fldCharType="separate"/>
      </w:r>
      <w:r w:rsidR="00B52708" w:rsidRPr="00282227">
        <w:rPr>
          <w:b/>
          <w:bCs/>
        </w:rPr>
        <w:t xml:space="preserve">Figure </w:t>
      </w:r>
      <w:r w:rsidR="00B52708">
        <w:rPr>
          <w:b/>
          <w:bCs/>
          <w:noProof/>
        </w:rPr>
        <w:t>26</w:t>
      </w:r>
      <w:r>
        <w:rPr>
          <w:iCs/>
        </w:rPr>
        <w:fldChar w:fldCharType="end"/>
      </w:r>
      <w:r w:rsidRPr="00282227">
        <w:rPr>
          <w:iCs/>
        </w:rPr>
        <w:t xml:space="preserve"> because higher </w:t>
      </w:r>
      <w:proofErr w:type="spellStart"/>
      <w:r w:rsidRPr="00282227">
        <w:rPr>
          <w:iCs/>
        </w:rPr>
        <w:t>Ir</w:t>
      </w:r>
      <w:proofErr w:type="spellEnd"/>
      <w:r w:rsidRPr="00282227">
        <w:rPr>
          <w:iCs/>
        </w:rPr>
        <w:t xml:space="preserve"> oxidation states tend to induce more </w:t>
      </w:r>
      <w:proofErr w:type="spellStart"/>
      <w:r w:rsidRPr="00282227">
        <w:rPr>
          <w:iCs/>
        </w:rPr>
        <w:t>oxyl</w:t>
      </w:r>
      <w:proofErr w:type="spellEnd"/>
      <w:r w:rsidRPr="00282227">
        <w:rPr>
          <w:iCs/>
        </w:rPr>
        <w:t xml:space="preserve"> character on </w:t>
      </w:r>
      <w:r w:rsidRPr="00282227">
        <w:rPr>
          <w:iCs/>
        </w:rPr>
        <w:sym w:font="Symbol" w:char="F06D"/>
      </w:r>
      <w:r w:rsidRPr="00282227">
        <w:rPr>
          <w:iCs/>
          <w:vertAlign w:val="subscript"/>
        </w:rPr>
        <w:t>1</w:t>
      </w:r>
      <w:r w:rsidRPr="00282227">
        <w:rPr>
          <w:iCs/>
        </w:rPr>
        <w:t xml:space="preserve">-O </w:t>
      </w:r>
      <w:r w:rsidRPr="00282227">
        <w:fldChar w:fldCharType="begin">
          <w:fldData xml:space="preserve">PEVuZE5vdGU+PENpdGU+PEF1dGhvcj5WZWxhc2NvLVbDqWxlejwvQXV0aG9yPjxZZWFyPjIwMjE8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</w:fldData>
        </w:fldChar>
      </w:r>
      <w:r w:rsidR="00FC5BEB">
        <w:instrText xml:space="preserve"> ADDIN EN.CITE </w:instrText>
      </w:r>
      <w:r w:rsidR="00FC5BEB">
        <w:fldChar w:fldCharType="begin">
          <w:fldData xml:space="preserve">PEVuZE5vdGU+PENpdGU+PEF1dGhvcj5WZWxhc2NvLVbDqWxlejwvQXV0aG9yPjxZZWFyPjIwMjE8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</w:fldData>
        </w:fldChar>
      </w:r>
      <w:r w:rsidR="00FC5BEB">
        <w:instrText xml:space="preserve"> ADDIN EN.CITE.DATA </w:instrText>
      </w:r>
      <w:r w:rsidR="00FC5BEB">
        <w:fldChar w:fldCharType="end"/>
      </w:r>
      <w:r w:rsidRPr="00282227">
        <w:fldChar w:fldCharType="separate"/>
      </w:r>
      <w:r w:rsidR="00FC5BEB" w:rsidRPr="00FC5BEB">
        <w:rPr>
          <w:noProof/>
          <w:vertAlign w:val="superscript"/>
        </w:rPr>
        <w:t>222, 224, 268</w:t>
      </w:r>
      <w:r w:rsidRPr="00282227">
        <w:fldChar w:fldCharType="end"/>
      </w:r>
      <w:r w:rsidRPr="00282227">
        <w:t>.</w:t>
      </w:r>
      <w:r w:rsidRPr="00282227">
        <w:rPr>
          <w:iCs/>
        </w:rPr>
        <w:t xml:space="preserve"> This is nearly the same result as that </w:t>
      </w:r>
      <w:r w:rsidR="00916833">
        <w:rPr>
          <w:iCs/>
        </w:rPr>
        <w:t xml:space="preserve">was </w:t>
      </w:r>
      <w:r w:rsidRPr="00282227">
        <w:rPr>
          <w:iCs/>
        </w:rPr>
        <w:t xml:space="preserve">found in activating lattice oxygen through increased M-O </w:t>
      </w:r>
      <w:r w:rsidRPr="00282227">
        <w:rPr>
          <w:iCs/>
        </w:rPr>
        <w:lastRenderedPageBreak/>
        <w:t>covalency</w:t>
      </w:r>
      <w:r w:rsidRPr="00282227">
        <w:fldChar w:fldCharType="begin">
          <w:fldData xml:space="preserve">PEVuZE5vdGU+PENpdGU+PEF1dGhvcj5NZWZmb3JkPC9BdXRob3I+PFllYXI+MjAxNjwvWWVhcj48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</w:fldData>
        </w:fldChar>
      </w:r>
      <w:r w:rsidR="00FC5BEB">
        <w:instrText xml:space="preserve"> ADDIN EN.CITE </w:instrText>
      </w:r>
      <w:r w:rsidR="00FC5BEB">
        <w:fldChar w:fldCharType="begin">
          <w:fldData xml:space="preserve">PEVuZE5vdGU+PENpdGU+PEF1dGhvcj5NZWZmb3JkPC9BdXRob3I+PFllYXI+MjAxNjwvWWVhcj48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</w:fldData>
        </w:fldChar>
      </w:r>
      <w:r w:rsidR="00FC5BEB">
        <w:instrText xml:space="preserve"> ADDIN EN.CITE.DATA </w:instrText>
      </w:r>
      <w:r w:rsidR="00FC5BEB">
        <w:fldChar w:fldCharType="end"/>
      </w:r>
      <w:r w:rsidRPr="00282227">
        <w:fldChar w:fldCharType="separate"/>
      </w:r>
      <w:r w:rsidR="00FC5BEB" w:rsidRPr="00FC5BEB">
        <w:rPr>
          <w:noProof/>
          <w:vertAlign w:val="superscript"/>
        </w:rPr>
        <w:t>327, 329</w:t>
      </w:r>
      <w:r w:rsidRPr="00282227">
        <w:fldChar w:fldCharType="end"/>
      </w:r>
      <w:r w:rsidR="00482AB6" w:rsidRPr="00482AB6">
        <w:rPr>
          <w:vertAlign w:val="superscript"/>
        </w:rPr>
        <w:t>,</w:t>
      </w:r>
      <w:r w:rsidRPr="00282227">
        <w:rPr>
          <w:iCs/>
        </w:rPr>
        <w:fldChar w:fldCharType="begin"/>
      </w:r>
      <w:r w:rsidR="00FC5BEB">
        <w:rPr>
          <w:iCs/>
        </w:rPr>
        <w:instrText xml:space="preserve"> ADDIN EN.CITE &lt;EndNote&gt;&lt;Cite&gt;&lt;Author&gt;Rong&lt;/Author&gt;&lt;Year&gt;2016&lt;/Year&gt;&lt;RecNum&gt;322&lt;/RecNum&gt;&lt;DisplayText&gt;&lt;style face="superscript"&gt;324&lt;/style&gt;&lt;/DisplayText&gt;&lt;record&gt;&lt;rec-number&gt;322&lt;/rec-number&gt;&lt;foreign-keys&gt;&lt;key app="EN" db-id="2xex0erf4eexr4e2dpbxpdd829xttesxxxdr" timestamp="1715075296"&gt;322&lt;/key&gt;&lt;/foreign-keys&gt;&lt;ref-type name="Journal Article"&gt;17&lt;/ref-type&gt;&lt;contributors&gt;&lt;authors&gt;&lt;author&gt;Rong, Xi&lt;/author&gt;&lt;author&gt;Parolin, Jules&lt;/author&gt;&lt;author&gt;Kolpak, Alexie M.&lt;/author&gt;&lt;/authors&gt;&lt;/contributors&gt;&lt;titles&gt;&lt;title&gt;A Fundamental Relationship between Reaction Mechanism and Stability in Metal Oxide Catalysts for Oxygen Evolution&lt;/title&gt;&lt;secondary-title&gt;ACS Catal.&lt;/secondary-title&gt;&lt;/titles&gt;&lt;periodical&gt;&lt;full-title&gt;ACS Catal.&lt;/full-title&gt;&lt;/periodical&gt;&lt;pages&gt;1153-1158&lt;/pages&gt;&lt;volume&gt;6&lt;/volume&gt;&lt;number&gt;2&lt;/number&gt;&lt;dates&gt;&lt;year&gt;2016&lt;/year&gt;&lt;pub-dates&gt;&lt;date&gt;2016/02/05&lt;/date&gt;&lt;/pub-dates&gt;&lt;/dates&gt;&lt;publisher&gt;American Chemical Society&lt;/publisher&gt;&lt;urls&gt;&lt;related-urls&gt;&lt;url&gt;https://doi.org/10.1021/acscatal.5b02432&lt;/url&gt;&lt;/related-urls&gt;&lt;/urls&gt;&lt;electronic-resource-num&gt;10.1021/acscatal.5b02432&lt;/electronic-resource-num&gt;&lt;/record&gt;&lt;/Cite&gt;&lt;/EndNote&gt;</w:instrText>
      </w:r>
      <w:r w:rsidRPr="00282227">
        <w:rPr>
          <w:iCs/>
        </w:rPr>
        <w:fldChar w:fldCharType="separate"/>
      </w:r>
      <w:r w:rsidR="00FC5BEB" w:rsidRPr="00FC5BEB">
        <w:rPr>
          <w:iCs/>
          <w:noProof/>
          <w:vertAlign w:val="superscript"/>
        </w:rPr>
        <w:t>324</w:t>
      </w:r>
      <w:r w:rsidRPr="00282227">
        <w:fldChar w:fldCharType="end"/>
      </w:r>
      <w:r w:rsidRPr="00282227">
        <w:rPr>
          <w:iCs/>
        </w:rPr>
        <w:t xml:space="preserve">, which results in a chemical intuitive picture for activation of oxygen. However, the opposite trend has also been claimed. That is, an increase in electron density on the active </w:t>
      </w:r>
      <w:proofErr w:type="spellStart"/>
      <w:r w:rsidRPr="00282227">
        <w:rPr>
          <w:iCs/>
        </w:rPr>
        <w:t>Ir</w:t>
      </w:r>
      <w:proofErr w:type="spellEnd"/>
      <w:r w:rsidRPr="00282227">
        <w:rPr>
          <w:iCs/>
        </w:rPr>
        <w:t xml:space="preserve"> centers has been suggested to improve the activity of supported IrO</w:t>
      </w:r>
      <w:r w:rsidRPr="00282227">
        <w:rPr>
          <w:iCs/>
          <w:vertAlign w:val="subscript"/>
        </w:rPr>
        <w:t>x</w:t>
      </w:r>
      <w:r w:rsidRPr="00282227">
        <w:rPr>
          <w:iCs/>
        </w:rPr>
        <w:fldChar w:fldCharType="begin">
          <w:fldData xml:space="preserve">PEVuZE5vdGU+PENpdGU+PEF1dGhvcj5aZW5nPC9BdXRob3I+PFllYXI+MjAyMzwvWWVhcj48UmVj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</w:fldData>
        </w:fldChar>
      </w:r>
      <w:r w:rsidR="00FC5BEB">
        <w:rPr>
          <w:iCs/>
        </w:rPr>
        <w:instrText xml:space="preserve"> ADDIN EN.CITE </w:instrText>
      </w:r>
      <w:r w:rsidR="00FC5BEB">
        <w:rPr>
          <w:iCs/>
        </w:rPr>
        <w:fldChar w:fldCharType="begin">
          <w:fldData xml:space="preserve">PEVuZE5vdGU+PENpdGU+PEF1dGhvcj5aZW5nPC9BdXRob3I+PFllYXI+MjAyMzwvWWVhcj48UmVj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</w:fldData>
        </w:fldChar>
      </w:r>
      <w:r w:rsidR="00FC5BEB">
        <w:rPr>
          <w:iCs/>
        </w:rPr>
        <w:instrText xml:space="preserve"> ADDIN EN.CITE.DATA </w:instrText>
      </w:r>
      <w:r w:rsidR="00FC5BEB">
        <w:rPr>
          <w:iCs/>
        </w:rPr>
      </w:r>
      <w:r w:rsidR="00FC5BEB">
        <w:rPr>
          <w:iCs/>
        </w:rPr>
        <w:fldChar w:fldCharType="end"/>
      </w:r>
      <w:r w:rsidRPr="00282227">
        <w:rPr>
          <w:iCs/>
        </w:rPr>
      </w:r>
      <w:r w:rsidRPr="00282227">
        <w:rPr>
          <w:iCs/>
        </w:rPr>
        <w:fldChar w:fldCharType="separate"/>
      </w:r>
      <w:r w:rsidR="00FC5BEB" w:rsidRPr="00FC5BEB">
        <w:rPr>
          <w:iCs/>
          <w:noProof/>
          <w:vertAlign w:val="superscript"/>
        </w:rPr>
        <w:t>386-388</w:t>
      </w:r>
      <w:r w:rsidRPr="00282227">
        <w:fldChar w:fldCharType="end"/>
      </w:r>
      <w:r w:rsidRPr="00282227">
        <w:rPr>
          <w:iCs/>
        </w:rPr>
        <w:t>. The</w:t>
      </w:r>
      <w:r w:rsidRPr="00282227">
        <w:t xml:space="preserve"> formation of electron holes on oxygen appears to have more support and may also apply to other classes of materials. For instance, CHE results predict </w:t>
      </w:r>
      <w:r w:rsidRPr="00282227">
        <w:rPr>
          <w:iCs/>
        </w:rPr>
        <w:sym w:font="Symbol" w:char="F06D"/>
      </w:r>
      <w:r w:rsidRPr="00282227">
        <w:rPr>
          <w:iCs/>
          <w:vertAlign w:val="subscript"/>
        </w:rPr>
        <w:t>1</w:t>
      </w:r>
      <w:r w:rsidRPr="00282227">
        <w:rPr>
          <w:iCs/>
        </w:rPr>
        <w:t>-O species are also active on doped Ni</w:t>
      </w:r>
      <w:r w:rsidRPr="00282227">
        <w:t xml:space="preserve"> oxyhydroxides (doped-</w:t>
      </w:r>
      <w:proofErr w:type="spellStart"/>
      <w:r w:rsidRPr="00282227">
        <w:t>NiOOH</w:t>
      </w:r>
      <w:proofErr w:type="spellEnd"/>
      <w:r w:rsidRPr="00282227">
        <w:t>)</w:t>
      </w:r>
      <w:r w:rsidRPr="00282227">
        <w:fldChar w:fldCharType="begin">
          <w:fldData xml:space="preserve">PEVuZE5vdGU+PENpdGU+PEF1dGhvcj5MaTwvQXV0aG9yPjxZZWFyPjIwMTQ8L1llYXI+PFJlY051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</w:fldData>
        </w:fldChar>
      </w:r>
      <w:r w:rsidR="00FC5BEB">
        <w:instrText xml:space="preserve"> ADDIN EN.CITE </w:instrText>
      </w:r>
      <w:r w:rsidR="00FC5BEB">
        <w:fldChar w:fldCharType="begin">
          <w:fldData xml:space="preserve">PEVuZE5vdGU+PENpdGU+PEF1dGhvcj5MaTwvQXV0aG9yPjxZZWFyPjIwMTQ8L1llYXI+PFJlY051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</w:fldData>
        </w:fldChar>
      </w:r>
      <w:r w:rsidR="00FC5BEB">
        <w:instrText xml:space="preserve"> ADDIN EN.CITE.DATA </w:instrText>
      </w:r>
      <w:r w:rsidR="00FC5BEB">
        <w:fldChar w:fldCharType="end"/>
      </w:r>
      <w:r w:rsidRPr="00282227">
        <w:fldChar w:fldCharType="separate"/>
      </w:r>
      <w:r w:rsidR="00FC5BEB" w:rsidRPr="00FC5BEB">
        <w:rPr>
          <w:noProof/>
          <w:vertAlign w:val="superscript"/>
        </w:rPr>
        <w:t>389, 390</w:t>
      </w:r>
      <w:r w:rsidRPr="00282227">
        <w:fldChar w:fldCharType="end"/>
      </w:r>
      <w:r w:rsidRPr="00282227">
        <w:t>, though bridge and threefold sites may also participate in the reaction</w:t>
      </w:r>
      <w:r w:rsidRPr="00282227">
        <w:fldChar w:fldCharType="begin">
          <w:fldData xml:space="preserve">PEVuZE5vdGU+PENpdGU+PEF1dGhvcj5GcmllYmVsPC9BdXRob3I+PFllYXI+MjAxNTwvWWVhcj48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</w:fldData>
        </w:fldChar>
      </w:r>
      <w:r w:rsidR="00FC5BEB">
        <w:instrText xml:space="preserve"> ADDIN EN.CITE </w:instrText>
      </w:r>
      <w:r w:rsidR="00FC5BEB">
        <w:fldChar w:fldCharType="begin">
          <w:fldData xml:space="preserve">PEVuZE5vdGU+PENpdGU+PEF1dGhvcj5GcmllYmVsPC9BdXRob3I+PFllYXI+MjAxNTwvWWVhcj48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</w:fldData>
        </w:fldChar>
      </w:r>
      <w:r w:rsidR="00FC5BEB">
        <w:instrText xml:space="preserve"> ADDIN EN.CITE.DATA </w:instrText>
      </w:r>
      <w:r w:rsidR="00FC5BEB">
        <w:fldChar w:fldCharType="end"/>
      </w:r>
      <w:r w:rsidRPr="00282227">
        <w:fldChar w:fldCharType="separate"/>
      </w:r>
      <w:r w:rsidR="00FC5BEB" w:rsidRPr="00FC5BEB">
        <w:rPr>
          <w:noProof/>
          <w:vertAlign w:val="superscript"/>
        </w:rPr>
        <w:t>231, 391, 392</w:t>
      </w:r>
      <w:r w:rsidRPr="00282227">
        <w:fldChar w:fldCharType="end"/>
      </w:r>
      <w:r w:rsidRPr="00282227">
        <w:t xml:space="preserve"> and the LOM is easily activated</w:t>
      </w:r>
      <w:r w:rsidRPr="00282227">
        <w:fldChar w:fldCharType="begin">
          <w:fldData xml:space="preserve">PEVuZE5vdGU+PENpdGU+PEF1dGhvcj5aaGFuZzwvQXV0aG9yPjxZZWFyPjIwMjA8L1llYXI+PFJl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</w:fldData>
        </w:fldChar>
      </w:r>
      <w:r w:rsidR="00FC5BEB">
        <w:instrText xml:space="preserve"> ADDIN EN.CITE </w:instrText>
      </w:r>
      <w:r w:rsidR="00FC5BEB">
        <w:fldChar w:fldCharType="begin">
          <w:fldData xml:space="preserve">PEVuZE5vdGU+PENpdGU+PEF1dGhvcj5aaGFuZzwvQXV0aG9yPjxZZWFyPjIwMjA8L1llYXI+PFJl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</w:fldData>
        </w:fldChar>
      </w:r>
      <w:r w:rsidR="00FC5BEB">
        <w:instrText xml:space="preserve"> ADDIN EN.CITE.DATA </w:instrText>
      </w:r>
      <w:r w:rsidR="00FC5BEB">
        <w:fldChar w:fldCharType="end"/>
      </w:r>
      <w:r w:rsidRPr="00282227">
        <w:fldChar w:fldCharType="separate"/>
      </w:r>
      <w:r w:rsidR="00FC5BEB" w:rsidRPr="00FC5BEB">
        <w:rPr>
          <w:noProof/>
          <w:vertAlign w:val="superscript"/>
        </w:rPr>
        <w:t>372, 375</w:t>
      </w:r>
      <w:r w:rsidRPr="00282227">
        <w:fldChar w:fldCharType="end"/>
      </w:r>
      <w:r w:rsidRPr="00282227">
        <w:t xml:space="preserve">, which could indicate a higher degree of </w:t>
      </w:r>
      <w:proofErr w:type="spellStart"/>
      <w:r w:rsidRPr="00282227">
        <w:t>oxyl</w:t>
      </w:r>
      <w:proofErr w:type="spellEnd"/>
      <w:r w:rsidRPr="00282227">
        <w:t xml:space="preserve"> character on oxygen species in Ni oxyhydroxides than </w:t>
      </w:r>
      <w:proofErr w:type="spellStart"/>
      <w:r w:rsidRPr="00282227">
        <w:t>Ir</w:t>
      </w:r>
      <w:proofErr w:type="spellEnd"/>
      <w:r w:rsidRPr="00282227">
        <w:t>-based oxides due to Ni(III) being in the negative charge transfer regime</w:t>
      </w:r>
      <w:r w:rsidRPr="00282227">
        <w:fldChar w:fldCharType="begin"/>
      </w:r>
      <w:r w:rsidR="00FC5BEB">
        <w:instrText xml:space="preserve"> ADDIN EN.CITE &lt;EndNote&gt;&lt;Cite&gt;&lt;Author&gt;Bisogni&lt;/Author&gt;&lt;Year&gt;2016&lt;/Year&gt;&lt;RecNum&gt;355&lt;/RecNum&gt;&lt;DisplayText&gt;&lt;style face="superscript"&gt;357&lt;/style&gt;&lt;/DisplayText&gt;&lt;record&gt;&lt;rec-number&gt;355&lt;/rec-number&gt;&lt;foreign-keys&gt;&lt;key app="EN" db-id="2xex0erf4eexr4e2dpbxpdd829xttesxxxdr" timestamp="1715075296"&gt;355&lt;/key&gt;&lt;/foreign-keys&gt;&lt;ref-type name="Journal Article"&gt;17&lt;/ref-type&gt;&lt;contributors&gt;&lt;authors&gt;&lt;author&gt;Bisogni, Valentina&lt;/author&gt;&lt;author&gt;Catalano, Sara&lt;/author&gt;&lt;author&gt;Green, Robert J.&lt;/author&gt;&lt;author&gt;Gibert, Marta&lt;/author&gt;&lt;author&gt;Scherwitzl, Raoul&lt;/author&gt;&lt;author&gt;Huang, Yaobo&lt;/author&gt;&lt;author&gt;Strocov, Vladimir N.&lt;/author&gt;&lt;author&gt;Zubko, Pavlo&lt;/author&gt;&lt;author&gt;Balandeh, Shadi&lt;/author&gt;&lt;author&gt;Triscone, Jean-Marc&lt;/author&gt;&lt;author&gt;Sawatzky, George&lt;/author&gt;&lt;author&gt;Schmitt, Thorsten&lt;/author&gt;&lt;/authors&gt;&lt;/contributors&gt;&lt;titles&gt;&lt;title&gt;Ground-state oxygen holes and the metal–insulator transition in the negative charge-transfer rare-earth nickelates&lt;/title&gt;&lt;secondary-title&gt;Nat. Commun.&lt;/secondary-title&gt;&lt;/titles&gt;&lt;periodical&gt;&lt;full-title&gt;Nat. Commun.&lt;/full-title&gt;&lt;abbr-1&gt;Nat. Commun.&lt;/abbr-1&gt;&lt;/periodical&gt;&lt;pages&gt;13017&lt;/pages&gt;&lt;volume&gt;7&lt;/volume&gt;&lt;number&gt;1&lt;/number&gt;&lt;dates&gt;&lt;year&gt;2016&lt;/year&gt;&lt;pub-dates&gt;&lt;date&gt;2016/10/11&lt;/date&gt;&lt;/pub-dates&gt;&lt;/dates&gt;&lt;isbn&gt;2041-1723&lt;/isbn&gt;&lt;urls&gt;&lt;related-urls&gt;&lt;url&gt;https://doi.org/10.1038/ncomms13017&lt;/url&gt;&lt;/related-urls&gt;&lt;/urls&gt;&lt;electronic-resource-num&gt;10.1038/ncomms13017&lt;/electronic-resource-num&gt;&lt;/record&gt;&lt;/Cite&gt;&lt;/EndNote&gt;</w:instrText>
      </w:r>
      <w:r w:rsidRPr="00282227">
        <w:fldChar w:fldCharType="separate"/>
      </w:r>
      <w:r w:rsidR="00FC5BEB" w:rsidRPr="00FC5BEB">
        <w:rPr>
          <w:noProof/>
          <w:vertAlign w:val="superscript"/>
        </w:rPr>
        <w:t>357</w:t>
      </w:r>
      <w:r w:rsidRPr="00282227">
        <w:fldChar w:fldCharType="end"/>
      </w:r>
      <w:r w:rsidRPr="00282227">
        <w:t xml:space="preserve">. </w:t>
      </w:r>
    </w:p>
    <w:p w14:paraId="2E535E6E" w14:textId="77777777" w:rsidR="00E87282" w:rsidRPr="00D147E5" w:rsidRDefault="00E87282" w:rsidP="00E87282">
      <w:pPr>
        <w:ind w:firstLine="720"/>
      </w:pPr>
    </w:p>
    <w:p w14:paraId="7D562EE6" w14:textId="08A45162" w:rsidR="00282227" w:rsidRDefault="00E87282" w:rsidP="00E87282">
      <w:pPr>
        <w:jc w:val="center"/>
      </w:pPr>
      <w:r w:rsidRPr="00282227">
        <w:rPr>
          <w:noProof/>
        </w:rPr>
        <w:drawing>
          <wp:inline distT="0" distB="0" distL="0" distR="0" wp14:anchorId="22D2D686" wp14:editId="0D7C95D2">
            <wp:extent cx="4420800" cy="3809880"/>
            <wp:effectExtent l="0" t="0" r="0" b="635"/>
            <wp:docPr id="1809840176" name="Picture 1809840176">
              <a:extLst xmlns:a="http://schemas.openxmlformats.org/drawingml/2006/main">
                <a:ext uri="{FF2B5EF4-FFF2-40B4-BE49-F238E27FC236}">
                  <a16:creationId xmlns:a16="http://schemas.microsoft.com/office/drawing/2014/main" id="{8CD8720C-211C-E31A-FDDF-A55FFA72425C}"/>
                </a:ext>
              </a:extLst>
            </wp:docPr>
            <wp:cNvGraphicFramePr/>
            <a:graphic xmlns:a="http://schemas.openxmlformats.org/drawingml/2006/main">
              <a:graphicData uri="http://schemas.openxmlformats.org/drawingml/2006/picture">
                <pic:pic xmlns:pic="http://schemas.openxmlformats.org/drawingml/2006/picture">
                  <pic:nvPicPr>
                    <pic:cNvPr id="2" name="Main graphic">
                      <a:extLst>
                        <a:ext uri="{FF2B5EF4-FFF2-40B4-BE49-F238E27FC236}">
                          <a16:creationId xmlns:a16="http://schemas.microsoft.com/office/drawing/2014/main" id="{8CD8720C-211C-E31A-FDDF-A55FFA72425C}"/>
                        </a:ext>
                      </a:extLst>
                    </pic:cNvPr>
                    <pic:cNvPicPr/>
                  </pic:nvPicPr>
                  <pic:blipFill>
                    <a:blip r:embed="rId38"/>
                    <a:stretch/>
                  </pic:blipFill>
                  <pic:spPr>
                    <a:xfrm>
                      <a:off x="0" y="0"/>
                      <a:ext cx="4420800" cy="3809880"/>
                    </a:xfrm>
                    <a:prstGeom prst="rect">
                      <a:avLst/>
                    </a:prstGeom>
                    <a:ln>
                      <a:noFill/>
                    </a:ln>
                  </pic:spPr>
                </pic:pic>
              </a:graphicData>
            </a:graphic>
          </wp:inline>
        </w:drawing>
      </w:r>
    </w:p>
    <w:p w14:paraId="2536B1B4" w14:textId="3CAE311D" w:rsidR="00E87282" w:rsidRPr="00282227" w:rsidRDefault="00E87282" w:rsidP="00E87282">
      <w:pPr>
        <w:pStyle w:val="Caption"/>
      </w:pPr>
      <w:bookmarkStart w:id="112" w:name="_Ref159521802"/>
      <w:r w:rsidRPr="00282227">
        <w:rPr>
          <w:b/>
          <w:bCs w:val="0"/>
          <w:sz w:val="22"/>
        </w:rPr>
        <w:t xml:space="preserve">Figure </w:t>
      </w:r>
      <w:r w:rsidRPr="00282227">
        <w:rPr>
          <w:b/>
          <w:bCs w:val="0"/>
          <w:sz w:val="22"/>
        </w:rPr>
        <w:fldChar w:fldCharType="begin"/>
      </w:r>
      <w:r w:rsidRPr="00282227">
        <w:rPr>
          <w:b/>
          <w:bCs w:val="0"/>
          <w:sz w:val="22"/>
        </w:rPr>
        <w:instrText xml:space="preserve"> SEQ Figure \* ARABIC </w:instrText>
      </w:r>
      <w:r w:rsidRPr="00282227">
        <w:rPr>
          <w:b/>
          <w:bCs w:val="0"/>
          <w:sz w:val="22"/>
        </w:rPr>
        <w:fldChar w:fldCharType="separate"/>
      </w:r>
      <w:r>
        <w:rPr>
          <w:b/>
          <w:bCs w:val="0"/>
          <w:noProof/>
          <w:sz w:val="22"/>
        </w:rPr>
        <w:t>28</w:t>
      </w:r>
      <w:r w:rsidRPr="00282227">
        <w:rPr>
          <w:b/>
          <w:bCs w:val="0"/>
          <w:sz w:val="22"/>
        </w:rPr>
        <w:fldChar w:fldCharType="end"/>
      </w:r>
      <w:bookmarkEnd w:id="112"/>
      <w:r w:rsidRPr="00282227">
        <w:t xml:space="preserve"> Computed </w:t>
      </w:r>
      <w:r w:rsidRPr="00282227">
        <w:rPr>
          <w:iCs/>
        </w:rPr>
        <w:t xml:space="preserve">(pH, </w:t>
      </w:r>
      <w:r w:rsidRPr="00282227">
        <w:rPr>
          <w:i/>
        </w:rPr>
        <w:t>U</w:t>
      </w:r>
      <w:r w:rsidRPr="00282227">
        <w:rPr>
          <w:iCs/>
        </w:rPr>
        <w:t xml:space="preserve">) diagram showing the appearance of IrO3 beyond the oxygen stability limit. One novel IrO3 phase, </w:t>
      </w:r>
      <w:r w:rsidRPr="00282227">
        <w:t>α-IrO</w:t>
      </w:r>
      <w:r w:rsidRPr="00282227">
        <w:rPr>
          <w:vertAlign w:val="subscript"/>
        </w:rPr>
        <w:t>3</w:t>
      </w:r>
      <w:r w:rsidRPr="00282227">
        <w:t xml:space="preserve">, is predicted to be stable, while </w:t>
      </w:r>
      <w:r w:rsidRPr="00282227">
        <w:sym w:font="Symbol" w:char="F062"/>
      </w:r>
      <w:r w:rsidRPr="00282227">
        <w:t>-IrO</w:t>
      </w:r>
      <w:r w:rsidRPr="00282227">
        <w:rPr>
          <w:vertAlign w:val="subscript"/>
        </w:rPr>
        <w:t>3</w:t>
      </w:r>
      <w:r w:rsidRPr="00282227">
        <w:t>, and R-IrO</w:t>
      </w:r>
      <w:r w:rsidRPr="00282227">
        <w:rPr>
          <w:vertAlign w:val="subscript"/>
        </w:rPr>
        <w:t>3</w:t>
      </w:r>
      <w:r w:rsidRPr="00282227">
        <w:rPr>
          <w:iCs/>
        </w:rPr>
        <w:t xml:space="preserve"> are both predicted to be metastable, that is they are </w:t>
      </w:r>
      <w:proofErr w:type="spellStart"/>
      <w:r w:rsidRPr="00282227">
        <w:rPr>
          <w:iCs/>
        </w:rPr>
        <w:t>favored</w:t>
      </w:r>
      <w:proofErr w:type="spellEnd"/>
      <w:r w:rsidRPr="00282227">
        <w:rPr>
          <w:iCs/>
        </w:rPr>
        <w:t xml:space="preserve"> of the IrO</w:t>
      </w:r>
      <w:r w:rsidRPr="00282227">
        <w:rPr>
          <w:iCs/>
          <w:vertAlign w:val="subscript"/>
        </w:rPr>
        <w:t>4</w:t>
      </w:r>
      <w:r w:rsidRPr="00282227">
        <w:rPr>
          <w:iCs/>
          <w:vertAlign w:val="superscript"/>
        </w:rPr>
        <w:t>2-</w:t>
      </w:r>
      <w:r w:rsidRPr="00282227">
        <w:rPr>
          <w:iCs/>
        </w:rPr>
        <w:t>(</w:t>
      </w:r>
      <w:proofErr w:type="spellStart"/>
      <w:r w:rsidRPr="00282227">
        <w:rPr>
          <w:iCs/>
        </w:rPr>
        <w:t>aq</w:t>
      </w:r>
      <w:proofErr w:type="spellEnd"/>
      <w:r w:rsidRPr="00282227">
        <w:rPr>
          <w:iCs/>
        </w:rPr>
        <w:t>) phase. The phase boundaries show the regions of (meta)stability. Note that IrO</w:t>
      </w:r>
      <w:r w:rsidRPr="00282227">
        <w:rPr>
          <w:iCs/>
          <w:vertAlign w:val="subscript"/>
        </w:rPr>
        <w:t>4</w:t>
      </w:r>
      <w:r w:rsidRPr="00282227">
        <w:rPr>
          <w:iCs/>
          <w:vertAlign w:val="superscript"/>
        </w:rPr>
        <w:t>2-</w:t>
      </w:r>
      <w:r w:rsidRPr="00282227">
        <w:rPr>
          <w:iCs/>
        </w:rPr>
        <w:t>(</w:t>
      </w:r>
      <w:proofErr w:type="spellStart"/>
      <w:r w:rsidRPr="00282227">
        <w:rPr>
          <w:iCs/>
        </w:rPr>
        <w:t>aq</w:t>
      </w:r>
      <w:proofErr w:type="spellEnd"/>
      <w:r w:rsidRPr="00282227">
        <w:rPr>
          <w:iCs/>
        </w:rPr>
        <w:t xml:space="preserve">) is </w:t>
      </w:r>
      <w:proofErr w:type="spellStart"/>
      <w:r>
        <w:rPr>
          <w:iCs/>
        </w:rPr>
        <w:t>labeled</w:t>
      </w:r>
      <w:proofErr w:type="spellEnd"/>
      <w:r w:rsidRPr="00282227">
        <w:rPr>
          <w:iCs/>
        </w:rPr>
        <w:t xml:space="preserve"> IrO</w:t>
      </w:r>
      <w:r w:rsidRPr="00282227">
        <w:rPr>
          <w:iCs/>
          <w:vertAlign w:val="subscript"/>
        </w:rPr>
        <w:t>4</w:t>
      </w:r>
      <w:r w:rsidRPr="00282227">
        <w:rPr>
          <w:iCs/>
          <w:vertAlign w:val="superscript"/>
        </w:rPr>
        <w:t>-</w:t>
      </w:r>
      <w:r w:rsidRPr="00282227">
        <w:rPr>
          <w:iCs/>
        </w:rPr>
        <w:t>(</w:t>
      </w:r>
      <w:proofErr w:type="spellStart"/>
      <w:r w:rsidRPr="00282227">
        <w:rPr>
          <w:iCs/>
        </w:rPr>
        <w:t>aq</w:t>
      </w:r>
      <w:proofErr w:type="spellEnd"/>
      <w:r w:rsidRPr="00282227">
        <w:rPr>
          <w:iCs/>
        </w:rPr>
        <w:t xml:space="preserve">) </w:t>
      </w:r>
      <w:r w:rsidRPr="00282227">
        <w:t xml:space="preserve">in the original publication and the diagram. </w:t>
      </w:r>
      <w:r w:rsidR="00C92967" w:rsidRPr="00C92967">
        <w:rPr>
          <w:lang w:val="en-US"/>
        </w:rPr>
        <w:t xml:space="preserve">Reprinted with permission from </w:t>
      </w:r>
      <w:r w:rsidR="00C92967">
        <w:t>Ref.</w:t>
      </w:r>
      <w:r w:rsidR="00C92967" w:rsidRPr="00282227">
        <w:t xml:space="preserve"> </w:t>
      </w:r>
      <w:r w:rsidR="00C92967" w:rsidRPr="00282227">
        <w:fldChar w:fldCharType="begin"/>
      </w:r>
      <w:r w:rsidR="00C92967">
        <w:instrText xml:space="preserve"> ADDIN EN.CITE &lt;EndNote&gt;&lt;Cite&gt;&lt;Author&gt;Flores&lt;/Author&gt;&lt;Year&gt;2020&lt;/Year&gt;&lt;RecNum&gt;391&lt;/RecNum&gt;&lt;DisplayText&gt;&lt;style face="superscript"&gt;393&lt;/style&gt;&lt;/DisplayText&gt;&lt;record&gt;&lt;rec-number&gt;391&lt;/rec-number&gt;&lt;foreign-keys&gt;&lt;key app="EN" db-id="2xex0erf4eexr4e2dpbxpdd829xttesxxxdr" timestamp="1715075297"&gt;391&lt;/key&gt;&lt;/foreign-keys&gt;&lt;ref-type name="Journal Article"&gt;17&lt;/ref-type&gt;&lt;contributors&gt;&lt;authors&gt;&lt;author&gt;Flores, Raul A.&lt;/author&gt;&lt;author&gt;Paolucci, Christopher&lt;/author&gt;&lt;author&gt;Winther, Kirsten T.&lt;/author&gt;&lt;author&gt;Jain, Ankit&lt;/author&gt;&lt;author&gt;Torres, Jose Antonio Garrido&lt;/author&gt;&lt;author&gt;Aykol, Muratahan&lt;/author&gt;&lt;author&gt;Montoya, Joseph&lt;/author&gt;&lt;author&gt;Nørskov, Jens K.&lt;/author&gt;&lt;author&gt;Bajdich, Michal&lt;/author&gt;&lt;author&gt;Bligaard, Thomas&lt;/author&gt;&lt;/authors&gt;&lt;/contributors&gt;&lt;titles&gt;&lt;title&gt;Active Learning Accelerated Discovery of Stable Iridium Oxide Polymorphs for the Oxygen Evolution Reaction&lt;/title&gt;&lt;secondary-title&gt;Chemistry of Materials&lt;/secondary-title&gt;&lt;/titles&gt;&lt;periodical&gt;&lt;full-title&gt;Chemistry of Materials&lt;/full-title&gt;&lt;abbr-1&gt;Chem. Mater.&lt;/abbr-1&gt;&lt;abbr-2&gt;Chem Mater&lt;/abbr-2&gt;&lt;/periodical&gt;&lt;pages&gt;5854-5863&lt;/pages&gt;&lt;volume&gt;32&lt;/volume&gt;&lt;number&gt;13&lt;/number&gt;&lt;dates&gt;&lt;year&gt;2020&lt;/year&gt;&lt;pub-dates&gt;&lt;date&gt;2020/07/14&lt;/date&gt;&lt;/pub-dates&gt;&lt;/dates&gt;&lt;publisher&gt;American Chemical Society&lt;/publisher&gt;&lt;isbn&gt;0897-4756&lt;/isbn&gt;&lt;urls&gt;&lt;related-urls&gt;&lt;url&gt;https://doi.org/10.1021/acs.chemmater.0c01894&lt;/url&gt;&lt;/related-urls&gt;&lt;/urls&gt;&lt;electronic-resource-num&gt;10.1021/acs.chemmater.0c01894&lt;/electronic-resource-num&gt;&lt;/record&gt;&lt;/Cite&gt;&lt;/EndNote&gt;</w:instrText>
      </w:r>
      <w:r w:rsidR="00C92967" w:rsidRPr="00282227">
        <w:fldChar w:fldCharType="separate"/>
      </w:r>
      <w:r w:rsidR="00C92967" w:rsidRPr="00FC5BEB">
        <w:rPr>
          <w:noProof/>
          <w:vertAlign w:val="superscript"/>
        </w:rPr>
        <w:t>393</w:t>
      </w:r>
      <w:r w:rsidR="00C92967" w:rsidRPr="00282227">
        <w:fldChar w:fldCharType="end"/>
      </w:r>
      <w:r w:rsidR="00C92967">
        <w:t xml:space="preserve"> </w:t>
      </w:r>
      <w:r w:rsidR="00C92967" w:rsidRPr="00C92967">
        <w:rPr>
          <w:lang w:val="en-US"/>
        </w:rPr>
        <w:t xml:space="preserve">Copyright </w:t>
      </w:r>
      <w:r w:rsidR="00C92967">
        <w:rPr>
          <w:lang w:val="en-US"/>
        </w:rPr>
        <w:t>2020</w:t>
      </w:r>
      <w:r w:rsidR="00C92967" w:rsidRPr="00C92967">
        <w:rPr>
          <w:lang w:val="en-US"/>
        </w:rPr>
        <w:t xml:space="preserve"> American Chemical Society.</w:t>
      </w:r>
    </w:p>
    <w:p w14:paraId="09D76497" w14:textId="77777777" w:rsidR="00E87282" w:rsidRPr="00282227" w:rsidRDefault="00E87282" w:rsidP="00282227"/>
    <w:p w14:paraId="6E522750" w14:textId="5D81C45F" w:rsidR="00282227" w:rsidRPr="00282227" w:rsidRDefault="00282227" w:rsidP="00E87282">
      <w:pPr>
        <w:ind w:firstLine="720"/>
      </w:pPr>
      <w:r w:rsidRPr="00282227">
        <w:t xml:space="preserve">Beyond Ref. </w:t>
      </w:r>
      <w:r w:rsidRPr="00282227">
        <w:fldChar w:fldCharType="begin"/>
      </w:r>
      <w:r w:rsidR="00FC5BEB">
        <w:instrText xml:space="preserve"> ADDIN EN.CITE &lt;EndNote&gt;&lt;Cite&gt;&lt;Author&gt;Back&lt;/Author&gt;&lt;Year&gt;2019&lt;/Year&gt;&lt;RecNum&gt;383&lt;/RecNum&gt;&lt;DisplayText&gt;&lt;style face="superscript"&gt;385&lt;/style&gt;&lt;/DisplayText&gt;&lt;record&gt;&lt;rec-number&gt;383&lt;/rec-number&gt;&lt;foreign-keys&gt;&lt;key app="EN" db-id="2xex0erf4eexr4e2dpbxpdd829xttesxxxdr" timestamp="1715075297"&gt;383&lt;/key&gt;&lt;/foreign-keys&gt;&lt;ref-type name="Journal Article"&gt;17&lt;/ref-type&gt;&lt;contributors&gt;&lt;authors&gt;&lt;author&gt;Back, Seoin&lt;/author&gt;&lt;author&gt;Tran, Kevin&lt;/author&gt;&lt;author&gt;Ulissi, Zachary W.&lt;/author&gt;&lt;/authors&gt;&lt;/contributors&gt;&lt;titles&gt;&lt;title&gt;Toward a Design of Active Oxygen Evolution Catalysts: Insights from Automated Density Functional Theory Calculations and Machine Learning&lt;/title&gt;&lt;secondary-title&gt;ACS Catal.&lt;/secondary-title&gt;&lt;/titles&gt;&lt;periodical&gt;&lt;full-title&gt;ACS Catal.&lt;/full-title&gt;&lt;/periodical&gt;&lt;pages&gt;7651-7659&lt;/pages&gt;&lt;volume&gt;9&lt;/volume&gt;&lt;number&gt;9&lt;/number&gt;&lt;dates&gt;&lt;year&gt;2019&lt;/year&gt;&lt;pub-dates&gt;&lt;date&gt;2019/09/06&lt;/date&gt;&lt;/pub-dates&gt;&lt;/dates&gt;&lt;publisher&gt;American Chemical Society&lt;/publisher&gt;&lt;urls&gt;&lt;related-urls&gt;&lt;url&gt;https://doi.org/10.1021/acscatal.9b02416&lt;/url&gt;&lt;/related-urls&gt;&lt;/urls&gt;&lt;electronic-resource-num&gt;10.1021/acscatal.9b02416&lt;/electronic-resource-num&gt;&lt;/record&gt;&lt;/Cite&gt;&lt;/EndNote&gt;</w:instrText>
      </w:r>
      <w:r w:rsidRPr="00282227">
        <w:fldChar w:fldCharType="separate"/>
      </w:r>
      <w:r w:rsidR="00FC5BEB" w:rsidRPr="00FC5BEB">
        <w:rPr>
          <w:noProof/>
          <w:vertAlign w:val="superscript"/>
        </w:rPr>
        <w:t>385</w:t>
      </w:r>
      <w:r w:rsidRPr="00282227">
        <w:fldChar w:fldCharType="end"/>
      </w:r>
      <w:r w:rsidRPr="00282227">
        <w:t>, ample evidence demonstrates the importance of bulk and surface phases in the OER</w:t>
      </w:r>
      <w:r w:rsidRPr="00282227">
        <w:fldChar w:fldCharType="begin">
          <w:fldData xml:space="preserve">PEVuZE5vdGU+PENpdGU+PEF1dGhvcj5Sb3NzbWVpc2w8L0F1dGhvcj48WWVhcj4yMDA1PC9ZZWFy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</w:fldData>
        </w:fldChar>
      </w:r>
      <w:r w:rsidR="00FC5BEB">
        <w:instrText xml:space="preserve"> ADDIN EN.CITE </w:instrText>
      </w:r>
      <w:r w:rsidR="00FC5BEB">
        <w:fldChar w:fldCharType="begin">
          <w:fldData xml:space="preserve">PEVuZE5vdGU+PENpdGU+PEF1dGhvcj5Sb3NzbWVpc2w8L0F1dGhvcj48WWVhcj4yMDA1PC9ZZWFy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</w:fldData>
        </w:fldChar>
      </w:r>
      <w:r w:rsidR="00FC5BEB">
        <w:instrText xml:space="preserve"> ADDIN EN.CITE.DATA </w:instrText>
      </w:r>
      <w:r w:rsidR="00FC5BEB">
        <w:fldChar w:fldCharType="end"/>
      </w:r>
      <w:r w:rsidRPr="00282227">
        <w:fldChar w:fldCharType="separate"/>
      </w:r>
      <w:r w:rsidR="00FC5BEB" w:rsidRPr="00FC5BEB">
        <w:rPr>
          <w:noProof/>
          <w:vertAlign w:val="superscript"/>
        </w:rPr>
        <w:t>87, 88, 269, 301, 324, 327, 385</w:t>
      </w:r>
      <w:r w:rsidRPr="00282227">
        <w:fldChar w:fldCharType="end"/>
      </w:r>
      <w:r w:rsidRPr="00282227">
        <w:t xml:space="preserve">. An accurate estimate of </w:t>
      </w:r>
      <w:r w:rsidRPr="00282227">
        <w:rPr>
          <w:i/>
        </w:rPr>
        <w:sym w:font="Symbol" w:char="F068"/>
      </w:r>
      <w:r w:rsidRPr="00282227">
        <w:rPr>
          <w:iCs/>
          <w:vertAlign w:val="subscript"/>
        </w:rPr>
        <w:t>CHE</w:t>
      </w:r>
      <w:r w:rsidRPr="00282227">
        <w:rPr>
          <w:iCs/>
        </w:rPr>
        <w:t xml:space="preserve"> then requires knowledge of the bulk and surface phases under OER conditions.</w:t>
      </w:r>
      <w:r w:rsidRPr="00282227">
        <w:t xml:space="preserve"> As we saw in Refs. </w:t>
      </w:r>
      <w:r w:rsidRPr="00282227">
        <w:fldChar w:fldCharType="begin">
          <w:fldData xml:space="preserve">PEVuZE5vdGU+PENpdGU+PEF1dGhvcj5Sb3NzbWVpc2w8L0F1dGhvcj48WWVhcj4yMDA1PC9ZZWFy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</w:fldData>
        </w:fldChar>
      </w:r>
      <w:r w:rsidR="00FC5BEB">
        <w:instrText xml:space="preserve"> ADDIN EN.CITE </w:instrText>
      </w:r>
      <w:r w:rsidR="00FC5BEB">
        <w:fldChar w:fldCharType="begin">
          <w:fldData xml:space="preserve">PEVuZE5vdGU+PENpdGU+PEF1dGhvcj5Sb3NzbWVpc2w8L0F1dGhvcj48WWVhcj4yMDA1PC9ZZWFy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</w:fldData>
        </w:fldChar>
      </w:r>
      <w:r w:rsidR="00FC5BEB">
        <w:instrText xml:space="preserve"> ADDIN EN.CITE.DATA </w:instrText>
      </w:r>
      <w:r w:rsidR="00FC5BEB">
        <w:fldChar w:fldCharType="end"/>
      </w:r>
      <w:r w:rsidRPr="00282227">
        <w:fldChar w:fldCharType="separate"/>
      </w:r>
      <w:r w:rsidR="00FC5BEB" w:rsidRPr="00FC5BEB">
        <w:rPr>
          <w:noProof/>
          <w:vertAlign w:val="superscript"/>
        </w:rPr>
        <w:t>87, 88, 385</w:t>
      </w:r>
      <w:r w:rsidRPr="00282227">
        <w:fldChar w:fldCharType="end"/>
      </w:r>
      <w:r w:rsidRPr="00282227">
        <w:t xml:space="preserve">, the CHE can be used to compute surface </w:t>
      </w:r>
      <w:r w:rsidRPr="00282227">
        <w:rPr>
          <w:iCs/>
        </w:rPr>
        <w:t xml:space="preserve">(pH, </w:t>
      </w:r>
      <w:r w:rsidRPr="00282227">
        <w:rPr>
          <w:i/>
        </w:rPr>
        <w:t>U</w:t>
      </w:r>
      <w:r w:rsidRPr="00282227">
        <w:rPr>
          <w:iCs/>
        </w:rPr>
        <w:t xml:space="preserve">) </w:t>
      </w:r>
      <w:r w:rsidRPr="00282227">
        <w:t xml:space="preserve">diagrams; however, </w:t>
      </w:r>
      <w:r w:rsidRPr="00282227">
        <w:rPr>
          <w:i/>
          <w:iCs/>
        </w:rPr>
        <w:t>ab initio</w:t>
      </w:r>
      <w:r w:rsidRPr="00282227">
        <w:t xml:space="preserve"> atomistic thermodynamics can also be used to compute bulk phases, where it has proven </w:t>
      </w:r>
      <w:r w:rsidRPr="00282227">
        <w:rPr>
          <w:iCs/>
        </w:rPr>
        <w:t xml:space="preserve">powerful in predicting </w:t>
      </w:r>
      <w:r w:rsidRPr="00282227">
        <w:t xml:space="preserve">bulk </w:t>
      </w:r>
      <w:proofErr w:type="spellStart"/>
      <w:r w:rsidRPr="00282227">
        <w:rPr>
          <w:iCs/>
        </w:rPr>
        <w:t>Pourbaix</w:t>
      </w:r>
      <w:proofErr w:type="spellEnd"/>
      <w:r w:rsidRPr="00282227">
        <w:rPr>
          <w:iCs/>
        </w:rPr>
        <w:t xml:space="preserve"> </w:t>
      </w:r>
      <w:r w:rsidRPr="00282227">
        <w:t xml:space="preserve">diagrams </w:t>
      </w:r>
      <w:r w:rsidRPr="00282227">
        <w:fldChar w:fldCharType="begin">
          <w:fldData xml:space="preserve">PEVuZE5vdGU+PENpdGU+PEF1dGhvcj5QYXRlbDwvQXV0aG9yPjxZZWFyPjIwMTk8L1llYXI+PFJl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</w:fldData>
        </w:fldChar>
      </w:r>
      <w:r w:rsidR="00FC5BEB">
        <w:instrText xml:space="preserve"> ADDIN EN.CITE </w:instrText>
      </w:r>
      <w:r w:rsidR="00FC5BEB">
        <w:fldChar w:fldCharType="begin">
          <w:fldData xml:space="preserve">PEVuZE5vdGU+PENpdGU+PEF1dGhvcj5QYXRlbDwvQXV0aG9yPjxZZWFyPjIwMTk8L1llYXI+PFJl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</w:fldData>
        </w:fldChar>
      </w:r>
      <w:r w:rsidR="00FC5BEB">
        <w:instrText xml:space="preserve"> ADDIN EN.CITE.DATA </w:instrText>
      </w:r>
      <w:r w:rsidR="00FC5BEB">
        <w:fldChar w:fldCharType="end"/>
      </w:r>
      <w:r w:rsidRPr="00282227">
        <w:fldChar w:fldCharType="separate"/>
      </w:r>
      <w:r w:rsidR="00FC5BEB" w:rsidRPr="00FC5BEB">
        <w:rPr>
          <w:noProof/>
          <w:vertAlign w:val="superscript"/>
        </w:rPr>
        <w:t>110, 394-397</w:t>
      </w:r>
      <w:r w:rsidRPr="00282227">
        <w:fldChar w:fldCharType="end"/>
      </w:r>
      <w:r w:rsidRPr="00282227">
        <w:t xml:space="preserve">. A major challenge in this effort is identifying phases to include in the thermodynamics screening procedure. In Ref. </w:t>
      </w:r>
      <w:r w:rsidRPr="00282227">
        <w:fldChar w:fldCharType="begin"/>
      </w:r>
      <w:r w:rsidR="00FC5BEB">
        <w:instrText xml:space="preserve"> ADDIN EN.CITE &lt;EndNote&gt;&lt;Cite&gt;&lt;Author&gt;Flores&lt;/Author&gt;&lt;Year&gt;2020&lt;/Year&gt;&lt;RecNum&gt;391&lt;/RecNum&gt;&lt;DisplayText&gt;&lt;style face="superscript"&gt;393&lt;/style&gt;&lt;/DisplayText&gt;&lt;record&gt;&lt;rec-number&gt;391&lt;/rec-number&gt;&lt;foreign-keys&gt;&lt;key app="EN" db-id="2xex0erf4eexr4e2dpbxpdd829xttesxxxdr" timestamp="1715075297"&gt;391&lt;/key&gt;&lt;/foreign-keys&gt;&lt;ref-type name="Journal Article"&gt;17&lt;/ref-type&gt;&lt;contributors&gt;&lt;authors&gt;&lt;author&gt;Flores, Raul A.&lt;/author&gt;&lt;author&gt;Paolucci, Christopher&lt;/author&gt;&lt;author&gt;Winther, Kirsten T.&lt;/author&gt;&lt;author&gt;Jain, Ankit&lt;/author&gt;&lt;author&gt;Torres, Jose Antonio Garrido&lt;/author&gt;&lt;author&gt;Aykol, Muratahan&lt;/author&gt;&lt;author&gt;Montoya, Joseph&lt;/author&gt;&lt;author&gt;Nørskov, Jens K.&lt;/author&gt;&lt;author&gt;Bajdich, Michal&lt;/author&gt;&lt;author&gt;Bligaard, Thomas&lt;/author&gt;&lt;/authors&gt;&lt;/contributors&gt;&lt;titles&gt;&lt;title&gt;Active Learning Accelerated Discovery of Stable Iridium Oxide Polymorphs for the Oxygen Evolution Reaction&lt;/title&gt;&lt;secondary-title&gt;Chemistry of Materials&lt;/secondary-title&gt;&lt;/titles&gt;&lt;periodical&gt;&lt;full-title&gt;Chemistry of Materials&lt;/full-title&gt;&lt;abbr-1&gt;Chem. Mater.&lt;/abbr-1&gt;&lt;abbr-2&gt;Chem Mater&lt;/abbr-2&gt;&lt;/periodical&gt;&lt;pages&gt;5854-5863&lt;/pages&gt;&lt;volume&gt;32&lt;/volume&gt;&lt;number&gt;13&lt;/number&gt;&lt;dates&gt;&lt;year&gt;2020&lt;/year&gt;&lt;pub-dates&gt;&lt;date&gt;2020/07/14&lt;/date&gt;&lt;/pub-dates&gt;&lt;/dates&gt;&lt;publisher&gt;American Chemical Society&lt;/publisher&gt;&lt;isbn&gt;0897-4756&lt;/isbn&gt;&lt;urls&gt;&lt;related-urls&gt;&lt;url&gt;https://doi.org/10.1021/acs.chemmater.0c01894&lt;/url&gt;&lt;/related-urls&gt;&lt;/urls&gt;&lt;electronic-resource-num&gt;10.1021/acs.chemmater.0c01894&lt;/electronic-resource-num&gt;&lt;/record&gt;&lt;/Cite&gt;&lt;/EndNote&gt;</w:instrText>
      </w:r>
      <w:r w:rsidRPr="00282227">
        <w:fldChar w:fldCharType="separate"/>
      </w:r>
      <w:r w:rsidR="00FC5BEB" w:rsidRPr="00FC5BEB">
        <w:rPr>
          <w:noProof/>
          <w:vertAlign w:val="superscript"/>
        </w:rPr>
        <w:t>393</w:t>
      </w:r>
      <w:r w:rsidRPr="00282227">
        <w:fldChar w:fldCharType="end"/>
      </w:r>
      <w:r w:rsidRPr="00282227">
        <w:t xml:space="preserve"> the authors coupled </w:t>
      </w:r>
      <w:r w:rsidRPr="00282227">
        <w:rPr>
          <w:i/>
          <w:iCs/>
        </w:rPr>
        <w:t xml:space="preserve">ab initio </w:t>
      </w:r>
      <w:r w:rsidRPr="00282227">
        <w:t xml:space="preserve">atomistic thermodynamics with active learning to overcome the challenges associated with structural identification, which resulted in a significant modification of the proposed iridium </w:t>
      </w:r>
      <w:r w:rsidRPr="00282227">
        <w:rPr>
          <w:iCs/>
        </w:rPr>
        <w:t xml:space="preserve">(pH, </w:t>
      </w:r>
      <w:r w:rsidRPr="00282227">
        <w:rPr>
          <w:i/>
        </w:rPr>
        <w:t>U</w:t>
      </w:r>
      <w:r w:rsidRPr="00282227">
        <w:rPr>
          <w:iCs/>
        </w:rPr>
        <w:t xml:space="preserve">) </w:t>
      </w:r>
      <w:r w:rsidRPr="00282227">
        <w:t xml:space="preserve">diagram, see </w:t>
      </w:r>
      <w:r>
        <w:fldChar w:fldCharType="begin"/>
      </w:r>
      <w:r>
        <w:instrText xml:space="preserve"> REF _Ref159521802 \h </w:instrText>
      </w:r>
      <w:r>
        <w:fldChar w:fldCharType="separate"/>
      </w:r>
      <w:r w:rsidR="00B52708" w:rsidRPr="00282227">
        <w:rPr>
          <w:b/>
          <w:bCs/>
        </w:rPr>
        <w:t xml:space="preserve">Figure </w:t>
      </w:r>
      <w:r w:rsidR="00B52708">
        <w:rPr>
          <w:b/>
          <w:bCs/>
          <w:noProof/>
        </w:rPr>
        <w:t>28</w:t>
      </w:r>
      <w:r>
        <w:fldChar w:fldCharType="end"/>
      </w:r>
      <w:r w:rsidRPr="00282227">
        <w:t>.</w:t>
      </w:r>
    </w:p>
    <w:p w14:paraId="60BB0858" w14:textId="77777777" w:rsidR="00282227" w:rsidRPr="00282227" w:rsidRDefault="00282227" w:rsidP="00282227"/>
    <w:p w14:paraId="429F1871" w14:textId="71F3489E" w:rsidR="00282227" w:rsidRPr="00282227" w:rsidRDefault="00282227" w:rsidP="00E87282">
      <w:r w:rsidRPr="00282227">
        <w:rPr>
          <w:iCs/>
        </w:rPr>
        <w:tab/>
        <w:t xml:space="preserve">Inspection of </w:t>
      </w:r>
      <w:r>
        <w:fldChar w:fldCharType="begin"/>
      </w:r>
      <w:r>
        <w:rPr>
          <w:iCs/>
        </w:rPr>
        <w:instrText xml:space="preserve"> REF _Ref159521802 \h </w:instrText>
      </w:r>
      <w:r>
        <w:fldChar w:fldCharType="separate"/>
      </w:r>
      <w:r w:rsidR="00B52708" w:rsidRPr="00282227">
        <w:rPr>
          <w:b/>
          <w:bCs/>
        </w:rPr>
        <w:t xml:space="preserve">Figure </w:t>
      </w:r>
      <w:r w:rsidR="00B52708">
        <w:rPr>
          <w:b/>
          <w:bCs/>
          <w:noProof/>
        </w:rPr>
        <w:t>28</w:t>
      </w:r>
      <w:r>
        <w:fldChar w:fldCharType="end"/>
      </w:r>
      <w:r w:rsidRPr="00282227">
        <w:t xml:space="preserve"> reveals 3 different IrO</w:t>
      </w:r>
      <w:r w:rsidRPr="00282227">
        <w:rPr>
          <w:vertAlign w:val="subscript"/>
        </w:rPr>
        <w:t>3</w:t>
      </w:r>
      <w:r w:rsidRPr="00282227">
        <w:t xml:space="preserve"> polymorphs are predicted to appear either as stable or metastable phases under highly oxidizing potentials at low pH, well above the thermodynamic onset of the OER. This is a major change from the previously accepted iridium </w:t>
      </w:r>
      <w:proofErr w:type="spellStart"/>
      <w:r w:rsidRPr="00282227">
        <w:t>Pourbaix</w:t>
      </w:r>
      <w:proofErr w:type="spellEnd"/>
      <w:r w:rsidRPr="00282227">
        <w:t xml:space="preserve"> diagram, where IrO</w:t>
      </w:r>
      <w:r w:rsidRPr="00282227">
        <w:rPr>
          <w:vertAlign w:val="subscript"/>
        </w:rPr>
        <w:t>2</w:t>
      </w:r>
      <w:r w:rsidRPr="00282227">
        <w:t xml:space="preserve"> is the most oxidized solid</w:t>
      </w:r>
      <w:r w:rsidR="00BB4B13">
        <w:t>.</w:t>
      </w:r>
      <w:r w:rsidR="00BB4B13">
        <w:fldChar w:fldCharType="begin"/>
      </w:r>
      <w:r w:rsidR="00FC5BEB">
        <w:instrText xml:space="preserve"> ADDIN EN.CITE &lt;EndNote&gt;&lt;Cite&gt;&lt;Author&gt;Pourbaix&lt;/Author&gt;&lt;Year&gt;1959&lt;/Year&gt;&lt;RecNum&gt;396&lt;/RecNum&gt;&lt;DisplayText&gt;&lt;style face="superscript"&gt;398&lt;/style&gt;&lt;/DisplayText&gt;&lt;record&gt;&lt;rec-number&gt;396&lt;/rec-number&gt;&lt;foreign-keys&gt;&lt;key app="EN" db-id="2xex0erf4eexr4e2dpbxpdd829xttesxxxdr" timestamp="1715075297"&gt;396&lt;/key&gt;&lt;/foreign-keys&gt;&lt;ref-type name="Journal Article"&gt;17&lt;/ref-type&gt;&lt;contributors&gt;&lt;authors&gt;&lt;author&gt;Pourbaix, M. J. N.&lt;/author&gt;&lt;author&gt;Van Muylde, J.&lt;/author&gt;&lt;author&gt;de Zoubov, N.&lt;/author&gt;&lt;/authors&gt;&lt;/contributors&gt;&lt;titles&gt;&lt;title&gt;Electrochemical Properties of the Platinum Metals&lt;/title&gt;&lt;secondary-title&gt;Platinum Metals Review&lt;/secondary-title&gt;&lt;/titles&gt;&lt;periodical&gt;&lt;full-title&gt;Platinum Metals Review&lt;/full-title&gt;&lt;abbr-1&gt;Platinum Met. Rev.&lt;/abbr-1&gt;&lt;abbr-2&gt;Platinum Met Rev&lt;/abbr-2&gt;&lt;/periodical&gt;&lt;pages&gt;100-106&lt;/pages&gt;&lt;volume&gt;3&lt;/volume&gt;&lt;number&gt;3&lt;/number&gt;&lt;dates&gt;&lt;year&gt;1959&lt;/year&gt;&lt;/dates&gt;&lt;isbn&gt;0032-1400&lt;/isbn&gt;&lt;urls&gt;&lt;related-urls&gt;&lt;url&gt;https://technology.matthey.com/content/journals/10.1595/003214059X33100106&lt;/url&gt;&lt;/related-urls&gt;&lt;/urls&gt;&lt;electronic-resource-num&gt;https://doi.org/10.1595/003214059X33100106&lt;/electronic-resource-num&gt;&lt;/record&gt;&lt;/Cite&gt;&lt;/EndNote&gt;</w:instrText>
      </w:r>
      <w:r w:rsidR="00BB4B13">
        <w:fldChar w:fldCharType="separate"/>
      </w:r>
      <w:r w:rsidR="00FC5BEB" w:rsidRPr="00FC5BEB">
        <w:rPr>
          <w:noProof/>
          <w:vertAlign w:val="superscript"/>
        </w:rPr>
        <w:t>398</w:t>
      </w:r>
      <w:r w:rsidR="00BB4B13">
        <w:fldChar w:fldCharType="end"/>
      </w:r>
      <w:r w:rsidRPr="00282227">
        <w:t xml:space="preserve"> The authors of Ref. </w:t>
      </w:r>
      <w:r w:rsidRPr="00282227">
        <w:fldChar w:fldCharType="begin"/>
      </w:r>
      <w:r w:rsidR="00FC5BEB">
        <w:instrText xml:space="preserve"> ADDIN EN.CITE &lt;EndNote&gt;&lt;Cite&gt;&lt;Author&gt;Flores&lt;/Author&gt;&lt;Year&gt;2020&lt;/Year&gt;&lt;RecNum&gt;391&lt;/RecNum&gt;&lt;DisplayText&gt;&lt;style face="superscript"&gt;393&lt;/style&gt;&lt;/DisplayText&gt;&lt;record&gt;&lt;rec-number&gt;391&lt;/rec-number&gt;&lt;foreign-keys&gt;&lt;key app="EN" db-id="2xex0erf4eexr4e2dpbxpdd829xttesxxxdr" timestamp="1715075297"&gt;391&lt;/key&gt;&lt;/foreign-keys&gt;&lt;ref-type name="Journal Article"&gt;17&lt;/ref-type&gt;&lt;contributors&gt;&lt;authors&gt;&lt;author&gt;Flores, Raul A.&lt;/author&gt;&lt;author&gt;Paolucci, Christopher&lt;/author&gt;&lt;author&gt;Winther, Kirsten T.&lt;/author&gt;&lt;author&gt;Jain, Ankit&lt;/author&gt;&lt;author&gt;Torres, Jose Antonio Garrido&lt;/author&gt;&lt;author&gt;Aykol, Muratahan&lt;/author&gt;&lt;author&gt;Montoya, Joseph&lt;/author&gt;&lt;author&gt;Nørskov, Jens K.&lt;/author&gt;&lt;author&gt;Bajdich, Michal&lt;/author&gt;&lt;author&gt;Bligaard, Thomas&lt;/author&gt;&lt;/authors&gt;&lt;/contributors&gt;&lt;titles&gt;&lt;title&gt;Active Learning Accelerated Discovery of Stable Iridium Oxide Polymorphs for the Oxygen Evolution Reaction&lt;/title&gt;&lt;secondary-title&gt;Chemistry of Materials&lt;/secondary-title&gt;&lt;/titles&gt;&lt;periodical&gt;&lt;full-title&gt;Chemistry of Materials&lt;/full-title&gt;&lt;abbr-1&gt;Chem. Mater.&lt;/abbr-1&gt;&lt;abbr-2&gt;Chem Mater&lt;/abbr-2&gt;&lt;/periodical&gt;&lt;pages&gt;5854-5863&lt;/pages&gt;&lt;volume&gt;32&lt;/volume&gt;&lt;number&gt;13&lt;/number&gt;&lt;dates&gt;&lt;year&gt;2020&lt;/year&gt;&lt;pub-dates&gt;&lt;date&gt;2020/07/14&lt;/date&gt;&lt;/pub-dates&gt;&lt;/dates&gt;&lt;publisher&gt;American Chemical Society&lt;/publisher&gt;&lt;isbn&gt;0897-4756&lt;/isbn&gt;&lt;urls&gt;&lt;related-urls&gt;&lt;url&gt;https://doi.org/10.1021/acs.chemmater.0c01894&lt;/url&gt;&lt;/related-urls&gt;&lt;/urls&gt;&lt;electronic-resource-num&gt;10.1021/acs.chemmater.0c01894&lt;/electronic-resource-num&gt;&lt;/record&gt;&lt;/Cite&gt;&lt;/EndNote&gt;</w:instrText>
      </w:r>
      <w:r w:rsidRPr="00282227">
        <w:fldChar w:fldCharType="separate"/>
      </w:r>
      <w:r w:rsidR="00FC5BEB" w:rsidRPr="00FC5BEB">
        <w:rPr>
          <w:noProof/>
          <w:vertAlign w:val="superscript"/>
        </w:rPr>
        <w:t>393</w:t>
      </w:r>
      <w:r w:rsidRPr="00282227">
        <w:fldChar w:fldCharType="end"/>
      </w:r>
      <w:r w:rsidRPr="00282227">
        <w:t xml:space="preserve"> made their </w:t>
      </w:r>
      <w:r w:rsidRPr="00282227">
        <w:lastRenderedPageBreak/>
        <w:t xml:space="preserve">prediction by examining the thermodynamic equilibrium between metallic </w:t>
      </w:r>
      <w:proofErr w:type="spellStart"/>
      <w:r w:rsidRPr="00282227">
        <w:t>Ir</w:t>
      </w:r>
      <w:proofErr w:type="spellEnd"/>
      <w:r w:rsidRPr="00282227">
        <w:t>, rutile-type IrO</w:t>
      </w:r>
      <w:r w:rsidRPr="00282227">
        <w:rPr>
          <w:vertAlign w:val="subscript"/>
        </w:rPr>
        <w:t>2</w:t>
      </w:r>
      <w:r w:rsidRPr="00282227">
        <w:t>, three IrO</w:t>
      </w:r>
      <w:r w:rsidRPr="00282227">
        <w:rPr>
          <w:vertAlign w:val="subscript"/>
        </w:rPr>
        <w:t>3</w:t>
      </w:r>
      <w:r w:rsidRPr="00282227">
        <w:t xml:space="preserve"> polymorphs (α-IrO</w:t>
      </w:r>
      <w:r w:rsidRPr="00282227">
        <w:rPr>
          <w:vertAlign w:val="subscript"/>
        </w:rPr>
        <w:t>3</w:t>
      </w:r>
      <w:r w:rsidRPr="00282227">
        <w:t xml:space="preserve">, </w:t>
      </w:r>
      <w:r w:rsidRPr="00282227">
        <w:sym w:font="Symbol" w:char="F062"/>
      </w:r>
      <w:r w:rsidRPr="00282227">
        <w:t>-IrO</w:t>
      </w:r>
      <w:r w:rsidRPr="00282227">
        <w:rPr>
          <w:vertAlign w:val="subscript"/>
        </w:rPr>
        <w:t>3</w:t>
      </w:r>
      <w:r w:rsidRPr="00282227">
        <w:t>, and R-IrO</w:t>
      </w:r>
      <w:r w:rsidRPr="00282227">
        <w:rPr>
          <w:vertAlign w:val="subscript"/>
        </w:rPr>
        <w:t>3</w:t>
      </w:r>
      <w:r w:rsidRPr="00282227">
        <w:t>), and aqueous IrO</w:t>
      </w:r>
      <w:r w:rsidRPr="00282227">
        <w:rPr>
          <w:vertAlign w:val="subscript"/>
        </w:rPr>
        <w:t>4</w:t>
      </w:r>
      <w:r w:rsidRPr="00282227">
        <w:rPr>
          <w:vertAlign w:val="superscript"/>
        </w:rPr>
        <w:t>-</w:t>
      </w:r>
      <w:r w:rsidRPr="00282227">
        <w:t xml:space="preserve">. The last species should be </w:t>
      </w:r>
      <w:r w:rsidR="002A09AD">
        <w:t>labeled</w:t>
      </w:r>
      <w:r w:rsidRPr="00282227">
        <w:t xml:space="preserve"> IrO</w:t>
      </w:r>
      <w:r w:rsidRPr="00282227">
        <w:rPr>
          <w:vertAlign w:val="subscript"/>
        </w:rPr>
        <w:t>4</w:t>
      </w:r>
      <w:r w:rsidRPr="00282227">
        <w:rPr>
          <w:vertAlign w:val="superscript"/>
        </w:rPr>
        <w:t>2-</w:t>
      </w:r>
      <w:r w:rsidRPr="00282227">
        <w:t>. The computed heat of formation of α-IrO</w:t>
      </w:r>
      <w:r w:rsidRPr="00282227">
        <w:rPr>
          <w:vertAlign w:val="subscript"/>
        </w:rPr>
        <w:t>3</w:t>
      </w:r>
      <w:r w:rsidRPr="00282227">
        <w:t xml:space="preserve"> is sufficiently large to make it the predicted stable phase under acidic OER conditions, see </w:t>
      </w:r>
      <w:r>
        <w:fldChar w:fldCharType="begin"/>
      </w:r>
      <w:r>
        <w:instrText xml:space="preserve"> REF _Ref159521802 \h </w:instrText>
      </w:r>
      <w:r>
        <w:fldChar w:fldCharType="separate"/>
      </w:r>
      <w:r w:rsidR="00B52708" w:rsidRPr="00282227">
        <w:rPr>
          <w:b/>
          <w:bCs/>
        </w:rPr>
        <w:t xml:space="preserve">Figure </w:t>
      </w:r>
      <w:r w:rsidR="00B52708">
        <w:rPr>
          <w:b/>
          <w:bCs/>
          <w:noProof/>
        </w:rPr>
        <w:t>28</w:t>
      </w:r>
      <w:r>
        <w:fldChar w:fldCharType="end"/>
      </w:r>
      <w:r w:rsidRPr="00282227">
        <w:t xml:space="preserve">, whereas the </w:t>
      </w:r>
      <w:r w:rsidRPr="00282227">
        <w:sym w:font="Symbol" w:char="F062"/>
      </w:r>
      <w:r w:rsidRPr="00282227">
        <w:t>-IrO</w:t>
      </w:r>
      <w:r w:rsidRPr="00282227">
        <w:rPr>
          <w:vertAlign w:val="subscript"/>
        </w:rPr>
        <w:t>3</w:t>
      </w:r>
      <w:r w:rsidRPr="00282227">
        <w:t>, and R-IrO</w:t>
      </w:r>
      <w:r w:rsidRPr="00282227">
        <w:rPr>
          <w:vertAlign w:val="subscript"/>
        </w:rPr>
        <w:t>3</w:t>
      </w:r>
      <w:r w:rsidRPr="00282227">
        <w:t xml:space="preserve"> polymorphs are predicted to be metastable; both are lower in free energy than the competing metallic </w:t>
      </w:r>
      <w:proofErr w:type="spellStart"/>
      <w:r w:rsidRPr="00282227">
        <w:t>Ir</w:t>
      </w:r>
      <w:proofErr w:type="spellEnd"/>
      <w:r w:rsidRPr="00282227">
        <w:t>, rutile-type IrO</w:t>
      </w:r>
      <w:r w:rsidRPr="00282227">
        <w:rPr>
          <w:vertAlign w:val="subscript"/>
        </w:rPr>
        <w:t>2</w:t>
      </w:r>
      <w:r w:rsidRPr="00282227">
        <w:t>, and aqueous IrO</w:t>
      </w:r>
      <w:r w:rsidRPr="00282227">
        <w:rPr>
          <w:vertAlign w:val="subscript"/>
        </w:rPr>
        <w:t>4</w:t>
      </w:r>
      <w:r w:rsidRPr="00282227">
        <w:rPr>
          <w:vertAlign w:val="superscript"/>
        </w:rPr>
        <w:t>2-</w:t>
      </w:r>
      <w:r w:rsidRPr="00282227">
        <w:t xml:space="preserve"> phases, but higher in energy than α-IrO</w:t>
      </w:r>
      <w:r w:rsidRPr="00282227">
        <w:rPr>
          <w:vertAlign w:val="subscript"/>
        </w:rPr>
        <w:t>3</w:t>
      </w:r>
      <w:r w:rsidRPr="00282227">
        <w:t>. These metastability regions are indicated within the α-IrO</w:t>
      </w:r>
      <w:r w:rsidRPr="00282227">
        <w:rPr>
          <w:vertAlign w:val="subscript"/>
        </w:rPr>
        <w:t>3</w:t>
      </w:r>
      <w:r w:rsidRPr="00282227">
        <w:t xml:space="preserve"> field of </w:t>
      </w:r>
      <w:r>
        <w:fldChar w:fldCharType="begin"/>
      </w:r>
      <w:r>
        <w:instrText xml:space="preserve"> REF _Ref159521802 \h </w:instrText>
      </w:r>
      <w:r>
        <w:fldChar w:fldCharType="separate"/>
      </w:r>
      <w:r w:rsidR="00B52708" w:rsidRPr="00282227">
        <w:rPr>
          <w:b/>
          <w:bCs/>
        </w:rPr>
        <w:t xml:space="preserve">Figure </w:t>
      </w:r>
      <w:r w:rsidR="00B52708">
        <w:rPr>
          <w:b/>
          <w:bCs/>
          <w:noProof/>
        </w:rPr>
        <w:t>28</w:t>
      </w:r>
      <w:r>
        <w:fldChar w:fldCharType="end"/>
      </w:r>
      <w:r w:rsidRPr="00282227">
        <w:t xml:space="preserve">. </w:t>
      </w:r>
    </w:p>
    <w:p w14:paraId="0E52257C" w14:textId="48689101" w:rsidR="00282227" w:rsidRDefault="00E87282" w:rsidP="00282227">
      <w:r>
        <w:rPr>
          <w:iCs/>
          <w:noProof/>
          <w14:ligatures w14:val="standardContextual"/>
        </w:rPr>
        <w:drawing>
          <wp:inline distT="0" distB="0" distL="0" distR="0" wp14:anchorId="6E8FACAD" wp14:editId="12B12876">
            <wp:extent cx="5731510" cy="4724400"/>
            <wp:effectExtent l="0" t="0" r="0" b="0"/>
            <wp:docPr id="209308154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3081547" name="Picture 2093081547"/>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731510" cy="4724400"/>
                    </a:xfrm>
                    <a:prstGeom prst="rect">
                      <a:avLst/>
                    </a:prstGeom>
                  </pic:spPr>
                </pic:pic>
              </a:graphicData>
            </a:graphic>
          </wp:inline>
        </w:drawing>
      </w:r>
    </w:p>
    <w:p w14:paraId="2E80FDD1" w14:textId="019EF5A3" w:rsidR="00E87282" w:rsidRPr="00282227" w:rsidRDefault="00E87282" w:rsidP="00E87282">
      <w:pPr>
        <w:pStyle w:val="Caption"/>
      </w:pPr>
      <w:bookmarkStart w:id="113" w:name="_Ref159521889"/>
      <w:r w:rsidRPr="00282227">
        <w:rPr>
          <w:b/>
          <w:bCs w:val="0"/>
          <w:sz w:val="22"/>
        </w:rPr>
        <w:t xml:space="preserve">Figure </w:t>
      </w:r>
      <w:r w:rsidRPr="00282227">
        <w:rPr>
          <w:b/>
          <w:bCs w:val="0"/>
          <w:sz w:val="22"/>
        </w:rPr>
        <w:fldChar w:fldCharType="begin"/>
      </w:r>
      <w:r w:rsidRPr="00282227">
        <w:rPr>
          <w:b/>
          <w:bCs w:val="0"/>
          <w:sz w:val="22"/>
        </w:rPr>
        <w:instrText xml:space="preserve"> SEQ Figure \* ARABIC </w:instrText>
      </w:r>
      <w:r w:rsidRPr="00282227">
        <w:rPr>
          <w:b/>
          <w:bCs w:val="0"/>
          <w:sz w:val="22"/>
        </w:rPr>
        <w:fldChar w:fldCharType="separate"/>
      </w:r>
      <w:r>
        <w:rPr>
          <w:b/>
          <w:bCs w:val="0"/>
          <w:noProof/>
          <w:sz w:val="22"/>
        </w:rPr>
        <w:t>29</w:t>
      </w:r>
      <w:r w:rsidRPr="00282227">
        <w:rPr>
          <w:b/>
          <w:bCs w:val="0"/>
          <w:sz w:val="22"/>
        </w:rPr>
        <w:fldChar w:fldCharType="end"/>
      </w:r>
      <w:bookmarkEnd w:id="113"/>
      <w:r w:rsidRPr="00282227">
        <w:t xml:space="preserve"> </w:t>
      </w:r>
      <w:r>
        <w:t>(</w:t>
      </w:r>
      <w:r w:rsidRPr="00282227">
        <w:t xml:space="preserve">a) Computed surface </w:t>
      </w:r>
      <w:r w:rsidRPr="00282227">
        <w:rPr>
          <w:iCs/>
        </w:rPr>
        <w:t xml:space="preserve">(pH, </w:t>
      </w:r>
      <w:r w:rsidRPr="00282227">
        <w:rPr>
          <w:i/>
        </w:rPr>
        <w:t>U</w:t>
      </w:r>
      <w:r w:rsidRPr="00282227">
        <w:rPr>
          <w:iCs/>
        </w:rPr>
        <w:t xml:space="preserve">) </w:t>
      </w:r>
      <w:r w:rsidRPr="00282227">
        <w:t xml:space="preserve">diagrams. The zero pH bounds of stability from </w:t>
      </w:r>
      <w:r>
        <w:fldChar w:fldCharType="begin"/>
      </w:r>
      <w:r>
        <w:instrText xml:space="preserve"> REF _Ref159521802 \h </w:instrText>
      </w:r>
      <w:r>
        <w:fldChar w:fldCharType="separate"/>
      </w:r>
      <w:r w:rsidRPr="00282227">
        <w:rPr>
          <w:b/>
          <w:bCs w:val="0"/>
          <w:sz w:val="22"/>
        </w:rPr>
        <w:t xml:space="preserve">Figure </w:t>
      </w:r>
      <w:r>
        <w:rPr>
          <w:b/>
          <w:bCs w:val="0"/>
          <w:noProof/>
          <w:sz w:val="22"/>
        </w:rPr>
        <w:t>28</w:t>
      </w:r>
      <w:r>
        <w:fldChar w:fldCharType="end"/>
      </w:r>
      <w:r w:rsidRPr="00282227">
        <w:t xml:space="preserve"> are shown as horizontal bars at the bottom of the plots. The regions of β-IrO</w:t>
      </w:r>
      <w:r w:rsidRPr="00282227">
        <w:rPr>
          <w:vertAlign w:val="subscript"/>
        </w:rPr>
        <w:t>3</w:t>
      </w:r>
      <w:r w:rsidRPr="00282227">
        <w:t> and R-IrO</w:t>
      </w:r>
      <w:r w:rsidRPr="00282227">
        <w:rPr>
          <w:vertAlign w:val="subscript"/>
        </w:rPr>
        <w:t>3</w:t>
      </w:r>
      <w:r w:rsidRPr="00282227">
        <w:t xml:space="preserve"> metastability are shown by way of vertical lines. </w:t>
      </w:r>
      <w:r>
        <w:t>(</w:t>
      </w:r>
      <w:r w:rsidRPr="00282227">
        <w:t xml:space="preserve">b) Volcano plot and computed </w:t>
      </w:r>
      <w:r w:rsidRPr="00282227">
        <w:rPr>
          <w:i/>
        </w:rPr>
        <w:sym w:font="Symbol" w:char="F068"/>
      </w:r>
      <w:r w:rsidRPr="00282227">
        <w:rPr>
          <w:iCs/>
          <w:vertAlign w:val="subscript"/>
        </w:rPr>
        <w:t>CHE</w:t>
      </w:r>
      <w:r w:rsidRPr="00282227">
        <w:rPr>
          <w:iCs/>
        </w:rPr>
        <w:t xml:space="preserve"> values. The solid black line shows the standard AEM scaling relationship result, while the dashed line shows the fit to the computed data. The horizontal lines show experimental data. </w:t>
      </w:r>
      <w:r>
        <w:rPr>
          <w:iCs/>
        </w:rPr>
        <w:t>(</w:t>
      </w:r>
      <w:r w:rsidRPr="00282227">
        <w:rPr>
          <w:iCs/>
        </w:rPr>
        <w:t>c) Ball and stick models of the structures. Oxygen is shown as red and iridium is purple</w:t>
      </w:r>
      <w:proofErr w:type="gramStart"/>
      <w:r w:rsidRPr="00282227">
        <w:rPr>
          <w:iCs/>
        </w:rPr>
        <w:t>.</w:t>
      </w:r>
      <w:r>
        <w:rPr>
          <w:iCs/>
        </w:rPr>
        <w:t xml:space="preserve"> </w:t>
      </w:r>
      <w:r w:rsidR="00C92967" w:rsidRPr="00282227">
        <w:t>.</w:t>
      </w:r>
      <w:proofErr w:type="gramEnd"/>
      <w:r w:rsidR="00C92967" w:rsidRPr="00282227">
        <w:t xml:space="preserve"> </w:t>
      </w:r>
      <w:r w:rsidR="00C92967" w:rsidRPr="00C92967">
        <w:rPr>
          <w:lang w:val="en-US"/>
        </w:rPr>
        <w:t xml:space="preserve">Reprinted with permission from </w:t>
      </w:r>
      <w:r w:rsidR="00C92967">
        <w:t>Ref.</w:t>
      </w:r>
      <w:r w:rsidR="00C92967" w:rsidRPr="00282227">
        <w:t xml:space="preserve"> </w:t>
      </w:r>
      <w:r w:rsidR="00C92967" w:rsidRPr="00282227">
        <w:fldChar w:fldCharType="begin"/>
      </w:r>
      <w:r w:rsidR="00C92967">
        <w:instrText xml:space="preserve"> ADDIN EN.CITE &lt;EndNote&gt;&lt;Cite&gt;&lt;Author&gt;Flores&lt;/Author&gt;&lt;Year&gt;2020&lt;/Year&gt;&lt;RecNum&gt;391&lt;/RecNum&gt;&lt;DisplayText&gt;&lt;style face="superscript"&gt;393&lt;/style&gt;&lt;/DisplayText&gt;&lt;record&gt;&lt;rec-number&gt;391&lt;/rec-number&gt;&lt;foreign-keys&gt;&lt;key app="EN" db-id="2xex0erf4eexr4e2dpbxpdd829xttesxxxdr" timestamp="1715075297"&gt;391&lt;/key&gt;&lt;/foreign-keys&gt;&lt;ref-type name="Journal Article"&gt;17&lt;/ref-type&gt;&lt;contributors&gt;&lt;authors&gt;&lt;author&gt;Flores, Raul A.&lt;/author&gt;&lt;author&gt;Paolucci, Christopher&lt;/author&gt;&lt;author&gt;Winther, Kirsten T.&lt;/author&gt;&lt;author&gt;Jain, Ankit&lt;/author&gt;&lt;author&gt;Torres, Jose Antonio Garrido&lt;/author&gt;&lt;author&gt;Aykol, Muratahan&lt;/author&gt;&lt;author&gt;Montoya, Joseph&lt;/author&gt;&lt;author&gt;Nørskov, Jens K.&lt;/author&gt;&lt;author&gt;Bajdich, Michal&lt;/author&gt;&lt;author&gt;Bligaard, Thomas&lt;/author&gt;&lt;/authors&gt;&lt;/contributors&gt;&lt;titles&gt;&lt;title&gt;Active Learning Accelerated Discovery of Stable Iridium Oxide Polymorphs for the Oxygen Evolution Reaction&lt;/title&gt;&lt;secondary-title&gt;Chemistry of Materials&lt;/secondary-title&gt;&lt;/titles&gt;&lt;periodical&gt;&lt;full-title&gt;Chemistry of Materials&lt;/full-title&gt;&lt;abbr-1&gt;Chem. Mater.&lt;/abbr-1&gt;&lt;abbr-2&gt;Chem Mater&lt;/abbr-2&gt;&lt;/periodical&gt;&lt;pages&gt;5854-5863&lt;/pages&gt;&lt;volume&gt;32&lt;/volume&gt;&lt;number&gt;13&lt;/number&gt;&lt;dates&gt;&lt;year&gt;2020&lt;/year&gt;&lt;pub-dates&gt;&lt;date&gt;2020/07/14&lt;/date&gt;&lt;/pub-dates&gt;&lt;/dates&gt;&lt;publisher&gt;American Chemical Society&lt;/publisher&gt;&lt;isbn&gt;0897-4756&lt;/isbn&gt;&lt;urls&gt;&lt;related-urls&gt;&lt;url&gt;https://doi.org/10.1021/acs.chemmater.0c01894&lt;/url&gt;&lt;/related-urls&gt;&lt;/urls&gt;&lt;electronic-resource-num&gt;10.1021/acs.chemmater.0c01894&lt;/electronic-resource-num&gt;&lt;/record&gt;&lt;/Cite&gt;&lt;/EndNote&gt;</w:instrText>
      </w:r>
      <w:r w:rsidR="00C92967" w:rsidRPr="00282227">
        <w:fldChar w:fldCharType="separate"/>
      </w:r>
      <w:r w:rsidR="00C92967" w:rsidRPr="00FC5BEB">
        <w:rPr>
          <w:noProof/>
          <w:vertAlign w:val="superscript"/>
        </w:rPr>
        <w:t>393</w:t>
      </w:r>
      <w:r w:rsidR="00C92967" w:rsidRPr="00282227">
        <w:fldChar w:fldCharType="end"/>
      </w:r>
      <w:r w:rsidR="00C92967">
        <w:t xml:space="preserve"> </w:t>
      </w:r>
      <w:r w:rsidR="00C92967" w:rsidRPr="00C92967">
        <w:rPr>
          <w:lang w:val="en-US"/>
        </w:rPr>
        <w:t xml:space="preserve">Copyright </w:t>
      </w:r>
      <w:r w:rsidR="00C92967">
        <w:rPr>
          <w:lang w:val="en-US"/>
        </w:rPr>
        <w:t>2020</w:t>
      </w:r>
      <w:r w:rsidR="00C92967" w:rsidRPr="00C92967">
        <w:rPr>
          <w:lang w:val="en-US"/>
        </w:rPr>
        <w:t xml:space="preserve"> American Chemical Society.</w:t>
      </w:r>
    </w:p>
    <w:p w14:paraId="6D571E77" w14:textId="77777777" w:rsidR="00E87282" w:rsidRPr="00282227" w:rsidRDefault="00E87282" w:rsidP="00282227"/>
    <w:p w14:paraId="1CB80486" w14:textId="4A1A52C6" w:rsidR="00282227" w:rsidRPr="00282227" w:rsidRDefault="00282227" w:rsidP="00282227">
      <w:pPr>
        <w:rPr>
          <w:iCs/>
        </w:rPr>
      </w:pPr>
      <w:r w:rsidRPr="00282227">
        <w:tab/>
        <w:t xml:space="preserve">After identifying new bulk phases, the authors of Ref. </w:t>
      </w:r>
      <w:r w:rsidRPr="00282227">
        <w:fldChar w:fldCharType="begin"/>
      </w:r>
      <w:r w:rsidR="00FC5BEB">
        <w:instrText xml:space="preserve"> ADDIN EN.CITE &lt;EndNote&gt;&lt;Cite&gt;&lt;Author&gt;Flores&lt;/Author&gt;&lt;Year&gt;2020&lt;/Year&gt;&lt;RecNum&gt;391&lt;/RecNum&gt;&lt;DisplayText&gt;&lt;style face="superscript"&gt;393&lt;/style&gt;&lt;/DisplayText&gt;&lt;record&gt;&lt;rec-number&gt;391&lt;/rec-number&gt;&lt;foreign-keys&gt;&lt;key app="EN" db-id="2xex0erf4eexr4e2dpbxpdd829xttesxxxdr" timestamp="1715075297"&gt;391&lt;/key&gt;&lt;/foreign-keys&gt;&lt;ref-type name="Journal Article"&gt;17&lt;/ref-type&gt;&lt;contributors&gt;&lt;authors&gt;&lt;author&gt;Flores, Raul A.&lt;/author&gt;&lt;author&gt;Paolucci, Christopher&lt;/author&gt;&lt;author&gt;Winther, Kirsten T.&lt;/author&gt;&lt;author&gt;Jain, Ankit&lt;/author&gt;&lt;author&gt;Torres, Jose Antonio Garrido&lt;/author&gt;&lt;author&gt;Aykol, Muratahan&lt;/author&gt;&lt;author&gt;Montoya, Joseph&lt;/author&gt;&lt;author&gt;Nørskov, Jens K.&lt;/author&gt;&lt;author&gt;Bajdich, Michal&lt;/author&gt;&lt;author&gt;Bligaard, Thomas&lt;/author&gt;&lt;/authors&gt;&lt;/contributors&gt;&lt;titles&gt;&lt;title&gt;Active Learning Accelerated Discovery of Stable Iridium Oxide Polymorphs for the Oxygen Evolution Reaction&lt;/title&gt;&lt;secondary-title&gt;Chemistry of Materials&lt;/secondary-title&gt;&lt;/titles&gt;&lt;periodical&gt;&lt;full-title&gt;Chemistry of Materials&lt;/full-title&gt;&lt;abbr-1&gt;Chem. Mater.&lt;/abbr-1&gt;&lt;abbr-2&gt;Chem Mater&lt;/abbr-2&gt;&lt;/periodical&gt;&lt;pages&gt;5854-5863&lt;/pages&gt;&lt;volume&gt;32&lt;/volume&gt;&lt;number&gt;13&lt;/number&gt;&lt;dates&gt;&lt;year&gt;2020&lt;/year&gt;&lt;pub-dates&gt;&lt;date&gt;2020/07/14&lt;/date&gt;&lt;/pub-dates&gt;&lt;/dates&gt;&lt;publisher&gt;American Chemical Society&lt;/publisher&gt;&lt;isbn&gt;0897-4756&lt;/isbn&gt;&lt;urls&gt;&lt;related-urls&gt;&lt;url&gt;https://doi.org/10.1021/acs.chemmater.0c01894&lt;/url&gt;&lt;/related-urls&gt;&lt;/urls&gt;&lt;electronic-resource-num&gt;10.1021/acs.chemmater.0c01894&lt;/electronic-resource-num&gt;&lt;/record&gt;&lt;/Cite&gt;&lt;/EndNote&gt;</w:instrText>
      </w:r>
      <w:r w:rsidRPr="00282227">
        <w:fldChar w:fldCharType="separate"/>
      </w:r>
      <w:r w:rsidR="00FC5BEB" w:rsidRPr="00FC5BEB">
        <w:rPr>
          <w:noProof/>
          <w:vertAlign w:val="superscript"/>
        </w:rPr>
        <w:t>393</w:t>
      </w:r>
      <w:r w:rsidRPr="00282227">
        <w:fldChar w:fldCharType="end"/>
      </w:r>
      <w:r w:rsidRPr="00282227">
        <w:t xml:space="preserve"> explored the surface </w:t>
      </w:r>
      <w:r w:rsidRPr="00282227">
        <w:rPr>
          <w:iCs/>
        </w:rPr>
        <w:t xml:space="preserve">(pH, </w:t>
      </w:r>
      <w:r w:rsidRPr="00282227">
        <w:rPr>
          <w:i/>
        </w:rPr>
        <w:t>U</w:t>
      </w:r>
      <w:r w:rsidRPr="00282227">
        <w:rPr>
          <w:iCs/>
        </w:rPr>
        <w:t xml:space="preserve">) </w:t>
      </w:r>
      <w:r w:rsidRPr="00282227">
        <w:t xml:space="preserve">diagrams and computed theoretical overpotentials on these surfaces, </w:t>
      </w:r>
      <w:r>
        <w:fldChar w:fldCharType="begin"/>
      </w:r>
      <w:r>
        <w:instrText xml:space="preserve"> REF _Ref159521889 \h </w:instrText>
      </w:r>
      <w:r>
        <w:fldChar w:fldCharType="separate"/>
      </w:r>
      <w:r w:rsidR="00B52708" w:rsidRPr="00282227">
        <w:rPr>
          <w:b/>
          <w:bCs/>
        </w:rPr>
        <w:t xml:space="preserve">Figure </w:t>
      </w:r>
      <w:r w:rsidR="00B52708">
        <w:rPr>
          <w:b/>
          <w:bCs/>
          <w:noProof/>
        </w:rPr>
        <w:t>29</w:t>
      </w:r>
      <w:r>
        <w:fldChar w:fldCharType="end"/>
      </w:r>
      <w:r w:rsidRPr="00282227">
        <w:t>. Note the authors employ an RHE scale rather than SHE, which is a trivial change in the CHE</w:t>
      </w:r>
      <w:r w:rsidRPr="00282227">
        <w:fldChar w:fldCharType="begin">
          <w:fldData xml:space="preserve">PEVuZE5vdGU+PENpdGU+PEF1dGhvcj5Hcm/DnzwvQXV0aG9yPjxZZWFyPjIwMjI8L1llYXI+PFJl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</w:fldData>
        </w:fldChar>
      </w:r>
      <w:r w:rsidR="00FC5BEB">
        <w:instrText xml:space="preserve"> ADDIN EN.CITE </w:instrText>
      </w:r>
      <w:r w:rsidR="00FC5BEB">
        <w:fldChar w:fldCharType="begin">
          <w:fldData xml:space="preserve">PEVuZE5vdGU+PENpdGU+PEF1dGhvcj5Hcm/DnzwvQXV0aG9yPjxZZWFyPjIwMjI8L1llYXI+PFJl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</w:fldData>
        </w:fldChar>
      </w:r>
      <w:r w:rsidR="00FC5BEB">
        <w:instrText xml:space="preserve"> ADDIN EN.CITE.DATA </w:instrText>
      </w:r>
      <w:r w:rsidR="00FC5BEB">
        <w:fldChar w:fldCharType="end"/>
      </w:r>
      <w:r w:rsidRPr="00282227">
        <w:fldChar w:fldCharType="separate"/>
      </w:r>
      <w:r w:rsidR="00FC5BEB" w:rsidRPr="00FC5BEB">
        <w:rPr>
          <w:noProof/>
          <w:vertAlign w:val="superscript"/>
        </w:rPr>
        <w:t>125, 142</w:t>
      </w:r>
      <w:r w:rsidRPr="00282227">
        <w:fldChar w:fldCharType="end"/>
      </w:r>
      <w:r w:rsidRPr="00282227">
        <w:t xml:space="preserve">, </w:t>
      </w:r>
      <w:r w:rsidRPr="00B91CD5">
        <w:rPr>
          <w:szCs w:val="22"/>
        </w:rPr>
        <w:t xml:space="preserve">compare </w:t>
      </w:r>
      <w:r w:rsidR="0039761C" w:rsidRPr="00B91CD5">
        <w:rPr>
          <w:szCs w:val="22"/>
        </w:rPr>
        <w:fldChar w:fldCharType="begin"/>
      </w:r>
      <w:r w:rsidR="0039761C" w:rsidRPr="00B91CD5">
        <w:rPr>
          <w:szCs w:val="22"/>
        </w:rPr>
        <w:instrText xml:space="preserve"> REF _Ref159520302 \h </w:instrText>
      </w:r>
      <w:r w:rsidR="00B91CD5">
        <w:rPr>
          <w:szCs w:val="22"/>
        </w:rPr>
        <w:instrText xml:space="preserve"> \* MERGEFORMAT </w:instrText>
      </w:r>
      <w:r w:rsidR="0039761C" w:rsidRPr="00B91CD5">
        <w:rPr>
          <w:szCs w:val="22"/>
        </w:rPr>
      </w:r>
      <w:r w:rsidR="0039761C" w:rsidRPr="00B91CD5">
        <w:rPr>
          <w:szCs w:val="22"/>
        </w:rPr>
        <w:fldChar w:fldCharType="separate"/>
      </w:r>
      <w:r w:rsidR="00B52708" w:rsidRPr="00245F0C">
        <w:rPr>
          <w:szCs w:val="22"/>
        </w:rPr>
        <w:t xml:space="preserve">Equation </w:t>
      </w:r>
      <w:r w:rsidR="00B52708" w:rsidRPr="00245F0C">
        <w:rPr>
          <w:noProof/>
          <w:szCs w:val="22"/>
        </w:rPr>
        <w:t>46</w:t>
      </w:r>
      <w:r w:rsidR="0039761C" w:rsidRPr="00B91CD5">
        <w:rPr>
          <w:szCs w:val="22"/>
        </w:rPr>
        <w:fldChar w:fldCharType="end"/>
      </w:r>
      <w:r w:rsidRPr="00B91CD5">
        <w:rPr>
          <w:szCs w:val="22"/>
        </w:rPr>
        <w:t xml:space="preserve"> and </w:t>
      </w:r>
      <w:r w:rsidR="0039761C" w:rsidRPr="00B91CD5">
        <w:rPr>
          <w:szCs w:val="22"/>
        </w:rPr>
        <w:fldChar w:fldCharType="begin"/>
      </w:r>
      <w:r w:rsidR="0039761C" w:rsidRPr="00B91CD5">
        <w:rPr>
          <w:szCs w:val="22"/>
        </w:rPr>
        <w:instrText xml:space="preserve"> REF _Ref159508699 \h </w:instrText>
      </w:r>
      <w:r w:rsidR="00B91CD5">
        <w:rPr>
          <w:szCs w:val="22"/>
        </w:rPr>
        <w:instrText xml:space="preserve"> \* MERGEFORMAT </w:instrText>
      </w:r>
      <w:r w:rsidR="0039761C" w:rsidRPr="00B91CD5">
        <w:rPr>
          <w:szCs w:val="22"/>
        </w:rPr>
      </w:r>
      <w:r w:rsidR="0039761C" w:rsidRPr="00B91CD5">
        <w:rPr>
          <w:szCs w:val="22"/>
        </w:rPr>
        <w:fldChar w:fldCharType="separate"/>
      </w:r>
      <w:r w:rsidR="00B52708" w:rsidRPr="00245F0C">
        <w:rPr>
          <w:szCs w:val="22"/>
        </w:rPr>
        <w:t xml:space="preserve">Equation </w:t>
      </w:r>
      <w:r w:rsidR="00B52708" w:rsidRPr="00245F0C">
        <w:rPr>
          <w:noProof/>
          <w:szCs w:val="22"/>
        </w:rPr>
        <w:t>32</w:t>
      </w:r>
      <w:r w:rsidR="0039761C" w:rsidRPr="00B91CD5">
        <w:rPr>
          <w:szCs w:val="22"/>
        </w:rPr>
        <w:fldChar w:fldCharType="end"/>
      </w:r>
      <w:r w:rsidRPr="00B91CD5">
        <w:rPr>
          <w:szCs w:val="22"/>
        </w:rPr>
        <w:t>. They found that C</w:t>
      </w:r>
      <w:r w:rsidRPr="00282227">
        <w:t xml:space="preserve">HE calculations tend to predict oxidized surfaces at OER relevant potentials regardless of the surface orientation, in agreement with Ref. </w:t>
      </w:r>
      <w:r w:rsidRPr="00282227">
        <w:fldChar w:fldCharType="begin"/>
      </w:r>
      <w:r w:rsidR="00FC5BEB">
        <w:instrText xml:space="preserve"> ADDIN EN.CITE &lt;EndNote&gt;&lt;Cite&gt;&lt;Author&gt;Back&lt;/Author&gt;&lt;Year&gt;2019&lt;/Year&gt;&lt;RecNum&gt;383&lt;/RecNum&gt;&lt;DisplayText&gt;&lt;style face="superscript"&gt;385&lt;/style&gt;&lt;/DisplayText&gt;&lt;record&gt;&lt;rec-number&gt;383&lt;/rec-number&gt;&lt;foreign-keys&gt;&lt;key app="EN" db-id="2xex0erf4eexr4e2dpbxpdd829xttesxxxdr" timestamp="1715075297"&gt;383&lt;/key&gt;&lt;/foreign-keys&gt;&lt;ref-type name="Journal Article"&gt;17&lt;/ref-type&gt;&lt;contributors&gt;&lt;authors&gt;&lt;author&gt;Back, Seoin&lt;/author&gt;&lt;author&gt;Tran, Kevin&lt;/author&gt;&lt;author&gt;Ulissi, Zachary W.&lt;/author&gt;&lt;/authors&gt;&lt;/contributors&gt;&lt;titles&gt;&lt;title&gt;Toward a Design of Active Oxygen Evolution Catalysts: Insights from Automated Density Functional Theory Calculations and Machine Learning&lt;/title&gt;&lt;secondary-title&gt;ACS Catal.&lt;/secondary-title&gt;&lt;/titles&gt;&lt;periodical&gt;&lt;full-title&gt;ACS Catal.&lt;/full-title&gt;&lt;/periodical&gt;&lt;pages&gt;7651-7659&lt;/pages&gt;&lt;volume&gt;9&lt;/volume&gt;&lt;number&gt;9&lt;/number&gt;&lt;dates&gt;&lt;year&gt;2019&lt;/year&gt;&lt;pub-dates&gt;&lt;date&gt;2019/09/06&lt;/date&gt;&lt;/pub-dates&gt;&lt;/dates&gt;&lt;publisher&gt;American Chemical Society&lt;/publisher&gt;&lt;urls&gt;&lt;related-urls&gt;&lt;url&gt;https://doi.org/10.1021/acscatal.9b02416&lt;/url&gt;&lt;/related-urls&gt;&lt;/urls&gt;&lt;electronic-resource-num&gt;10.1021/acscatal.9b02416&lt;/electronic-resource-num&gt;&lt;/record&gt;&lt;/Cite&gt;&lt;/EndNote&gt;</w:instrText>
      </w:r>
      <w:r w:rsidRPr="00282227">
        <w:fldChar w:fldCharType="separate"/>
      </w:r>
      <w:r w:rsidR="00FC5BEB" w:rsidRPr="00FC5BEB">
        <w:rPr>
          <w:noProof/>
          <w:vertAlign w:val="superscript"/>
        </w:rPr>
        <w:t>385</w:t>
      </w:r>
      <w:r w:rsidRPr="00282227">
        <w:fldChar w:fldCharType="end"/>
      </w:r>
      <w:r w:rsidRPr="00282227">
        <w:t xml:space="preserve">. As such, </w:t>
      </w:r>
      <w:r w:rsidRPr="00282227">
        <w:rPr>
          <w:i/>
        </w:rPr>
        <w:sym w:font="Symbol" w:char="F068"/>
      </w:r>
      <w:r w:rsidRPr="00282227">
        <w:rPr>
          <w:iCs/>
          <w:vertAlign w:val="subscript"/>
        </w:rPr>
        <w:t>CHE</w:t>
      </w:r>
      <w:r w:rsidRPr="00282227">
        <w:rPr>
          <w:iCs/>
        </w:rPr>
        <w:t xml:space="preserve"> was computed only on fully oxidized surfaces. The resultant values of </w:t>
      </w:r>
      <w:r w:rsidRPr="00282227">
        <w:rPr>
          <w:i/>
        </w:rPr>
        <w:sym w:font="Symbol" w:char="F068"/>
      </w:r>
      <w:r w:rsidRPr="00282227">
        <w:rPr>
          <w:iCs/>
          <w:vertAlign w:val="subscript"/>
        </w:rPr>
        <w:t>CHE</w:t>
      </w:r>
      <w:r w:rsidRPr="00282227">
        <w:rPr>
          <w:iCs/>
        </w:rPr>
        <w:t xml:space="preserve"> are plotted against </w:t>
      </w:r>
      <w:r w:rsidRPr="00282227">
        <w:t>(</w:t>
      </w:r>
      <w:r w:rsidRPr="00282227">
        <w:sym w:font="Symbol" w:char="F044"/>
      </w:r>
      <w:r w:rsidRPr="00282227">
        <w:rPr>
          <w:i/>
          <w:iCs/>
        </w:rPr>
        <w:t>G</w:t>
      </w:r>
      <w:r w:rsidRPr="00282227">
        <w:rPr>
          <w:vertAlign w:val="subscript"/>
        </w:rPr>
        <w:t>*O</w:t>
      </w:r>
      <w:r w:rsidRPr="00282227">
        <w:t>-</w:t>
      </w:r>
      <w:r w:rsidRPr="00282227">
        <w:sym w:font="Symbol" w:char="F044"/>
      </w:r>
      <w:r w:rsidRPr="00282227">
        <w:rPr>
          <w:i/>
          <w:iCs/>
        </w:rPr>
        <w:t>G</w:t>
      </w:r>
      <w:r w:rsidRPr="00282227">
        <w:rPr>
          <w:vertAlign w:val="subscript"/>
        </w:rPr>
        <w:t>*OH</w:t>
      </w:r>
      <w:r w:rsidRPr="00282227">
        <w:t xml:space="preserve">) in </w:t>
      </w:r>
      <w:r>
        <w:fldChar w:fldCharType="begin"/>
      </w:r>
      <w:r>
        <w:instrText xml:space="preserve"> REF _Ref159521889 \h </w:instrText>
      </w:r>
      <w:r>
        <w:fldChar w:fldCharType="separate"/>
      </w:r>
      <w:r w:rsidR="00B52708" w:rsidRPr="00282227">
        <w:rPr>
          <w:b/>
          <w:bCs/>
        </w:rPr>
        <w:t xml:space="preserve">Figure </w:t>
      </w:r>
      <w:r w:rsidR="00B52708">
        <w:rPr>
          <w:b/>
          <w:bCs/>
          <w:noProof/>
        </w:rPr>
        <w:t>29</w:t>
      </w:r>
      <w:r>
        <w:fldChar w:fldCharType="end"/>
      </w:r>
      <w:r w:rsidRPr="00967BAD">
        <w:rPr>
          <w:b/>
          <w:bCs/>
        </w:rPr>
        <w:t>b</w:t>
      </w:r>
      <w:r w:rsidRPr="00282227">
        <w:t>, where the standard scaling relationship is shown by way of the black line and the fitted relationship is indicated using a gray line. The dashed line shows a kinetic volcano plot</w:t>
      </w:r>
      <w:r w:rsidRPr="00282227">
        <w:fldChar w:fldCharType="begin"/>
      </w:r>
      <w:r w:rsidR="00FC5BEB">
        <w:instrText xml:space="preserve"> ADDIN EN.CITE &lt;EndNote&gt;&lt;Cite&gt;&lt;Author&gt;Dickens&lt;/Author&gt;&lt;Year&gt;2019&lt;/Year&gt;&lt;RecNum&gt;397&lt;/RecNum&gt;&lt;DisplayText&gt;&lt;style face="superscript"&gt;399&lt;/style&gt;&lt;/DisplayText&gt;&lt;record&gt;&lt;rec-number&gt;397&lt;/rec-number&gt;&lt;foreign-keys&gt;&lt;key app="EN" db-id="2xex0erf4eexr4e2dpbxpdd829xttesxxxdr" timestamp="1715075297"&gt;397&lt;/key&gt;&lt;/foreign-keys&gt;&lt;ref-type name="Journal Article"&gt;17&lt;/ref-type&gt;&lt;contributors&gt;&lt;authors&gt;&lt;author&gt;Dickens, Colin F.&lt;/author&gt;&lt;author&gt;Kirk, Charlotte&lt;/author&gt;&lt;author&gt;Nørskov, Jens K.&lt;/author&gt;&lt;/authors&gt;&lt;/contributors&gt;&lt;titles&gt;&lt;title&gt;Insights into the Electrochemical Oxygen Evolution Reaction with ab Initio Calculations and Microkinetic Modeling: Beyond the Limiting Potential Volcano&lt;/title&gt;&lt;secondary-title&gt;Journal of Physical Chemistry C&lt;/secondary-title&gt;&lt;/titles&gt;&lt;periodical&gt;&lt;full-title&gt;Journal of Physical Chemistry C&lt;/full-title&gt;&lt;abbr-1&gt;J. Phys. Chem. C&lt;/abbr-1&gt;&lt;/periodical&gt;&lt;pages&gt;18960-18977&lt;/pages&gt;&lt;volume&gt;123&lt;/volume&gt;&lt;number&gt;31&lt;/number&gt;&lt;dates&gt;&lt;year&gt;2019&lt;/year&gt;&lt;pub-dates&gt;&lt;date&gt;2019/08/08&lt;/date&gt;&lt;/pub-dates&gt;&lt;/dates&gt;&lt;publisher&gt;American Chemical Society&lt;/publisher&gt;&lt;isbn&gt;1932-7447&lt;/isbn&gt;&lt;urls&gt;&lt;related-urls&gt;&lt;url&gt;https://doi.org/10.1021/acs.jpcc.9b03830&lt;/url&gt;&lt;/related-urls&gt;&lt;/urls&gt;&lt;electronic-resource-num&gt;10.1021/acs.jpcc.9b03830&lt;/electronic-resource-num&gt;&lt;/record&gt;&lt;/Cite&gt;&lt;/EndNote&gt;</w:instrText>
      </w:r>
      <w:r w:rsidRPr="00282227">
        <w:fldChar w:fldCharType="separate"/>
      </w:r>
      <w:r w:rsidR="00FC5BEB" w:rsidRPr="00FC5BEB">
        <w:rPr>
          <w:noProof/>
          <w:vertAlign w:val="superscript"/>
        </w:rPr>
        <w:t>399</w:t>
      </w:r>
      <w:r w:rsidRPr="00282227">
        <w:fldChar w:fldCharType="end"/>
      </w:r>
      <w:r w:rsidRPr="00282227">
        <w:t xml:space="preserve"> that will be described later. The fitted volcano can be seen to be shifted from the traditional scaling relationships, with IrO</w:t>
      </w:r>
      <w:r w:rsidRPr="00282227">
        <w:rPr>
          <w:vertAlign w:val="subscript"/>
        </w:rPr>
        <w:t>3</w:t>
      </w:r>
      <w:r w:rsidRPr="00282227">
        <w:t xml:space="preserve"> surfaces surpassing the top of the traditional volcano, at odds with the claims in Ref. </w:t>
      </w:r>
      <w:r w:rsidRPr="00282227">
        <w:fldChar w:fldCharType="begin"/>
      </w:r>
      <w:r w:rsidR="00FC5BEB">
        <w:instrText xml:space="preserve"> ADDIN EN.CITE &lt;EndNote&gt;&lt;Cite&gt;&lt;Author&gt;Back&lt;/Author&gt;&lt;Year&gt;2019&lt;/Year&gt;&lt;RecNum&gt;383&lt;/RecNum&gt;&lt;DisplayText&gt;&lt;style face="superscript"&gt;385&lt;/style&gt;&lt;/DisplayText&gt;&lt;record&gt;&lt;rec-number&gt;383&lt;/rec-number&gt;&lt;foreign-keys&gt;&lt;key app="EN" db-id="2xex0erf4eexr4e2dpbxpdd829xttesxxxdr" timestamp="1715075297"&gt;383&lt;/key&gt;&lt;/foreign-keys&gt;&lt;ref-type name="Journal Article"&gt;17&lt;/ref-type&gt;&lt;contributors&gt;&lt;authors&gt;&lt;author&gt;Back, Seoin&lt;/author&gt;&lt;author&gt;Tran, Kevin&lt;/author&gt;&lt;author&gt;Ulissi, Zachary W.&lt;/author&gt;&lt;/authors&gt;&lt;/contributors&gt;&lt;titles&gt;&lt;title&gt;Toward a Design of Active Oxygen Evolution Catalysts: Insights from Automated Density Functional Theory Calculations and Machine Learning&lt;/title&gt;&lt;secondary-title&gt;ACS Catal.&lt;/secondary-title&gt;&lt;/titles&gt;&lt;periodical&gt;&lt;full-title&gt;ACS Catal.&lt;/full-title&gt;&lt;/periodical&gt;&lt;pages&gt;7651-7659&lt;/pages&gt;&lt;volume&gt;9&lt;/volume&gt;&lt;number&gt;9&lt;/number&gt;&lt;dates&gt;&lt;year&gt;2019&lt;/year&gt;&lt;pub-dates&gt;&lt;date&gt;2019/09/06&lt;/date&gt;&lt;/pub-dates&gt;&lt;/dates&gt;&lt;publisher&gt;American Chemical Society&lt;/publisher&gt;&lt;urls&gt;&lt;related-urls&gt;&lt;url&gt;https://doi.org/10.1021/acscatal.9b02416&lt;/url&gt;&lt;/related-urls&gt;&lt;/urls&gt;&lt;electronic-resource-num&gt;10.1021/acscatal.9b02416&lt;/electronic-resource-num&gt;&lt;/record&gt;&lt;/Cite&gt;&lt;/EndNote&gt;</w:instrText>
      </w:r>
      <w:r w:rsidRPr="00282227">
        <w:fldChar w:fldCharType="separate"/>
      </w:r>
      <w:r w:rsidR="00FC5BEB" w:rsidRPr="00FC5BEB">
        <w:rPr>
          <w:noProof/>
          <w:vertAlign w:val="superscript"/>
        </w:rPr>
        <w:t>385</w:t>
      </w:r>
      <w:r w:rsidRPr="00282227">
        <w:fldChar w:fldCharType="end"/>
      </w:r>
      <w:r w:rsidRPr="00282227">
        <w:t xml:space="preserve"> that the OER over all IrO</w:t>
      </w:r>
      <w:r w:rsidRPr="00282227">
        <w:rPr>
          <w:vertAlign w:val="subscript"/>
        </w:rPr>
        <w:t>2</w:t>
      </w:r>
      <w:r w:rsidRPr="00282227">
        <w:t xml:space="preserve"> and IrO</w:t>
      </w:r>
      <w:r w:rsidRPr="00282227">
        <w:rPr>
          <w:vertAlign w:val="subscript"/>
        </w:rPr>
        <w:t>3</w:t>
      </w:r>
      <w:r w:rsidRPr="00282227">
        <w:t xml:space="preserve"> polymorphs shows the same scaling. However, the </w:t>
      </w:r>
      <w:r w:rsidRPr="00282227">
        <w:lastRenderedPageBreak/>
        <w:t xml:space="preserve">general claim that high oxidation state </w:t>
      </w:r>
      <w:proofErr w:type="spellStart"/>
      <w:r w:rsidRPr="00282227">
        <w:t>Ir</w:t>
      </w:r>
      <w:proofErr w:type="spellEnd"/>
      <w:r w:rsidRPr="00282227">
        <w:t xml:space="preserve">, </w:t>
      </w:r>
      <w:proofErr w:type="spellStart"/>
      <w:r w:rsidRPr="00282227">
        <w:t>Ir</w:t>
      </w:r>
      <w:proofErr w:type="spellEnd"/>
      <w:r w:rsidRPr="00282227">
        <w:t xml:space="preserve">(VI), may be active in the OER is in agreement with the results of Ref. </w:t>
      </w:r>
      <w:r w:rsidRPr="00282227">
        <w:fldChar w:fldCharType="begin"/>
      </w:r>
      <w:r w:rsidR="00FC5BEB">
        <w:instrText xml:space="preserve"> ADDIN EN.CITE &lt;EndNote&gt;&lt;Cite&gt;&lt;Author&gt;Back&lt;/Author&gt;&lt;Year&gt;2019&lt;/Year&gt;&lt;RecNum&gt;383&lt;/RecNum&gt;&lt;DisplayText&gt;&lt;style face="superscript"&gt;385&lt;/style&gt;&lt;/DisplayText&gt;&lt;record&gt;&lt;rec-number&gt;383&lt;/rec-number&gt;&lt;foreign-keys&gt;&lt;key app="EN" db-id="2xex0erf4eexr4e2dpbxpdd829xttesxxxdr" timestamp="1715075297"&gt;383&lt;/key&gt;&lt;/foreign-keys&gt;&lt;ref-type name="Journal Article"&gt;17&lt;/ref-type&gt;&lt;contributors&gt;&lt;authors&gt;&lt;author&gt;Back, Seoin&lt;/author&gt;&lt;author&gt;Tran, Kevin&lt;/author&gt;&lt;author&gt;Ulissi, Zachary W.&lt;/author&gt;&lt;/authors&gt;&lt;/contributors&gt;&lt;titles&gt;&lt;title&gt;Toward a Design of Active Oxygen Evolution Catalysts: Insights from Automated Density Functional Theory Calculations and Machine Learning&lt;/title&gt;&lt;secondary-title&gt;ACS Catal.&lt;/secondary-title&gt;&lt;/titles&gt;&lt;periodical&gt;&lt;full-title&gt;ACS Catal.&lt;/full-title&gt;&lt;/periodical&gt;&lt;pages&gt;7651-7659&lt;/pages&gt;&lt;volume&gt;9&lt;/volume&gt;&lt;number&gt;9&lt;/number&gt;&lt;dates&gt;&lt;year&gt;2019&lt;/year&gt;&lt;pub-dates&gt;&lt;date&gt;2019/09/06&lt;/date&gt;&lt;/pub-dates&gt;&lt;/dates&gt;&lt;publisher&gt;American Chemical Society&lt;/publisher&gt;&lt;urls&gt;&lt;related-urls&gt;&lt;url&gt;https://doi.org/10.1021/acscatal.9b02416&lt;/url&gt;&lt;/related-urls&gt;&lt;/urls&gt;&lt;electronic-resource-num&gt;10.1021/acscatal.9b02416&lt;/electronic-resource-num&gt;&lt;/record&gt;&lt;/Cite&gt;&lt;/EndNote&gt;</w:instrText>
      </w:r>
      <w:r w:rsidRPr="00282227">
        <w:fldChar w:fldCharType="separate"/>
      </w:r>
      <w:r w:rsidR="00FC5BEB" w:rsidRPr="00FC5BEB">
        <w:rPr>
          <w:noProof/>
          <w:vertAlign w:val="superscript"/>
        </w:rPr>
        <w:t>385</w:t>
      </w:r>
      <w:r w:rsidRPr="00282227">
        <w:fldChar w:fldCharType="end"/>
      </w:r>
      <w:r w:rsidRPr="00282227">
        <w:t xml:space="preserve"> and other </w:t>
      </w:r>
      <w:r w:rsidRPr="00282227">
        <w:rPr>
          <w:iCs/>
        </w:rPr>
        <w:t>studies</w:t>
      </w:r>
      <w:r w:rsidRPr="00282227">
        <w:fldChar w:fldCharType="begin">
          <w:fldData xml:space="preserve">PEVuZE5vdGU+PENpdGU+PEF1dGhvcj5WZWxhc2NvLVbDqWxlejwvQXV0aG9yPjxZZWFyPjIwMjE8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</w:fldData>
        </w:fldChar>
      </w:r>
      <w:r w:rsidR="00FC5BEB">
        <w:instrText xml:space="preserve"> ADDIN EN.CITE </w:instrText>
      </w:r>
      <w:r w:rsidR="00FC5BEB">
        <w:fldChar w:fldCharType="begin">
          <w:fldData xml:space="preserve">PEVuZE5vdGU+PENpdGU+PEF1dGhvcj5WZWxhc2NvLVbDqWxlejwvQXV0aG9yPjxZZWFyPjIwMjE8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</w:fldData>
        </w:fldChar>
      </w:r>
      <w:r w:rsidR="00FC5BEB">
        <w:instrText xml:space="preserve"> ADDIN EN.CITE.DATA </w:instrText>
      </w:r>
      <w:r w:rsidR="00FC5BEB">
        <w:fldChar w:fldCharType="end"/>
      </w:r>
      <w:r w:rsidRPr="00282227">
        <w:fldChar w:fldCharType="separate"/>
      </w:r>
      <w:r w:rsidR="00FC5BEB" w:rsidRPr="00FC5BEB">
        <w:rPr>
          <w:noProof/>
          <w:vertAlign w:val="superscript"/>
        </w:rPr>
        <w:t>224, 268</w:t>
      </w:r>
      <w:r w:rsidRPr="00282227">
        <w:fldChar w:fldCharType="end"/>
      </w:r>
      <w:r w:rsidRPr="00282227">
        <w:rPr>
          <w:iCs/>
        </w:rPr>
        <w:t>. While the formation of a stable and active IrO</w:t>
      </w:r>
      <w:r w:rsidRPr="00282227">
        <w:rPr>
          <w:iCs/>
          <w:vertAlign w:val="subscript"/>
        </w:rPr>
        <w:t>3</w:t>
      </w:r>
      <w:r w:rsidRPr="00282227">
        <w:rPr>
          <w:iCs/>
        </w:rPr>
        <w:t xml:space="preserve"> phase under acidic OER conditions is an exciting prospect, experiment suggests such phases do not form during normal operation</w:t>
      </w:r>
      <w:r w:rsidRPr="00282227">
        <w:rPr>
          <w:iCs/>
        </w:rPr>
        <w:fldChar w:fldCharType="begin"/>
      </w:r>
      <w:r w:rsidR="00FC5BEB">
        <w:rPr>
          <w:iCs/>
        </w:rPr>
        <w:instrText xml:space="preserve"> ADDIN EN.CITE &lt;EndNote&gt;&lt;Cite&gt;&lt;Author&gt;Velasco-Vélez&lt;/Author&gt;&lt;Year&gt;2021&lt;/Year&gt;&lt;RecNum&gt;222&lt;/RecNum&gt;&lt;DisplayText&gt;&lt;style face="superscript"&gt;224&lt;/style&gt;&lt;/DisplayText&gt;&lt;record&gt;&lt;rec-number&gt;222&lt;/rec-number&gt;&lt;foreign-keys&gt;&lt;key app="EN" db-id="2xex0erf4eexr4e2dpbxpdd829xttesxxxdr" timestamp="1715075296"&gt;222&lt;/key&gt;&lt;/foreign-keys&gt;&lt;ref-type name="Journal Article"&gt;17&lt;/ref-type&gt;&lt;contributors&gt;&lt;authors&gt;&lt;author&gt;Velasco-Vélez, Juan-Jesús&lt;/author&gt;&lt;author&gt;Carbonio, Emilia A.&lt;/author&gt;&lt;author&gt;Chuang, Cheng-Hao&lt;/author&gt;&lt;author&gt;Hsu, Cheng-Jhih&lt;/author&gt;&lt;author&gt;Lee, Jyh-Fu&lt;/author&gt;&lt;author&gt;Arrigo, Rosa&lt;/author&gt;&lt;author&gt;Hävecker, Michael&lt;/author&gt;&lt;author&gt;Wang, Ruizhi&lt;/author&gt;&lt;author&gt;Plodinec, Milivoj&lt;/author&gt;&lt;author&gt;Wang, Feng Ryan&lt;/author&gt;&lt;author&gt;Centeno, Alba&lt;/author&gt;&lt;author&gt;Zurutuza, Amaia&lt;/author&gt;&lt;author&gt;Falling, Lorenz J.&lt;/author&gt;&lt;author&gt;Mom, Rik Valentijn&lt;/author&gt;&lt;author&gt;Hofmann, Stephan&lt;/author&gt;&lt;author&gt;Schlögl, Robert&lt;/author&gt;&lt;author&gt;Knop-Gericke, Axel&lt;/author&gt;&lt;author&gt;Jones, Travis E.&lt;/author&gt;&lt;/authors&gt;&lt;/contributors&gt;&lt;titles&gt;&lt;title&gt;Surface Electron-Hole Rich Species Active in the Electrocatalytic Water Oxidation&lt;/title&gt;&lt;secondary-title&gt;Journal of the American Chemical Society&lt;/secondary-title&gt;&lt;/titles&gt;&lt;periodical&gt;&lt;full-title&gt;Journal of the American Chemical Society&lt;/full-title&gt;&lt;abbr-1&gt;J. Am. Chem. Soc.&lt;/abbr-1&gt;&lt;abbr-2&gt;J Am Chem Soc&lt;/abbr-2&gt;&lt;/periodical&gt;&lt;pages&gt;12524-12534&lt;/pages&gt;&lt;volume&gt;143&lt;/volume&gt;&lt;number&gt;32&lt;/number&gt;&lt;dates&gt;&lt;year&gt;2021&lt;/year&gt;&lt;pub-dates&gt;&lt;date&gt;2021/08/18&lt;/date&gt;&lt;/pub-dates&gt;&lt;/dates&gt;&lt;publisher&gt;American Chemical Society&lt;/publisher&gt;&lt;isbn&gt;0002-7863&lt;/isbn&gt;&lt;urls&gt;&lt;related-urls&gt;&lt;url&gt;https://doi.org/10.1021/jacs.1c01655&lt;/url&gt;&lt;/related-urls&gt;&lt;/urls&gt;&lt;electronic-resource-num&gt;10.1021/jacs.1c01655&lt;/electronic-resource-num&gt;&lt;/record&gt;&lt;/Cite&gt;&lt;/EndNote&gt;</w:instrText>
      </w:r>
      <w:r w:rsidRPr="00282227">
        <w:rPr>
          <w:iCs/>
        </w:rPr>
        <w:fldChar w:fldCharType="separate"/>
      </w:r>
      <w:r w:rsidR="00FC5BEB" w:rsidRPr="00FC5BEB">
        <w:rPr>
          <w:iCs/>
          <w:noProof/>
          <w:vertAlign w:val="superscript"/>
        </w:rPr>
        <w:t>224</w:t>
      </w:r>
      <w:r w:rsidRPr="00282227">
        <w:fldChar w:fldCharType="end"/>
      </w:r>
      <w:r w:rsidRPr="00282227">
        <w:rPr>
          <w:iCs/>
        </w:rPr>
        <w:t>.</w:t>
      </w:r>
    </w:p>
    <w:p w14:paraId="3904B627" w14:textId="77777777" w:rsidR="00282227" w:rsidRPr="00282227" w:rsidRDefault="00282227" w:rsidP="00282227"/>
    <w:p w14:paraId="04CCD6AE" w14:textId="570430C1" w:rsidR="00282227" w:rsidRDefault="00282227" w:rsidP="0039761C">
      <w:pPr>
        <w:ind w:firstLine="720"/>
        <w:rPr>
          <w:iCs/>
        </w:rPr>
      </w:pPr>
      <w:r w:rsidRPr="00282227">
        <w:rPr>
          <w:iCs/>
        </w:rPr>
        <w:t>Though bulk IrO</w:t>
      </w:r>
      <w:r w:rsidRPr="00282227">
        <w:rPr>
          <w:iCs/>
          <w:vertAlign w:val="subscript"/>
        </w:rPr>
        <w:t>3</w:t>
      </w:r>
      <w:r w:rsidRPr="00282227">
        <w:rPr>
          <w:iCs/>
        </w:rPr>
        <w:t xml:space="preserve"> may not form under OER conditions, the surface iridium oxidation state may still reach V-VI through surface oxidation and defects</w:t>
      </w:r>
      <w:r w:rsidRPr="00282227">
        <w:fldChar w:fldCharType="begin">
          <w:fldData xml:space="preserve">PEVuZE5vdGU+PENpdGU+PEF1dGhvcj5WZWxhc2NvLVbDqWxlejwvQXV0aG9yPjxZZWFyPjIwMjE8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</w:fldData>
        </w:fldChar>
      </w:r>
      <w:r w:rsidR="00FC5BEB">
        <w:instrText xml:space="preserve"> ADDIN EN.CITE </w:instrText>
      </w:r>
      <w:r w:rsidR="00FC5BEB">
        <w:fldChar w:fldCharType="begin">
          <w:fldData xml:space="preserve">PEVuZE5vdGU+PENpdGU+PEF1dGhvcj5WZWxhc2NvLVbDqWxlejwvQXV0aG9yPjxZZWFyPjIwMjE8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</w:fldData>
        </w:fldChar>
      </w:r>
      <w:r w:rsidR="00FC5BEB">
        <w:instrText xml:space="preserve"> ADDIN EN.CITE.DATA </w:instrText>
      </w:r>
      <w:r w:rsidR="00FC5BEB">
        <w:fldChar w:fldCharType="end"/>
      </w:r>
      <w:r w:rsidRPr="00282227">
        <w:fldChar w:fldCharType="separate"/>
      </w:r>
      <w:r w:rsidR="00FC5BEB" w:rsidRPr="00FC5BEB">
        <w:rPr>
          <w:noProof/>
          <w:vertAlign w:val="superscript"/>
        </w:rPr>
        <w:t>224, 268</w:t>
      </w:r>
      <w:r w:rsidRPr="00282227">
        <w:fldChar w:fldCharType="end"/>
      </w:r>
      <w:r w:rsidRPr="00282227">
        <w:rPr>
          <w:iCs/>
        </w:rPr>
        <w:t xml:space="preserve">. High surface oxidation states have also been explored within the CHE model. In Ref. </w:t>
      </w:r>
      <w:r w:rsidRPr="00282227">
        <w:rPr>
          <w:iCs/>
        </w:rPr>
        <w:fldChar w:fldCharType="begin"/>
      </w:r>
      <w:r w:rsidR="00FC5BEB">
        <w:rPr>
          <w:iCs/>
        </w:rPr>
        <w:instrText xml:space="preserve"> ADDIN EN.CITE &lt;EndNote&gt;&lt;Cite&gt;&lt;Author&gt;Opalka&lt;/Author&gt;&lt;Year&gt;2019&lt;/Year&gt;&lt;RecNum&gt;125&lt;/RecNum&gt;&lt;DisplayText&gt;&lt;style face="superscript"&gt;127&lt;/style&gt;&lt;/DisplayText&gt;&lt;record&gt;&lt;rec-number&gt;125&lt;/rec-number&gt;&lt;foreign-keys&gt;&lt;key app="EN" db-id="2xex0erf4eexr4e2dpbxpdd829xttesxxxdr" timestamp="1715075296"&gt;125&lt;/key&gt;&lt;/foreign-keys&gt;&lt;ref-type name="Journal Article"&gt;17&lt;/ref-type&gt;&lt;contributors&gt;&lt;authors&gt;&lt;author&gt;Opalka, Daniel&lt;/author&gt;&lt;author&gt;Scheurer, Christoph&lt;/author&gt;&lt;author&gt;Reuter, Karsten&lt;/author&gt;&lt;/authors&gt;&lt;/contributors&gt;&lt;titles&gt;&lt;title&gt;Ab Initio Thermodynamics Insight into the Structural Evolution of Working IrO2 Catalysts in Proton-Exchange Membrane Electrolyzers&lt;/title&gt;&lt;secondary-title&gt;ACS Catal.&lt;/secondary-title&gt;&lt;/titles&gt;&lt;periodical&gt;&lt;full-title&gt;ACS Catal.&lt;/full-title&gt;&lt;/periodical&gt;&lt;pages&gt;4944-4950&lt;/pages&gt;&lt;volume&gt;9&lt;/volume&gt;&lt;number&gt;6&lt;/number&gt;&lt;dates&gt;&lt;year&gt;2019&lt;/year&gt;&lt;pub-dates&gt;&lt;date&gt;2019/06/07&lt;/date&gt;&lt;/pub-dates&gt;&lt;/dates&gt;&lt;publisher&gt;American Chemical Society&lt;/publisher&gt;&lt;urls&gt;&lt;related-urls&gt;&lt;url&gt;https://doi.org/10.1021/acscatal.9b00796&lt;/url&gt;&lt;/related-urls&gt;&lt;/urls&gt;&lt;electronic-resource-num&gt;10.1021/acscatal.9b00796&lt;/electronic-resource-num&gt;&lt;/record&gt;&lt;/Cite&gt;&lt;/EndNote&gt;</w:instrText>
      </w:r>
      <w:r w:rsidRPr="00282227">
        <w:rPr>
          <w:iCs/>
        </w:rPr>
        <w:fldChar w:fldCharType="separate"/>
      </w:r>
      <w:r w:rsidR="00FC5BEB" w:rsidRPr="00FC5BEB">
        <w:rPr>
          <w:iCs/>
          <w:noProof/>
          <w:vertAlign w:val="superscript"/>
        </w:rPr>
        <w:t>127</w:t>
      </w:r>
      <w:r w:rsidRPr="00282227">
        <w:fldChar w:fldCharType="end"/>
      </w:r>
      <w:r w:rsidRPr="00282227">
        <w:rPr>
          <w:iCs/>
        </w:rPr>
        <w:t xml:space="preserve"> the CHE was used to compute the surface energies of the low index surface of rutile-type IrO</w:t>
      </w:r>
      <w:r w:rsidRPr="00282227">
        <w:rPr>
          <w:iCs/>
          <w:vertAlign w:val="subscript"/>
        </w:rPr>
        <w:t>2</w:t>
      </w:r>
      <w:r w:rsidRPr="00282227">
        <w:rPr>
          <w:iCs/>
        </w:rPr>
        <w:t xml:space="preserve"> under varying electrochemical conditions. The authors first showed that the lowest energy surface termination in vacuum, the (110), is not the most stable under OER conditions. Rather the (111) termination begins to become more stable than the (110) termination under oxidizing potentials. At 1.3 V vs RHE, in fact, the (111) termination is predicted to dominate the Wulff shape</w:t>
      </w:r>
      <w:r w:rsidRPr="00282227">
        <w:rPr>
          <w:iCs/>
        </w:rPr>
        <w:fldChar w:fldCharType="begin"/>
      </w:r>
      <w:r w:rsidR="00FC5BEB">
        <w:rPr>
          <w:iCs/>
        </w:rPr>
        <w:instrText xml:space="preserve"> ADDIN EN.CITE &lt;EndNote&gt;&lt;Cite&gt;&lt;Author&gt;Barmparis&lt;/Author&gt;&lt;Year&gt;2015&lt;/Year&gt;&lt;RecNum&gt;398&lt;/RecNum&gt;&lt;DisplayText&gt;&lt;style face="superscript"&gt;400&lt;/style&gt;&lt;/DisplayText&gt;&lt;record&gt;&lt;rec-number&gt;398&lt;/rec-number&gt;&lt;foreign-keys&gt;&lt;key app="EN" db-id="2xex0erf4eexr4e2dpbxpdd829xttesxxxdr" timestamp="1715075297"&gt;398&lt;/key&gt;&lt;/foreign-keys&gt;&lt;ref-type name="Journal Article"&gt;17&lt;/ref-type&gt;&lt;contributors&gt;&lt;authors&gt;&lt;author&gt;Barmparis, Georgios D.&lt;/author&gt;&lt;author&gt;Lodziana, Zbigniew&lt;/author&gt;&lt;author&gt;Lopez, Nuria&lt;/author&gt;&lt;author&gt;Remediakis, Ioannis N.&lt;/author&gt;&lt;/authors&gt;&lt;/contributors&gt;&lt;titles&gt;&lt;title&gt;Nanoparticle shapes by using Wulff constructions and first-principles calculations&lt;/title&gt;&lt;secondary-title&gt;Beilstein J. Nanotechnol.&lt;/secondary-title&gt;&lt;/titles&gt;&lt;periodical&gt;&lt;full-title&gt;Beilstein J. Nanotechnol.&lt;/full-title&gt;&lt;/periodical&gt;&lt;pages&gt;361-368&lt;/pages&gt;&lt;volume&gt;6&lt;/volume&gt;&lt;keywords&gt;&lt;keyword&gt;density functional theory (DFT)&lt;/keyword&gt;&lt;keyword&gt;hydrogen storage&lt;/keyword&gt;&lt;keyword&gt;multi-scale simulations&lt;/keyword&gt;&lt;keyword&gt;nanoparticles&lt;/keyword&gt;&lt;keyword&gt;surface energies&lt;/keyword&gt;&lt;keyword&gt;surfactants&lt;/keyword&gt;&lt;keyword&gt;Wulff construction&lt;/keyword&gt;&lt;/keywords&gt;&lt;dates&gt;&lt;year&gt;2015&lt;/year&gt;&lt;pub-dates&gt;&lt;date&gt;//&lt;/date&gt;&lt;/pub-dates&gt;&lt;/dates&gt;&lt;publisher&gt;Beilstein-Institut&lt;/publisher&gt;&lt;isbn&gt;2190-4286&lt;/isbn&gt;&lt;urls&gt;&lt;related-urls&gt;&lt;url&gt;https://doi.org/10.3762/bjnano.6.35&lt;/url&gt;&lt;/related-urls&gt;&lt;/urls&gt;&lt;electronic-resource-num&gt;10.3762/bjnano.6.35&lt;/electronic-resource-num&gt;&lt;/record&gt;&lt;/Cite&gt;&lt;/EndNote&gt;</w:instrText>
      </w:r>
      <w:r w:rsidRPr="00282227">
        <w:rPr>
          <w:iCs/>
        </w:rPr>
        <w:fldChar w:fldCharType="separate"/>
      </w:r>
      <w:r w:rsidR="00FC5BEB" w:rsidRPr="00FC5BEB">
        <w:rPr>
          <w:iCs/>
          <w:noProof/>
          <w:vertAlign w:val="superscript"/>
        </w:rPr>
        <w:t>400</w:t>
      </w:r>
      <w:r w:rsidRPr="00282227">
        <w:fldChar w:fldCharType="end"/>
      </w:r>
      <w:r w:rsidRPr="00282227">
        <w:rPr>
          <w:iCs/>
        </w:rPr>
        <w:t xml:space="preserve">, suggesting iridium oxide nanoparticles should be (111) terminated during the OER. The change in facet stability was rationalized as originating from the number and types of oxygen species present on the different terminations, which is intuitively appealing. </w:t>
      </w:r>
    </w:p>
    <w:p w14:paraId="5444A3EE" w14:textId="77777777" w:rsidR="00E87282" w:rsidRDefault="00E87282" w:rsidP="0039761C">
      <w:pPr>
        <w:ind w:firstLine="720"/>
        <w:rPr>
          <w:iCs/>
        </w:rPr>
      </w:pPr>
    </w:p>
    <w:p w14:paraId="18412B9E" w14:textId="4CA2650F" w:rsidR="00E87282" w:rsidRDefault="00E87282" w:rsidP="00E87282">
      <w:pPr>
        <w:rPr>
          <w:iCs/>
        </w:rPr>
      </w:pPr>
      <w:r w:rsidRPr="00282227">
        <w:rPr>
          <w:noProof/>
        </w:rPr>
        <w:drawing>
          <wp:inline distT="0" distB="0" distL="0" distR="0" wp14:anchorId="0D0BE08C" wp14:editId="1BB20426">
            <wp:extent cx="5717894" cy="2464130"/>
            <wp:effectExtent l="0" t="0" r="0" b="0"/>
            <wp:docPr id="250597393" name="Picture 250597393">
              <a:extLst xmlns:a="http://schemas.openxmlformats.org/drawingml/2006/main">
                <a:ext uri="{FF2B5EF4-FFF2-40B4-BE49-F238E27FC236}">
                  <a16:creationId xmlns:a16="http://schemas.microsoft.com/office/drawing/2014/main" id="{96397AD2-7DA0-4B68-227B-69661626D691}"/>
                </a:ext>
              </a:extLst>
            </wp:docPr>
            <wp:cNvGraphicFramePr/>
            <a:graphic xmlns:a="http://schemas.openxmlformats.org/drawingml/2006/main">
              <a:graphicData uri="http://schemas.openxmlformats.org/drawingml/2006/picture">
                <pic:pic xmlns:pic="http://schemas.openxmlformats.org/drawingml/2006/picture">
                  <pic:nvPicPr>
                    <pic:cNvPr id="2" name="Main graphic">
                      <a:extLst>
                        <a:ext uri="{FF2B5EF4-FFF2-40B4-BE49-F238E27FC236}">
                          <a16:creationId xmlns:a16="http://schemas.microsoft.com/office/drawing/2014/main" id="{96397AD2-7DA0-4B68-227B-69661626D691}"/>
                        </a:ext>
                      </a:extLst>
                    </pic:cNvPr>
                    <pic:cNvPicPr/>
                  </pic:nvPicPr>
                  <pic:blipFill>
                    <a:blip r:embed="rId40"/>
                    <a:stretch/>
                  </pic:blipFill>
                  <pic:spPr>
                    <a:xfrm>
                      <a:off x="0" y="0"/>
                      <a:ext cx="5739533" cy="2473455"/>
                    </a:xfrm>
                    <a:prstGeom prst="rect">
                      <a:avLst/>
                    </a:prstGeom>
                    <a:ln>
                      <a:noFill/>
                    </a:ln>
                  </pic:spPr>
                </pic:pic>
              </a:graphicData>
            </a:graphic>
          </wp:inline>
        </w:drawing>
      </w:r>
    </w:p>
    <w:p w14:paraId="2476F219" w14:textId="4A42285C" w:rsidR="00E87282" w:rsidRDefault="00E87282" w:rsidP="00397759">
      <w:pPr>
        <w:rPr>
          <w:iCs/>
        </w:rPr>
      </w:pPr>
      <w:bookmarkStart w:id="114" w:name="_Ref159522158"/>
      <w:r w:rsidRPr="0039761C">
        <w:rPr>
          <w:b/>
        </w:rPr>
        <w:t xml:space="preserve">Figure </w:t>
      </w:r>
      <w:r w:rsidRPr="0039761C">
        <w:rPr>
          <w:b/>
          <w:bCs/>
        </w:rPr>
        <w:fldChar w:fldCharType="begin"/>
      </w:r>
      <w:r w:rsidRPr="0039761C">
        <w:rPr>
          <w:b/>
        </w:rPr>
        <w:instrText xml:space="preserve"> SEQ Figure \* ARABIC </w:instrText>
      </w:r>
      <w:r w:rsidRPr="0039761C">
        <w:rPr>
          <w:b/>
          <w:bCs/>
        </w:rPr>
        <w:fldChar w:fldCharType="separate"/>
      </w:r>
      <w:r>
        <w:rPr>
          <w:b/>
          <w:noProof/>
        </w:rPr>
        <w:t>30</w:t>
      </w:r>
      <w:r w:rsidRPr="0039761C">
        <w:rPr>
          <w:b/>
          <w:bCs/>
        </w:rPr>
        <w:fldChar w:fldCharType="end"/>
      </w:r>
      <w:bookmarkEnd w:id="114"/>
      <w:r w:rsidRPr="00282227">
        <w:t xml:space="preserve"> </w:t>
      </w:r>
      <w:r w:rsidRPr="00282227">
        <w:rPr>
          <w:iCs/>
        </w:rPr>
        <w:t>Surface phase diagrams computed for IrO</w:t>
      </w:r>
      <w:r w:rsidRPr="00282227">
        <w:rPr>
          <w:iCs/>
          <w:vertAlign w:val="subscript"/>
        </w:rPr>
        <w:t>2</w:t>
      </w:r>
      <w:r w:rsidRPr="00282227">
        <w:rPr>
          <w:iCs/>
        </w:rPr>
        <w:t xml:space="preserve"> (110), left, and IrO</w:t>
      </w:r>
      <w:r w:rsidRPr="00282227">
        <w:rPr>
          <w:iCs/>
          <w:vertAlign w:val="subscript"/>
        </w:rPr>
        <w:t>2</w:t>
      </w:r>
      <w:r w:rsidRPr="00282227">
        <w:rPr>
          <w:iCs/>
        </w:rPr>
        <w:t xml:space="preserve"> (111), right, with the CHE. The surface terminations indicated as follows: </w:t>
      </w:r>
      <w:proofErr w:type="spellStart"/>
      <w:r w:rsidRPr="00282227">
        <w:rPr>
          <w:iCs/>
        </w:rPr>
        <w:t>O</w:t>
      </w:r>
      <w:r w:rsidRPr="00282227">
        <w:rPr>
          <w:iCs/>
          <w:vertAlign w:val="superscript"/>
        </w:rPr>
        <w:t>br</w:t>
      </w:r>
      <w:proofErr w:type="spellEnd"/>
      <w:r w:rsidRPr="00282227">
        <w:rPr>
          <w:iCs/>
        </w:rPr>
        <w:t xml:space="preserve"> and </w:t>
      </w:r>
      <w:proofErr w:type="spellStart"/>
      <w:r w:rsidRPr="00282227">
        <w:rPr>
          <w:iCs/>
        </w:rPr>
        <w:t>OH</w:t>
      </w:r>
      <w:r w:rsidRPr="00282227">
        <w:rPr>
          <w:iCs/>
          <w:vertAlign w:val="superscript"/>
        </w:rPr>
        <w:t>br</w:t>
      </w:r>
      <w:proofErr w:type="spellEnd"/>
      <w:r w:rsidRPr="00282227">
        <w:rPr>
          <w:iCs/>
        </w:rPr>
        <w:t xml:space="preserve"> refer to bridging oxygen and hydroxide, respectively, </w:t>
      </w:r>
      <w:proofErr w:type="spellStart"/>
      <w:r w:rsidRPr="00282227">
        <w:rPr>
          <w:iCs/>
        </w:rPr>
        <w:t>OH</w:t>
      </w:r>
      <w:r w:rsidRPr="00282227">
        <w:rPr>
          <w:iCs/>
          <w:vertAlign w:val="superscript"/>
        </w:rPr>
        <w:t>cus</w:t>
      </w:r>
      <w:proofErr w:type="spellEnd"/>
      <w:r w:rsidRPr="00282227">
        <w:rPr>
          <w:iCs/>
        </w:rPr>
        <w:t xml:space="preserve">, </w:t>
      </w:r>
      <w:proofErr w:type="spellStart"/>
      <w:r w:rsidRPr="00282227">
        <w:rPr>
          <w:iCs/>
        </w:rPr>
        <w:t>O</w:t>
      </w:r>
      <w:r w:rsidRPr="00282227">
        <w:rPr>
          <w:iCs/>
          <w:vertAlign w:val="superscript"/>
        </w:rPr>
        <w:t>cus</w:t>
      </w:r>
      <w:proofErr w:type="spellEnd"/>
      <w:r w:rsidRPr="00282227">
        <w:rPr>
          <w:iCs/>
        </w:rPr>
        <w:t xml:space="preserve">, </w:t>
      </w:r>
      <w:proofErr w:type="spellStart"/>
      <w:r w:rsidRPr="00282227">
        <w:rPr>
          <w:iCs/>
        </w:rPr>
        <w:t>OOH</w:t>
      </w:r>
      <w:r w:rsidRPr="00282227">
        <w:rPr>
          <w:iCs/>
          <w:vertAlign w:val="superscript"/>
        </w:rPr>
        <w:t>cus</w:t>
      </w:r>
      <w:proofErr w:type="spellEnd"/>
      <w:r w:rsidRPr="00282227">
        <w:rPr>
          <w:iCs/>
        </w:rPr>
        <w:t xml:space="preserve">, and </w:t>
      </w:r>
      <w:proofErr w:type="spellStart"/>
      <w:r w:rsidRPr="00282227">
        <w:rPr>
          <w:iCs/>
        </w:rPr>
        <w:t>OO</w:t>
      </w:r>
      <w:r w:rsidRPr="00282227">
        <w:rPr>
          <w:iCs/>
          <w:vertAlign w:val="superscript"/>
        </w:rPr>
        <w:t>cus</w:t>
      </w:r>
      <w:proofErr w:type="spellEnd"/>
      <w:r w:rsidRPr="00282227">
        <w:rPr>
          <w:iCs/>
        </w:rPr>
        <w:t xml:space="preserve"> refer to terminal, or </w:t>
      </w:r>
      <w:r w:rsidRPr="00282227">
        <w:rPr>
          <w:iCs/>
        </w:rPr>
        <w:sym w:font="Symbol" w:char="F06D"/>
      </w:r>
      <w:r w:rsidRPr="00282227">
        <w:rPr>
          <w:iCs/>
          <w:vertAlign w:val="subscript"/>
        </w:rPr>
        <w:t>1</w:t>
      </w:r>
      <w:r w:rsidRPr="00282227">
        <w:rPr>
          <w:iCs/>
        </w:rPr>
        <w:t xml:space="preserve">, hydroxide, </w:t>
      </w:r>
      <w:proofErr w:type="spellStart"/>
      <w:r w:rsidRPr="00282227">
        <w:rPr>
          <w:iCs/>
        </w:rPr>
        <w:t>oxyl</w:t>
      </w:r>
      <w:proofErr w:type="spellEnd"/>
      <w:r w:rsidRPr="00282227">
        <w:rPr>
          <w:iCs/>
        </w:rPr>
        <w:t xml:space="preserve">, </w:t>
      </w:r>
      <w:proofErr w:type="spellStart"/>
      <w:r w:rsidRPr="00282227">
        <w:rPr>
          <w:iCs/>
        </w:rPr>
        <w:t>hydroperoxo</w:t>
      </w:r>
      <w:proofErr w:type="spellEnd"/>
      <w:r w:rsidRPr="00282227">
        <w:rPr>
          <w:iCs/>
        </w:rPr>
        <w:t>, and superoxo, respectively. The surface free energies become negative on IrO</w:t>
      </w:r>
      <w:r w:rsidRPr="00282227">
        <w:rPr>
          <w:iCs/>
          <w:vertAlign w:val="subscript"/>
        </w:rPr>
        <w:t>2</w:t>
      </w:r>
      <w:r w:rsidRPr="00282227">
        <w:rPr>
          <w:iCs/>
        </w:rPr>
        <w:t xml:space="preserve"> (110) beyond 1.4 V and beyond 1.3 V for IrO</w:t>
      </w:r>
      <w:r w:rsidRPr="00282227">
        <w:rPr>
          <w:iCs/>
          <w:vertAlign w:val="subscript"/>
        </w:rPr>
        <w:t>2</w:t>
      </w:r>
      <w:r w:rsidRPr="00282227">
        <w:rPr>
          <w:iCs/>
        </w:rPr>
        <w:t xml:space="preserve"> (111), predicting the materials become unstable.</w:t>
      </w:r>
      <w:r w:rsidR="00486DE9">
        <w:rPr>
          <w:iCs/>
        </w:rPr>
        <w:t xml:space="preserve"> </w:t>
      </w:r>
      <w:r w:rsidR="00486DE9" w:rsidRPr="00486DE9">
        <w:rPr>
          <w:iCs/>
        </w:rPr>
        <w:t xml:space="preserve">Reprinted with permission from </w:t>
      </w:r>
      <w:r w:rsidR="00486DE9">
        <w:rPr>
          <w:iCs/>
        </w:rPr>
        <w:t>Ref.</w:t>
      </w:r>
      <w:r w:rsidR="00486DE9" w:rsidRPr="00282227">
        <w:rPr>
          <w:iCs/>
        </w:rPr>
        <w:t xml:space="preserve"> </w:t>
      </w:r>
      <w:r w:rsidR="00486DE9" w:rsidRPr="00282227">
        <w:rPr>
          <w:iCs/>
        </w:rPr>
        <w:fldChar w:fldCharType="begin"/>
      </w:r>
      <w:r w:rsidR="00486DE9">
        <w:rPr>
          <w:iCs/>
        </w:rPr>
        <w:instrText xml:space="preserve"> ADDIN EN.CITE &lt;EndNote&gt;&lt;Cite&gt;&lt;Author&gt;Opalka&lt;/Author&gt;&lt;Year&gt;2019&lt;/Year&gt;&lt;RecNum&gt;125&lt;/RecNum&gt;&lt;DisplayText&gt;&lt;style face="superscript"&gt;127&lt;/style&gt;&lt;/DisplayText&gt;&lt;record&gt;&lt;rec-number&gt;125&lt;/rec-number&gt;&lt;foreign-keys&gt;&lt;key app="EN" db-id="2xex0erf4eexr4e2dpbxpdd829xttesxxxdr" timestamp="1715075296"&gt;125&lt;/key&gt;&lt;/foreign-keys&gt;&lt;ref-type name="Journal Article"&gt;17&lt;/ref-type&gt;&lt;contributors&gt;&lt;authors&gt;&lt;author&gt;Opalka, Daniel&lt;/author&gt;&lt;author&gt;Scheurer, Christoph&lt;/author&gt;&lt;author&gt;Reuter, Karsten&lt;/author&gt;&lt;/authors&gt;&lt;/contributors&gt;&lt;titles&gt;&lt;title&gt;Ab Initio Thermodynamics Insight into the Structural Evolution of Working IrO2 Catalysts in Proton-Exchange Membrane Electrolyzers&lt;/title&gt;&lt;secondary-title&gt;ACS Catal.&lt;/secondary-title&gt;&lt;/titles&gt;&lt;periodical&gt;&lt;full-title&gt;ACS Catal.&lt;/full-title&gt;&lt;/periodical&gt;&lt;pages&gt;4944-4950&lt;/pages&gt;&lt;volume&gt;9&lt;/volume&gt;&lt;number&gt;6&lt;/number&gt;&lt;dates&gt;&lt;year&gt;2019&lt;/year&gt;&lt;pub-dates&gt;&lt;date&gt;2019/06/07&lt;/date&gt;&lt;/pub-dates&gt;&lt;/dates&gt;&lt;publisher&gt;American Chemical Society&lt;/publisher&gt;&lt;urls&gt;&lt;related-urls&gt;&lt;url&gt;https://doi.org/10.1021/acscatal.9b00796&lt;/url&gt;&lt;/related-urls&gt;&lt;/urls&gt;&lt;electronic-resource-num&gt;10.1021/acscatal.9b00796&lt;/electronic-resource-num&gt;&lt;/record&gt;&lt;/Cite&gt;&lt;/EndNote&gt;</w:instrText>
      </w:r>
      <w:r w:rsidR="00486DE9" w:rsidRPr="00282227">
        <w:rPr>
          <w:iCs/>
        </w:rPr>
        <w:fldChar w:fldCharType="separate"/>
      </w:r>
      <w:r w:rsidR="00486DE9" w:rsidRPr="00FC5BEB">
        <w:rPr>
          <w:iCs/>
          <w:noProof/>
          <w:vertAlign w:val="superscript"/>
        </w:rPr>
        <w:t>127</w:t>
      </w:r>
      <w:r w:rsidR="00486DE9" w:rsidRPr="00282227">
        <w:fldChar w:fldCharType="end"/>
      </w:r>
      <w:r w:rsidR="00486DE9" w:rsidRPr="00486DE9">
        <w:rPr>
          <w:iCs/>
        </w:rPr>
        <w:t xml:space="preserve"> Copyright </w:t>
      </w:r>
      <w:r w:rsidR="00486DE9">
        <w:rPr>
          <w:iCs/>
        </w:rPr>
        <w:t>2019</w:t>
      </w:r>
      <w:r w:rsidR="00486DE9" w:rsidRPr="00486DE9">
        <w:rPr>
          <w:iCs/>
        </w:rPr>
        <w:t xml:space="preserve"> American Chemical Society.</w:t>
      </w:r>
    </w:p>
    <w:p w14:paraId="18798F52" w14:textId="77777777" w:rsidR="00392521" w:rsidRPr="00282227" w:rsidRDefault="00392521" w:rsidP="00397759"/>
    <w:p w14:paraId="7265CE2B" w14:textId="2A546E61" w:rsidR="00282227" w:rsidRPr="00E87282" w:rsidRDefault="00282227" w:rsidP="00E87282">
      <w:pPr>
        <w:ind w:firstLine="720"/>
        <w:rPr>
          <w:iCs/>
        </w:rPr>
      </w:pPr>
      <w:r w:rsidRPr="00282227">
        <w:rPr>
          <w:iCs/>
        </w:rPr>
        <w:t xml:space="preserve">The authors of Ref. </w:t>
      </w:r>
      <w:r w:rsidRPr="00282227">
        <w:rPr>
          <w:iCs/>
        </w:rPr>
        <w:fldChar w:fldCharType="begin"/>
      </w:r>
      <w:r w:rsidR="00FC5BEB">
        <w:rPr>
          <w:iCs/>
        </w:rPr>
        <w:instrText xml:space="preserve"> ADDIN EN.CITE &lt;EndNote&gt;&lt;Cite&gt;&lt;Author&gt;Opalka&lt;/Author&gt;&lt;Year&gt;2019&lt;/Year&gt;&lt;RecNum&gt;125&lt;/RecNum&gt;&lt;DisplayText&gt;&lt;style face="superscript"&gt;127&lt;/style&gt;&lt;/DisplayText&gt;&lt;record&gt;&lt;rec-number&gt;125&lt;/rec-number&gt;&lt;foreign-keys&gt;&lt;key app="EN" db-id="2xex0erf4eexr4e2dpbxpdd829xttesxxxdr" timestamp="1715075296"&gt;125&lt;/key&gt;&lt;/foreign-keys&gt;&lt;ref-type name="Journal Article"&gt;17&lt;/ref-type&gt;&lt;contributors&gt;&lt;authors&gt;&lt;author&gt;Opalka, Daniel&lt;/author&gt;&lt;author&gt;Scheurer, Christoph&lt;/author&gt;&lt;author&gt;Reuter, Karsten&lt;/author&gt;&lt;/authors&gt;&lt;/contributors&gt;&lt;titles&gt;&lt;title&gt;Ab Initio Thermodynamics Insight into the Structural Evolution of Working IrO2 Catalysts in Proton-Exchange Membrane Electrolyzers&lt;/title&gt;&lt;secondary-title&gt;ACS Catal.&lt;/secondary-title&gt;&lt;/titles&gt;&lt;periodical&gt;&lt;full-title&gt;ACS Catal.&lt;/full-title&gt;&lt;/periodical&gt;&lt;pages&gt;4944-4950&lt;/pages&gt;&lt;volume&gt;9&lt;/volume&gt;&lt;number&gt;6&lt;/number&gt;&lt;dates&gt;&lt;year&gt;2019&lt;/year&gt;&lt;pub-dates&gt;&lt;date&gt;2019/06/07&lt;/date&gt;&lt;/pub-dates&gt;&lt;/dates&gt;&lt;publisher&gt;American Chemical Society&lt;/publisher&gt;&lt;urls&gt;&lt;related-urls&gt;&lt;url&gt;https://doi.org/10.1021/acscatal.9b00796&lt;/url&gt;&lt;/related-urls&gt;&lt;/urls&gt;&lt;electronic-resource-num&gt;10.1021/acscatal.9b00796&lt;/electronic-resource-num&gt;&lt;/record&gt;&lt;/Cite&gt;&lt;/EndNote&gt;</w:instrText>
      </w:r>
      <w:r w:rsidRPr="00282227">
        <w:rPr>
          <w:iCs/>
        </w:rPr>
        <w:fldChar w:fldCharType="separate"/>
      </w:r>
      <w:r w:rsidR="00FC5BEB" w:rsidRPr="00FC5BEB">
        <w:rPr>
          <w:iCs/>
          <w:noProof/>
          <w:vertAlign w:val="superscript"/>
        </w:rPr>
        <w:t>127</w:t>
      </w:r>
      <w:r w:rsidRPr="00282227">
        <w:fldChar w:fldCharType="end"/>
      </w:r>
      <w:r w:rsidRPr="00282227">
        <w:rPr>
          <w:iCs/>
        </w:rPr>
        <w:t xml:space="preserve"> showed that the tendency to stabilize the most oxidized surfaces under oxidizing potentials results in the most oxidized surfaces becoming the lowest energy surface under OER conditions, that is, the CHE predicts a superoxo (*OO) surface phases. While most CHE studies have restricted allowed surface phases to *O and *OH </w:t>
      </w:r>
      <w:r w:rsidRPr="00282227">
        <w:fldChar w:fldCharType="begin">
          <w:fldData xml:space="preserve">PEVuZE5vdGU+PENpdGU+PEF1dGhvcj5CYWNrPC9BdXRob3I+PFllYXI+MjAxOTwvWWVhcj48UmVj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==
</w:fldData>
        </w:fldChar>
      </w:r>
      <w:r w:rsidR="00FC5BEB">
        <w:instrText xml:space="preserve"> ADDIN EN.CITE </w:instrText>
      </w:r>
      <w:r w:rsidR="00FC5BEB">
        <w:fldChar w:fldCharType="begin">
          <w:fldData xml:space="preserve">PEVuZE5vdGU+PENpdGU+PEF1dGhvcj5CYWNrPC9BdXRob3I+PFllYXI+MjAxOTwvWWVhcj48UmVj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==
</w:fldData>
        </w:fldChar>
      </w:r>
      <w:r w:rsidR="00FC5BEB">
        <w:instrText xml:space="preserve"> ADDIN EN.CITE.DATA </w:instrText>
      </w:r>
      <w:r w:rsidR="00FC5BEB">
        <w:fldChar w:fldCharType="end"/>
      </w:r>
      <w:r w:rsidRPr="00282227">
        <w:fldChar w:fldCharType="separate"/>
      </w:r>
      <w:r w:rsidR="00FC5BEB" w:rsidRPr="00FC5BEB">
        <w:rPr>
          <w:noProof/>
          <w:vertAlign w:val="superscript"/>
        </w:rPr>
        <w:t>87, 385</w:t>
      </w:r>
      <w:r w:rsidRPr="00282227">
        <w:fldChar w:fldCharType="end"/>
      </w:r>
      <w:r w:rsidR="00482AB6" w:rsidRPr="00482AB6">
        <w:rPr>
          <w:vertAlign w:val="superscript"/>
        </w:rPr>
        <w:t>,</w:t>
      </w:r>
      <w:r w:rsidRPr="00282227">
        <w:fldChar w:fldCharType="begin"/>
      </w:r>
      <w:r w:rsidR="00FC5BEB">
        <w:instrText xml:space="preserve"> ADDIN EN.CITE &lt;EndNote&gt;&lt;Cite&gt;&lt;Author&gt;Rossmeisl&lt;/Author&gt;&lt;Year&gt;2007&lt;/Year&gt;&lt;RecNum&gt;86&lt;/RecNum&gt;&lt;DisplayText&gt;&lt;style face="superscript"&gt;88&lt;/style&gt;&lt;/DisplayText&gt;&lt;record&gt;&lt;rec-number&gt;86&lt;/rec-number&gt;&lt;foreign-keys&gt;&lt;key app="EN" db-id="2xex0erf4eexr4e2dpbxpdd829xttesxxxdr" timestamp="1715075296"&gt;86&lt;/key&gt;&lt;/foreign-keys&gt;&lt;ref-type name="Journal Article"&gt;17&lt;/ref-type&gt;&lt;contributors&gt;&lt;authors&gt;&lt;author&gt;Rossmeisl, J.&lt;/author&gt;&lt;author&gt;Qu, Z. W.&lt;/author&gt;&lt;author&gt;Zhu, H.&lt;/author&gt;&lt;author&gt;Kroes, G. J.&lt;/author&gt;&lt;author&gt;Nørskov, J. K.&lt;/author&gt;&lt;/authors&gt;&lt;/contributors&gt;&lt;titles&gt;&lt;title&gt;Electrolysis of water on oxide surfaces&lt;/title&gt;&lt;secondary-title&gt;Journal of Electroanalytical Chemistry&lt;/secondary-title&gt;&lt;/titles&gt;&lt;periodical&gt;&lt;full-title&gt;Journal of Electroanalytical Chemistry&lt;/full-title&gt;&lt;abbr-1&gt;J. Electroanal. Chem.&lt;/abbr-1&gt;&lt;abbr-2&gt;J Electroanal Chem&lt;/abbr-2&gt;&lt;/periodical&gt;&lt;pages&gt;83-89&lt;/pages&gt;&lt;volume&gt;607&lt;/volume&gt;&lt;number&gt;1&lt;/number&gt;&lt;keywords&gt;&lt;keyword&gt;Electrolysis&lt;/keyword&gt;&lt;keyword&gt;Oxide surfaces&lt;/keyword&gt;&lt;keyword&gt;Density functional theory&lt;/keyword&gt;&lt;keyword&gt;Linear relations&lt;/keyword&gt;&lt;/keywords&gt;&lt;dates&gt;&lt;year&gt;2007&lt;/year&gt;&lt;pub-dates&gt;&lt;date&gt;2007/09/01/&lt;/date&gt;&lt;/pub-dates&gt;&lt;/dates&gt;&lt;isbn&gt;1572-6657&lt;/isbn&gt;&lt;urls&gt;&lt;related-urls&gt;&lt;url&gt;https://www.sciencedirect.com/science/article/pii/S0022072806006371&lt;/url&gt;&lt;/related-urls&gt;&lt;/urls&gt;&lt;electronic-resource-num&gt;https://doi.org/10.1016/j.jelechem.2006.11.008&lt;/electronic-resource-num&gt;&lt;/record&gt;&lt;/Cite&gt;&lt;/EndNote&gt;</w:instrText>
      </w:r>
      <w:r w:rsidRPr="00282227">
        <w:fldChar w:fldCharType="separate"/>
      </w:r>
      <w:r w:rsidR="00FC5BEB" w:rsidRPr="00FC5BEB">
        <w:rPr>
          <w:noProof/>
          <w:vertAlign w:val="superscript"/>
        </w:rPr>
        <w:t>88</w:t>
      </w:r>
      <w:r w:rsidRPr="00282227">
        <w:fldChar w:fldCharType="end"/>
      </w:r>
      <w:r w:rsidRPr="00282227">
        <w:t>,</w:t>
      </w:r>
      <w:r w:rsidR="0069746F">
        <w:t xml:space="preserve"> </w:t>
      </w:r>
      <w:r w:rsidRPr="00282227">
        <w:t>a similar claim was made for rutile-type RuO</w:t>
      </w:r>
      <w:r w:rsidRPr="00282227">
        <w:rPr>
          <w:vertAlign w:val="subscript"/>
        </w:rPr>
        <w:t>2</w:t>
      </w:r>
      <w:r w:rsidRPr="00282227">
        <w:fldChar w:fldCharType="begin">
          <w:fldData xml:space="preserve">PEVuZE5vdGU+PENpdGU+PEF1dGhvcj5SYW88L0F1dGhvcj48WWVhcj4yMDE3PC9ZZWFyPjxSZWNO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==
</w:fldData>
        </w:fldChar>
      </w:r>
      <w:r w:rsidR="00FC5BEB">
        <w:instrText xml:space="preserve"> ADDIN EN.CITE </w:instrText>
      </w:r>
      <w:r w:rsidR="00FC5BEB">
        <w:fldChar w:fldCharType="begin">
          <w:fldData xml:space="preserve">PEVuZE5vdGU+PENpdGU+PEF1dGhvcj5SYW88L0F1dGhvcj48WWVhcj4yMDE3PC9ZZWFyPjxSZWNO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==
</w:fldData>
        </w:fldChar>
      </w:r>
      <w:r w:rsidR="00FC5BEB">
        <w:instrText xml:space="preserve"> ADDIN EN.CITE.DATA </w:instrText>
      </w:r>
      <w:r w:rsidR="00FC5BEB">
        <w:fldChar w:fldCharType="end"/>
      </w:r>
      <w:r w:rsidRPr="00282227">
        <w:fldChar w:fldCharType="separate"/>
      </w:r>
      <w:r w:rsidR="00FC5BEB" w:rsidRPr="00FC5BEB">
        <w:rPr>
          <w:noProof/>
          <w:vertAlign w:val="superscript"/>
        </w:rPr>
        <w:t>175, 176</w:t>
      </w:r>
      <w:r w:rsidRPr="00282227">
        <w:fldChar w:fldCharType="end"/>
      </w:r>
      <w:r w:rsidRPr="00282227">
        <w:t xml:space="preserve">, though </w:t>
      </w:r>
      <w:r w:rsidR="00FE64CB" w:rsidRPr="00FE64CB">
        <w:rPr>
          <w:i/>
          <w:iCs/>
        </w:rPr>
        <w:t>operando</w:t>
      </w:r>
      <w:r w:rsidRPr="00282227">
        <w:rPr>
          <w:i/>
          <w:iCs/>
        </w:rPr>
        <w:t xml:space="preserve"> </w:t>
      </w:r>
      <w:r w:rsidRPr="00282227">
        <w:t>XAS suggests *OO(H) does not accumulate on RuO</w:t>
      </w:r>
      <w:r w:rsidRPr="00282227">
        <w:rPr>
          <w:vertAlign w:val="subscript"/>
        </w:rPr>
        <w:t>2</w:t>
      </w:r>
      <w:r w:rsidRPr="00282227">
        <w:t xml:space="preserve"> </w:t>
      </w:r>
      <w:r w:rsidRPr="00282227">
        <w:fldChar w:fldCharType="begin"/>
      </w:r>
      <w:r w:rsidR="00FC5BEB">
        <w:instrText xml:space="preserve"> ADDIN EN.CITE &lt;EndNote&gt;&lt;Cite&gt;&lt;Author&gt;Deka&lt;/Author&gt;&lt;Year&gt;2023&lt;/Year&gt;&lt;RecNum&gt;399&lt;/RecNum&gt;&lt;DisplayText&gt;&lt;style face="superscript"&gt;401&lt;/style&gt;&lt;/DisplayText&gt;&lt;record&gt;&lt;rec-number&gt;399&lt;/rec-number&gt;&lt;foreign-keys&gt;&lt;key app="EN" db-id="2xex0erf4eexr4e2dpbxpdd829xttesxxxdr" timestamp="1715075297"&gt;399&lt;/key&gt;&lt;/foreign-keys&gt;&lt;ref-type name="Journal Article"&gt;17&lt;/ref-type&gt;&lt;contributors&gt;&lt;authors&gt;&lt;author&gt;Deka, Nipon&lt;/author&gt;&lt;author&gt;Jones, Travis E.&lt;/author&gt;&lt;author&gt;Falling, Lorenz J.&lt;/author&gt;&lt;author&gt;Sandoval-Diaz, Luis-Ernesto&lt;/author&gt;&lt;author&gt;Lunkenbein, Thomas&lt;/author&gt;&lt;author&gt;Velasco-Velez, Juan-Jesus&lt;/author&gt;&lt;author&gt;Chan, Ting-Shan&lt;/author&gt;&lt;author&gt;Chuang, Cheng-Hao&lt;/author&gt;&lt;author&gt;Knop-Gericke, Axel&lt;/author&gt;&lt;author&gt;Mom, Rik V.&lt;/author&gt;&lt;/authors&gt;&lt;/contributors&gt;&lt;titles&gt;&lt;title&gt;On the Operando Structure of Ruthenium Oxides during the Oxygen Evolution Reaction in Acidic Media&lt;/title&gt;&lt;secondary-title&gt;ACS Catal.&lt;/secondary-title&gt;&lt;/titles&gt;&lt;periodical&gt;&lt;full-title&gt;ACS Catal.&lt;/full-title&gt;&lt;/periodical&gt;&lt;pages&gt;7488-7498&lt;/pages&gt;&lt;volume&gt;13&lt;/volume&gt;&lt;number&gt;11&lt;/number&gt;&lt;dates&gt;&lt;year&gt;2023&lt;/year&gt;&lt;pub-dates&gt;&lt;date&gt;2023/06/02&lt;/date&gt;&lt;/pub-dates&gt;&lt;/dates&gt;&lt;publisher&gt;American Chemical Society&lt;/publisher&gt;&lt;urls&gt;&lt;related-urls&gt;&lt;url&gt;https://doi.org/10.1021/acscatal.3c01607&lt;/url&gt;&lt;/related-urls&gt;&lt;/urls&gt;&lt;electronic-resource-num&gt;10.1021/acscatal.3c01607&lt;/electronic-resource-num&gt;&lt;/record&gt;&lt;/Cite&gt;&lt;/EndNote&gt;</w:instrText>
      </w:r>
      <w:r w:rsidRPr="00282227">
        <w:fldChar w:fldCharType="separate"/>
      </w:r>
      <w:r w:rsidR="00FC5BEB" w:rsidRPr="00FC5BEB">
        <w:rPr>
          <w:noProof/>
          <w:vertAlign w:val="superscript"/>
        </w:rPr>
        <w:t>401</w:t>
      </w:r>
      <w:r w:rsidRPr="00282227">
        <w:fldChar w:fldCharType="end"/>
      </w:r>
      <w:r w:rsidRPr="00282227">
        <w:t>. And while there is then debate about the experimental evidence for *OO(H) on RuO</w:t>
      </w:r>
      <w:r w:rsidRPr="00282227">
        <w:rPr>
          <w:vertAlign w:val="subscript"/>
        </w:rPr>
        <w:t>2</w:t>
      </w:r>
      <w:r w:rsidRPr="00282227">
        <w:t xml:space="preserve"> under OER conditions, adsorbed superoxo (or </w:t>
      </w:r>
      <w:proofErr w:type="spellStart"/>
      <w:r w:rsidRPr="00282227">
        <w:t>peroxo</w:t>
      </w:r>
      <w:proofErr w:type="spellEnd"/>
      <w:r w:rsidRPr="00282227">
        <w:t>) are not seen on IrO</w:t>
      </w:r>
      <w:r w:rsidRPr="00282227">
        <w:rPr>
          <w:vertAlign w:val="subscript"/>
        </w:rPr>
        <w:t>2</w:t>
      </w:r>
      <w:r w:rsidRPr="00282227">
        <w:t xml:space="preserve"> </w:t>
      </w:r>
      <w:r w:rsidR="00640AF9">
        <w:t xml:space="preserve">either </w:t>
      </w:r>
      <w:r w:rsidRPr="00282227">
        <w:t>indirectly</w:t>
      </w:r>
      <w:r w:rsidR="00640AF9">
        <w:t xml:space="preserve"> at the </w:t>
      </w:r>
      <w:proofErr w:type="spellStart"/>
      <w:r w:rsidR="00640AF9">
        <w:t>Ir</w:t>
      </w:r>
      <w:proofErr w:type="spellEnd"/>
      <w:r w:rsidR="00640AF9">
        <w:t xml:space="preserve"> L</w:t>
      </w:r>
      <w:r w:rsidR="00640AF9">
        <w:rPr>
          <w:vertAlign w:val="subscript"/>
        </w:rPr>
        <w:t>3</w:t>
      </w:r>
      <w:r w:rsidR="00640AF9">
        <w:t>-edge</w:t>
      </w:r>
      <w:r w:rsidRPr="00282227">
        <w:t xml:space="preserve"> </w:t>
      </w:r>
      <w:r w:rsidRPr="00282227">
        <w:fldChar w:fldCharType="begin"/>
      </w:r>
      <w:r w:rsidR="00FC5BEB">
        <w:instrText xml:space="preserve"> ADDIN EN.CITE &lt;EndNote&gt;&lt;Cite&gt;&lt;Author&gt;Velasco-Vélez&lt;/Author&gt;&lt;Year&gt;2021&lt;/Year&gt;&lt;RecNum&gt;222&lt;/RecNum&gt;&lt;DisplayText&gt;&lt;style face="superscript"&gt;224&lt;/style&gt;&lt;/DisplayText&gt;&lt;record&gt;&lt;rec-number&gt;222&lt;/rec-number&gt;&lt;foreign-keys&gt;&lt;key app="EN" db-id="2xex0erf4eexr4e2dpbxpdd829xttesxxxdr" timestamp="1715075296"&gt;222&lt;/key&gt;&lt;/foreign-keys&gt;&lt;ref-type name="Journal Article"&gt;17&lt;/ref-type&gt;&lt;contributors&gt;&lt;authors&gt;&lt;author&gt;Velasco-Vélez, Juan-Jesús&lt;/author&gt;&lt;author&gt;Carbonio, Emilia A.&lt;/author&gt;&lt;author&gt;Chuang, Cheng-Hao&lt;/author&gt;&lt;author&gt;Hsu, Cheng-Jhih&lt;/author&gt;&lt;author&gt;Lee, Jyh-Fu&lt;/author&gt;&lt;author&gt;Arrigo, Rosa&lt;/author&gt;&lt;author&gt;Hävecker, Michael&lt;/author&gt;&lt;author&gt;Wang, Ruizhi&lt;/author&gt;&lt;author&gt;Plodinec, Milivoj&lt;/author&gt;&lt;author&gt;Wang, Feng Ryan&lt;/author&gt;&lt;author&gt;Centeno, Alba&lt;/author&gt;&lt;author&gt;Zurutuza, Amaia&lt;/author&gt;&lt;author&gt;Falling, Lorenz J.&lt;/author&gt;&lt;author&gt;Mom, Rik Valentijn&lt;/author&gt;&lt;author&gt;Hofmann, Stephan&lt;/author&gt;&lt;author&gt;Schlögl, Robert&lt;/author&gt;&lt;author&gt;Knop-Gericke, Axel&lt;/author&gt;&lt;author&gt;Jones, Travis E.&lt;/author&gt;&lt;/authors&gt;&lt;/contributors&gt;&lt;titles&gt;&lt;title&gt;Surface Electron-Hole Rich Species Active in the Electrocatalytic Water Oxidation&lt;/title&gt;&lt;secondary-title&gt;Journal of the American Chemical Society&lt;/secondary-title&gt;&lt;/titles&gt;&lt;periodical&gt;&lt;full-title&gt;Journal of the American Chemical Society&lt;/full-title&gt;&lt;abbr-1&gt;J. Am. Chem. Soc.&lt;/abbr-1&gt;&lt;abbr-2&gt;J Am Chem Soc&lt;/abbr-2&gt;&lt;/periodical&gt;&lt;pages&gt;12524-12534&lt;/pages&gt;&lt;volume&gt;143&lt;/volume&gt;&lt;number&gt;32&lt;/number&gt;&lt;dates&gt;&lt;year&gt;2021&lt;/year&gt;&lt;pub-dates&gt;&lt;date&gt;2021/08/18&lt;/date&gt;&lt;/pub-dates&gt;&lt;/dates&gt;&lt;publisher&gt;American Chemical Society&lt;/publisher&gt;&lt;isbn&gt;0002-7863&lt;/isbn&gt;&lt;urls&gt;&lt;related-urls&gt;&lt;url&gt;https://doi.org/10.1021/jacs.1c01655&lt;/url&gt;&lt;/related-urls&gt;&lt;/urls&gt;&lt;electronic-resource-num&gt;10.1021/jacs.1c01655&lt;/electronic-resource-num&gt;&lt;/record&gt;&lt;/Cite&gt;&lt;/EndNote&gt;</w:instrText>
      </w:r>
      <w:r w:rsidRPr="00282227">
        <w:fldChar w:fldCharType="separate"/>
      </w:r>
      <w:r w:rsidR="00FC5BEB" w:rsidRPr="00FC5BEB">
        <w:rPr>
          <w:noProof/>
          <w:vertAlign w:val="superscript"/>
        </w:rPr>
        <w:t>224</w:t>
      </w:r>
      <w:r w:rsidRPr="00282227">
        <w:fldChar w:fldCharType="end"/>
      </w:r>
      <w:r w:rsidR="0069746F">
        <w:t xml:space="preserve"> </w:t>
      </w:r>
      <w:r w:rsidRPr="00282227">
        <w:t>or directly</w:t>
      </w:r>
      <w:r w:rsidR="00640AF9">
        <w:t xml:space="preserve"> through resonant photoemission at the O-edge</w:t>
      </w:r>
      <w:r w:rsidRPr="00282227">
        <w:t xml:space="preserve"> </w:t>
      </w:r>
      <w:r w:rsidRPr="00282227">
        <w:fldChar w:fldCharType="begin"/>
      </w:r>
      <w:r w:rsidR="00193D37">
        <w:instrText xml:space="preserve"> ADDIN EN.CITE &lt;EndNote&gt;&lt;Cite&gt;&lt;Author&gt;Velasco Vélez&lt;/Author&gt;&lt;Year&gt;2024&lt;/Year&gt;&lt;RecNum&gt;400&lt;/RecNum&gt;&lt;DisplayText&gt;&lt;style face="superscript"&gt;402&lt;/style&gt;&lt;/DisplayText&gt;&lt;record&gt;&lt;rec-number&gt;400&lt;/rec-number&gt;&lt;foreign-keys&gt;&lt;key app="EN" db-id="2xex0erf4eexr4e2dpbxpdd829xttesxxxdr" timestamp="1715075297"&gt;400&lt;/key&gt;&lt;/foreign-keys&gt;&lt;ref-type name="Journal Article"&gt;17&lt;/ref-type&gt;&lt;contributors&gt;&lt;authors&gt;&lt;author&gt;Velasco Vélez, Juan Jesús&lt;/author&gt;&lt;author&gt;Bernsmeier, Denis&lt;/author&gt;&lt;author&gt;Mom, Rik V.&lt;/author&gt;&lt;author&gt;Zeller, Patrick&lt;/author&gt;&lt;author&gt;Shao-Horn, Yang&lt;/author&gt;&lt;author&gt;Roldan Cuenya, Beatriz&lt;/author&gt;&lt;author&gt;Knop-Gericke, Axel&lt;/author&gt;&lt;author&gt;Schlögl, Robert&lt;/author&gt;&lt;author&gt;Jones, Travis E.&lt;/author&gt;&lt;/authors&gt;&lt;/contributors&gt;&lt;titles&gt;&lt;title&gt;Iridium Oxide Coordinatively Unsaturated Active Sites Govern the Electrocatalytic Oxidation of Water&lt;/title&gt;&lt;secondary-title&gt;Adv. Energy Mater.&lt;/secondary-title&gt;&lt;/titles&gt;&lt;periodical&gt;&lt;full-title&gt;Adv. Energy Mater.&lt;/full-title&gt;&lt;/periodical&gt;&lt;pages&gt;2303407&lt;/pages&gt;&lt;dates&gt;&lt;year&gt;2024&lt;/year&gt;&lt;/dates&gt;&lt;urls&gt;&lt;/urls&gt;&lt;/record&gt;&lt;/Cite&gt;&lt;/EndNote&gt;</w:instrText>
      </w:r>
      <w:r w:rsidRPr="00282227">
        <w:fldChar w:fldCharType="separate"/>
      </w:r>
      <w:r w:rsidR="00FC5BEB" w:rsidRPr="00FC5BEB">
        <w:rPr>
          <w:noProof/>
          <w:vertAlign w:val="superscript"/>
        </w:rPr>
        <w:t>402</w:t>
      </w:r>
      <w:r w:rsidRPr="00282227">
        <w:fldChar w:fldCharType="end"/>
      </w:r>
      <w:r w:rsidRPr="00282227">
        <w:t xml:space="preserve">. </w:t>
      </w:r>
      <w:r w:rsidR="00640AF9">
        <w:t xml:space="preserve">This latter observation places an upper limit of &lt;&lt;1/10 ML for OO(H) species on </w:t>
      </w:r>
      <w:proofErr w:type="spellStart"/>
      <w:r w:rsidR="00640AF9">
        <w:t>Ir</w:t>
      </w:r>
      <w:proofErr w:type="spellEnd"/>
      <w:r w:rsidR="00640AF9">
        <w:t xml:space="preserve"> at potentials as high as 2 V vs RHE. </w:t>
      </w:r>
      <w:r w:rsidRPr="00282227">
        <w:t xml:space="preserve">The authors of </w:t>
      </w:r>
      <w:r w:rsidRPr="00282227">
        <w:rPr>
          <w:iCs/>
        </w:rPr>
        <w:t xml:space="preserve">Ref. </w:t>
      </w:r>
      <w:r w:rsidRPr="00282227">
        <w:rPr>
          <w:iCs/>
        </w:rPr>
        <w:fldChar w:fldCharType="begin"/>
      </w:r>
      <w:r w:rsidR="00FC5BEB">
        <w:rPr>
          <w:iCs/>
        </w:rPr>
        <w:instrText xml:space="preserve"> ADDIN EN.CITE &lt;EndNote&gt;&lt;Cite&gt;&lt;Author&gt;Opalka&lt;/Author&gt;&lt;Year&gt;2019&lt;/Year&gt;&lt;RecNum&gt;125&lt;/RecNum&gt;&lt;DisplayText&gt;&lt;style face="superscript"&gt;127&lt;/style&gt;&lt;/DisplayText&gt;&lt;record&gt;&lt;rec-number&gt;125&lt;/rec-number&gt;&lt;foreign-keys&gt;&lt;key app="EN" db-id="2xex0erf4eexr4e2dpbxpdd829xttesxxxdr" timestamp="1715075296"&gt;125&lt;/key&gt;&lt;/foreign-keys&gt;&lt;ref-type name="Journal Article"&gt;17&lt;/ref-type&gt;&lt;contributors&gt;&lt;authors&gt;&lt;author&gt;Opalka, Daniel&lt;/author&gt;&lt;author&gt;Scheurer, Christoph&lt;/author&gt;&lt;author&gt;Reuter, Karsten&lt;/author&gt;&lt;/authors&gt;&lt;/contributors&gt;&lt;titles&gt;&lt;title&gt;Ab Initio Thermodynamics Insight into the Structural Evolution of Working IrO2 Catalysts in Proton-Exchange Membrane Electrolyzers&lt;/title&gt;&lt;secondary-title&gt;ACS Catal.&lt;/secondary-title&gt;&lt;/titles&gt;&lt;periodical&gt;&lt;full-title&gt;ACS Catal.&lt;/full-title&gt;&lt;/periodical&gt;&lt;pages&gt;4944-4950&lt;/pages&gt;&lt;volume&gt;9&lt;/volume&gt;&lt;number&gt;6&lt;/number&gt;&lt;dates&gt;&lt;year&gt;2019&lt;/year&gt;&lt;pub-dates&gt;&lt;date&gt;2019/06/07&lt;/date&gt;&lt;/pub-dates&gt;&lt;/dates&gt;&lt;publisher&gt;American Chemical Society&lt;/publisher&gt;&lt;urls&gt;&lt;related-urls&gt;&lt;url&gt;https://doi.org/10.1021/acscatal.9b00796&lt;/url&gt;&lt;/related-urls&gt;&lt;/urls&gt;&lt;electronic-resource-num&gt;10.1021/acscatal.9b00796&lt;/electronic-resource-num&gt;&lt;/record&gt;&lt;/Cite&gt;&lt;/EndNote&gt;</w:instrText>
      </w:r>
      <w:r w:rsidRPr="00282227">
        <w:rPr>
          <w:iCs/>
        </w:rPr>
        <w:fldChar w:fldCharType="separate"/>
      </w:r>
      <w:r w:rsidR="00FC5BEB" w:rsidRPr="00FC5BEB">
        <w:rPr>
          <w:iCs/>
          <w:noProof/>
          <w:vertAlign w:val="superscript"/>
        </w:rPr>
        <w:t>127</w:t>
      </w:r>
      <w:r w:rsidRPr="00282227">
        <w:fldChar w:fldCharType="end"/>
      </w:r>
      <w:r w:rsidRPr="00282227">
        <w:rPr>
          <w:iCs/>
        </w:rPr>
        <w:t xml:space="preserve"> </w:t>
      </w:r>
      <w:r w:rsidRPr="00282227">
        <w:t xml:space="preserve">point out that O-O </w:t>
      </w:r>
      <w:proofErr w:type="spellStart"/>
      <w:r w:rsidRPr="00282227">
        <w:t>overbinding</w:t>
      </w:r>
      <w:proofErr w:type="spellEnd"/>
      <w:r w:rsidRPr="00282227">
        <w:t xml:space="preserve"> in DFT may artificially stabilize the superoxo species, resulting in an incorrect prediction, as noted previously</w:t>
      </w:r>
      <w:r w:rsidRPr="00282227">
        <w:fldChar w:fldCharType="begin"/>
      </w:r>
      <w:r w:rsidR="00FC5BEB">
        <w:instrText xml:space="preserve"> ADDIN EN.CITE &lt;EndNote&gt;&lt;Cite&gt;&lt;Author&gt;Kurth&lt;/Author&gt;&lt;Year&gt;1999&lt;/Year&gt;&lt;RecNum&gt;112&lt;/RecNum&gt;&lt;DisplayText&gt;&lt;style face="superscript"&gt;114&lt;/style&gt;&lt;/DisplayText&gt;&lt;record&gt;&lt;rec-number&gt;112&lt;/rec-number&gt;&lt;foreign-keys&gt;&lt;key app="EN" db-id="2xex0erf4eexr4e2dpbxpdd829xttesxxxdr" timestamp="1715075296"&gt;112&lt;/key&gt;&lt;/foreign-keys&gt;&lt;ref-type name="Journal Article"&gt;17&lt;/ref-type&gt;&lt;contributors&gt;&lt;authors&gt;&lt;author&gt;Kurth, Stefan&lt;/author&gt;&lt;author&gt;Perdew, John P.&lt;/author&gt;&lt;author&gt;Blaha, Peter&lt;/author&gt;&lt;/authors&gt;&lt;/contributors&gt;&lt;titles&gt;&lt;title&gt;Molecular and solid-state tests of density functional approximations: LSD, GGAs, and meta-GGAs&lt;/title&gt;&lt;secondary-title&gt;Int. J. Quantum Chem.&lt;/secondary-title&gt;&lt;/titles&gt;&lt;periodical&gt;&lt;full-title&gt;International Journal of Quantum Chemistry&lt;/full-title&gt;&lt;abbr-1&gt;Int. J. Quantum Chem.&lt;/abbr-1&gt;&lt;abbr-2&gt;Int J Quantum Chem&lt;/abbr-2&gt;&lt;/periodical&gt;&lt;pages&gt;889-909&lt;/pages&gt;&lt;volume&gt;75&lt;/volume&gt;&lt;number&gt;4-5&lt;/number&gt;&lt;dates&gt;&lt;year&gt;1999&lt;/year&gt;&lt;/dates&gt;&lt;isbn&gt;0020-7608&lt;/isbn&gt;&lt;urls&gt;&lt;related-urls&gt;&lt;url&gt;https://onlinelibrary.wiley.com/doi/abs/10.1002/%28SICI%291097-461X%281999%2975%3A4/5%3C889%3A%3AAID-QUA54%3E3.0.CO%3B2-8&lt;/url&gt;&lt;/related-urls&gt;&lt;/urls&gt;&lt;electronic-resource-num&gt;https://doi.org/10.1002/(SICI)1097-461X(1999)75:4/5&amp;lt;889::AID-QUA54&amp;gt;3.0.CO;2-8&lt;/electronic-resource-num&gt;&lt;/record&gt;&lt;/Cite&gt;&lt;/EndNote&gt;</w:instrText>
      </w:r>
      <w:r w:rsidRPr="00282227">
        <w:fldChar w:fldCharType="separate"/>
      </w:r>
      <w:r w:rsidR="00FC5BEB" w:rsidRPr="00FC5BEB">
        <w:rPr>
          <w:noProof/>
          <w:vertAlign w:val="superscript"/>
        </w:rPr>
        <w:t>114</w:t>
      </w:r>
      <w:r w:rsidRPr="00282227">
        <w:fldChar w:fldCharType="end"/>
      </w:r>
      <w:r w:rsidRPr="00282227">
        <w:t xml:space="preserve">. Regardless of the superoxo stability, however, the authors of </w:t>
      </w:r>
      <w:r w:rsidRPr="00282227">
        <w:rPr>
          <w:iCs/>
        </w:rPr>
        <w:t xml:space="preserve">Ref. </w:t>
      </w:r>
      <w:r w:rsidRPr="00282227">
        <w:rPr>
          <w:iCs/>
        </w:rPr>
        <w:fldChar w:fldCharType="begin"/>
      </w:r>
      <w:r w:rsidR="00FC5BEB">
        <w:rPr>
          <w:iCs/>
        </w:rPr>
        <w:instrText xml:space="preserve"> ADDIN EN.CITE &lt;EndNote&gt;&lt;Cite&gt;&lt;Author&gt;Opalka&lt;/Author&gt;&lt;Year&gt;2019&lt;/Year&gt;&lt;RecNum&gt;125&lt;/RecNum&gt;&lt;DisplayText&gt;&lt;style face="superscript"&gt;127&lt;/style&gt;&lt;/DisplayText&gt;&lt;record&gt;&lt;rec-number&gt;125&lt;/rec-number&gt;&lt;foreign-keys&gt;&lt;key app="EN" db-id="2xex0erf4eexr4e2dpbxpdd829xttesxxxdr" timestamp="1715075296"&gt;125&lt;/key&gt;&lt;/foreign-keys&gt;&lt;ref-type name="Journal Article"&gt;17&lt;/ref-type&gt;&lt;contributors&gt;&lt;authors&gt;&lt;author&gt;Opalka, Daniel&lt;/author&gt;&lt;author&gt;Scheurer, Christoph&lt;/author&gt;&lt;author&gt;Reuter, Karsten&lt;/author&gt;&lt;/authors&gt;&lt;/contributors&gt;&lt;titles&gt;&lt;title&gt;Ab Initio Thermodynamics Insight into the Structural Evolution of Working IrO2 Catalysts in Proton-Exchange Membrane Electrolyzers&lt;/title&gt;&lt;secondary-title&gt;ACS Catal.&lt;/secondary-title&gt;&lt;/titles&gt;&lt;periodical&gt;&lt;full-title&gt;ACS Catal.&lt;/full-title&gt;&lt;/periodical&gt;&lt;pages&gt;4944-4950&lt;/pages&gt;&lt;volume&gt;9&lt;/volume&gt;&lt;number&gt;6&lt;/number&gt;&lt;dates&gt;&lt;year&gt;2019&lt;/year&gt;&lt;pub-dates&gt;&lt;date&gt;2019/06/07&lt;/date&gt;&lt;/pub-dates&gt;&lt;/dates&gt;&lt;publisher&gt;American Chemical Society&lt;/publisher&gt;&lt;urls&gt;&lt;related-urls&gt;&lt;url&gt;https://doi.org/10.1021/acscatal.9b00796&lt;/url&gt;&lt;/related-urls&gt;&lt;/urls&gt;&lt;electronic-resource-num&gt;10.1021/acscatal.9b00796&lt;/electronic-resource-num&gt;&lt;/record&gt;&lt;/Cite&gt;&lt;/EndNote&gt;</w:instrText>
      </w:r>
      <w:r w:rsidRPr="00282227">
        <w:rPr>
          <w:iCs/>
        </w:rPr>
        <w:fldChar w:fldCharType="separate"/>
      </w:r>
      <w:r w:rsidR="00FC5BEB" w:rsidRPr="00FC5BEB">
        <w:rPr>
          <w:iCs/>
          <w:noProof/>
          <w:vertAlign w:val="superscript"/>
        </w:rPr>
        <w:t>127</w:t>
      </w:r>
      <w:r w:rsidRPr="00282227">
        <w:fldChar w:fldCharType="end"/>
      </w:r>
      <w:r w:rsidRPr="00282227">
        <w:rPr>
          <w:iCs/>
        </w:rPr>
        <w:t xml:space="preserve"> also reported a surprising result. They showed that the surface energies of all facets become negative for potentials 1.4 V vs RHE; the transition to negative surface energies occurs at 1.3 V vs RHE for the (111) facet, see </w:t>
      </w:r>
      <w:r w:rsidR="0039761C">
        <w:rPr>
          <w:iCs/>
        </w:rPr>
        <w:fldChar w:fldCharType="begin"/>
      </w:r>
      <w:r w:rsidR="0039761C">
        <w:rPr>
          <w:iCs/>
        </w:rPr>
        <w:instrText xml:space="preserve"> REF _Ref159522158 \h </w:instrText>
      </w:r>
      <w:r w:rsidR="0039761C">
        <w:rPr>
          <w:iCs/>
        </w:rPr>
      </w:r>
      <w:r w:rsidR="0039761C">
        <w:rPr>
          <w:iCs/>
        </w:rPr>
        <w:fldChar w:fldCharType="separate"/>
      </w:r>
      <w:r w:rsidR="00B52708" w:rsidRPr="0039761C">
        <w:rPr>
          <w:b/>
          <w:bCs/>
        </w:rPr>
        <w:t xml:space="preserve">Figure </w:t>
      </w:r>
      <w:r w:rsidR="00B52708">
        <w:rPr>
          <w:b/>
          <w:bCs/>
          <w:noProof/>
        </w:rPr>
        <w:t>30</w:t>
      </w:r>
      <w:r w:rsidR="0039761C">
        <w:rPr>
          <w:iCs/>
        </w:rPr>
        <w:fldChar w:fldCharType="end"/>
      </w:r>
      <w:r w:rsidRPr="00282227">
        <w:rPr>
          <w:iCs/>
        </w:rPr>
        <w:t xml:space="preserve">. </w:t>
      </w:r>
      <w:r w:rsidRPr="00282227">
        <w:t xml:space="preserve">They noted that, while for the (110) termination </w:t>
      </w:r>
      <w:r w:rsidRPr="00282227">
        <w:rPr>
          <w:iCs/>
        </w:rPr>
        <w:t xml:space="preserve">this instability can be seen to derive largely from the stability of the superoxo (*OO) terminated </w:t>
      </w:r>
      <w:r w:rsidRPr="00282227">
        <w:rPr>
          <w:iCs/>
        </w:rPr>
        <w:lastRenderedPageBreak/>
        <w:t xml:space="preserve">surfaces—the *O surface phase has a positive surface free energy until ~1.6 V vs RHE for the (110) termination—the surface energy of the (111) termination becomes negative at 1.3 V vs RHE for both the *OO and *O surface phases. The impact of this claim is that </w:t>
      </w:r>
      <w:proofErr w:type="spellStart"/>
      <w:r w:rsidRPr="00282227">
        <w:rPr>
          <w:iCs/>
        </w:rPr>
        <w:t>Ir</w:t>
      </w:r>
      <w:proofErr w:type="spellEnd"/>
      <w:r w:rsidRPr="00282227">
        <w:rPr>
          <w:iCs/>
        </w:rPr>
        <w:t xml:space="preserve">-based oxides should dissolve at potentials beyond 1.3 V vs RHE </w:t>
      </w:r>
      <w:r w:rsidRPr="00282227">
        <w:t>or transform in IrO</w:t>
      </w:r>
      <w:r w:rsidRPr="00282227">
        <w:rPr>
          <w:vertAlign w:val="subscript"/>
        </w:rPr>
        <w:t>3</w:t>
      </w:r>
      <w:r w:rsidRPr="00282227">
        <w:t xml:space="preserve"> </w:t>
      </w:r>
      <w:r w:rsidRPr="00282227">
        <w:rPr>
          <w:iCs/>
        </w:rPr>
        <w:fldChar w:fldCharType="begin"/>
      </w:r>
      <w:r w:rsidR="00FC5BEB">
        <w:rPr>
          <w:iCs/>
        </w:rPr>
        <w:instrText xml:space="preserve"> ADDIN EN.CITE &lt;EndNote&gt;&lt;Cite&gt;&lt;Author&gt;Flores&lt;/Author&gt;&lt;Year&gt;2020&lt;/Year&gt;&lt;RecNum&gt;391&lt;/RecNum&gt;&lt;DisplayText&gt;&lt;style face="superscript"&gt;393&lt;/style&gt;&lt;/DisplayText&gt;&lt;record&gt;&lt;rec-number&gt;391&lt;/rec-number&gt;&lt;foreign-keys&gt;&lt;key app="EN" db-id="2xex0erf4eexr4e2dpbxpdd829xttesxxxdr" timestamp="1715075297"&gt;391&lt;/key&gt;&lt;/foreign-keys&gt;&lt;ref-type name="Journal Article"&gt;17&lt;/ref-type&gt;&lt;contributors&gt;&lt;authors&gt;&lt;author&gt;Flores, Raul A.&lt;/author&gt;&lt;author&gt;Paolucci, Christopher&lt;/author&gt;&lt;author&gt;Winther, Kirsten T.&lt;/author&gt;&lt;author&gt;Jain, Ankit&lt;/author&gt;&lt;author&gt;Torres, Jose Antonio Garrido&lt;/author&gt;&lt;author&gt;Aykol, Muratahan&lt;/author&gt;&lt;author&gt;Montoya, Joseph&lt;/author&gt;&lt;author&gt;Nørskov, Jens K.&lt;/author&gt;&lt;author&gt;Bajdich, Michal&lt;/author&gt;&lt;author&gt;Bligaard, Thomas&lt;/author&gt;&lt;/authors&gt;&lt;/contributors&gt;&lt;titles&gt;&lt;title&gt;Active Learning Accelerated Discovery of Stable Iridium Oxide Polymorphs for the Oxygen Evolution Reaction&lt;/title&gt;&lt;secondary-title&gt;Chemistry of Materials&lt;/secondary-title&gt;&lt;/titles&gt;&lt;periodical&gt;&lt;full-title&gt;Chemistry of Materials&lt;/full-title&gt;&lt;abbr-1&gt;Chem. Mater.&lt;/abbr-1&gt;&lt;abbr-2&gt;Chem Mater&lt;/abbr-2&gt;&lt;/periodical&gt;&lt;pages&gt;5854-5863&lt;/pages&gt;&lt;volume&gt;32&lt;/volume&gt;&lt;number&gt;13&lt;/number&gt;&lt;dates&gt;&lt;year&gt;2020&lt;/year&gt;&lt;pub-dates&gt;&lt;date&gt;2020/07/14&lt;/date&gt;&lt;/pub-dates&gt;&lt;/dates&gt;&lt;publisher&gt;American Chemical Society&lt;/publisher&gt;&lt;isbn&gt;0897-4756&lt;/isbn&gt;&lt;urls&gt;&lt;related-urls&gt;&lt;url&gt;https://doi.org/10.1021/acs.chemmater.0c01894&lt;/url&gt;&lt;/related-urls&gt;&lt;/urls&gt;&lt;electronic-resource-num&gt;10.1021/acs.chemmater.0c01894&lt;/electronic-resource-num&gt;&lt;/record&gt;&lt;/Cite&gt;&lt;/EndNote&gt;</w:instrText>
      </w:r>
      <w:r w:rsidRPr="00282227">
        <w:rPr>
          <w:iCs/>
        </w:rPr>
        <w:fldChar w:fldCharType="separate"/>
      </w:r>
      <w:r w:rsidR="00FC5BEB" w:rsidRPr="00FC5BEB">
        <w:rPr>
          <w:iCs/>
          <w:noProof/>
          <w:vertAlign w:val="superscript"/>
        </w:rPr>
        <w:t>393</w:t>
      </w:r>
      <w:r w:rsidRPr="00282227">
        <w:fldChar w:fldCharType="end"/>
      </w:r>
      <w:r w:rsidRPr="00282227">
        <w:rPr>
          <w:iCs/>
        </w:rPr>
        <w:t xml:space="preserve">. Neither prediction is in agreement with experiment, as we will discuss in a moment </w:t>
      </w:r>
      <w:r w:rsidRPr="00282227">
        <w:rPr>
          <w:iCs/>
        </w:rPr>
        <w:fldChar w:fldCharType="begin">
          <w:fldData xml:space="preserve">PEVuZE5vdGU+PENpdGU+PEF1dGhvcj5XZWJlcjwvQXV0aG9yPjxZZWFyPjIwMjE8L1llYXI+PFJl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</w:fldData>
        </w:fldChar>
      </w:r>
      <w:r w:rsidR="00FC5BEB">
        <w:rPr>
          <w:iCs/>
        </w:rPr>
        <w:instrText xml:space="preserve"> ADDIN EN.CITE </w:instrText>
      </w:r>
      <w:r w:rsidR="00FC5BEB">
        <w:rPr>
          <w:iCs/>
        </w:rPr>
        <w:fldChar w:fldCharType="begin">
          <w:fldData xml:space="preserve">PEVuZE5vdGU+PENpdGU+PEF1dGhvcj5XZWJlcjwvQXV0aG9yPjxZZWFyPjIwMjE8L1llYXI+PFJl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</w:fldData>
        </w:fldChar>
      </w:r>
      <w:r w:rsidR="00FC5BEB">
        <w:rPr>
          <w:iCs/>
        </w:rPr>
        <w:instrText xml:space="preserve"> ADDIN EN.CITE.DATA </w:instrText>
      </w:r>
      <w:r w:rsidR="00FC5BEB">
        <w:rPr>
          <w:iCs/>
        </w:rPr>
      </w:r>
      <w:r w:rsidR="00FC5BEB">
        <w:rPr>
          <w:iCs/>
        </w:rPr>
        <w:fldChar w:fldCharType="end"/>
      </w:r>
      <w:r w:rsidRPr="00282227">
        <w:rPr>
          <w:iCs/>
        </w:rPr>
      </w:r>
      <w:r w:rsidRPr="00282227">
        <w:rPr>
          <w:iCs/>
        </w:rPr>
        <w:fldChar w:fldCharType="separate"/>
      </w:r>
      <w:r w:rsidR="00FC5BEB" w:rsidRPr="00FC5BEB">
        <w:rPr>
          <w:iCs/>
          <w:noProof/>
          <w:vertAlign w:val="superscript"/>
        </w:rPr>
        <w:t>403, 404</w:t>
      </w:r>
      <w:r w:rsidRPr="00282227">
        <w:fldChar w:fldCharType="end"/>
      </w:r>
      <w:r w:rsidRPr="00282227">
        <w:t xml:space="preserve">. </w:t>
      </w:r>
    </w:p>
    <w:p w14:paraId="5E63D998" w14:textId="77777777" w:rsidR="00282227" w:rsidRPr="00282227" w:rsidRDefault="00282227" w:rsidP="00282227">
      <w:pPr>
        <w:rPr>
          <w:iCs/>
        </w:rPr>
      </w:pPr>
    </w:p>
    <w:p w14:paraId="379F9395" w14:textId="4785AC55" w:rsidR="00282227" w:rsidRDefault="00282227" w:rsidP="0039761C">
      <w:pPr>
        <w:ind w:firstLine="720"/>
        <w:rPr>
          <w:iCs/>
        </w:rPr>
      </w:pPr>
      <w:r w:rsidRPr="00282227">
        <w:rPr>
          <w:iCs/>
        </w:rPr>
        <w:t>Along the line of the superoxo terminated surface, an alternative OER mechanism with the involvement of two superoxo species was proposed by Binninger et al.</w:t>
      </w:r>
      <w:r w:rsidRPr="00282227">
        <w:rPr>
          <w:iCs/>
        </w:rPr>
        <w:fldChar w:fldCharType="begin">
          <w:fldData xml:space="preserve">PEVuZE5vdGU+PENpdGU+PEF1dGhvcj5CaW5uaW5nZXI8L0F1dGhvcj48WWVhcj4yMDIyPC9ZZWFy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</w:fldData>
        </w:fldChar>
      </w:r>
      <w:r w:rsidR="00FC5BEB">
        <w:rPr>
          <w:iCs/>
        </w:rPr>
        <w:instrText xml:space="preserve"> ADDIN EN.CITE </w:instrText>
      </w:r>
      <w:r w:rsidR="00FC5BEB">
        <w:rPr>
          <w:iCs/>
        </w:rPr>
        <w:fldChar w:fldCharType="begin">
          <w:fldData xml:space="preserve">PEVuZE5vdGU+PENpdGU+PEF1dGhvcj5CaW5uaW5nZXI8L0F1dGhvcj48WWVhcj4yMDIyPC9ZZWFy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</w:fldData>
        </w:fldChar>
      </w:r>
      <w:r w:rsidR="00FC5BEB">
        <w:rPr>
          <w:iCs/>
        </w:rPr>
        <w:instrText xml:space="preserve"> ADDIN EN.CITE.DATA </w:instrText>
      </w:r>
      <w:r w:rsidR="00FC5BEB">
        <w:rPr>
          <w:iCs/>
        </w:rPr>
      </w:r>
      <w:r w:rsidR="00FC5BEB">
        <w:rPr>
          <w:iCs/>
        </w:rPr>
        <w:fldChar w:fldCharType="end"/>
      </w:r>
      <w:r w:rsidRPr="00282227">
        <w:rPr>
          <w:iCs/>
        </w:rPr>
      </w:r>
      <w:r w:rsidRPr="00282227">
        <w:rPr>
          <w:iCs/>
        </w:rPr>
        <w:fldChar w:fldCharType="separate"/>
      </w:r>
      <w:r w:rsidR="00FC5BEB" w:rsidRPr="00FC5BEB">
        <w:rPr>
          <w:iCs/>
          <w:noProof/>
          <w:vertAlign w:val="superscript"/>
        </w:rPr>
        <w:t>405, 406</w:t>
      </w:r>
      <w:r w:rsidRPr="00282227">
        <w:fldChar w:fldCharType="end"/>
      </w:r>
      <w:r w:rsidRPr="00282227">
        <w:rPr>
          <w:iCs/>
        </w:rPr>
        <w:t xml:space="preserve"> Similar to Ref. </w:t>
      </w:r>
      <w:r w:rsidRPr="00282227">
        <w:rPr>
          <w:iCs/>
        </w:rPr>
        <w:fldChar w:fldCharType="begin"/>
      </w:r>
      <w:r w:rsidR="00FC5BEB">
        <w:rPr>
          <w:iCs/>
        </w:rPr>
        <w:instrText xml:space="preserve"> ADDIN EN.CITE &lt;EndNote&gt;&lt;Cite&gt;&lt;Author&gt;Opalka&lt;/Author&gt;&lt;Year&gt;2019&lt;/Year&gt;&lt;RecNum&gt;125&lt;/RecNum&gt;&lt;DisplayText&gt;&lt;style face="superscript"&gt;127&lt;/style&gt;&lt;/DisplayText&gt;&lt;record&gt;&lt;rec-number&gt;125&lt;/rec-number&gt;&lt;foreign-keys&gt;&lt;key app="EN" db-id="2xex0erf4eexr4e2dpbxpdd829xttesxxxdr" timestamp="1715075296"&gt;125&lt;/key&gt;&lt;/foreign-keys&gt;&lt;ref-type name="Journal Article"&gt;17&lt;/ref-type&gt;&lt;contributors&gt;&lt;authors&gt;&lt;author&gt;Opalka, Daniel&lt;/author&gt;&lt;author&gt;Scheurer, Christoph&lt;/author&gt;&lt;author&gt;Reuter, Karsten&lt;/author&gt;&lt;/authors&gt;&lt;/contributors&gt;&lt;titles&gt;&lt;title&gt;Ab Initio Thermodynamics Insight into the Structural Evolution of Working IrO2 Catalysts in Proton-Exchange Membrane Electrolyzers&lt;/title&gt;&lt;secondary-title&gt;ACS Catal.&lt;/secondary-title&gt;&lt;/titles&gt;&lt;periodical&gt;&lt;full-title&gt;ACS Catal.&lt;/full-title&gt;&lt;/periodical&gt;&lt;pages&gt;4944-4950&lt;/pages&gt;&lt;volume&gt;9&lt;/volume&gt;&lt;number&gt;6&lt;/number&gt;&lt;dates&gt;&lt;year&gt;2019&lt;/year&gt;&lt;pub-dates&gt;&lt;date&gt;2019/06/07&lt;/date&gt;&lt;/pub-dates&gt;&lt;/dates&gt;&lt;publisher&gt;American Chemical Society&lt;/publisher&gt;&lt;urls&gt;&lt;related-urls&gt;&lt;url&gt;https://doi.org/10.1021/acscatal.9b00796&lt;/url&gt;&lt;/related-urls&gt;&lt;/urls&gt;&lt;electronic-resource-num&gt;10.1021/acscatal.9b00796&lt;/electronic-resource-num&gt;&lt;/record&gt;&lt;/Cite&gt;&lt;/EndNote&gt;</w:instrText>
      </w:r>
      <w:r w:rsidRPr="00282227">
        <w:rPr>
          <w:iCs/>
        </w:rPr>
        <w:fldChar w:fldCharType="separate"/>
      </w:r>
      <w:r w:rsidR="00FC5BEB" w:rsidRPr="00FC5BEB">
        <w:rPr>
          <w:iCs/>
          <w:noProof/>
          <w:vertAlign w:val="superscript"/>
        </w:rPr>
        <w:t>127</w:t>
      </w:r>
      <w:r w:rsidRPr="00282227">
        <w:fldChar w:fldCharType="end"/>
      </w:r>
      <w:r w:rsidRPr="00282227">
        <w:rPr>
          <w:iCs/>
        </w:rPr>
        <w:t>, their surface phase diagram also predicted an abrupt switch from *OH (</w:t>
      </w:r>
      <w:proofErr w:type="spellStart"/>
      <w:r w:rsidRPr="00282227">
        <w:rPr>
          <w:iCs/>
        </w:rPr>
        <w:t>OH</w:t>
      </w:r>
      <w:r w:rsidRPr="00282227">
        <w:rPr>
          <w:iCs/>
          <w:vertAlign w:val="superscript"/>
        </w:rPr>
        <w:t>cus</w:t>
      </w:r>
      <w:proofErr w:type="spellEnd"/>
      <w:r w:rsidRPr="00282227">
        <w:rPr>
          <w:iCs/>
        </w:rPr>
        <w:t>) to a completely *OO (</w:t>
      </w:r>
      <w:proofErr w:type="spellStart"/>
      <w:r w:rsidRPr="00282227">
        <w:rPr>
          <w:iCs/>
        </w:rPr>
        <w:t>OO</w:t>
      </w:r>
      <w:r w:rsidRPr="00282227">
        <w:rPr>
          <w:iCs/>
          <w:vertAlign w:val="superscript"/>
        </w:rPr>
        <w:t>cus</w:t>
      </w:r>
      <w:proofErr w:type="spellEnd"/>
      <w:r w:rsidRPr="00282227">
        <w:rPr>
          <w:iCs/>
        </w:rPr>
        <w:t>) covered surface at around 1.35 V vs NHE. In a proposed elementary step, two neighboring *OO (</w:t>
      </w:r>
      <w:proofErr w:type="spellStart"/>
      <w:r w:rsidRPr="00282227">
        <w:rPr>
          <w:iCs/>
        </w:rPr>
        <w:t>OO</w:t>
      </w:r>
      <w:r w:rsidRPr="00282227">
        <w:rPr>
          <w:iCs/>
          <w:vertAlign w:val="superscript"/>
        </w:rPr>
        <w:t>cus</w:t>
      </w:r>
      <w:proofErr w:type="spellEnd"/>
      <w:r w:rsidRPr="00282227">
        <w:rPr>
          <w:iCs/>
        </w:rPr>
        <w:t>) would recombine, leaving behind two oxo/</w:t>
      </w:r>
      <w:proofErr w:type="spellStart"/>
      <w:r w:rsidRPr="00282227">
        <w:rPr>
          <w:iCs/>
        </w:rPr>
        <w:t>oxyl</w:t>
      </w:r>
      <w:proofErr w:type="spellEnd"/>
      <w:r w:rsidRPr="00282227">
        <w:rPr>
          <w:iCs/>
        </w:rPr>
        <w:t xml:space="preserve"> species, without the need of forming empty CUS sites. For the conventional O</w:t>
      </w:r>
      <w:r w:rsidRPr="00282227">
        <w:rPr>
          <w:iCs/>
          <w:vertAlign w:val="subscript"/>
        </w:rPr>
        <w:t>2</w:t>
      </w:r>
      <w:r w:rsidRPr="00282227">
        <w:rPr>
          <w:iCs/>
        </w:rPr>
        <w:t xml:space="preserve"> desorption, the authors calculate an activation barrier of 0.95 eV, whereas the direct coupling of two *OO (</w:t>
      </w:r>
      <w:proofErr w:type="spellStart"/>
      <w:r w:rsidRPr="00282227">
        <w:rPr>
          <w:iCs/>
        </w:rPr>
        <w:t>OO</w:t>
      </w:r>
      <w:r w:rsidRPr="00282227">
        <w:rPr>
          <w:iCs/>
          <w:vertAlign w:val="superscript"/>
        </w:rPr>
        <w:t>cus</w:t>
      </w:r>
      <w:proofErr w:type="spellEnd"/>
      <w:r w:rsidRPr="00282227">
        <w:rPr>
          <w:iCs/>
        </w:rPr>
        <w:t>) only required 0.34 eV. This O</w:t>
      </w:r>
      <w:r w:rsidRPr="00282227">
        <w:rPr>
          <w:iCs/>
          <w:vertAlign w:val="subscript"/>
        </w:rPr>
        <w:t>2</w:t>
      </w:r>
      <w:r w:rsidRPr="00282227">
        <w:rPr>
          <w:iCs/>
        </w:rPr>
        <w:t xml:space="preserve"> desorption step was calculated to be almost unaffected by capacitive charging. From their free energy profiles, they proposed that H</w:t>
      </w:r>
      <w:r w:rsidRPr="00282227">
        <w:rPr>
          <w:iCs/>
          <w:vertAlign w:val="subscript"/>
        </w:rPr>
        <w:t>2</w:t>
      </w:r>
      <w:r w:rsidRPr="00282227">
        <w:rPr>
          <w:iCs/>
        </w:rPr>
        <w:t>O dissociation over two neighboring *O (</w:t>
      </w:r>
      <w:proofErr w:type="spellStart"/>
      <w:r w:rsidRPr="00282227">
        <w:rPr>
          <w:iCs/>
        </w:rPr>
        <w:t>O</w:t>
      </w:r>
      <w:r w:rsidRPr="00282227">
        <w:rPr>
          <w:iCs/>
          <w:vertAlign w:val="superscript"/>
        </w:rPr>
        <w:t>cus</w:t>
      </w:r>
      <w:proofErr w:type="spellEnd"/>
      <w:r w:rsidRPr="00282227">
        <w:rPr>
          <w:iCs/>
        </w:rPr>
        <w:t>) is the RDS of the novel OER mechanism on IrO</w:t>
      </w:r>
      <w:r w:rsidRPr="00282227">
        <w:rPr>
          <w:iCs/>
          <w:vertAlign w:val="subscript"/>
        </w:rPr>
        <w:t>2</w:t>
      </w:r>
      <w:r w:rsidRPr="00282227">
        <w:rPr>
          <w:iCs/>
        </w:rPr>
        <w:t>(110) in the OER relevant potential range. However, at low overpotentials, close to the OER equilibrium potential, the O</w:t>
      </w:r>
      <w:r w:rsidRPr="00282227">
        <w:rPr>
          <w:iCs/>
          <w:vertAlign w:val="subscript"/>
        </w:rPr>
        <w:t>2</w:t>
      </w:r>
      <w:r w:rsidRPr="00282227">
        <w:rPr>
          <w:iCs/>
        </w:rPr>
        <w:t>-evolution step via two *OO (</w:t>
      </w:r>
      <w:proofErr w:type="spellStart"/>
      <w:r w:rsidRPr="00282227">
        <w:rPr>
          <w:iCs/>
        </w:rPr>
        <w:t>OO</w:t>
      </w:r>
      <w:r w:rsidRPr="00282227">
        <w:rPr>
          <w:iCs/>
          <w:vertAlign w:val="superscript"/>
        </w:rPr>
        <w:t>cus</w:t>
      </w:r>
      <w:proofErr w:type="spellEnd"/>
      <w:r w:rsidRPr="00282227">
        <w:rPr>
          <w:iCs/>
        </w:rPr>
        <w:t>) is the critical elementary step, and hence, the RDS. Based on these mechanistic and kinetic arguments, the surface with a limiting *OO (</w:t>
      </w:r>
      <w:proofErr w:type="spellStart"/>
      <w:r w:rsidRPr="00282227">
        <w:rPr>
          <w:iCs/>
        </w:rPr>
        <w:t>OO</w:t>
      </w:r>
      <w:r w:rsidRPr="00282227">
        <w:rPr>
          <w:iCs/>
          <w:vertAlign w:val="superscript"/>
        </w:rPr>
        <w:t>cus</w:t>
      </w:r>
      <w:proofErr w:type="spellEnd"/>
      <w:r w:rsidRPr="00282227">
        <w:rPr>
          <w:iCs/>
        </w:rPr>
        <w:t>) recombination step would be dominantly covered by *OO (</w:t>
      </w:r>
      <w:proofErr w:type="spellStart"/>
      <w:r w:rsidRPr="00282227">
        <w:rPr>
          <w:iCs/>
        </w:rPr>
        <w:t>OO</w:t>
      </w:r>
      <w:r w:rsidRPr="00282227">
        <w:rPr>
          <w:iCs/>
          <w:vertAlign w:val="superscript"/>
        </w:rPr>
        <w:t>cus</w:t>
      </w:r>
      <w:proofErr w:type="spellEnd"/>
      <w:r w:rsidRPr="00282227">
        <w:rPr>
          <w:iCs/>
        </w:rPr>
        <w:t>), whereas at potentials with limiting H</w:t>
      </w:r>
      <w:r w:rsidRPr="00282227">
        <w:rPr>
          <w:iCs/>
          <w:vertAlign w:val="subscript"/>
        </w:rPr>
        <w:t>2</w:t>
      </w:r>
      <w:r w:rsidRPr="00282227">
        <w:rPr>
          <w:iCs/>
        </w:rPr>
        <w:t>O dissociation the surface would be covered with *O (</w:t>
      </w:r>
      <w:proofErr w:type="spellStart"/>
      <w:r w:rsidRPr="00282227">
        <w:rPr>
          <w:iCs/>
        </w:rPr>
        <w:t>O</w:t>
      </w:r>
      <w:r w:rsidRPr="00282227">
        <w:rPr>
          <w:iCs/>
          <w:vertAlign w:val="superscript"/>
        </w:rPr>
        <w:t>cus</w:t>
      </w:r>
      <w:proofErr w:type="spellEnd"/>
      <w:r w:rsidRPr="00282227">
        <w:rPr>
          <w:iCs/>
        </w:rPr>
        <w:t xml:space="preserve">). </w:t>
      </w:r>
    </w:p>
    <w:p w14:paraId="0C7B4325" w14:textId="77777777" w:rsidR="00E87282" w:rsidRPr="00282227" w:rsidRDefault="00E87282" w:rsidP="0039761C">
      <w:pPr>
        <w:ind w:firstLine="720"/>
        <w:rPr>
          <w:iCs/>
        </w:rPr>
      </w:pPr>
    </w:p>
    <w:p w14:paraId="1E9C2BB5" w14:textId="17255807" w:rsidR="00E87282" w:rsidRPr="0039761C" w:rsidRDefault="00E87282" w:rsidP="00E87282">
      <w:pPr>
        <w:ind w:firstLine="720"/>
      </w:pPr>
      <w:r w:rsidRPr="0039761C">
        <w:t xml:space="preserve">Before concluding on these models and predictions over the iridium oxide surface phase diagrams and their implication for OER, let us review some critical experimental observations. </w:t>
      </w:r>
      <w:r w:rsidRPr="0039761C">
        <w:rPr>
          <w:iCs/>
        </w:rPr>
        <w:t xml:space="preserve">Pearce </w:t>
      </w:r>
      <w:r>
        <w:rPr>
          <w:iCs/>
        </w:rPr>
        <w:t>et al.</w:t>
      </w:r>
      <w:r w:rsidRPr="0039761C">
        <w:rPr>
          <w:iCs/>
        </w:rPr>
        <w:fldChar w:fldCharType="begin"/>
      </w:r>
      <w:r w:rsidR="00FC5BEB">
        <w:rPr>
          <w:iCs/>
        </w:rPr>
        <w:instrText xml:space="preserve"> ADDIN EN.CITE &lt;EndNote&gt;&lt;Cite&gt;&lt;Author&gt;Pearce&lt;/Author&gt;&lt;Year&gt;2019&lt;/Year&gt;&lt;RecNum&gt;405&lt;/RecNum&gt;&lt;DisplayText&gt;&lt;style face="superscript"&gt;407&lt;/style&gt;&lt;/DisplayText&gt;&lt;record&gt;&lt;rec-number&gt;405&lt;/rec-number&gt;&lt;foreign-keys&gt;&lt;key app="EN" db-id="2xex0erf4eexr4e2dpbxpdd829xttesxxxdr" timestamp="1715075297"&gt;405&lt;/key&gt;&lt;/foreign-keys&gt;&lt;ref-type name="Journal Article"&gt;17&lt;/ref-type&gt;&lt;contributors&gt;&lt;authors&gt;&lt;author&gt;Pearce, Paul E.&lt;/author&gt;&lt;author&gt;Yang, Chunzhen&lt;/author&gt;&lt;author&gt;Iadecola, Antonella&lt;/author&gt;&lt;author&gt;Rodriguez-Carvajal, Juan&lt;/author&gt;&lt;author&gt;Rousse, Gwenaëlle&lt;/author&gt;&lt;author&gt;Dedryvère, Rémi&lt;/author&gt;&lt;author&gt;Abakumov, Artem M.&lt;/author&gt;&lt;author&gt;Giaume, Domitille&lt;/author&gt;&lt;author&gt;Deschamps, Michael&lt;/author&gt;&lt;author&gt;Tarascon, Jean-Marie&lt;/author&gt;&lt;author&gt;Grimaud, Alexis&lt;/author&gt;&lt;/authors&gt;&lt;/contributors&gt;&lt;titles&gt;&lt;title&gt;Revealing the Reactivity of the Iridium Trioxide Intermediate for the Oxygen Evolution Reaction in Acidic Media&lt;/title&gt;&lt;secondary-title&gt;Chemistry of Materials&lt;/secondary-title&gt;&lt;/titles&gt;&lt;periodical&gt;&lt;full-title&gt;Chemistry of Materials&lt;/full-title&gt;&lt;abbr-1&gt;Chem. Mater.&lt;/abbr-1&gt;&lt;abbr-2&gt;Chem Mater&lt;/abbr-2&gt;&lt;/periodical&gt;&lt;pages&gt;5845-5855&lt;/pages&gt;&lt;volume&gt;31&lt;/volume&gt;&lt;number&gt;15&lt;/number&gt;&lt;dates&gt;&lt;year&gt;2019&lt;/year&gt;&lt;pub-dates&gt;&lt;date&gt;2019/08/13&lt;/date&gt;&lt;/pub-dates&gt;&lt;/dates&gt;&lt;publisher&gt;American Chemical Society&lt;/publisher&gt;&lt;isbn&gt;0897-4756&lt;/isbn&gt;&lt;urls&gt;&lt;related-urls&gt;&lt;url&gt;https://doi.org/10.1021/acs.chemmater.9b01976&lt;/url&gt;&lt;/related-urls&gt;&lt;/urls&gt;&lt;electronic-resource-num&gt;10.1021/acs.chemmater.9b01976&lt;/electronic-resource-num&gt;&lt;/record&gt;&lt;/Cite&gt;&lt;/EndNote&gt;</w:instrText>
      </w:r>
      <w:r w:rsidRPr="0039761C">
        <w:rPr>
          <w:iCs/>
        </w:rPr>
        <w:fldChar w:fldCharType="separate"/>
      </w:r>
      <w:r w:rsidR="00FC5BEB" w:rsidRPr="00FC5BEB">
        <w:rPr>
          <w:iCs/>
          <w:noProof/>
          <w:vertAlign w:val="superscript"/>
        </w:rPr>
        <w:t>407</w:t>
      </w:r>
      <w:r w:rsidRPr="0039761C">
        <w:fldChar w:fldCharType="end"/>
      </w:r>
      <w:r w:rsidRPr="0039761C">
        <w:rPr>
          <w:iCs/>
        </w:rPr>
        <w:t xml:space="preserve"> prepared Li</w:t>
      </w:r>
      <w:r w:rsidRPr="0039761C">
        <w:rPr>
          <w:iCs/>
          <w:vertAlign w:val="subscript"/>
        </w:rPr>
        <w:t>x</w:t>
      </w:r>
      <w:r w:rsidRPr="0039761C">
        <w:rPr>
          <w:iCs/>
        </w:rPr>
        <w:t>IrO</w:t>
      </w:r>
      <w:r w:rsidRPr="0039761C">
        <w:rPr>
          <w:iCs/>
          <w:vertAlign w:val="subscript"/>
        </w:rPr>
        <w:t>3</w:t>
      </w:r>
      <w:r w:rsidRPr="0039761C">
        <w:rPr>
          <w:iCs/>
        </w:rPr>
        <w:t xml:space="preserve"> (x being 1, 0.5 and 0) from β-Li</w:t>
      </w:r>
      <w:r w:rsidRPr="0039761C">
        <w:rPr>
          <w:iCs/>
          <w:vertAlign w:val="subscript"/>
        </w:rPr>
        <w:t>2</w:t>
      </w:r>
      <w:r w:rsidRPr="0039761C">
        <w:rPr>
          <w:iCs/>
        </w:rPr>
        <w:t>IrO</w:t>
      </w:r>
      <w:r w:rsidRPr="0039761C">
        <w:rPr>
          <w:iCs/>
          <w:vertAlign w:val="subscript"/>
        </w:rPr>
        <w:t>3</w:t>
      </w:r>
      <w:r w:rsidRPr="0039761C">
        <w:rPr>
          <w:iCs/>
        </w:rPr>
        <w:t xml:space="preserve">, a model Li-ion battery electrode, under organic electrolytes containing no water by electrochemical </w:t>
      </w:r>
      <w:proofErr w:type="spellStart"/>
      <w:r w:rsidRPr="0039761C">
        <w:rPr>
          <w:iCs/>
        </w:rPr>
        <w:t>delithiation</w:t>
      </w:r>
      <w:proofErr w:type="spellEnd"/>
      <w:r w:rsidRPr="0039761C">
        <w:rPr>
          <w:iCs/>
        </w:rPr>
        <w:t xml:space="preserve">. Then, the chemical reactivity of the </w:t>
      </w:r>
      <w:proofErr w:type="spellStart"/>
      <w:r w:rsidRPr="0039761C">
        <w:rPr>
          <w:iCs/>
        </w:rPr>
        <w:t>delithiated</w:t>
      </w:r>
      <w:proofErr w:type="spellEnd"/>
      <w:r w:rsidRPr="0039761C">
        <w:rPr>
          <w:iCs/>
        </w:rPr>
        <w:t xml:space="preserve"> products towards water and their stability was investigated (</w:t>
      </w:r>
      <w:r>
        <w:rPr>
          <w:iCs/>
        </w:rPr>
        <w:fldChar w:fldCharType="begin"/>
      </w:r>
      <w:r>
        <w:rPr>
          <w:iCs/>
        </w:rPr>
        <w:instrText xml:space="preserve"> REF _Ref159522547 \h </w:instrText>
      </w:r>
      <w:r>
        <w:rPr>
          <w:iCs/>
        </w:rPr>
      </w:r>
      <w:r>
        <w:rPr>
          <w:iCs/>
        </w:rPr>
        <w:fldChar w:fldCharType="separate"/>
      </w:r>
      <w:r w:rsidRPr="0039761C">
        <w:rPr>
          <w:b/>
          <w:bCs/>
        </w:rPr>
        <w:t xml:space="preserve">Figure </w:t>
      </w:r>
      <w:r>
        <w:rPr>
          <w:b/>
          <w:bCs/>
          <w:noProof/>
        </w:rPr>
        <w:t>31</w:t>
      </w:r>
      <w:r>
        <w:rPr>
          <w:iCs/>
        </w:rPr>
        <w:fldChar w:fldCharType="end"/>
      </w:r>
      <w:r w:rsidRPr="0039761C">
        <w:rPr>
          <w:iCs/>
        </w:rPr>
        <w:t xml:space="preserve">). </w:t>
      </w:r>
      <w:proofErr w:type="spellStart"/>
      <w:r w:rsidRPr="0039761C">
        <w:rPr>
          <w:iCs/>
        </w:rPr>
        <w:t>Ir</w:t>
      </w:r>
      <w:proofErr w:type="spellEnd"/>
      <w:r w:rsidRPr="0039761C">
        <w:rPr>
          <w:iCs/>
        </w:rPr>
        <w:t xml:space="preserve"> L</w:t>
      </w:r>
      <w:r w:rsidRPr="0039761C">
        <w:rPr>
          <w:iCs/>
          <w:vertAlign w:val="subscript"/>
        </w:rPr>
        <w:t>3</w:t>
      </w:r>
      <w:r w:rsidRPr="0039761C">
        <w:rPr>
          <w:iCs/>
        </w:rPr>
        <w:t xml:space="preserve">-edge </w:t>
      </w:r>
      <w:r>
        <w:rPr>
          <w:iCs/>
        </w:rPr>
        <w:t>XAS</w:t>
      </w:r>
      <w:r w:rsidRPr="0039761C">
        <w:rPr>
          <w:iCs/>
        </w:rPr>
        <w:t xml:space="preserve"> experiments suggested an iridium oxidation state close to formally </w:t>
      </w:r>
      <w:proofErr w:type="spellStart"/>
      <w:r w:rsidRPr="0039761C">
        <w:rPr>
          <w:iCs/>
        </w:rPr>
        <w:t>Ir</w:t>
      </w:r>
      <w:proofErr w:type="spellEnd"/>
      <w:r>
        <w:rPr>
          <w:iCs/>
        </w:rPr>
        <w:t>(V)</w:t>
      </w:r>
      <w:r w:rsidRPr="0039761C">
        <w:rPr>
          <w:iCs/>
        </w:rPr>
        <w:t xml:space="preserve"> of these materials, irrespective of the </w:t>
      </w:r>
      <w:proofErr w:type="spellStart"/>
      <w:r w:rsidRPr="0039761C">
        <w:rPr>
          <w:iCs/>
        </w:rPr>
        <w:t>delithiation</w:t>
      </w:r>
      <w:proofErr w:type="spellEnd"/>
      <w:r w:rsidRPr="0039761C">
        <w:rPr>
          <w:iCs/>
        </w:rPr>
        <w:t xml:space="preserve"> degree, indicative of a charge counterbalance by the oxygen ligand forming electrophilic O species. The electrophilic character of the oxygen ligand in a similar material after </w:t>
      </w:r>
      <w:proofErr w:type="spellStart"/>
      <w:r w:rsidRPr="0039761C">
        <w:rPr>
          <w:iCs/>
        </w:rPr>
        <w:t>delithiated</w:t>
      </w:r>
      <w:proofErr w:type="spellEnd"/>
      <w:r w:rsidRPr="0039761C">
        <w:rPr>
          <w:iCs/>
        </w:rPr>
        <w:t xml:space="preserve"> was demonstrated previously.</w:t>
      </w:r>
      <w:r w:rsidRPr="0039761C">
        <w:rPr>
          <w:iCs/>
        </w:rPr>
        <w:fldChar w:fldCharType="begin"/>
      </w:r>
      <w:r w:rsidR="00FC5BEB">
        <w:rPr>
          <w:iCs/>
        </w:rPr>
        <w:instrText xml:space="preserve"> ADDIN EN.CITE &lt;EndNote&gt;&lt;Cite&gt;&lt;Author&gt;Grimaud&lt;/Author&gt;&lt;Year&gt;2016&lt;/Year&gt;&lt;RecNum&gt;406&lt;/RecNum&gt;&lt;DisplayText&gt;&lt;style face="superscript"&gt;408&lt;/style&gt;&lt;/DisplayText&gt;&lt;record&gt;&lt;rec-number&gt;406&lt;/rec-number&gt;&lt;foreign-keys&gt;&lt;key app="EN" db-id="2xex0erf4eexr4e2dpbxpdd829xttesxxxdr" timestamp="1715075297"&gt;406&lt;/key&gt;&lt;/foreign-keys&gt;&lt;ref-type name="Journal Article"&gt;17&lt;/ref-type&gt;&lt;contributors&gt;&lt;authors&gt;&lt;author&gt;Grimaud, Alexis&lt;/author&gt;&lt;author&gt;Demortière, Arnaud&lt;/author&gt;&lt;author&gt;Saubanère, Matthieu&lt;/author&gt;&lt;author&gt;Dachraoui, Walid&lt;/author&gt;&lt;author&gt;Duchamp, Martial&lt;/author&gt;&lt;author&gt;Doublet, Marie-Liesse&lt;/author&gt;&lt;author&gt;Tarascon, Jean-Marie&lt;/author&gt;&lt;/authors&gt;&lt;/contributors&gt;&lt;titles&gt;&lt;title&gt;Activation of surface oxygen sites on an iridium-based model catalyst for the oxygen evolution reaction&lt;/title&gt;&lt;secondary-title&gt;Nat. Energy&lt;/secondary-title&gt;&lt;/titles&gt;&lt;periodical&gt;&lt;full-title&gt;Nat. Energy&lt;/full-title&gt;&lt;abbr-1&gt;Nat. Energy&lt;/abbr-1&gt;&lt;/periodical&gt;&lt;pages&gt;16189-16189&lt;/pages&gt;&lt;volume&gt;2&lt;/volume&gt;&lt;number&gt;1&lt;/number&gt;&lt;dates&gt;&lt;year&gt;2016&lt;/year&gt;&lt;/dates&gt;&lt;urls&gt;&lt;related-urls&gt;&lt;url&gt;https://doi.org/10.1038/nenergy.2016.189&lt;/url&gt;&lt;/related-urls&gt;&lt;/urls&gt;&lt;electronic-resource-num&gt;10.1038/nenergy.2016.189&lt;/electronic-resource-num&gt;&lt;/record&gt;&lt;/Cite&gt;&lt;/EndNote&gt;</w:instrText>
      </w:r>
      <w:r w:rsidRPr="0039761C">
        <w:rPr>
          <w:iCs/>
        </w:rPr>
        <w:fldChar w:fldCharType="separate"/>
      </w:r>
      <w:r w:rsidR="00FC5BEB" w:rsidRPr="00FC5BEB">
        <w:rPr>
          <w:iCs/>
          <w:noProof/>
          <w:vertAlign w:val="superscript"/>
        </w:rPr>
        <w:t>408</w:t>
      </w:r>
      <w:r w:rsidRPr="0039761C">
        <w:fldChar w:fldCharType="end"/>
      </w:r>
      <w:r w:rsidRPr="0039761C">
        <w:rPr>
          <w:iCs/>
        </w:rPr>
        <w:t xml:space="preserve"> The </w:t>
      </w:r>
      <w:proofErr w:type="spellStart"/>
      <w:r w:rsidRPr="0039761C">
        <w:rPr>
          <w:iCs/>
        </w:rPr>
        <w:t>delithiated</w:t>
      </w:r>
      <w:proofErr w:type="spellEnd"/>
      <w:r w:rsidRPr="0039761C">
        <w:rPr>
          <w:iCs/>
        </w:rPr>
        <w:t xml:space="preserve"> products reacted with water (1 M H</w:t>
      </w:r>
      <w:r w:rsidRPr="0039761C">
        <w:rPr>
          <w:iCs/>
          <w:vertAlign w:val="subscript"/>
        </w:rPr>
        <w:t>2</w:t>
      </w:r>
      <w:r w:rsidRPr="0039761C">
        <w:rPr>
          <w:iCs/>
        </w:rPr>
        <w:t>SO</w:t>
      </w:r>
      <w:r w:rsidRPr="0039761C">
        <w:rPr>
          <w:iCs/>
          <w:vertAlign w:val="subscript"/>
        </w:rPr>
        <w:t>4</w:t>
      </w:r>
      <w:r w:rsidRPr="0039761C">
        <w:rPr>
          <w:iCs/>
        </w:rPr>
        <w:t>) and based on X-ray and neutron diffraction analysis produced β-H</w:t>
      </w:r>
      <w:r w:rsidRPr="0039761C">
        <w:rPr>
          <w:iCs/>
          <w:vertAlign w:val="subscript"/>
        </w:rPr>
        <w:t>2</w:t>
      </w:r>
      <w:r w:rsidRPr="0039761C">
        <w:rPr>
          <w:iCs/>
        </w:rPr>
        <w:t>IrO</w:t>
      </w:r>
      <w:r w:rsidRPr="0039761C">
        <w:rPr>
          <w:iCs/>
          <w:vertAlign w:val="subscript"/>
        </w:rPr>
        <w:t>3</w:t>
      </w:r>
      <w:r w:rsidRPr="0039761C">
        <w:t xml:space="preserve">. While </w:t>
      </w:r>
      <w:proofErr w:type="spellStart"/>
      <w:r w:rsidRPr="0039761C">
        <w:t>Ir</w:t>
      </w:r>
      <w:proofErr w:type="spellEnd"/>
      <w:r w:rsidRPr="0039761C">
        <w:t xml:space="preserve"> L</w:t>
      </w:r>
      <w:r w:rsidRPr="0039761C">
        <w:rPr>
          <w:vertAlign w:val="subscript"/>
        </w:rPr>
        <w:t>3</w:t>
      </w:r>
      <w:r w:rsidRPr="0039761C">
        <w:t xml:space="preserve">-edge XAS suggested an intermediate oxidation state between </w:t>
      </w:r>
      <w:proofErr w:type="spellStart"/>
      <w:proofErr w:type="gramStart"/>
      <w:r w:rsidRPr="0039761C">
        <w:t>Ir</w:t>
      </w:r>
      <w:proofErr w:type="spellEnd"/>
      <w:r w:rsidRPr="0039761C">
        <w:t>(</w:t>
      </w:r>
      <w:proofErr w:type="gramEnd"/>
      <w:r w:rsidRPr="0039761C">
        <w:t>IV)/</w:t>
      </w:r>
      <w:proofErr w:type="spellStart"/>
      <w:r w:rsidRPr="0039761C">
        <w:t>Ir</w:t>
      </w:r>
      <w:proofErr w:type="spellEnd"/>
      <w:r w:rsidRPr="0039761C">
        <w:t>(V) after soaking in water, ex situ XPS analysis confirmed the predominance of OH</w:t>
      </w:r>
      <w:r w:rsidRPr="0039761C">
        <w:rPr>
          <w:vertAlign w:val="superscript"/>
        </w:rPr>
        <w:t>-</w:t>
      </w:r>
      <w:r w:rsidRPr="0039761C">
        <w:t xml:space="preserve"> species on the surface. The (partially) </w:t>
      </w:r>
      <w:proofErr w:type="spellStart"/>
      <w:r w:rsidRPr="0039761C">
        <w:t>delithiated</w:t>
      </w:r>
      <w:proofErr w:type="spellEnd"/>
      <w:r w:rsidRPr="0039761C">
        <w:t xml:space="preserve"> products evolved oxygen in the acid solution without the application of an external potential; the stronger the material was </w:t>
      </w:r>
      <w:proofErr w:type="spellStart"/>
      <w:r w:rsidRPr="0039761C">
        <w:t>delithiated</w:t>
      </w:r>
      <w:proofErr w:type="spellEnd"/>
      <w:r w:rsidRPr="0039761C">
        <w:t>, hence more oxidized, the more O</w:t>
      </w:r>
      <w:r w:rsidRPr="0039761C">
        <w:rPr>
          <w:vertAlign w:val="subscript"/>
        </w:rPr>
        <w:t>2</w:t>
      </w:r>
      <w:r w:rsidRPr="0039761C">
        <w:t xml:space="preserve"> was produced. Almost no O</w:t>
      </w:r>
      <w:r w:rsidRPr="0039761C">
        <w:rPr>
          <w:vertAlign w:val="subscript"/>
        </w:rPr>
        <w:t>2</w:t>
      </w:r>
      <w:r w:rsidRPr="0039761C">
        <w:t xml:space="preserve"> evolved when </w:t>
      </w:r>
      <w:r w:rsidRPr="0039761C">
        <w:rPr>
          <w:iCs/>
        </w:rPr>
        <w:t>β-Li</w:t>
      </w:r>
      <w:r w:rsidRPr="0039761C">
        <w:rPr>
          <w:iCs/>
          <w:vertAlign w:val="subscript"/>
        </w:rPr>
        <w:t>1</w:t>
      </w:r>
      <w:r w:rsidRPr="0039761C">
        <w:rPr>
          <w:iCs/>
        </w:rPr>
        <w:t>IrO</w:t>
      </w:r>
      <w:r w:rsidRPr="0039761C">
        <w:rPr>
          <w:iCs/>
          <w:vertAlign w:val="subscript"/>
        </w:rPr>
        <w:t>3</w:t>
      </w:r>
      <w:r w:rsidRPr="0039761C">
        <w:rPr>
          <w:iCs/>
        </w:rPr>
        <w:t xml:space="preserve"> was contacted with the acid solution. Hence IrO</w:t>
      </w:r>
      <w:r w:rsidRPr="0039761C">
        <w:rPr>
          <w:iCs/>
          <w:vertAlign w:val="subscript"/>
        </w:rPr>
        <w:t>3</w:t>
      </w:r>
      <w:r w:rsidRPr="0039761C">
        <w:rPr>
          <w:iCs/>
        </w:rPr>
        <w:t xml:space="preserve"> (and the other </w:t>
      </w:r>
      <w:proofErr w:type="spellStart"/>
      <w:r w:rsidRPr="0039761C">
        <w:rPr>
          <w:iCs/>
        </w:rPr>
        <w:t>delithiated</w:t>
      </w:r>
      <w:proofErr w:type="spellEnd"/>
      <w:r w:rsidRPr="0039761C">
        <w:rPr>
          <w:iCs/>
        </w:rPr>
        <w:t>) products are unstable in acidic electrolyte, producing O</w:t>
      </w:r>
      <w:r w:rsidRPr="0039761C">
        <w:rPr>
          <w:iCs/>
          <w:vertAlign w:val="subscript"/>
        </w:rPr>
        <w:t>2</w:t>
      </w:r>
      <w:r w:rsidRPr="0039761C">
        <w:rPr>
          <w:iCs/>
        </w:rPr>
        <w:t xml:space="preserve"> but also undergoing </w:t>
      </w:r>
      <w:proofErr w:type="spellStart"/>
      <w:r w:rsidRPr="0039761C">
        <w:rPr>
          <w:iCs/>
        </w:rPr>
        <w:t>Ir</w:t>
      </w:r>
      <w:proofErr w:type="spellEnd"/>
      <w:r w:rsidRPr="0039761C">
        <w:rPr>
          <w:iCs/>
        </w:rPr>
        <w:t xml:space="preserve"> leaching. Again, as with O</w:t>
      </w:r>
      <w:r w:rsidRPr="0039761C">
        <w:rPr>
          <w:iCs/>
          <w:vertAlign w:val="subscript"/>
        </w:rPr>
        <w:t>2</w:t>
      </w:r>
      <w:r w:rsidRPr="0039761C">
        <w:rPr>
          <w:iCs/>
        </w:rPr>
        <w:t xml:space="preserve"> produced, the stronger the </w:t>
      </w:r>
      <w:proofErr w:type="spellStart"/>
      <w:r w:rsidRPr="0039761C">
        <w:rPr>
          <w:iCs/>
        </w:rPr>
        <w:t>delithiation</w:t>
      </w:r>
      <w:proofErr w:type="spellEnd"/>
      <w:r w:rsidRPr="0039761C">
        <w:rPr>
          <w:iCs/>
        </w:rPr>
        <w:t xml:space="preserve">, the more </w:t>
      </w:r>
      <w:proofErr w:type="spellStart"/>
      <w:r w:rsidRPr="0039761C">
        <w:rPr>
          <w:iCs/>
        </w:rPr>
        <w:t>Ir</w:t>
      </w:r>
      <w:proofErr w:type="spellEnd"/>
      <w:r w:rsidRPr="0039761C">
        <w:rPr>
          <w:iCs/>
        </w:rPr>
        <w:t xml:space="preserve"> was leached into the electrolyte. When β-Li</w:t>
      </w:r>
      <w:r w:rsidRPr="0039761C">
        <w:rPr>
          <w:iCs/>
          <w:vertAlign w:val="subscript"/>
        </w:rPr>
        <w:t>2</w:t>
      </w:r>
      <w:r w:rsidRPr="0039761C">
        <w:rPr>
          <w:iCs/>
        </w:rPr>
        <w:t>IrO</w:t>
      </w:r>
      <w:r w:rsidRPr="0039761C">
        <w:rPr>
          <w:iCs/>
          <w:vertAlign w:val="subscript"/>
        </w:rPr>
        <w:t>3</w:t>
      </w:r>
      <w:r w:rsidRPr="0039761C">
        <w:rPr>
          <w:iCs/>
        </w:rPr>
        <w:t xml:space="preserve"> was CV cycled in 1 M H</w:t>
      </w:r>
      <w:r w:rsidRPr="0039761C">
        <w:rPr>
          <w:iCs/>
          <w:vertAlign w:val="subscript"/>
        </w:rPr>
        <w:t>2</w:t>
      </w:r>
      <w:r w:rsidRPr="0039761C">
        <w:rPr>
          <w:iCs/>
        </w:rPr>
        <w:t>SO</w:t>
      </w:r>
      <w:r w:rsidRPr="0039761C">
        <w:rPr>
          <w:iCs/>
          <w:vertAlign w:val="subscript"/>
        </w:rPr>
        <w:t>4</w:t>
      </w:r>
      <w:r w:rsidRPr="0039761C">
        <w:rPr>
          <w:iCs/>
        </w:rPr>
        <w:t>, it turned into β-H</w:t>
      </w:r>
      <w:r w:rsidRPr="0039761C">
        <w:rPr>
          <w:iCs/>
          <w:vertAlign w:val="subscript"/>
        </w:rPr>
        <w:t>2</w:t>
      </w:r>
      <w:r w:rsidRPr="0039761C">
        <w:rPr>
          <w:iCs/>
        </w:rPr>
        <w:t>IrO</w:t>
      </w:r>
      <w:r w:rsidRPr="0039761C">
        <w:rPr>
          <w:iCs/>
          <w:vertAlign w:val="subscript"/>
        </w:rPr>
        <w:t>3</w:t>
      </w:r>
      <w:r w:rsidRPr="0039761C">
        <w:rPr>
          <w:iCs/>
        </w:rPr>
        <w:t>. The redox charge under the CV measured for β-H</w:t>
      </w:r>
      <w:r w:rsidRPr="0039761C">
        <w:rPr>
          <w:iCs/>
          <w:vertAlign w:val="subscript"/>
        </w:rPr>
        <w:t>2</w:t>
      </w:r>
      <w:r w:rsidRPr="0039761C">
        <w:rPr>
          <w:iCs/>
        </w:rPr>
        <w:t>IrO</w:t>
      </w:r>
      <w:r w:rsidRPr="0039761C">
        <w:rPr>
          <w:iCs/>
          <w:vertAlign w:val="subscript"/>
        </w:rPr>
        <w:t>3</w:t>
      </w:r>
      <w:r w:rsidRPr="0039761C">
        <w:rPr>
          <w:iCs/>
        </w:rPr>
        <w:t xml:space="preserve"> was approximately 10% that of β-Li</w:t>
      </w:r>
      <w:r w:rsidRPr="0039761C">
        <w:rPr>
          <w:iCs/>
          <w:vertAlign w:val="subscript"/>
        </w:rPr>
        <w:t>2</w:t>
      </w:r>
      <w:r w:rsidRPr="0039761C">
        <w:rPr>
          <w:iCs/>
        </w:rPr>
        <w:t>IrO</w:t>
      </w:r>
      <w:r w:rsidRPr="0039761C">
        <w:rPr>
          <w:iCs/>
          <w:vertAlign w:val="subscript"/>
        </w:rPr>
        <w:t>3</w:t>
      </w:r>
      <w:r w:rsidRPr="0039761C">
        <w:rPr>
          <w:iCs/>
        </w:rPr>
        <w:t>, suggesting limited and slow proton diffusion in and out of β-H</w:t>
      </w:r>
      <w:r w:rsidRPr="0039761C">
        <w:rPr>
          <w:iCs/>
          <w:vertAlign w:val="subscript"/>
        </w:rPr>
        <w:t>2</w:t>
      </w:r>
      <w:r w:rsidRPr="0039761C">
        <w:rPr>
          <w:iCs/>
        </w:rPr>
        <w:t>IrO</w:t>
      </w:r>
      <w:r w:rsidRPr="0039761C">
        <w:rPr>
          <w:iCs/>
          <w:vertAlign w:val="subscript"/>
        </w:rPr>
        <w:t>3</w:t>
      </w:r>
      <w:r w:rsidRPr="0039761C">
        <w:rPr>
          <w:iCs/>
        </w:rPr>
        <w:t>. The structural stability and redox state of β-H</w:t>
      </w:r>
      <w:r w:rsidRPr="0039761C">
        <w:rPr>
          <w:iCs/>
          <w:vertAlign w:val="subscript"/>
        </w:rPr>
        <w:t>2</w:t>
      </w:r>
      <w:r w:rsidRPr="0039761C">
        <w:rPr>
          <w:iCs/>
        </w:rPr>
        <w:t>IrO</w:t>
      </w:r>
      <w:r w:rsidRPr="0039761C">
        <w:rPr>
          <w:iCs/>
          <w:vertAlign w:val="subscript"/>
        </w:rPr>
        <w:t>3</w:t>
      </w:r>
      <w:r w:rsidRPr="0039761C">
        <w:rPr>
          <w:iCs/>
        </w:rPr>
        <w:t xml:space="preserve"> was investigated by </w:t>
      </w:r>
      <w:r w:rsidRPr="00FE64CB">
        <w:rPr>
          <w:i/>
          <w:iCs/>
        </w:rPr>
        <w:t>operando</w:t>
      </w:r>
      <w:r w:rsidRPr="0039761C">
        <w:rPr>
          <w:iCs/>
        </w:rPr>
        <w:t xml:space="preserve"> XRD and </w:t>
      </w:r>
      <w:proofErr w:type="spellStart"/>
      <w:r w:rsidRPr="0039761C">
        <w:rPr>
          <w:iCs/>
        </w:rPr>
        <w:t>Ir</w:t>
      </w:r>
      <w:proofErr w:type="spellEnd"/>
      <w:r w:rsidRPr="0039761C">
        <w:rPr>
          <w:iCs/>
        </w:rPr>
        <w:t xml:space="preserve"> L</w:t>
      </w:r>
      <w:r w:rsidRPr="0039761C">
        <w:rPr>
          <w:iCs/>
          <w:vertAlign w:val="subscript"/>
        </w:rPr>
        <w:t>3</w:t>
      </w:r>
      <w:r w:rsidRPr="0039761C">
        <w:rPr>
          <w:iCs/>
        </w:rPr>
        <w:t>-edge XAS. When ramping up the potential to 1.65 V vs RHE, small amount of proton extraction and a positive shift of the L</w:t>
      </w:r>
      <w:r w:rsidRPr="0039761C">
        <w:rPr>
          <w:iCs/>
          <w:vertAlign w:val="subscript"/>
        </w:rPr>
        <w:t>3</w:t>
      </w:r>
      <w:r w:rsidRPr="0039761C">
        <w:rPr>
          <w:iCs/>
        </w:rPr>
        <w:t xml:space="preserve"> white line were observed, slightly above that of the water reacted Li</w:t>
      </w:r>
      <w:r w:rsidRPr="0039761C">
        <w:rPr>
          <w:iCs/>
          <w:vertAlign w:val="subscript"/>
        </w:rPr>
        <w:t>x</w:t>
      </w:r>
      <w:r w:rsidRPr="0039761C">
        <w:rPr>
          <w:iCs/>
        </w:rPr>
        <w:t>IrO</w:t>
      </w:r>
      <w:r w:rsidRPr="0039761C">
        <w:rPr>
          <w:iCs/>
          <w:vertAlign w:val="subscript"/>
        </w:rPr>
        <w:t>3</w:t>
      </w:r>
      <w:r w:rsidRPr="0039761C">
        <w:rPr>
          <w:iCs/>
        </w:rPr>
        <w:t xml:space="preserve"> materials, indicative of some minor bulk proton extraction, surface deprotonation and the concomitant overall oxidation of the material, forming electrophilic oxygen species. When normalized by the oxide surface area, β-H</w:t>
      </w:r>
      <w:r w:rsidRPr="0039761C">
        <w:rPr>
          <w:iCs/>
          <w:vertAlign w:val="subscript"/>
        </w:rPr>
        <w:t>2</w:t>
      </w:r>
      <w:r w:rsidRPr="0039761C">
        <w:rPr>
          <w:iCs/>
        </w:rPr>
        <w:t>IrO</w:t>
      </w:r>
      <w:r w:rsidRPr="0039761C">
        <w:rPr>
          <w:iCs/>
          <w:vertAlign w:val="subscript"/>
        </w:rPr>
        <w:t>3</w:t>
      </w:r>
      <w:r w:rsidRPr="0039761C">
        <w:rPr>
          <w:iCs/>
        </w:rPr>
        <w:t xml:space="preserve"> with its amorphous surface layer provides a very good OER activity (0.34 mV overpotential at 10 mA cm</w:t>
      </w:r>
      <w:r w:rsidRPr="0039761C">
        <w:rPr>
          <w:iCs/>
          <w:vertAlign w:val="superscript"/>
        </w:rPr>
        <w:t>-2</w:t>
      </w:r>
      <w:r w:rsidRPr="0039761C">
        <w:rPr>
          <w:iCs/>
          <w:vertAlign w:val="subscript"/>
        </w:rPr>
        <w:t>oxide</w:t>
      </w:r>
      <w:r w:rsidRPr="0039761C">
        <w:rPr>
          <w:iCs/>
        </w:rPr>
        <w:t>) in 1 M H</w:t>
      </w:r>
      <w:r w:rsidRPr="0039761C">
        <w:rPr>
          <w:iCs/>
          <w:vertAlign w:val="subscript"/>
        </w:rPr>
        <w:t>2</w:t>
      </w:r>
      <w:r w:rsidRPr="0039761C">
        <w:rPr>
          <w:iCs/>
        </w:rPr>
        <w:t>SO</w:t>
      </w:r>
      <w:r w:rsidRPr="0039761C">
        <w:rPr>
          <w:iCs/>
          <w:vertAlign w:val="subscript"/>
        </w:rPr>
        <w:t>4</w:t>
      </w:r>
      <w:r w:rsidRPr="0039761C">
        <w:rPr>
          <w:iCs/>
        </w:rPr>
        <w:t>. These results clearly show that IrO</w:t>
      </w:r>
      <w:r w:rsidRPr="0039761C">
        <w:rPr>
          <w:iCs/>
          <w:vertAlign w:val="subscript"/>
        </w:rPr>
        <w:t>3</w:t>
      </w:r>
      <w:r w:rsidRPr="0039761C">
        <w:rPr>
          <w:iCs/>
        </w:rPr>
        <w:t xml:space="preserve"> is not stable in acidic electrolyte, not even under the OER, and that deprotonation will drive formal oxidation state increase. </w:t>
      </w:r>
    </w:p>
    <w:p w14:paraId="7FED89CD" w14:textId="77777777" w:rsidR="00282227" w:rsidRPr="00282227" w:rsidRDefault="00282227" w:rsidP="00282227"/>
    <w:p w14:paraId="56CC7309" w14:textId="4D5E9B3E" w:rsidR="00282227" w:rsidRPr="00282227" w:rsidRDefault="009276D4" w:rsidP="00282227">
      <w:r>
        <w:rPr>
          <w:noProof/>
          <w14:ligatures w14:val="standardContextual"/>
        </w:rPr>
        <w:lastRenderedPageBreak/>
        <w:drawing>
          <wp:inline distT="0" distB="0" distL="0" distR="0" wp14:anchorId="41766B7F" wp14:editId="11AE8309">
            <wp:extent cx="5581650" cy="4083291"/>
            <wp:effectExtent l="0" t="0" r="0" b="6350"/>
            <wp:docPr id="5844772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47720" name="Picture 58447720"/>
                    <pic:cNvPicPr/>
                  </pic:nvPicPr>
                  <pic:blipFill rotWithShape="1">
                    <a:blip r:embed="rId41" cstate="print">
                      <a:extLst>
                        <a:ext uri="{28A0092B-C50C-407E-A947-70E740481C1C}">
                          <a14:useLocalDpi xmlns:a14="http://schemas.microsoft.com/office/drawing/2010/main" val="0"/>
                        </a:ext>
                      </a:extLst>
                    </a:blip>
                    <a:srcRect l="13627" r="9484"/>
                    <a:stretch/>
                  </pic:blipFill>
                  <pic:spPr bwMode="auto">
                    <a:xfrm>
                      <a:off x="0" y="0"/>
                      <a:ext cx="5604805" cy="4100230"/>
                    </a:xfrm>
                    <a:prstGeom prst="rect">
                      <a:avLst/>
                    </a:prstGeom>
                    <a:ln>
                      <a:noFill/>
                    </a:ln>
                    <a:extLst>
                      <a:ext uri="{53640926-AAD7-44D8-BBD7-CCE9431645EC}">
                        <a14:shadowObscured xmlns:a14="http://schemas.microsoft.com/office/drawing/2010/main"/>
                      </a:ext>
                    </a:extLst>
                  </pic:spPr>
                </pic:pic>
              </a:graphicData>
            </a:graphic>
          </wp:inline>
        </w:drawing>
      </w:r>
    </w:p>
    <w:p w14:paraId="226370E6" w14:textId="77777777" w:rsidR="00392521" w:rsidRPr="00392521" w:rsidRDefault="0039761C" w:rsidP="00392521">
      <w:pPr>
        <w:pStyle w:val="Caption"/>
        <w:rPr>
          <w:iCs/>
          <w:lang w:val="en-US"/>
        </w:rPr>
      </w:pPr>
      <w:bookmarkStart w:id="115" w:name="_Ref159522547"/>
      <w:r w:rsidRPr="0039761C">
        <w:rPr>
          <w:b/>
          <w:bCs w:val="0"/>
          <w:sz w:val="22"/>
        </w:rPr>
        <w:t xml:space="preserve">Figure </w:t>
      </w:r>
      <w:r w:rsidRPr="0039761C">
        <w:rPr>
          <w:b/>
          <w:bCs w:val="0"/>
          <w:sz w:val="22"/>
        </w:rPr>
        <w:fldChar w:fldCharType="begin"/>
      </w:r>
      <w:r w:rsidRPr="0039761C">
        <w:rPr>
          <w:b/>
          <w:bCs w:val="0"/>
          <w:sz w:val="22"/>
        </w:rPr>
        <w:instrText xml:space="preserve"> SEQ Figure \* ARABIC </w:instrText>
      </w:r>
      <w:r w:rsidRPr="0039761C">
        <w:rPr>
          <w:b/>
          <w:bCs w:val="0"/>
          <w:sz w:val="22"/>
        </w:rPr>
        <w:fldChar w:fldCharType="separate"/>
      </w:r>
      <w:r w:rsidR="00B52708">
        <w:rPr>
          <w:b/>
          <w:bCs w:val="0"/>
          <w:noProof/>
          <w:sz w:val="22"/>
        </w:rPr>
        <w:t>31</w:t>
      </w:r>
      <w:r w:rsidRPr="0039761C">
        <w:rPr>
          <w:b/>
          <w:bCs w:val="0"/>
          <w:sz w:val="22"/>
        </w:rPr>
        <w:fldChar w:fldCharType="end"/>
      </w:r>
      <w:bookmarkEnd w:id="115"/>
      <w:r w:rsidR="00282227" w:rsidRPr="00282227">
        <w:t xml:space="preserve"> </w:t>
      </w:r>
      <w:r w:rsidR="00282227" w:rsidRPr="00282227">
        <w:rPr>
          <w:iCs/>
        </w:rPr>
        <w:t>Chemical reactivity of oxidized β-Li</w:t>
      </w:r>
      <w:r w:rsidR="00282227" w:rsidRPr="00282227">
        <w:rPr>
          <w:iCs/>
          <w:vertAlign w:val="subscript"/>
        </w:rPr>
        <w:t>2</w:t>
      </w:r>
      <w:r w:rsidR="00282227" w:rsidRPr="00282227">
        <w:rPr>
          <w:iCs/>
        </w:rPr>
        <w:t>IrO</w:t>
      </w:r>
      <w:r w:rsidR="00282227" w:rsidRPr="00282227">
        <w:rPr>
          <w:iCs/>
          <w:vertAlign w:val="subscript"/>
        </w:rPr>
        <w:t>3</w:t>
      </w:r>
      <w:r w:rsidR="00282227" w:rsidRPr="00282227">
        <w:rPr>
          <w:iCs/>
        </w:rPr>
        <w:t xml:space="preserve"> with acid. </w:t>
      </w:r>
      <w:r w:rsidR="00FA3D7E">
        <w:rPr>
          <w:iCs/>
        </w:rPr>
        <w:t>(a</w:t>
      </w:r>
      <w:r w:rsidR="00282227" w:rsidRPr="00282227">
        <w:rPr>
          <w:iCs/>
        </w:rPr>
        <w:t xml:space="preserve">) Evolution of the white line energy position of the </w:t>
      </w:r>
      <w:proofErr w:type="spellStart"/>
      <w:r w:rsidR="00282227" w:rsidRPr="00282227">
        <w:rPr>
          <w:iCs/>
        </w:rPr>
        <w:t>Ir</w:t>
      </w:r>
      <w:proofErr w:type="spellEnd"/>
      <w:r w:rsidR="00282227" w:rsidRPr="00282227">
        <w:rPr>
          <w:iCs/>
        </w:rPr>
        <w:t xml:space="preserve"> L</w:t>
      </w:r>
      <w:r w:rsidR="00282227" w:rsidRPr="00282227">
        <w:rPr>
          <w:iCs/>
          <w:vertAlign w:val="subscript"/>
        </w:rPr>
        <w:t>3</w:t>
      </w:r>
      <w:r w:rsidR="00282227" w:rsidRPr="00282227">
        <w:rPr>
          <w:iCs/>
        </w:rPr>
        <w:t>-edge XAS for the different compounds before (open symbols) and after acid treatment (filled symbols). IrO</w:t>
      </w:r>
      <w:r w:rsidR="00282227" w:rsidRPr="00282227">
        <w:rPr>
          <w:iCs/>
          <w:vertAlign w:val="subscript"/>
        </w:rPr>
        <w:t>2</w:t>
      </w:r>
      <w:r w:rsidR="00282227" w:rsidRPr="00282227">
        <w:rPr>
          <w:iCs/>
        </w:rPr>
        <w:t xml:space="preserve"> (orange square) and Sr</w:t>
      </w:r>
      <w:r w:rsidR="00282227" w:rsidRPr="00282227">
        <w:rPr>
          <w:iCs/>
          <w:vertAlign w:val="subscript"/>
        </w:rPr>
        <w:t>2</w:t>
      </w:r>
      <w:r w:rsidR="00282227" w:rsidRPr="00282227">
        <w:rPr>
          <w:iCs/>
        </w:rPr>
        <w:t>FeIrO</w:t>
      </w:r>
      <w:r w:rsidR="00282227" w:rsidRPr="00282227">
        <w:rPr>
          <w:iCs/>
          <w:vertAlign w:val="subscript"/>
        </w:rPr>
        <w:t>6</w:t>
      </w:r>
      <w:r w:rsidR="00282227" w:rsidRPr="00282227">
        <w:rPr>
          <w:iCs/>
        </w:rPr>
        <w:t xml:space="preserve"> (green diamond) are shown as references for </w:t>
      </w:r>
      <w:proofErr w:type="spellStart"/>
      <w:r w:rsidR="00282227" w:rsidRPr="00282227">
        <w:rPr>
          <w:iCs/>
        </w:rPr>
        <w:t>Ir</w:t>
      </w:r>
      <w:r w:rsidR="00282227" w:rsidRPr="00282227">
        <w:rPr>
          <w:iCs/>
          <w:vertAlign w:val="superscript"/>
        </w:rPr>
        <w:t>+IV</w:t>
      </w:r>
      <w:proofErr w:type="spellEnd"/>
      <w:r w:rsidR="00282227" w:rsidRPr="00282227">
        <w:rPr>
          <w:iCs/>
        </w:rPr>
        <w:t xml:space="preserve"> and </w:t>
      </w:r>
      <w:proofErr w:type="spellStart"/>
      <w:r w:rsidR="00282227" w:rsidRPr="00282227">
        <w:rPr>
          <w:iCs/>
        </w:rPr>
        <w:t>Ir</w:t>
      </w:r>
      <w:r w:rsidR="00282227" w:rsidRPr="00282227">
        <w:rPr>
          <w:iCs/>
          <w:vertAlign w:val="superscript"/>
        </w:rPr>
        <w:t>+V</w:t>
      </w:r>
      <w:proofErr w:type="spellEnd"/>
      <w:r w:rsidR="00282227" w:rsidRPr="00282227">
        <w:rPr>
          <w:iCs/>
        </w:rPr>
        <w:t xml:space="preserve">, respectively. Dashed lines indicate the white line energy measured at 1.65 V vs RHE and after rest in </w:t>
      </w:r>
      <w:r w:rsidR="00FE64CB" w:rsidRPr="00FE64CB">
        <w:rPr>
          <w:i/>
          <w:iCs/>
          <w:sz w:val="22"/>
        </w:rPr>
        <w:t>operando</w:t>
      </w:r>
      <w:r w:rsidR="00282227" w:rsidRPr="00282227">
        <w:rPr>
          <w:iCs/>
        </w:rPr>
        <w:t xml:space="preserve"> measurements. </w:t>
      </w:r>
      <w:r w:rsidR="00FA3D7E">
        <w:rPr>
          <w:iCs/>
        </w:rPr>
        <w:t>(b</w:t>
      </w:r>
      <w:r w:rsidR="00282227" w:rsidRPr="00282227">
        <w:rPr>
          <w:iCs/>
        </w:rPr>
        <w:t>) O 1s X-ray photoelectron spectra with the pristine β-Li</w:t>
      </w:r>
      <w:r w:rsidR="00282227" w:rsidRPr="00282227">
        <w:rPr>
          <w:iCs/>
          <w:vertAlign w:val="subscript"/>
        </w:rPr>
        <w:t>2</w:t>
      </w:r>
      <w:r w:rsidR="00282227" w:rsidRPr="00282227">
        <w:rPr>
          <w:iCs/>
        </w:rPr>
        <w:t>IrO</w:t>
      </w:r>
      <w:r w:rsidR="00282227" w:rsidRPr="00282227">
        <w:rPr>
          <w:iCs/>
          <w:vertAlign w:val="subscript"/>
        </w:rPr>
        <w:t>3</w:t>
      </w:r>
      <w:r w:rsidR="00282227" w:rsidRPr="00282227">
        <w:rPr>
          <w:iCs/>
        </w:rPr>
        <w:t xml:space="preserve"> phase (top), the fully </w:t>
      </w:r>
      <w:proofErr w:type="spellStart"/>
      <w:r w:rsidR="00282227" w:rsidRPr="00282227">
        <w:rPr>
          <w:iCs/>
        </w:rPr>
        <w:t>delithiated</w:t>
      </w:r>
      <w:proofErr w:type="spellEnd"/>
      <w:r w:rsidR="00282227" w:rsidRPr="00282227">
        <w:rPr>
          <w:iCs/>
        </w:rPr>
        <w:t xml:space="preserve"> IrO</w:t>
      </w:r>
      <w:r w:rsidR="00282227" w:rsidRPr="00282227">
        <w:rPr>
          <w:iCs/>
          <w:vertAlign w:val="subscript"/>
        </w:rPr>
        <w:t>3</w:t>
      </w:r>
      <w:r w:rsidR="00282227" w:rsidRPr="00282227">
        <w:rPr>
          <w:iCs/>
        </w:rPr>
        <w:t xml:space="preserve"> phase (middle), and IrO</w:t>
      </w:r>
      <w:r w:rsidR="00282227" w:rsidRPr="00282227">
        <w:rPr>
          <w:iCs/>
          <w:vertAlign w:val="subscript"/>
        </w:rPr>
        <w:t>3</w:t>
      </w:r>
      <w:r w:rsidR="00282227" w:rsidRPr="00282227">
        <w:rPr>
          <w:iCs/>
        </w:rPr>
        <w:t xml:space="preserve"> after exposure to 1 M H</w:t>
      </w:r>
      <w:r w:rsidR="00282227" w:rsidRPr="00282227">
        <w:rPr>
          <w:iCs/>
          <w:vertAlign w:val="subscript"/>
        </w:rPr>
        <w:t>2</w:t>
      </w:r>
      <w:r w:rsidR="00282227" w:rsidRPr="00282227">
        <w:rPr>
          <w:iCs/>
        </w:rPr>
        <w:t>SO</w:t>
      </w:r>
      <w:r w:rsidR="00282227" w:rsidRPr="00282227">
        <w:rPr>
          <w:iCs/>
          <w:vertAlign w:val="subscript"/>
        </w:rPr>
        <w:t>4</w:t>
      </w:r>
      <w:r w:rsidR="00282227" w:rsidRPr="00282227">
        <w:rPr>
          <w:iCs/>
        </w:rPr>
        <w:t xml:space="preserve"> solution (bottom). </w:t>
      </w:r>
      <w:proofErr w:type="spellStart"/>
      <w:r w:rsidR="00282227" w:rsidRPr="00282227">
        <w:rPr>
          <w:iCs/>
        </w:rPr>
        <w:t>Colored</w:t>
      </w:r>
      <w:proofErr w:type="spellEnd"/>
      <w:r w:rsidR="00282227" w:rsidRPr="00282227">
        <w:rPr>
          <w:iCs/>
        </w:rPr>
        <w:t xml:space="preserve"> areas indicate oxygen atoms bound to iridium, while the white areas correspond to adsorbed species on the surface of the material. To decrease the intensity of surface components, the spectrum in </w:t>
      </w:r>
      <w:r w:rsidR="00FA3D7E">
        <w:rPr>
          <w:iCs/>
        </w:rPr>
        <w:t>(b</w:t>
      </w:r>
      <w:r w:rsidR="00282227" w:rsidRPr="00282227">
        <w:rPr>
          <w:iCs/>
        </w:rPr>
        <w:t xml:space="preserve">) was recorded with a </w:t>
      </w:r>
      <w:proofErr w:type="gramStart"/>
      <w:r w:rsidR="00282227" w:rsidRPr="00282227">
        <w:rPr>
          <w:iCs/>
        </w:rPr>
        <w:t>6900 eV</w:t>
      </w:r>
      <w:proofErr w:type="gramEnd"/>
      <w:r w:rsidR="00282227" w:rsidRPr="00282227">
        <w:rPr>
          <w:iCs/>
        </w:rPr>
        <w:t xml:space="preserve"> photon energy on the GALAXIES beamline at the SOLEIL synchrotron (multiplying the probe depth by 4.5). Other spectra were recorded with 1487 eV (standard XPS). </w:t>
      </w:r>
      <w:r w:rsidR="00FA3D7E">
        <w:rPr>
          <w:iCs/>
        </w:rPr>
        <w:t>(c</w:t>
      </w:r>
      <w:r w:rsidR="00282227" w:rsidRPr="00282227">
        <w:rPr>
          <w:iCs/>
        </w:rPr>
        <w:t>) XRD patterns for each compound before (black) and after acid treatment (</w:t>
      </w:r>
      <w:proofErr w:type="spellStart"/>
      <w:r w:rsidR="00282227" w:rsidRPr="00282227">
        <w:rPr>
          <w:iCs/>
        </w:rPr>
        <w:t>colored</w:t>
      </w:r>
      <w:proofErr w:type="spellEnd"/>
      <w:r w:rsidR="00282227" w:rsidRPr="00282227">
        <w:rPr>
          <w:iCs/>
        </w:rPr>
        <w:t xml:space="preserve"> line) compared to the XRD pattern collected after rest for β-H</w:t>
      </w:r>
      <w:r w:rsidR="00282227" w:rsidRPr="00282227">
        <w:rPr>
          <w:iCs/>
          <w:vertAlign w:val="subscript"/>
        </w:rPr>
        <w:t>x</w:t>
      </w:r>
      <w:r w:rsidR="00282227" w:rsidRPr="00282227">
        <w:rPr>
          <w:iCs/>
        </w:rPr>
        <w:t>IrO</w:t>
      </w:r>
      <w:r w:rsidR="00282227" w:rsidRPr="00282227">
        <w:rPr>
          <w:iCs/>
          <w:vertAlign w:val="subscript"/>
        </w:rPr>
        <w:t>3</w:t>
      </w:r>
      <w:r w:rsidR="00282227" w:rsidRPr="00282227">
        <w:rPr>
          <w:iCs/>
        </w:rPr>
        <w:t xml:space="preserve">. The stars indicate peaks that arise due to residual lithium in the phase, which are not present in other samples that fully convert to the hydrated iridate. </w:t>
      </w:r>
      <w:r w:rsidR="00FA3D7E">
        <w:rPr>
          <w:iCs/>
        </w:rPr>
        <w:t>(d</w:t>
      </w:r>
      <w:r w:rsidR="00282227" w:rsidRPr="00282227">
        <w:rPr>
          <w:iCs/>
        </w:rPr>
        <w:t>) Online mass spectrometry for β-IrO</w:t>
      </w:r>
      <w:r w:rsidR="00282227" w:rsidRPr="00282227">
        <w:rPr>
          <w:iCs/>
          <w:vertAlign w:val="subscript"/>
        </w:rPr>
        <w:t>3</w:t>
      </w:r>
      <w:r w:rsidR="00282227" w:rsidRPr="00282227">
        <w:rPr>
          <w:iCs/>
        </w:rPr>
        <w:t>, β-Li</w:t>
      </w:r>
      <w:r w:rsidR="00282227" w:rsidRPr="00282227">
        <w:rPr>
          <w:iCs/>
          <w:vertAlign w:val="subscript"/>
        </w:rPr>
        <w:t>0.5</w:t>
      </w:r>
      <w:r w:rsidR="00282227" w:rsidRPr="00282227">
        <w:rPr>
          <w:iCs/>
        </w:rPr>
        <w:t>IrO</w:t>
      </w:r>
      <w:r w:rsidR="00282227" w:rsidRPr="00282227">
        <w:rPr>
          <w:iCs/>
          <w:vertAlign w:val="subscript"/>
        </w:rPr>
        <w:t>3</w:t>
      </w:r>
      <w:r w:rsidR="00282227" w:rsidRPr="00282227">
        <w:rPr>
          <w:iCs/>
        </w:rPr>
        <w:t>, and β- LiIrO</w:t>
      </w:r>
      <w:r w:rsidR="00282227" w:rsidRPr="00282227">
        <w:rPr>
          <w:iCs/>
          <w:vertAlign w:val="subscript"/>
        </w:rPr>
        <w:t>3</w:t>
      </w:r>
      <w:r w:rsidR="00282227" w:rsidRPr="00282227">
        <w:rPr>
          <w:iCs/>
        </w:rPr>
        <w:t xml:space="preserve"> upon chemical exposure to 1 M H</w:t>
      </w:r>
      <w:r w:rsidR="00282227" w:rsidRPr="00282227">
        <w:rPr>
          <w:iCs/>
          <w:vertAlign w:val="subscript"/>
        </w:rPr>
        <w:t>2</w:t>
      </w:r>
      <w:r w:rsidR="00282227" w:rsidRPr="00282227">
        <w:rPr>
          <w:iCs/>
        </w:rPr>
        <w:t>SO</w:t>
      </w:r>
      <w:r w:rsidR="00282227" w:rsidRPr="00282227">
        <w:rPr>
          <w:iCs/>
          <w:vertAlign w:val="subscript"/>
        </w:rPr>
        <w:t>4</w:t>
      </w:r>
      <w:r w:rsidR="00282227" w:rsidRPr="00282227">
        <w:rPr>
          <w:iCs/>
        </w:rPr>
        <w:t xml:space="preserve">. </w:t>
      </w:r>
      <w:r w:rsidR="00FA3D7E">
        <w:rPr>
          <w:iCs/>
        </w:rPr>
        <w:t>(e</w:t>
      </w:r>
      <w:r w:rsidR="00282227" w:rsidRPr="00282227">
        <w:rPr>
          <w:iCs/>
        </w:rPr>
        <w:t xml:space="preserve">) </w:t>
      </w:r>
      <w:proofErr w:type="spellStart"/>
      <w:r w:rsidR="00282227" w:rsidRPr="00282227">
        <w:rPr>
          <w:iCs/>
        </w:rPr>
        <w:t>Ir</w:t>
      </w:r>
      <w:proofErr w:type="spellEnd"/>
      <w:r w:rsidR="00282227" w:rsidRPr="00282227">
        <w:rPr>
          <w:iCs/>
        </w:rPr>
        <w:t xml:space="preserve"> dissolution measured by ICP-OES after soaking the different intermediate phases in a solution of 1 M H</w:t>
      </w:r>
      <w:r w:rsidR="00282227" w:rsidRPr="00282227">
        <w:rPr>
          <w:iCs/>
          <w:vertAlign w:val="subscript"/>
        </w:rPr>
        <w:t>2</w:t>
      </w:r>
      <w:r w:rsidR="00282227" w:rsidRPr="00282227">
        <w:rPr>
          <w:iCs/>
        </w:rPr>
        <w:t>SO</w:t>
      </w:r>
      <w:r w:rsidR="00282227" w:rsidRPr="00282227">
        <w:rPr>
          <w:iCs/>
          <w:vertAlign w:val="subscript"/>
        </w:rPr>
        <w:t>4</w:t>
      </w:r>
      <w:r w:rsidR="00282227" w:rsidRPr="00282227">
        <w:rPr>
          <w:iCs/>
        </w:rPr>
        <w:t xml:space="preserve">. </w:t>
      </w:r>
      <w:r w:rsidR="00FA3D7E">
        <w:rPr>
          <w:iCs/>
        </w:rPr>
        <w:t>(f</w:t>
      </w:r>
      <w:r w:rsidR="00282227" w:rsidRPr="00282227">
        <w:rPr>
          <w:iCs/>
        </w:rPr>
        <w:t xml:space="preserve">) HAADF-STEM image along the [110] zone axis of the resulting protonated iridate phase. </w:t>
      </w:r>
      <w:r w:rsidR="00FA0D07">
        <w:rPr>
          <w:iCs/>
        </w:rPr>
        <w:t>Reproduced with permission from</w:t>
      </w:r>
      <w:r w:rsidR="00282227" w:rsidRPr="00282227">
        <w:rPr>
          <w:iCs/>
        </w:rPr>
        <w:t xml:space="preserve"> Ref</w:t>
      </w:r>
      <w:r w:rsidR="00387A35">
        <w:rPr>
          <w:iCs/>
        </w:rPr>
        <w:t xml:space="preserve">. </w:t>
      </w:r>
      <w:r w:rsidR="00282227" w:rsidRPr="00282227">
        <w:rPr>
          <w:iCs/>
        </w:rPr>
        <w:fldChar w:fldCharType="begin"/>
      </w:r>
      <w:r w:rsidR="00FC5BEB">
        <w:rPr>
          <w:iCs/>
        </w:rPr>
        <w:instrText xml:space="preserve"> ADDIN EN.CITE &lt;EndNote&gt;&lt;Cite&gt;&lt;Author&gt;Pearce&lt;/Author&gt;&lt;Year&gt;2019&lt;/Year&gt;&lt;RecNum&gt;405&lt;/RecNum&gt;&lt;DisplayText&gt;&lt;style face="superscript"&gt;407&lt;/style&gt;&lt;/DisplayText&gt;&lt;record&gt;&lt;rec-number&gt;405&lt;/rec-number&gt;&lt;foreign-keys&gt;&lt;key app="EN" db-id="2xex0erf4eexr4e2dpbxpdd829xttesxxxdr" timestamp="1715075297"&gt;405&lt;/key&gt;&lt;/foreign-keys&gt;&lt;ref-type name="Journal Article"&gt;17&lt;/ref-type&gt;&lt;contributors&gt;&lt;authors&gt;&lt;author&gt;Pearce, Paul E.&lt;/author&gt;&lt;author&gt;Yang, Chunzhen&lt;/author&gt;&lt;author&gt;Iadecola, Antonella&lt;/author&gt;&lt;author&gt;Rodriguez-Carvajal, Juan&lt;/author&gt;&lt;author&gt;Rousse, Gwenaëlle&lt;/author&gt;&lt;author&gt;Dedryvère, Rémi&lt;/author&gt;&lt;author&gt;Abakumov, Artem M.&lt;/author&gt;&lt;author&gt;Giaume, Domitille&lt;/author&gt;&lt;author&gt;Deschamps, Michael&lt;/author&gt;&lt;author&gt;Tarascon, Jean-Marie&lt;/author&gt;&lt;author&gt;Grimaud, Alexis&lt;/author&gt;&lt;/authors&gt;&lt;/contributors&gt;&lt;titles&gt;&lt;title&gt;Revealing the Reactivity of the Iridium Trioxide Intermediate for the Oxygen Evolution Reaction in Acidic Media&lt;/title&gt;&lt;secondary-title&gt;Chemistry of Materials&lt;/secondary-title&gt;&lt;/titles&gt;&lt;periodical&gt;&lt;full-title&gt;Chemistry of Materials&lt;/full-title&gt;&lt;abbr-1&gt;Chem. Mater.&lt;/abbr-1&gt;&lt;abbr-2&gt;Chem Mater&lt;/abbr-2&gt;&lt;/periodical&gt;&lt;pages&gt;5845-5855&lt;/pages&gt;&lt;volume&gt;31&lt;/volume&gt;&lt;number&gt;15&lt;/number&gt;&lt;dates&gt;&lt;year&gt;2019&lt;/year&gt;&lt;pub-dates&gt;&lt;date&gt;2019/08/13&lt;/date&gt;&lt;/pub-dates&gt;&lt;/dates&gt;&lt;publisher&gt;American Chemical Society&lt;/publisher&gt;&lt;isbn&gt;0897-4756&lt;/isbn&gt;&lt;urls&gt;&lt;related-urls&gt;&lt;url&gt;https://doi.org/10.1021/acs.chemmater.9b01976&lt;/url&gt;&lt;/related-urls&gt;&lt;/urls&gt;&lt;electronic-resource-num&gt;10.1021/acs.chemmater.9b01976&lt;/electronic-resource-num&gt;&lt;/record&gt;&lt;/Cite&gt;&lt;/EndNote&gt;</w:instrText>
      </w:r>
      <w:r w:rsidR="00282227" w:rsidRPr="00282227">
        <w:rPr>
          <w:iCs/>
        </w:rPr>
        <w:fldChar w:fldCharType="separate"/>
      </w:r>
      <w:r w:rsidR="00FC5BEB" w:rsidRPr="00FC5BEB">
        <w:rPr>
          <w:iCs/>
          <w:noProof/>
          <w:vertAlign w:val="superscript"/>
        </w:rPr>
        <w:t>407</w:t>
      </w:r>
      <w:r w:rsidR="00282227" w:rsidRPr="00282227">
        <w:fldChar w:fldCharType="end"/>
      </w:r>
      <w:r w:rsidR="00392521">
        <w:rPr>
          <w:iCs/>
        </w:rPr>
        <w:t xml:space="preserve"> </w:t>
      </w:r>
      <w:r w:rsidR="00392521" w:rsidRPr="00392521">
        <w:rPr>
          <w:iCs/>
          <w:lang w:val="en-US"/>
        </w:rPr>
        <w:t>Copyright 2019 American Chemical Society.</w:t>
      </w:r>
    </w:p>
    <w:p w14:paraId="7C65F9F5" w14:textId="67132976" w:rsidR="00282227" w:rsidRPr="00282227" w:rsidRDefault="00282227" w:rsidP="0039761C">
      <w:pPr>
        <w:pStyle w:val="Caption"/>
      </w:pPr>
    </w:p>
    <w:p w14:paraId="5592F7E3" w14:textId="77777777" w:rsidR="0039761C" w:rsidRPr="0039761C" w:rsidRDefault="0039761C" w:rsidP="0039761C"/>
    <w:p w14:paraId="023CAC91" w14:textId="01EF5448" w:rsidR="0039761C" w:rsidRPr="0039761C" w:rsidRDefault="0039761C" w:rsidP="0039761C">
      <w:pPr>
        <w:ind w:firstLine="720"/>
        <w:rPr>
          <w:iCs/>
        </w:rPr>
      </w:pPr>
      <w:r w:rsidRPr="0039761C">
        <w:rPr>
          <w:iCs/>
        </w:rPr>
        <w:t xml:space="preserve">When </w:t>
      </w:r>
      <w:proofErr w:type="spellStart"/>
      <w:r w:rsidRPr="0039761C">
        <w:rPr>
          <w:iCs/>
        </w:rPr>
        <w:t>Ir</w:t>
      </w:r>
      <w:proofErr w:type="spellEnd"/>
      <w:r w:rsidRPr="0039761C">
        <w:rPr>
          <w:iCs/>
        </w:rPr>
        <w:t xml:space="preserve"> oxide materials are amorphous, deprotonation is extended to subsurface and deeper layers.</w:t>
      </w:r>
      <w:r w:rsidRPr="0039761C">
        <w:rPr>
          <w:iCs/>
        </w:rPr>
        <w:fldChar w:fldCharType="begin"/>
      </w:r>
      <w:r w:rsidR="00FC5BEB">
        <w:rPr>
          <w:iCs/>
        </w:rPr>
        <w:instrText xml:space="preserve"> ADDIN EN.CITE &lt;EndNote&gt;&lt;Cite&gt;&lt;Author&gt;Mom&lt;/Author&gt;&lt;Year&gt;2022&lt;/Year&gt;&lt;RecNum&gt;402&lt;/RecNum&gt;&lt;DisplayText&gt;&lt;style face="superscript"&gt;404&lt;/style&gt;&lt;/DisplayText&gt;&lt;record&gt;&lt;rec-number&gt;402&lt;/rec-number&gt;&lt;foreign-keys&gt;&lt;key app="EN" db-id="2xex0erf4eexr4e2dpbxpdd829xttesxxxdr" timestamp="1715075297"&gt;402&lt;/key&gt;&lt;/foreign-keys&gt;&lt;ref-type name="Journal Article"&gt;17&lt;/ref-type&gt;&lt;contributors&gt;&lt;authors&gt;&lt;author&gt;Mom, Rik V.&lt;/author&gt;&lt;author&gt;Falling, Lorenz J.&lt;/author&gt;&lt;author&gt;Kasian, Olga&lt;/author&gt;&lt;author&gt;Algara-Siller, Gerardo&lt;/author&gt;&lt;author&gt;Teschner, Detre&lt;/author&gt;&lt;author&gt;Crabtree, Robert H.&lt;/author&gt;&lt;author&gt;Knop-Gericke, Axel&lt;/author&gt;&lt;author&gt;Mayrhofer, Karl J. J.&lt;/author&gt;&lt;author&gt;Velasco-Vélez, Juan-Jesús&lt;/author&gt;&lt;author&gt;Jones, Travis E.&lt;/author&gt;&lt;/authors&gt;&lt;/contributors&gt;&lt;titles&gt;&lt;title&gt;Operando Structure–Activity–Stability Relationship of Iridium Oxides during the Oxygen Evolution Reaction&lt;/title&gt;&lt;secondary-title&gt;ACS Catal.&lt;/secondary-title&gt;&lt;/titles&gt;&lt;periodical&gt;&lt;full-title&gt;ACS Catal.&lt;/full-title&gt;&lt;/periodical&gt;&lt;pages&gt;5174-5184&lt;/pages&gt;&lt;volume&gt;12&lt;/volume&gt;&lt;number&gt;9&lt;/number&gt;&lt;dates&gt;&lt;year&gt;2022&lt;/year&gt;&lt;/dates&gt;&lt;publisher&gt;American Chemical Society&lt;/publisher&gt;&lt;urls&gt;&lt;related-urls&gt;&lt;url&gt;https://doi.org/10.1021/acscatal.1c05951&lt;/url&gt;&lt;/related-urls&gt;&lt;/urls&gt;&lt;electronic-resource-num&gt;10.1021/acscatal.1c05951&lt;/electronic-resource-num&gt;&lt;/record&gt;&lt;/Cite&gt;&lt;/EndNote&gt;</w:instrText>
      </w:r>
      <w:r w:rsidRPr="0039761C">
        <w:rPr>
          <w:iCs/>
        </w:rPr>
        <w:fldChar w:fldCharType="separate"/>
      </w:r>
      <w:r w:rsidR="00FC5BEB" w:rsidRPr="00FC5BEB">
        <w:rPr>
          <w:iCs/>
          <w:noProof/>
          <w:vertAlign w:val="superscript"/>
        </w:rPr>
        <w:t>404</w:t>
      </w:r>
      <w:r w:rsidRPr="0039761C">
        <w:fldChar w:fldCharType="end"/>
      </w:r>
      <w:r w:rsidRPr="0039761C">
        <w:rPr>
          <w:iCs/>
        </w:rPr>
        <w:t xml:space="preserve"> When an </w:t>
      </w:r>
      <w:proofErr w:type="spellStart"/>
      <w:r w:rsidRPr="0039761C">
        <w:rPr>
          <w:iCs/>
        </w:rPr>
        <w:t>Ir</w:t>
      </w:r>
      <w:proofErr w:type="spellEnd"/>
      <w:r w:rsidRPr="0039761C">
        <w:rPr>
          <w:iCs/>
        </w:rPr>
        <w:t xml:space="preserve"> oxide is crystalline, that is, IrO</w:t>
      </w:r>
      <w:r w:rsidRPr="0039761C">
        <w:rPr>
          <w:iCs/>
          <w:vertAlign w:val="subscript"/>
        </w:rPr>
        <w:t>2</w:t>
      </w:r>
      <w:r w:rsidRPr="0039761C">
        <w:rPr>
          <w:iCs/>
        </w:rPr>
        <w:t xml:space="preserve">, its redox chemistry is constrained to its surface by protonation/deprotonation. Mom et al. using </w:t>
      </w:r>
      <w:r w:rsidR="00FE64CB" w:rsidRPr="00FE64CB">
        <w:rPr>
          <w:i/>
          <w:iCs/>
        </w:rPr>
        <w:t>operando</w:t>
      </w:r>
      <w:r w:rsidRPr="0039761C">
        <w:rPr>
          <w:iCs/>
        </w:rPr>
        <w:t xml:space="preserve"> X-ray photoelectron</w:t>
      </w:r>
      <w:r w:rsidR="00793909">
        <w:rPr>
          <w:iCs/>
        </w:rPr>
        <w:t xml:space="preserve"> spectroscopy (XPS)</w:t>
      </w:r>
      <w:r w:rsidRPr="0039761C">
        <w:rPr>
          <w:iCs/>
        </w:rPr>
        <w:t xml:space="preserve"> and </w:t>
      </w:r>
      <w:r w:rsidR="004F30CB">
        <w:rPr>
          <w:iCs/>
        </w:rPr>
        <w:t>XAS</w:t>
      </w:r>
      <w:r w:rsidRPr="0039761C">
        <w:rPr>
          <w:iCs/>
        </w:rPr>
        <w:t xml:space="preserve"> at the O K-edge determined the near-surface structure of </w:t>
      </w:r>
      <w:proofErr w:type="spellStart"/>
      <w:r w:rsidRPr="0039761C">
        <w:rPr>
          <w:iCs/>
        </w:rPr>
        <w:t>Ir</w:t>
      </w:r>
      <w:proofErr w:type="spellEnd"/>
      <w:r w:rsidRPr="0039761C">
        <w:rPr>
          <w:iCs/>
        </w:rPr>
        <w:t xml:space="preserve"> oxides ranging from amorphous to crystalline during CV cycling and under OER.</w:t>
      </w:r>
      <w:r w:rsidRPr="0039761C">
        <w:rPr>
          <w:iCs/>
        </w:rPr>
        <w:fldChar w:fldCharType="begin"/>
      </w:r>
      <w:r w:rsidR="00FC5BEB">
        <w:rPr>
          <w:iCs/>
        </w:rPr>
        <w:instrText xml:space="preserve"> ADDIN EN.CITE &lt;EndNote&gt;&lt;Cite&gt;&lt;Author&gt;Mom&lt;/Author&gt;&lt;Year&gt;2022&lt;/Year&gt;&lt;RecNum&gt;402&lt;/RecNum&gt;&lt;DisplayText&gt;&lt;style face="superscript"&gt;404&lt;/style&gt;&lt;/DisplayText&gt;&lt;record&gt;&lt;rec-number&gt;402&lt;/rec-number&gt;&lt;foreign-keys&gt;&lt;key app="EN" db-id="2xex0erf4eexr4e2dpbxpdd829xttesxxxdr" timestamp="1715075297"&gt;402&lt;/key&gt;&lt;/foreign-keys&gt;&lt;ref-type name="Journal Article"&gt;17&lt;/ref-type&gt;&lt;contributors&gt;&lt;authors&gt;&lt;author&gt;Mom, Rik V.&lt;/author&gt;&lt;author&gt;Falling, Lorenz J.&lt;/author&gt;&lt;author&gt;Kasian, Olga&lt;/author&gt;&lt;author&gt;Algara-Siller, Gerardo&lt;/author&gt;&lt;author&gt;Teschner, Detre&lt;/author&gt;&lt;author&gt;Crabtree, Robert H.&lt;/author&gt;&lt;author&gt;Knop-Gericke, Axel&lt;/author&gt;&lt;author&gt;Mayrhofer, Karl J. J.&lt;/author&gt;&lt;author&gt;Velasco-Vélez, Juan-Jesús&lt;/author&gt;&lt;author&gt;Jones, Travis E.&lt;/author&gt;&lt;/authors&gt;&lt;/contributors&gt;&lt;titles&gt;&lt;title&gt;Operando Structure–Activity–Stability Relationship of Iridium Oxides during the Oxygen Evolution Reaction&lt;/title&gt;&lt;secondary-title&gt;ACS Catal.&lt;/secondary-title&gt;&lt;/titles&gt;&lt;periodical&gt;&lt;full-title&gt;ACS Catal.&lt;/full-title&gt;&lt;/periodical&gt;&lt;pages&gt;5174-5184&lt;/pages&gt;&lt;volume&gt;12&lt;/volume&gt;&lt;number&gt;9&lt;/number&gt;&lt;dates&gt;&lt;year&gt;2022&lt;/year&gt;&lt;/dates&gt;&lt;publisher&gt;American Chemical Society&lt;/publisher&gt;&lt;urls&gt;&lt;related-urls&gt;&lt;url&gt;https://doi.org/10.1021/acscatal.1c05951&lt;/url&gt;&lt;/related-urls&gt;&lt;/urls&gt;&lt;electronic-resource-num&gt;10.1021/acscatal.1c05951&lt;/electronic-resource-num&gt;&lt;/record&gt;&lt;/Cite&gt;&lt;/EndNote&gt;</w:instrText>
      </w:r>
      <w:r w:rsidRPr="0039761C">
        <w:rPr>
          <w:iCs/>
        </w:rPr>
        <w:fldChar w:fldCharType="separate"/>
      </w:r>
      <w:r w:rsidR="00FC5BEB" w:rsidRPr="00FC5BEB">
        <w:rPr>
          <w:iCs/>
          <w:noProof/>
          <w:vertAlign w:val="superscript"/>
        </w:rPr>
        <w:t>404</w:t>
      </w:r>
      <w:r w:rsidRPr="0039761C">
        <w:fldChar w:fldCharType="end"/>
      </w:r>
      <w:r w:rsidRPr="0039761C">
        <w:rPr>
          <w:iCs/>
        </w:rPr>
        <w:t xml:space="preserve"> They showed that applying oxygen evolution potentials yields deprotonated bridging μ</w:t>
      </w:r>
      <w:r w:rsidRPr="0039761C">
        <w:rPr>
          <w:iCs/>
          <w:vertAlign w:val="subscript"/>
        </w:rPr>
        <w:t>2</w:t>
      </w:r>
      <w:r w:rsidRPr="0039761C">
        <w:rPr>
          <w:iCs/>
        </w:rPr>
        <w:t>-O moieties and a mixture of terminal μ</w:t>
      </w:r>
      <w:r w:rsidRPr="0039761C">
        <w:rPr>
          <w:iCs/>
          <w:vertAlign w:val="subscript"/>
        </w:rPr>
        <w:t>1</w:t>
      </w:r>
      <w:r w:rsidRPr="0039761C">
        <w:rPr>
          <w:iCs/>
        </w:rPr>
        <w:t>-O/μ</w:t>
      </w:r>
      <w:r w:rsidRPr="0039761C">
        <w:rPr>
          <w:iCs/>
          <w:vertAlign w:val="subscript"/>
        </w:rPr>
        <w:t>1</w:t>
      </w:r>
      <w:r w:rsidRPr="0039761C">
        <w:rPr>
          <w:iCs/>
        </w:rPr>
        <w:t>-OH, with universal deprotonation energetics but in different amounts, crystalline IrO</w:t>
      </w:r>
      <w:r w:rsidRPr="0039761C">
        <w:rPr>
          <w:iCs/>
          <w:vertAlign w:val="subscript"/>
        </w:rPr>
        <w:t>2</w:t>
      </w:r>
      <w:r w:rsidRPr="0039761C">
        <w:rPr>
          <w:iCs/>
        </w:rPr>
        <w:t xml:space="preserve"> being limited to surface deprotonation. This is in line with the much-reduced </w:t>
      </w:r>
      <w:proofErr w:type="spellStart"/>
      <w:r w:rsidRPr="0039761C">
        <w:rPr>
          <w:iCs/>
        </w:rPr>
        <w:t>pseudocapacitance</w:t>
      </w:r>
      <w:proofErr w:type="spellEnd"/>
      <w:r w:rsidRPr="0039761C">
        <w:rPr>
          <w:iCs/>
        </w:rPr>
        <w:t xml:space="preserve"> of crystalline iridium oxides in comparison to amorphous IrO</w:t>
      </w:r>
      <w:r w:rsidRPr="0039761C">
        <w:rPr>
          <w:iCs/>
          <w:vertAlign w:val="subscript"/>
        </w:rPr>
        <w:t>x</w:t>
      </w:r>
      <w:r w:rsidRPr="0039761C">
        <w:rPr>
          <w:iCs/>
        </w:rPr>
        <w:t>.</w:t>
      </w:r>
      <w:r w:rsidRPr="0039761C">
        <w:rPr>
          <w:iCs/>
        </w:rPr>
        <w:fldChar w:fldCharType="begin">
          <w:fldData xml:space="preserve">PEVuZE5vdGU+PENpdGU+PEF1dGhvcj5MaWFuZzwvQXV0aG9yPjxZZWFyPjIwMjQ8L1llYXI+PFJl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</w:fldData>
        </w:fldChar>
      </w:r>
      <w:r w:rsidR="00FC5BEB">
        <w:rPr>
          <w:iCs/>
        </w:rPr>
        <w:instrText xml:space="preserve"> ADDIN EN.CITE </w:instrText>
      </w:r>
      <w:r w:rsidR="00FC5BEB">
        <w:rPr>
          <w:iCs/>
        </w:rPr>
        <w:fldChar w:fldCharType="begin">
          <w:fldData xml:space="preserve">PEVuZE5vdGU+PENpdGU+PEF1dGhvcj5MaWFuZzwvQXV0aG9yPjxZZWFyPjIwMjQ8L1llYXI+PFJl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</w:fldData>
        </w:fldChar>
      </w:r>
      <w:r w:rsidR="00FC5BEB">
        <w:rPr>
          <w:iCs/>
        </w:rPr>
        <w:instrText xml:space="preserve"> ADDIN EN.CITE.DATA </w:instrText>
      </w:r>
      <w:r w:rsidR="00FC5BEB">
        <w:rPr>
          <w:iCs/>
        </w:rPr>
      </w:r>
      <w:r w:rsidR="00FC5BEB">
        <w:rPr>
          <w:iCs/>
        </w:rPr>
        <w:fldChar w:fldCharType="end"/>
      </w:r>
      <w:r w:rsidRPr="0039761C">
        <w:rPr>
          <w:iCs/>
        </w:rPr>
      </w:r>
      <w:r w:rsidRPr="0039761C">
        <w:rPr>
          <w:iCs/>
        </w:rPr>
        <w:fldChar w:fldCharType="separate"/>
      </w:r>
      <w:r w:rsidR="00FC5BEB" w:rsidRPr="00FC5BEB">
        <w:rPr>
          <w:iCs/>
          <w:noProof/>
          <w:vertAlign w:val="superscript"/>
        </w:rPr>
        <w:t>63, 409-412</w:t>
      </w:r>
      <w:r w:rsidRPr="0039761C">
        <w:fldChar w:fldCharType="end"/>
      </w:r>
      <w:r w:rsidRPr="0039761C">
        <w:rPr>
          <w:iCs/>
        </w:rPr>
        <w:t xml:space="preserve"> Also, </w:t>
      </w:r>
      <w:r w:rsidR="00FE64CB" w:rsidRPr="00FE64CB">
        <w:rPr>
          <w:i/>
          <w:iCs/>
        </w:rPr>
        <w:t>operando</w:t>
      </w:r>
      <w:r w:rsidRPr="0039761C">
        <w:rPr>
          <w:iCs/>
        </w:rPr>
        <w:t xml:space="preserve"> </w:t>
      </w:r>
      <w:proofErr w:type="spellStart"/>
      <w:r w:rsidRPr="0039761C">
        <w:rPr>
          <w:iCs/>
        </w:rPr>
        <w:t>Ir</w:t>
      </w:r>
      <w:proofErr w:type="spellEnd"/>
      <w:r w:rsidRPr="0039761C">
        <w:rPr>
          <w:iCs/>
        </w:rPr>
        <w:t xml:space="preserve"> L-edge experiments indicate much lower redox activity of crystalline oxides,</w:t>
      </w:r>
      <w:r w:rsidRPr="0039761C">
        <w:rPr>
          <w:iCs/>
        </w:rPr>
        <w:fldChar w:fldCharType="begin"/>
      </w:r>
      <w:r w:rsidR="00FC5BEB">
        <w:rPr>
          <w:iCs/>
        </w:rPr>
        <w:instrText xml:space="preserve"> ADDIN EN.CITE &lt;EndNote&gt;&lt;Cite&gt;&lt;Author&gt;Ruiz Esquius&lt;/Author&gt;&lt;Year&gt;2023&lt;/Year&gt;&lt;RecNum&gt;411&lt;/RecNum&gt;&lt;DisplayText&gt;&lt;style face="superscript"&gt;413&lt;/style&gt;&lt;/DisplayText&gt;&lt;record&gt;&lt;rec-number&gt;411&lt;/rec-number&gt;&lt;foreign-keys&gt;&lt;key app="EN" db-id="2xex0erf4eexr4e2dpbxpdd829xttesxxxdr" timestamp="1715075297"&gt;411&lt;/key&gt;&lt;/foreign-keys&gt;&lt;ref-type name="Journal Article"&gt;17&lt;/ref-type&gt;&lt;contributors&gt;&lt;authors&gt;&lt;author&gt;Ruiz Esquius, Jonathan&lt;/author&gt;&lt;author&gt;Morgan, David J.&lt;/author&gt;&lt;author&gt;Algara Siller, Gerardo&lt;/author&gt;&lt;author&gt;Gianolio, Diego&lt;/author&gt;&lt;author&gt;Aramini, Matteo&lt;/author&gt;&lt;author&gt;Lahn, Leopold&lt;/author&gt;&lt;author&gt;Kasian, Olga&lt;/author&gt;&lt;author&gt;Kondrat, Simon A.&lt;/author&gt;&lt;author&gt;Schlögl, Robert&lt;/author&gt;&lt;author&gt;Hutchings, Graham J.&lt;/author&gt;&lt;author&gt;Arrigo, Rosa&lt;/author&gt;&lt;author&gt;Freakley, Simon J.&lt;/author&gt;&lt;/authors&gt;&lt;/contributors&gt;&lt;titles&gt;&lt;title&gt;Lithium-Directed Transformation of Amorphous Iridium (Oxy)hydroxides To Produce Active Water Oxidation Catalysts&lt;/title&gt;&lt;secondary-title&gt;Journal of the American Chemical Society&lt;/secondary-title&gt;&lt;/titles&gt;&lt;periodical&gt;&lt;full-title&gt;Journal of the American Chemical Society&lt;/full-title&gt;&lt;abbr-1&gt;J. Am. Chem. Soc.&lt;/abbr-1&gt;&lt;abbr-2&gt;J Am Chem Soc&lt;/abbr-2&gt;&lt;/periodical&gt;&lt;pages&gt;6398-6409&lt;/pages&gt;&lt;volume&gt;145&lt;/volume&gt;&lt;number&gt;11&lt;/number&gt;&lt;dates&gt;&lt;year&gt;2023&lt;/year&gt;&lt;pub-dates&gt;&lt;date&gt;2023/03/22&lt;/date&gt;&lt;/pub-dates&gt;&lt;/dates&gt;&lt;publisher&gt;American Chemical Society&lt;/publisher&gt;&lt;isbn&gt;0002-7863&lt;/isbn&gt;&lt;urls&gt;&lt;related-urls&gt;&lt;url&gt;https://doi.org/10.1021/jacs.2c13567&lt;/url&gt;&lt;/related-urls&gt;&lt;/urls&gt;&lt;electronic-resource-num&gt;10.1021/jacs.2c13567&lt;/electronic-resource-num&gt;&lt;/record&gt;&lt;/Cite&gt;&lt;/EndNote&gt;</w:instrText>
      </w:r>
      <w:r w:rsidRPr="0039761C">
        <w:rPr>
          <w:iCs/>
        </w:rPr>
        <w:fldChar w:fldCharType="separate"/>
      </w:r>
      <w:r w:rsidR="00FC5BEB" w:rsidRPr="00FC5BEB">
        <w:rPr>
          <w:iCs/>
          <w:noProof/>
          <w:vertAlign w:val="superscript"/>
        </w:rPr>
        <w:t>413</w:t>
      </w:r>
      <w:r w:rsidRPr="0039761C">
        <w:fldChar w:fldCharType="end"/>
      </w:r>
      <w:r w:rsidRPr="0039761C">
        <w:rPr>
          <w:iCs/>
        </w:rPr>
        <w:t xml:space="preserve"> basically mimicking their reduced pseudocapacitance.</w:t>
      </w:r>
      <w:r w:rsidRPr="0039761C">
        <w:rPr>
          <w:iCs/>
        </w:rPr>
        <w:fldChar w:fldCharType="begin"/>
      </w:r>
      <w:r w:rsidR="00FC5BEB">
        <w:rPr>
          <w:iCs/>
        </w:rPr>
        <w:instrText xml:space="preserve"> ADDIN EN.CITE &lt;EndNote&gt;&lt;Cite&gt;&lt;Author&gt;Diklić&lt;/Author&gt;&lt;Year&gt;2023&lt;/Year&gt;&lt;RecNum&gt;412&lt;/RecNum&gt;&lt;DisplayText&gt;&lt;style face="superscript"&gt;414&lt;/style&gt;&lt;/DisplayText&gt;&lt;record&gt;&lt;rec-number&gt;412&lt;/rec-number&gt;&lt;foreign-keys&gt;&lt;key app="EN" db-id="2xex0erf4eexr4e2dpbxpdd829xttesxxxdr" timestamp="1715075297"&gt;412&lt;/key&gt;&lt;/foreign-keys&gt;&lt;ref-type name="Journal Article"&gt;17&lt;/ref-type&gt;&lt;contributors&gt;&lt;authors&gt;&lt;author&gt;Diklić, Nataša&lt;/author&gt;&lt;author&gt;Clark, Adam H.&lt;/author&gt;&lt;author&gt;Herranz, Juan&lt;/author&gt;&lt;author&gt;Aegerter, Dino&lt;/author&gt;&lt;author&gt;Diercks, Justus S.&lt;/author&gt;&lt;author&gt;Beard, Alexandra&lt;/author&gt;&lt;author&gt;Saveleva, Viktoriia A.&lt;/author&gt;&lt;author&gt;Chauhan, Piyush&lt;/author&gt;&lt;author&gt;Nachtegaal, Maarten&lt;/author&gt;&lt;author&gt;Huthwelker, Thomas&lt;/author&gt;&lt;author&gt;Lebedev, Dmitry&lt;/author&gt;&lt;author&gt;Kayser, Paula&lt;/author&gt;&lt;author&gt;Alonso, José Antonio&lt;/author&gt;&lt;author&gt;Copéret, Christophe&lt;/author&gt;&lt;author&gt;Schmidt, Thomas J.&lt;/author&gt;&lt;/authors&gt;&lt;/contributors&gt;&lt;titles&gt;&lt;title&gt;Surface Ir+5 Formation as a Universal Prerequisite for O2 Evolution on Ir Oxides&lt;/title&gt;&lt;secondary-title&gt;ACS Catal.&lt;/secondary-title&gt;&lt;/titles&gt;&lt;periodical&gt;&lt;full-title&gt;ACS Catal.&lt;/full-title&gt;&lt;/periodical&gt;&lt;pages&gt;11069-11079&lt;/pages&gt;&lt;volume&gt;13&lt;/volume&gt;&lt;number&gt;16&lt;/number&gt;&lt;dates&gt;&lt;year&gt;2023&lt;/year&gt;&lt;pub-dates&gt;&lt;date&gt;2023/08/18&lt;/date&gt;&lt;/pub-dates&gt;&lt;/dates&gt;&lt;publisher&gt;American Chemical Society&lt;/publisher&gt;&lt;urls&gt;&lt;related-urls&gt;&lt;url&gt;https://doi.org/10.1021/acscatal.3c01448&lt;/url&gt;&lt;/related-urls&gt;&lt;/urls&gt;&lt;electronic-resource-num&gt;10.1021/acscatal.3c01448&lt;/electronic-resource-num&gt;&lt;/record&gt;&lt;/Cite&gt;&lt;/EndNote&gt;</w:instrText>
      </w:r>
      <w:r w:rsidRPr="0039761C">
        <w:rPr>
          <w:iCs/>
        </w:rPr>
        <w:fldChar w:fldCharType="separate"/>
      </w:r>
      <w:r w:rsidR="00FC5BEB" w:rsidRPr="00FC5BEB">
        <w:rPr>
          <w:iCs/>
          <w:noProof/>
          <w:vertAlign w:val="superscript"/>
        </w:rPr>
        <w:t>414</w:t>
      </w:r>
      <w:r w:rsidRPr="0039761C">
        <w:fldChar w:fldCharType="end"/>
      </w:r>
      <w:r w:rsidRPr="0039761C">
        <w:rPr>
          <w:iCs/>
        </w:rPr>
        <w:t xml:space="preserve"> </w:t>
      </w:r>
      <w:r w:rsidRPr="0039761C">
        <w:rPr>
          <w:iCs/>
        </w:rPr>
        <w:lastRenderedPageBreak/>
        <w:t xml:space="preserve">Similarly, effective charge accumulation with amorphous </w:t>
      </w:r>
      <w:proofErr w:type="spellStart"/>
      <w:r w:rsidRPr="0039761C">
        <w:rPr>
          <w:iCs/>
        </w:rPr>
        <w:t>IrO</w:t>
      </w:r>
      <w:r w:rsidRPr="0039761C">
        <w:rPr>
          <w:iCs/>
          <w:vertAlign w:val="subscript"/>
        </w:rPr>
        <w:t>x</w:t>
      </w:r>
      <w:proofErr w:type="spellEnd"/>
      <w:r w:rsidRPr="0039761C">
        <w:rPr>
          <w:iCs/>
        </w:rPr>
        <w:t xml:space="preserve"> was also evidenced by in situ evanescent wave spectroscopy.</w:t>
      </w:r>
      <w:r w:rsidRPr="0039761C">
        <w:rPr>
          <w:iCs/>
        </w:rPr>
        <w:fldChar w:fldCharType="begin"/>
      </w:r>
      <w:r w:rsidR="00FC5BEB">
        <w:rPr>
          <w:iCs/>
        </w:rPr>
        <w:instrText xml:space="preserve"> ADDIN EN.CITE &lt;EndNote&gt;&lt;Cite&gt;&lt;Author&gt;Ooka&lt;/Author&gt;&lt;Year&gt;2017&lt;/Year&gt;&lt;RecNum&gt;413&lt;/RecNum&gt;&lt;DisplayText&gt;&lt;style face="superscript"&gt;415&lt;/style&gt;&lt;/DisplayText&gt;&lt;record&gt;&lt;rec-number&gt;413&lt;/rec-number&gt;&lt;foreign-keys&gt;&lt;key app="EN" db-id="2xex0erf4eexr4e2dpbxpdd829xttesxxxdr" timestamp="1715075297"&gt;413&lt;/key&gt;&lt;/foreign-keys&gt;&lt;ref-type name="Journal Article"&gt;17&lt;/ref-type&gt;&lt;contributors&gt;&lt;authors&gt;&lt;author&gt;Ooka, Hideshi&lt;/author&gt;&lt;author&gt;Yamaguchi, Akira&lt;/author&gt;&lt;author&gt;Takashima, Toshihiro&lt;/author&gt;&lt;author&gt;Hashimoto, Kazuhito&lt;/author&gt;&lt;author&gt;Nakamura, Ryuhei&lt;/author&gt;&lt;/authors&gt;&lt;/contributors&gt;&lt;titles&gt;&lt;title&gt;Efficiency of Oxygen Evolution on Iridium Oxide Determined from the pH Dependence of Charge Accumulation&lt;/title&gt;&lt;secondary-title&gt;Journal of Physical Chemistry C&lt;/secondary-title&gt;&lt;/titles&gt;&lt;periodical&gt;&lt;full-title&gt;Journal of Physical Chemistry C&lt;/full-title&gt;&lt;abbr-1&gt;J. Phys. Chem. C&lt;/abbr-1&gt;&lt;/periodical&gt;&lt;pages&gt;17873-17881&lt;/pages&gt;&lt;volume&gt;121&lt;/volume&gt;&lt;number&gt;33&lt;/number&gt;&lt;dates&gt;&lt;year&gt;2017&lt;/year&gt;&lt;pub-dates&gt;&lt;date&gt;2017/08/24&lt;/date&gt;&lt;/pub-dates&gt;&lt;/dates&gt;&lt;publisher&gt;American Chemical Society&lt;/publisher&gt;&lt;isbn&gt;1932-7447&lt;/isbn&gt;&lt;urls&gt;&lt;related-urls&gt;&lt;url&gt;https://doi.org/10.1021/acs.jpcc.7b03749&lt;/url&gt;&lt;/related-urls&gt;&lt;/urls&gt;&lt;electronic-resource-num&gt;https://doi.org/10.1021/acs.jpcc.7b03749&lt;/electronic-resource-num&gt;&lt;/record&gt;&lt;/Cite&gt;&lt;/EndNote&gt;</w:instrText>
      </w:r>
      <w:r w:rsidRPr="0039761C">
        <w:rPr>
          <w:iCs/>
        </w:rPr>
        <w:fldChar w:fldCharType="separate"/>
      </w:r>
      <w:r w:rsidR="00FC5BEB" w:rsidRPr="00FC5BEB">
        <w:rPr>
          <w:iCs/>
          <w:noProof/>
          <w:vertAlign w:val="superscript"/>
        </w:rPr>
        <w:t>415</w:t>
      </w:r>
      <w:r w:rsidRPr="0039761C">
        <w:fldChar w:fldCharType="end"/>
      </w:r>
      <w:r w:rsidRPr="0039761C">
        <w:rPr>
          <w:iCs/>
        </w:rPr>
        <w:t xml:space="preserve"> </w:t>
      </w:r>
    </w:p>
    <w:p w14:paraId="6CB4D5C5" w14:textId="77777777" w:rsidR="0039761C" w:rsidRPr="0039761C" w:rsidRDefault="0039761C" w:rsidP="0039761C">
      <w:pPr>
        <w:rPr>
          <w:iCs/>
        </w:rPr>
      </w:pPr>
    </w:p>
    <w:p w14:paraId="7079CF04" w14:textId="4A486363" w:rsidR="0039761C" w:rsidRPr="0039761C" w:rsidRDefault="0039761C" w:rsidP="0039761C">
      <w:pPr>
        <w:ind w:firstLine="720"/>
        <w:rPr>
          <w:iCs/>
        </w:rPr>
      </w:pPr>
      <w:r w:rsidRPr="0039761C">
        <w:rPr>
          <w:iCs/>
        </w:rPr>
        <w:t xml:space="preserve">Some controversy surrounds </w:t>
      </w:r>
      <w:proofErr w:type="spellStart"/>
      <w:r w:rsidRPr="0039761C">
        <w:rPr>
          <w:iCs/>
        </w:rPr>
        <w:t>Ir</w:t>
      </w:r>
      <w:proofErr w:type="spellEnd"/>
      <w:r w:rsidRPr="0039761C">
        <w:rPr>
          <w:iCs/>
        </w:rPr>
        <w:t xml:space="preserve"> L</w:t>
      </w:r>
      <w:r w:rsidRPr="0039761C">
        <w:rPr>
          <w:iCs/>
          <w:vertAlign w:val="subscript"/>
        </w:rPr>
        <w:t>3</w:t>
      </w:r>
      <w:r w:rsidRPr="0039761C">
        <w:rPr>
          <w:iCs/>
        </w:rPr>
        <w:t>-edge experiments that suggest iridium reduction under OER potentials.</w:t>
      </w:r>
      <w:r w:rsidRPr="0039761C">
        <w:rPr>
          <w:iCs/>
        </w:rPr>
        <w:fldChar w:fldCharType="begin">
          <w:fldData xml:space="preserve">PEVuZE5vdGU+PENpdGU+PEF1dGhvcj5QZWRlcnNlbjwvQXV0aG9yPjxZZWFyPjIwMTc8L1llYXI+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</w:fldData>
        </w:fldChar>
      </w:r>
      <w:r w:rsidR="00FC5BEB">
        <w:rPr>
          <w:iCs/>
        </w:rPr>
        <w:instrText xml:space="preserve"> ADDIN EN.CITE </w:instrText>
      </w:r>
      <w:r w:rsidR="00FC5BEB">
        <w:rPr>
          <w:iCs/>
        </w:rPr>
        <w:fldChar w:fldCharType="begin">
          <w:fldData xml:space="preserve">PEVuZE5vdGU+PENpdGU+PEF1dGhvcj5QZWRlcnNlbjwvQXV0aG9yPjxZZWFyPjIwMTc8L1llYXI+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</w:fldData>
        </w:fldChar>
      </w:r>
      <w:r w:rsidR="00FC5BEB">
        <w:rPr>
          <w:iCs/>
        </w:rPr>
        <w:instrText xml:space="preserve"> ADDIN EN.CITE.DATA </w:instrText>
      </w:r>
      <w:r w:rsidR="00FC5BEB">
        <w:rPr>
          <w:iCs/>
        </w:rPr>
      </w:r>
      <w:r w:rsidR="00FC5BEB">
        <w:rPr>
          <w:iCs/>
        </w:rPr>
        <w:fldChar w:fldCharType="end"/>
      </w:r>
      <w:r w:rsidRPr="0039761C">
        <w:rPr>
          <w:iCs/>
        </w:rPr>
      </w:r>
      <w:r w:rsidRPr="0039761C">
        <w:rPr>
          <w:iCs/>
        </w:rPr>
        <w:fldChar w:fldCharType="separate"/>
      </w:r>
      <w:r w:rsidR="00FC5BEB" w:rsidRPr="00FC5BEB">
        <w:rPr>
          <w:iCs/>
          <w:noProof/>
          <w:vertAlign w:val="superscript"/>
        </w:rPr>
        <w:t>416-418</w:t>
      </w:r>
      <w:r w:rsidRPr="0039761C">
        <w:fldChar w:fldCharType="end"/>
      </w:r>
      <w:r w:rsidRPr="0039761C">
        <w:rPr>
          <w:iCs/>
        </w:rPr>
        <w:t xml:space="preserve"> These are in contrast to those reports that do not find reduction.</w:t>
      </w:r>
      <w:r w:rsidRPr="0039761C">
        <w:rPr>
          <w:iCs/>
        </w:rPr>
        <w:fldChar w:fldCharType="begin">
          <w:fldData xml:space="preserve">PEVuZE5vdGU+PENpdGU+PEF1dGhvcj5EaWtsacSHPC9BdXRob3I+PFllYXI+MjAyMzwvWWVhcj48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</w:fldData>
        </w:fldChar>
      </w:r>
      <w:r w:rsidR="00FC5BEB">
        <w:rPr>
          <w:iCs/>
        </w:rPr>
        <w:instrText xml:space="preserve"> ADDIN EN.CITE </w:instrText>
      </w:r>
      <w:r w:rsidR="00FC5BEB">
        <w:rPr>
          <w:iCs/>
        </w:rPr>
        <w:fldChar w:fldCharType="begin">
          <w:fldData xml:space="preserve">PEVuZE5vdGU+PENpdGU+PEF1dGhvcj5EaWtsacSHPC9BdXRob3I+PFllYXI+MjAyMzwvWWVhcj48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</w:fldData>
        </w:fldChar>
      </w:r>
      <w:r w:rsidR="00FC5BEB">
        <w:rPr>
          <w:iCs/>
        </w:rPr>
        <w:instrText xml:space="preserve"> ADDIN EN.CITE.DATA </w:instrText>
      </w:r>
      <w:r w:rsidR="00FC5BEB">
        <w:rPr>
          <w:iCs/>
        </w:rPr>
      </w:r>
      <w:r w:rsidR="00FC5BEB">
        <w:rPr>
          <w:iCs/>
        </w:rPr>
        <w:fldChar w:fldCharType="end"/>
      </w:r>
      <w:r w:rsidRPr="0039761C">
        <w:rPr>
          <w:iCs/>
        </w:rPr>
      </w:r>
      <w:r w:rsidRPr="0039761C">
        <w:rPr>
          <w:iCs/>
        </w:rPr>
        <w:fldChar w:fldCharType="separate"/>
      </w:r>
      <w:r w:rsidR="00FC5BEB" w:rsidRPr="00FC5BEB">
        <w:rPr>
          <w:iCs/>
          <w:noProof/>
          <w:vertAlign w:val="superscript"/>
        </w:rPr>
        <w:t>63, 413, 414, 419, 420</w:t>
      </w:r>
      <w:r w:rsidRPr="0039761C">
        <w:fldChar w:fldCharType="end"/>
      </w:r>
      <w:r w:rsidRPr="0039761C">
        <w:rPr>
          <w:iCs/>
        </w:rPr>
        <w:t xml:space="preserve"> The issue was discussed by </w:t>
      </w:r>
      <w:proofErr w:type="spellStart"/>
      <w:r w:rsidRPr="0039761C">
        <w:rPr>
          <w:iCs/>
        </w:rPr>
        <w:t>Diklic</w:t>
      </w:r>
      <w:proofErr w:type="spellEnd"/>
      <w:r w:rsidRPr="0039761C">
        <w:rPr>
          <w:iCs/>
        </w:rPr>
        <w:t xml:space="preserve"> et al.</w:t>
      </w:r>
      <w:r w:rsidRPr="0039761C">
        <w:rPr>
          <w:iCs/>
        </w:rPr>
        <w:fldChar w:fldCharType="begin"/>
      </w:r>
      <w:r w:rsidR="00FC5BEB">
        <w:rPr>
          <w:iCs/>
        </w:rPr>
        <w:instrText xml:space="preserve"> ADDIN EN.CITE &lt;EndNote&gt;&lt;Cite&gt;&lt;Author&gt;Diklić&lt;/Author&gt;&lt;Year&gt;2022&lt;/Year&gt;&lt;RecNum&gt;418&lt;/RecNum&gt;&lt;DisplayText&gt;&lt;style face="superscript"&gt;420&lt;/style&gt;&lt;/DisplayText&gt;&lt;record&gt;&lt;rec-number&gt;418&lt;/rec-number&gt;&lt;foreign-keys&gt;&lt;key app="EN" db-id="2xex0erf4eexr4e2dpbxpdd829xttesxxxdr" timestamp="1715075297"&gt;418&lt;/key&gt;&lt;/foreign-keys&gt;&lt;ref-type name="Journal Article"&gt;17&lt;/ref-type&gt;&lt;contributors&gt;&lt;authors&gt;&lt;author&gt;Diklić, Nataša&lt;/author&gt;&lt;author&gt;Clark, Adam H.&lt;/author&gt;&lt;author&gt;Herranz, Juan&lt;/author&gt;&lt;author&gt;Diercks, Justus S.&lt;/author&gt;&lt;author&gt;Aegerter, Dino&lt;/author&gt;&lt;author&gt;Nachtegaal, Maarten&lt;/author&gt;&lt;author&gt;Beard, Alexandra&lt;/author&gt;&lt;author&gt;Schmidt, Thomas J.&lt;/author&gt;&lt;/authors&gt;&lt;/contributors&gt;&lt;titles&gt;&lt;title&gt;Potential Pitfalls in the Operando XAS Study of Oxygen Evolution Electrocatalysts&lt;/title&gt;&lt;secondary-title&gt;ACS Energy Lett.&lt;/secondary-title&gt;&lt;/titles&gt;&lt;periodical&gt;&lt;full-title&gt;ACS Energy Lett.&lt;/full-title&gt;&lt;/periodical&gt;&lt;pages&gt;1735-1740&lt;/pages&gt;&lt;volume&gt;7&lt;/volume&gt;&lt;number&gt;5&lt;/number&gt;&lt;dates&gt;&lt;year&gt;2022&lt;/year&gt;&lt;pub-dates&gt;&lt;date&gt;2022/05/13&lt;/date&gt;&lt;/pub-dates&gt;&lt;/dates&gt;&lt;publisher&gt;American Chemical Society&lt;/publisher&gt;&lt;urls&gt;&lt;related-urls&gt;&lt;url&gt;https://doi.org/10.1021/acsenergylett.2c00727&lt;/url&gt;&lt;/related-urls&gt;&lt;/urls&gt;&lt;electronic-resource-num&gt;10.1021/acsenergylett.2c00727&lt;/electronic-resource-num&gt;&lt;/record&gt;&lt;/Cite&gt;&lt;/EndNote&gt;</w:instrText>
      </w:r>
      <w:r w:rsidRPr="0039761C">
        <w:rPr>
          <w:iCs/>
        </w:rPr>
        <w:fldChar w:fldCharType="separate"/>
      </w:r>
      <w:r w:rsidR="00FC5BEB" w:rsidRPr="00FC5BEB">
        <w:rPr>
          <w:iCs/>
          <w:noProof/>
          <w:vertAlign w:val="superscript"/>
        </w:rPr>
        <w:t>420</w:t>
      </w:r>
      <w:r w:rsidRPr="0039761C">
        <w:fldChar w:fldCharType="end"/>
      </w:r>
      <w:r w:rsidRPr="0039761C">
        <w:rPr>
          <w:iCs/>
        </w:rPr>
        <w:t xml:space="preserve"> and concluded that radiation damage and subsequent catalyst dissolution/delamination greatly affect the acquired spectra and subsequent interpretation thereof. Such experimental artifacts can be avoided by a reduced beam flux and lower catalyst layer thickness. When </w:t>
      </w:r>
      <w:r w:rsidR="00FE64CB" w:rsidRPr="00FE64CB">
        <w:rPr>
          <w:i/>
          <w:iCs/>
        </w:rPr>
        <w:t>operando</w:t>
      </w:r>
      <w:r w:rsidRPr="0039761C">
        <w:rPr>
          <w:iCs/>
        </w:rPr>
        <w:t xml:space="preserve"> </w:t>
      </w:r>
      <w:proofErr w:type="spellStart"/>
      <w:r w:rsidRPr="0039761C">
        <w:rPr>
          <w:iCs/>
        </w:rPr>
        <w:t>Ir</w:t>
      </w:r>
      <w:proofErr w:type="spellEnd"/>
      <w:r w:rsidRPr="0039761C">
        <w:rPr>
          <w:iCs/>
        </w:rPr>
        <w:t xml:space="preserve"> L-edge experiments are done properly, we find iridium oxidation over </w:t>
      </w:r>
      <w:proofErr w:type="spellStart"/>
      <w:r w:rsidRPr="0039761C">
        <w:rPr>
          <w:iCs/>
        </w:rPr>
        <w:t>Ir</w:t>
      </w:r>
      <w:proofErr w:type="spellEnd"/>
      <w:r w:rsidRPr="0039761C">
        <w:rPr>
          <w:iCs/>
        </w:rPr>
        <w:t xml:space="preserve">(IV), </w:t>
      </w:r>
      <w:r w:rsidR="005B5CDE">
        <w:rPr>
          <w:iCs/>
        </w:rPr>
        <w:t xml:space="preserve">see for example </w:t>
      </w:r>
      <w:r w:rsidR="005332D7">
        <w:rPr>
          <w:iCs/>
        </w:rPr>
        <w:fldChar w:fldCharType="begin"/>
      </w:r>
      <w:r w:rsidR="005332D7">
        <w:rPr>
          <w:iCs/>
        </w:rPr>
        <w:instrText xml:space="preserve"> REF _Ref159273731 \h </w:instrText>
      </w:r>
      <w:r w:rsidR="005332D7">
        <w:rPr>
          <w:iCs/>
        </w:rPr>
      </w:r>
      <w:r w:rsidR="005332D7">
        <w:rPr>
          <w:iCs/>
        </w:rPr>
        <w:fldChar w:fldCharType="separate"/>
      </w:r>
      <w:r w:rsidR="00B52708" w:rsidRPr="00BC70A0">
        <w:rPr>
          <w:b/>
        </w:rPr>
        <w:t xml:space="preserve">Figure </w:t>
      </w:r>
      <w:r w:rsidR="00B52708">
        <w:rPr>
          <w:b/>
          <w:noProof/>
        </w:rPr>
        <w:t>5</w:t>
      </w:r>
      <w:r w:rsidR="005332D7">
        <w:rPr>
          <w:iCs/>
        </w:rPr>
        <w:fldChar w:fldCharType="end"/>
      </w:r>
      <w:r w:rsidR="005332D7" w:rsidRPr="00D123C4">
        <w:rPr>
          <w:b/>
          <w:bCs/>
          <w:iCs/>
        </w:rPr>
        <w:t>h,i</w:t>
      </w:r>
      <w:r w:rsidR="005332D7">
        <w:rPr>
          <w:iCs/>
        </w:rPr>
        <w:t xml:space="preserve">, </w:t>
      </w:r>
      <w:r w:rsidRPr="0039761C">
        <w:rPr>
          <w:iCs/>
        </w:rPr>
        <w:t xml:space="preserve">the oxidation with the potential only slowing down when the electrochemically accessible sites all approach formally </w:t>
      </w:r>
      <w:proofErr w:type="spellStart"/>
      <w:r w:rsidRPr="0039761C">
        <w:rPr>
          <w:iCs/>
        </w:rPr>
        <w:t>Ir</w:t>
      </w:r>
      <w:proofErr w:type="spellEnd"/>
      <w:r w:rsidRPr="0039761C">
        <w:rPr>
          <w:iCs/>
        </w:rPr>
        <w:t>(V).</w:t>
      </w:r>
      <w:r w:rsidRPr="0039761C">
        <w:rPr>
          <w:iCs/>
        </w:rPr>
        <w:fldChar w:fldCharType="begin">
          <w:fldData xml:space="preserve">PEVuZE5vdGU+PENpdGU+PEF1dGhvcj5EaWtsacSHPC9BdXRob3I+PFllYXI+MjAyMzwvWWVhcj48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</w:fldData>
        </w:fldChar>
      </w:r>
      <w:r w:rsidR="00FC5BEB">
        <w:rPr>
          <w:iCs/>
        </w:rPr>
        <w:instrText xml:space="preserve"> ADDIN EN.CITE </w:instrText>
      </w:r>
      <w:r w:rsidR="00FC5BEB">
        <w:rPr>
          <w:iCs/>
        </w:rPr>
        <w:fldChar w:fldCharType="begin">
          <w:fldData xml:space="preserve">PEVuZE5vdGU+PENpdGU+PEF1dGhvcj5EaWtsacSHPC9BdXRob3I+PFllYXI+MjAyMzwvWWVhcj48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</w:fldData>
        </w:fldChar>
      </w:r>
      <w:r w:rsidR="00FC5BEB">
        <w:rPr>
          <w:iCs/>
        </w:rPr>
        <w:instrText xml:space="preserve"> ADDIN EN.CITE.DATA </w:instrText>
      </w:r>
      <w:r w:rsidR="00FC5BEB">
        <w:rPr>
          <w:iCs/>
        </w:rPr>
      </w:r>
      <w:r w:rsidR="00FC5BEB">
        <w:rPr>
          <w:iCs/>
        </w:rPr>
        <w:fldChar w:fldCharType="end"/>
      </w:r>
      <w:r w:rsidRPr="0039761C">
        <w:rPr>
          <w:iCs/>
        </w:rPr>
      </w:r>
      <w:r w:rsidRPr="0039761C">
        <w:rPr>
          <w:iCs/>
        </w:rPr>
        <w:fldChar w:fldCharType="separate"/>
      </w:r>
      <w:r w:rsidR="00FC5BEB" w:rsidRPr="00FC5BEB">
        <w:rPr>
          <w:iCs/>
          <w:noProof/>
          <w:vertAlign w:val="superscript"/>
        </w:rPr>
        <w:t>63, 414</w:t>
      </w:r>
      <w:r w:rsidRPr="0039761C">
        <w:fldChar w:fldCharType="end"/>
      </w:r>
      <w:r w:rsidRPr="0039761C">
        <w:rPr>
          <w:iCs/>
        </w:rPr>
        <w:t xml:space="preserve"> This happens under OER potentials. Pulse voltammetry experiments prove pseudocapacitive changing under OER with close to identical capacitance as found below the OER onset</w:t>
      </w:r>
      <w:r w:rsidR="005332D7">
        <w:rPr>
          <w:iCs/>
        </w:rPr>
        <w:t xml:space="preserve"> (</w:t>
      </w:r>
      <w:r w:rsidR="005332D7">
        <w:rPr>
          <w:iCs/>
        </w:rPr>
        <w:fldChar w:fldCharType="begin"/>
      </w:r>
      <w:r w:rsidR="005332D7">
        <w:rPr>
          <w:iCs/>
        </w:rPr>
        <w:instrText xml:space="preserve"> REF _Ref159273731 \h </w:instrText>
      </w:r>
      <w:r w:rsidR="005332D7">
        <w:rPr>
          <w:iCs/>
        </w:rPr>
      </w:r>
      <w:r w:rsidR="005332D7">
        <w:rPr>
          <w:iCs/>
        </w:rPr>
        <w:fldChar w:fldCharType="separate"/>
      </w:r>
      <w:r w:rsidR="00B52708" w:rsidRPr="00BC70A0">
        <w:rPr>
          <w:b/>
        </w:rPr>
        <w:t xml:space="preserve">Figure </w:t>
      </w:r>
      <w:r w:rsidR="00B52708">
        <w:rPr>
          <w:b/>
          <w:noProof/>
        </w:rPr>
        <w:t>5</w:t>
      </w:r>
      <w:r w:rsidR="005332D7">
        <w:rPr>
          <w:iCs/>
        </w:rPr>
        <w:fldChar w:fldCharType="end"/>
      </w:r>
      <w:r w:rsidR="005332D7">
        <w:rPr>
          <w:iCs/>
        </w:rPr>
        <w:t>)</w:t>
      </w:r>
      <w:r w:rsidRPr="0039761C">
        <w:rPr>
          <w:iCs/>
        </w:rPr>
        <w:t>, the capacitance decreasing only significantly once the Tafel slope bends.</w:t>
      </w:r>
      <w:r w:rsidR="00B104C4">
        <w:rPr>
          <w:iCs/>
        </w:rPr>
        <w:fldChar w:fldCharType="begin"/>
      </w:r>
      <w:r w:rsidR="00B104C4">
        <w:rPr>
          <w:iCs/>
        </w:rPr>
        <w:instrText xml:space="preserve"> ADDIN EN.CITE &lt;EndNote&gt;&lt;Cite&gt;&lt;Author&gt;Nong&lt;/Author&gt;&lt;Year&gt;2020&lt;/Year&gt;&lt;RecNum&gt;63&lt;/RecNum&gt;&lt;DisplayText&gt;&lt;style face="superscript"&gt;63&lt;/style&gt;&lt;/DisplayText&gt;&lt;record&gt;&lt;rec-number&gt;63&lt;/rec-number&gt;&lt;foreign-keys&gt;&lt;key app="EN" db-id="2xex0erf4eexr4e2dpbxpdd829xttesxxxdr" timestamp="1715075296"&gt;63&lt;/key&gt;&lt;/foreign-keys&gt;&lt;ref-type name="Journal Article"&gt;17&lt;/ref-type&gt;&lt;contributors&gt;&lt;authors&gt;&lt;author&gt;Nong, Hong Nhan&lt;/author&gt;&lt;author&gt;Falling, Lorenz J.&lt;/author&gt;&lt;author&gt;Bergmann, Arno&lt;/author&gt;&lt;author&gt;Klingenhof, Malte&lt;/author&gt;&lt;author&gt;Tran, Hoang Phi&lt;/author&gt;&lt;author&gt;Spöri, Camillo&lt;/author&gt;&lt;author&gt;Mom, Rik&lt;/author&gt;&lt;author&gt;Timoshenko, Janis&lt;/author&gt;&lt;author&gt;Zichittella, Guido&lt;/author&gt;&lt;author&gt;Knop-Gericke, Axel&lt;/author&gt;&lt;author&gt;Piccinin, Simone&lt;/author&gt;&lt;author&gt;Pérez-Ramírez, Javier&lt;/author&gt;&lt;author&gt;Cuenya, Beatriz Roldan&lt;/author&gt;&lt;author&gt;Schlögl, Robert&lt;/author&gt;&lt;author&gt;Strasser, Peter&lt;/author&gt;&lt;author&gt;Teschner, Detre&lt;/author&gt;&lt;author&gt;Jones, Travis E.&lt;/author&gt;&lt;/authors&gt;&lt;/contributors&gt;&lt;titles&gt;&lt;title&gt;Key role of chemistry versus bias in electrocatalytic oxygen evolution&lt;/title&gt;&lt;secondary-title&gt;Nature&lt;/secondary-title&gt;&lt;/titles&gt;&lt;pages&gt;408-413&lt;/pages&gt;&lt;volume&gt;587&lt;/volume&gt;&lt;number&gt;7834&lt;/number&gt;&lt;dates&gt;&lt;year&gt;2020&lt;/year&gt;&lt;pub-dates&gt;&lt;date&gt;2020/11/01&lt;/date&gt;&lt;/pub-dates&gt;&lt;/dates&gt;&lt;isbn&gt;1476-4687&lt;/isbn&gt;&lt;urls&gt;&lt;related-urls&gt;&lt;url&gt;https://doi.org/10.1038/s41586-020-2908-2&lt;/url&gt;&lt;/related-urls&gt;&lt;/urls&gt;&lt;electronic-resource-num&gt;10.1038/s41586-020-2908-2&lt;/electronic-resource-num&gt;&lt;/record&gt;&lt;/Cite&gt;&lt;/EndNote&gt;</w:instrText>
      </w:r>
      <w:r w:rsidR="00B104C4">
        <w:rPr>
          <w:iCs/>
        </w:rPr>
        <w:fldChar w:fldCharType="separate"/>
      </w:r>
      <w:r w:rsidR="00B104C4" w:rsidRPr="00B104C4">
        <w:rPr>
          <w:iCs/>
          <w:noProof/>
          <w:vertAlign w:val="superscript"/>
        </w:rPr>
        <w:t>63</w:t>
      </w:r>
      <w:r w:rsidR="00B104C4">
        <w:rPr>
          <w:iCs/>
        </w:rPr>
        <w:fldChar w:fldCharType="end"/>
      </w:r>
      <w:r w:rsidRPr="0039761C">
        <w:rPr>
          <w:iCs/>
        </w:rPr>
        <w:t xml:space="preserve"> This is a clear indication that the deprotonation process continue under OER when the potential gets further-further anodic, ruling out any observable reduction. This, however, also suggests that the surface phase diagrams discussed above overestimate the driving force of potential to deprotonate the surface, or in other words, underestimate the reluctance of the surface in getting rid of its surface protons. </w:t>
      </w:r>
    </w:p>
    <w:p w14:paraId="0C07C52B" w14:textId="550BC0DC" w:rsidR="0039761C" w:rsidRPr="0039761C" w:rsidRDefault="009276D4" w:rsidP="001C1AC5">
      <w:pPr>
        <w:jc w:val="center"/>
        <w:rPr>
          <w:iCs/>
        </w:rPr>
      </w:pPr>
      <w:r>
        <w:rPr>
          <w:iCs/>
          <w:noProof/>
          <w14:ligatures w14:val="standardContextual"/>
        </w:rPr>
        <w:drawing>
          <wp:inline distT="0" distB="0" distL="0" distR="0" wp14:anchorId="3EF29848" wp14:editId="4DC174E6">
            <wp:extent cx="4921250" cy="4015883"/>
            <wp:effectExtent l="0" t="0" r="0" b="0"/>
            <wp:docPr id="161665943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6659432" name="Picture 1616659432"/>
                    <pic:cNvPicPr/>
                  </pic:nvPicPr>
                  <pic:blipFill rotWithShape="1">
                    <a:blip r:embed="rId42" cstate="print">
                      <a:extLst>
                        <a:ext uri="{28A0092B-C50C-407E-A947-70E740481C1C}">
                          <a14:useLocalDpi xmlns:a14="http://schemas.microsoft.com/office/drawing/2010/main" val="0"/>
                        </a:ext>
                      </a:extLst>
                    </a:blip>
                    <a:srcRect l="16064" t="3939" r="23111" b="7820"/>
                    <a:stretch/>
                  </pic:blipFill>
                  <pic:spPr bwMode="auto">
                    <a:xfrm>
                      <a:off x="0" y="0"/>
                      <a:ext cx="4947917" cy="4037644"/>
                    </a:xfrm>
                    <a:prstGeom prst="rect">
                      <a:avLst/>
                    </a:prstGeom>
                    <a:ln>
                      <a:noFill/>
                    </a:ln>
                    <a:extLst>
                      <a:ext uri="{53640926-AAD7-44D8-BBD7-CCE9431645EC}">
                        <a14:shadowObscured xmlns:a14="http://schemas.microsoft.com/office/drawing/2010/main"/>
                      </a:ext>
                    </a:extLst>
                  </pic:spPr>
                </pic:pic>
              </a:graphicData>
            </a:graphic>
          </wp:inline>
        </w:drawing>
      </w:r>
    </w:p>
    <w:p w14:paraId="1F5C5699" w14:textId="3AD80B68" w:rsidR="00392521" w:rsidRDefault="000F4A43" w:rsidP="00392521">
      <w:bookmarkStart w:id="116" w:name="_Ref159522629"/>
      <w:r w:rsidRPr="000F4A43">
        <w:rPr>
          <w:b/>
        </w:rPr>
        <w:t xml:space="preserve">Figure </w:t>
      </w:r>
      <w:r w:rsidRPr="000F4A43">
        <w:rPr>
          <w:b/>
          <w:bCs/>
        </w:rPr>
        <w:fldChar w:fldCharType="begin"/>
      </w:r>
      <w:r w:rsidRPr="000F4A43">
        <w:rPr>
          <w:b/>
        </w:rPr>
        <w:instrText xml:space="preserve"> SEQ Figure \* ARABIC </w:instrText>
      </w:r>
      <w:r w:rsidRPr="000F4A43">
        <w:rPr>
          <w:b/>
          <w:bCs/>
        </w:rPr>
        <w:fldChar w:fldCharType="separate"/>
      </w:r>
      <w:r w:rsidR="00B52708">
        <w:rPr>
          <w:b/>
          <w:noProof/>
        </w:rPr>
        <w:t>32</w:t>
      </w:r>
      <w:r w:rsidRPr="000F4A43">
        <w:rPr>
          <w:b/>
          <w:bCs/>
        </w:rPr>
        <w:fldChar w:fldCharType="end"/>
      </w:r>
      <w:bookmarkEnd w:id="116"/>
      <w:r w:rsidR="0039761C" w:rsidRPr="0039761C">
        <w:t xml:space="preserve"> </w:t>
      </w:r>
      <w:r w:rsidR="0039761C" w:rsidRPr="0039761C">
        <w:rPr>
          <w:iCs/>
        </w:rPr>
        <w:t>Ball and stick structural model of the (110) IrO</w:t>
      </w:r>
      <w:r w:rsidR="0039761C" w:rsidRPr="0039761C">
        <w:rPr>
          <w:iCs/>
          <w:vertAlign w:val="subscript"/>
        </w:rPr>
        <w:t>2</w:t>
      </w:r>
      <w:r w:rsidR="0039761C" w:rsidRPr="0039761C">
        <w:rPr>
          <w:iCs/>
        </w:rPr>
        <w:t xml:space="preserve"> surface with O </w:t>
      </w:r>
      <w:r w:rsidR="00FA3D7E">
        <w:rPr>
          <w:iCs/>
        </w:rPr>
        <w:t>(</w:t>
      </w:r>
      <w:r w:rsidR="00967BAD">
        <w:rPr>
          <w:iCs/>
        </w:rPr>
        <w:t>a</w:t>
      </w:r>
      <w:r w:rsidR="0039761C" w:rsidRPr="0039761C">
        <w:rPr>
          <w:iCs/>
        </w:rPr>
        <w:t xml:space="preserve">) and OH </w:t>
      </w:r>
      <w:r w:rsidR="00FA3D7E">
        <w:rPr>
          <w:iCs/>
        </w:rPr>
        <w:t>(</w:t>
      </w:r>
      <w:r w:rsidR="00967BAD">
        <w:rPr>
          <w:iCs/>
        </w:rPr>
        <w:t>c</w:t>
      </w:r>
      <w:r w:rsidR="0039761C" w:rsidRPr="0039761C">
        <w:rPr>
          <w:iCs/>
        </w:rPr>
        <w:t xml:space="preserve">) termination. O K-edges </w:t>
      </w:r>
      <w:r w:rsidR="00FA3D7E">
        <w:rPr>
          <w:iCs/>
        </w:rPr>
        <w:t>(b</w:t>
      </w:r>
      <w:r w:rsidR="0039761C" w:rsidRPr="0039761C">
        <w:rPr>
          <w:iCs/>
        </w:rPr>
        <w:t>) computed for μ</w:t>
      </w:r>
      <w:r w:rsidR="0039761C" w:rsidRPr="00BB4B13">
        <w:rPr>
          <w:iCs/>
          <w:vertAlign w:val="subscript"/>
        </w:rPr>
        <w:t>1</w:t>
      </w:r>
      <w:r w:rsidR="0039761C" w:rsidRPr="0039761C">
        <w:rPr>
          <w:iCs/>
        </w:rPr>
        <w:t>-O and μ</w:t>
      </w:r>
      <w:r w:rsidR="0039761C" w:rsidRPr="00BB4B13">
        <w:rPr>
          <w:iCs/>
          <w:vertAlign w:val="subscript"/>
        </w:rPr>
        <w:t>2</w:t>
      </w:r>
      <w:r w:rsidR="0039761C" w:rsidRPr="0039761C">
        <w:rPr>
          <w:iCs/>
        </w:rPr>
        <w:t>-O oxygen with O and OH termination as well as for bulk (O</w:t>
      </w:r>
      <w:r w:rsidR="0039761C" w:rsidRPr="0039761C">
        <w:rPr>
          <w:iCs/>
          <w:vertAlign w:val="superscript"/>
        </w:rPr>
        <w:t>II-</w:t>
      </w:r>
      <w:r w:rsidR="0039761C" w:rsidRPr="0039761C">
        <w:rPr>
          <w:iCs/>
        </w:rPr>
        <w:t xml:space="preserve">) anions. Correlation of the O K-edge white line position at various surface terminations as a function of the net </w:t>
      </w:r>
      <w:proofErr w:type="spellStart"/>
      <w:r w:rsidR="0039761C" w:rsidRPr="0039761C">
        <w:rPr>
          <w:iCs/>
        </w:rPr>
        <w:t>Löwdin</w:t>
      </w:r>
      <w:proofErr w:type="spellEnd"/>
      <w:r w:rsidR="0039761C" w:rsidRPr="0039761C">
        <w:rPr>
          <w:iCs/>
        </w:rPr>
        <w:t xml:space="preserve"> charge with respect to the </w:t>
      </w:r>
      <w:proofErr w:type="spellStart"/>
      <w:r w:rsidR="0039761C" w:rsidRPr="0039761C">
        <w:rPr>
          <w:iCs/>
        </w:rPr>
        <w:t>Löwdin</w:t>
      </w:r>
      <w:proofErr w:type="spellEnd"/>
      <w:r w:rsidR="0039761C" w:rsidRPr="0039761C">
        <w:rPr>
          <w:iCs/>
        </w:rPr>
        <w:t xml:space="preserve"> charge of bulk O</w:t>
      </w:r>
      <w:r w:rsidR="0039761C" w:rsidRPr="0039761C">
        <w:rPr>
          <w:iCs/>
          <w:vertAlign w:val="superscript"/>
        </w:rPr>
        <w:t>II-</w:t>
      </w:r>
      <w:r w:rsidR="0039761C" w:rsidRPr="0039761C">
        <w:rPr>
          <w:iCs/>
        </w:rPr>
        <w:t xml:space="preserve"> in rutile IrO</w:t>
      </w:r>
      <w:r w:rsidR="0039761C" w:rsidRPr="0039761C">
        <w:rPr>
          <w:iCs/>
          <w:vertAlign w:val="subscript"/>
        </w:rPr>
        <w:t>2</w:t>
      </w:r>
      <w:r w:rsidR="0039761C" w:rsidRPr="0039761C">
        <w:rPr>
          <w:iCs/>
        </w:rPr>
        <w:t xml:space="preserve"> </w:t>
      </w:r>
      <w:r w:rsidR="00FA3D7E">
        <w:rPr>
          <w:iCs/>
        </w:rPr>
        <w:t>(d</w:t>
      </w:r>
      <w:r w:rsidR="0039761C" w:rsidRPr="0039761C">
        <w:rPr>
          <w:iCs/>
        </w:rPr>
        <w:t>).</w:t>
      </w:r>
      <w:r>
        <w:rPr>
          <w:iCs/>
        </w:rPr>
        <w:t xml:space="preserve"> </w:t>
      </w:r>
      <w:r w:rsidR="00387A35">
        <w:rPr>
          <w:iCs/>
        </w:rPr>
        <w:t>Reproduced with permission</w:t>
      </w:r>
      <w:r w:rsidR="00387A35" w:rsidRPr="00282227">
        <w:rPr>
          <w:iCs/>
        </w:rPr>
        <w:t xml:space="preserve"> </w:t>
      </w:r>
      <w:r w:rsidRPr="00282227">
        <w:rPr>
          <w:iCs/>
        </w:rPr>
        <w:t>from R</w:t>
      </w:r>
      <w:r>
        <w:rPr>
          <w:iCs/>
        </w:rPr>
        <w:t>ef</w:t>
      </w:r>
      <w:r w:rsidR="00387A35">
        <w:rPr>
          <w:iCs/>
        </w:rPr>
        <w:t xml:space="preserve">. </w:t>
      </w:r>
      <w:r>
        <w:rPr>
          <w:iCs/>
        </w:rPr>
        <w:fldChar w:fldCharType="begin"/>
      </w:r>
      <w:r w:rsidR="00FC5BEB">
        <w:rPr>
          <w:iCs/>
        </w:rPr>
        <w:instrText xml:space="preserve"> ADDIN EN.CITE &lt;EndNote&gt;&lt;Cite&gt;&lt;Author&gt;Saveleva&lt;/Author&gt;&lt;Year&gt;2018&lt;/Year&gt;&lt;RecNum&gt;419&lt;/RecNum&gt;&lt;DisplayText&gt;&lt;style face="superscript"&gt;421&lt;/style&gt;&lt;/DisplayText&gt;&lt;record&gt;&lt;rec-number&gt;419&lt;/rec-number&gt;&lt;foreign-keys&gt;&lt;key app="EN" db-id="2xex0erf4eexr4e2dpbxpdd829xttesxxxdr" timestamp="1715075297"&gt;419&lt;/key&gt;&lt;/foreign-keys&gt;&lt;ref-type name="Journal Article"&gt;17&lt;/ref-type&gt;&lt;contributors&gt;&lt;authors&gt;&lt;author&gt;Saveleva, V. A.&lt;/author&gt;&lt;author&gt;Wang, L.&lt;/author&gt;&lt;author&gt;Teschner, D.&lt;/author&gt;&lt;author&gt;Jones, T.&lt;/author&gt;&lt;author&gt;Gago, A. S.&lt;/author&gt;&lt;author&gt;Friedrich, K. A.&lt;/author&gt;&lt;author&gt;Zafeiratos, S.&lt;/author&gt;&lt;author&gt;Schlögl, R.&lt;/author&gt;&lt;author&gt;Savinova, E. R.&lt;/author&gt;&lt;/authors&gt;&lt;/contributors&gt;&lt;titles&gt;&lt;title&gt;Operando Evidence for a Universal Oxygen Evolution Mechanism on Thermal and Electrochemical Iridium Oxides&lt;/title&gt;&lt;secondary-title&gt;J. Phys. Chem. Lett.&lt;/secondary-title&gt;&lt;/titles&gt;&lt;periodical&gt;&lt;full-title&gt;J. Phys. Chem. Lett.&lt;/full-title&gt;&lt;/periodical&gt;&lt;volume&gt;9&lt;/volume&gt;&lt;number&gt;11&lt;/number&gt;&lt;dates&gt;&lt;year&gt;2018&lt;/year&gt;&lt;/dates&gt;&lt;urls&gt;&lt;/urls&gt;&lt;electronic-resource-num&gt;10.1021/acs.jpclett.8b00810&lt;/electronic-resource-num&gt;&lt;/record&gt;&lt;/Cite&gt;&lt;/EndNote&gt;</w:instrText>
      </w:r>
      <w:r>
        <w:rPr>
          <w:iCs/>
        </w:rPr>
        <w:fldChar w:fldCharType="separate"/>
      </w:r>
      <w:r w:rsidR="00FC5BEB" w:rsidRPr="00FC5BEB">
        <w:rPr>
          <w:iCs/>
          <w:noProof/>
          <w:vertAlign w:val="superscript"/>
        </w:rPr>
        <w:t>421</w:t>
      </w:r>
      <w:r>
        <w:rPr>
          <w:iCs/>
        </w:rPr>
        <w:fldChar w:fldCharType="end"/>
      </w:r>
      <w:r w:rsidR="00392521">
        <w:rPr>
          <w:iCs/>
        </w:rPr>
        <w:t xml:space="preserve"> </w:t>
      </w:r>
      <w:r w:rsidR="00392521" w:rsidRPr="003B630C">
        <w:t xml:space="preserve">Copyright </w:t>
      </w:r>
      <w:r w:rsidR="00392521">
        <w:t>201</w:t>
      </w:r>
      <w:r w:rsidR="00392521">
        <w:t>8</w:t>
      </w:r>
      <w:r w:rsidR="00392521" w:rsidRPr="003B630C">
        <w:t xml:space="preserve"> American Chemical Society.</w:t>
      </w:r>
    </w:p>
    <w:p w14:paraId="6FE5C795" w14:textId="2BECDA51" w:rsidR="0039761C" w:rsidRPr="0039761C" w:rsidRDefault="0039761C" w:rsidP="00DB5848">
      <w:pPr>
        <w:pStyle w:val="Caption"/>
        <w:rPr>
          <w:iCs/>
        </w:rPr>
      </w:pPr>
    </w:p>
    <w:p w14:paraId="2B822B3C" w14:textId="540174D3" w:rsidR="0039761C" w:rsidRPr="0039761C" w:rsidRDefault="0039761C" w:rsidP="0039761C">
      <w:pPr>
        <w:ind w:firstLine="720"/>
        <w:rPr>
          <w:iCs/>
        </w:rPr>
      </w:pPr>
      <w:r w:rsidRPr="0039761C">
        <w:rPr>
          <w:iCs/>
        </w:rPr>
        <w:t>Numerous studies reported the appearance of electrophilic O species in O K-edge XAS under anodic polarization.</w:t>
      </w:r>
      <w:r w:rsidRPr="0039761C">
        <w:rPr>
          <w:iCs/>
        </w:rPr>
        <w:fldChar w:fldCharType="begin">
          <w:fldData xml:space="preserve">PEVuZE5vdGU+PENpdGU+PEF1dGhvcj5Nb208L0F1dGhvcj48WWVhcj4yMDIyPC9ZZWFyPjxSZWNO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</w:fldData>
        </w:fldChar>
      </w:r>
      <w:r w:rsidR="00FC5BEB">
        <w:rPr>
          <w:iCs/>
        </w:rPr>
        <w:instrText xml:space="preserve"> ADDIN EN.CITE </w:instrText>
      </w:r>
      <w:r w:rsidR="00FC5BEB">
        <w:rPr>
          <w:iCs/>
        </w:rPr>
        <w:fldChar w:fldCharType="begin">
          <w:fldData xml:space="preserve">PEVuZE5vdGU+PENpdGU+PEF1dGhvcj5Nb208L0F1dGhvcj48WWVhcj4yMDIyPC9ZZWFyPjxSZWNO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</w:fldData>
        </w:fldChar>
      </w:r>
      <w:r w:rsidR="00FC5BEB">
        <w:rPr>
          <w:iCs/>
        </w:rPr>
        <w:instrText xml:space="preserve"> ADDIN EN.CITE.DATA </w:instrText>
      </w:r>
      <w:r w:rsidR="00FC5BEB">
        <w:rPr>
          <w:iCs/>
        </w:rPr>
      </w:r>
      <w:r w:rsidR="00FC5BEB">
        <w:rPr>
          <w:iCs/>
        </w:rPr>
        <w:fldChar w:fldCharType="end"/>
      </w:r>
      <w:r w:rsidRPr="0039761C">
        <w:rPr>
          <w:iCs/>
        </w:rPr>
      </w:r>
      <w:r w:rsidRPr="0039761C">
        <w:rPr>
          <w:iCs/>
        </w:rPr>
        <w:fldChar w:fldCharType="separate"/>
      </w:r>
      <w:r w:rsidR="00FC5BEB" w:rsidRPr="00FC5BEB">
        <w:rPr>
          <w:iCs/>
          <w:noProof/>
          <w:vertAlign w:val="superscript"/>
        </w:rPr>
        <w:t>63, 94, 404, 421</w:t>
      </w:r>
      <w:r w:rsidRPr="0039761C">
        <w:fldChar w:fldCharType="end"/>
      </w:r>
      <w:r w:rsidRPr="0039761C">
        <w:rPr>
          <w:iCs/>
        </w:rPr>
        <w:t xml:space="preserve"> Generally, two types of species μ</w:t>
      </w:r>
      <w:r w:rsidRPr="0039761C">
        <w:rPr>
          <w:iCs/>
          <w:vertAlign w:val="subscript"/>
        </w:rPr>
        <w:t>2</w:t>
      </w:r>
      <w:r w:rsidRPr="0039761C">
        <w:rPr>
          <w:iCs/>
        </w:rPr>
        <w:t>-O and μ</w:t>
      </w:r>
      <w:r w:rsidRPr="0039761C">
        <w:rPr>
          <w:iCs/>
          <w:vertAlign w:val="subscript"/>
        </w:rPr>
        <w:t>1</w:t>
      </w:r>
      <w:r w:rsidRPr="0039761C">
        <w:rPr>
          <w:iCs/>
        </w:rPr>
        <w:t>-O can be distinguished, appearing at about 529 eV and 528.3 eV, respectively (</w:t>
      </w:r>
      <w:r w:rsidR="000F4A43">
        <w:rPr>
          <w:iCs/>
        </w:rPr>
        <w:fldChar w:fldCharType="begin"/>
      </w:r>
      <w:r w:rsidR="000F4A43">
        <w:rPr>
          <w:iCs/>
        </w:rPr>
        <w:instrText xml:space="preserve"> REF _Ref159522629 \h </w:instrText>
      </w:r>
      <w:r w:rsidR="000F4A43">
        <w:rPr>
          <w:iCs/>
        </w:rPr>
      </w:r>
      <w:r w:rsidR="000F4A43">
        <w:rPr>
          <w:iCs/>
        </w:rPr>
        <w:fldChar w:fldCharType="separate"/>
      </w:r>
      <w:r w:rsidR="00B52708" w:rsidRPr="000F4A43">
        <w:rPr>
          <w:b/>
          <w:bCs/>
        </w:rPr>
        <w:t xml:space="preserve">Figure </w:t>
      </w:r>
      <w:r w:rsidR="00B52708">
        <w:rPr>
          <w:b/>
          <w:bCs/>
          <w:noProof/>
        </w:rPr>
        <w:t>32</w:t>
      </w:r>
      <w:r w:rsidR="000F4A43">
        <w:rPr>
          <w:iCs/>
        </w:rPr>
        <w:fldChar w:fldCharType="end"/>
      </w:r>
      <w:r w:rsidRPr="0039761C">
        <w:rPr>
          <w:iCs/>
        </w:rPr>
        <w:t xml:space="preserve">, </w:t>
      </w:r>
      <w:r w:rsidR="000F4A43">
        <w:rPr>
          <w:iCs/>
        </w:rPr>
        <w:fldChar w:fldCharType="begin"/>
      </w:r>
      <w:r w:rsidR="000F4A43">
        <w:rPr>
          <w:iCs/>
        </w:rPr>
        <w:instrText xml:space="preserve"> REF _Ref159522829 \h </w:instrText>
      </w:r>
      <w:r w:rsidR="000F4A43">
        <w:rPr>
          <w:iCs/>
        </w:rPr>
      </w:r>
      <w:r w:rsidR="000F4A43">
        <w:rPr>
          <w:iCs/>
        </w:rPr>
        <w:fldChar w:fldCharType="separate"/>
      </w:r>
      <w:r w:rsidR="00B52708" w:rsidRPr="000F4A43">
        <w:rPr>
          <w:b/>
          <w:bCs/>
        </w:rPr>
        <w:t xml:space="preserve">Figure </w:t>
      </w:r>
      <w:r w:rsidR="00B52708">
        <w:rPr>
          <w:b/>
          <w:bCs/>
          <w:noProof/>
        </w:rPr>
        <w:t>33</w:t>
      </w:r>
      <w:r w:rsidR="000F4A43">
        <w:rPr>
          <w:iCs/>
        </w:rPr>
        <w:fldChar w:fldCharType="end"/>
      </w:r>
      <w:r w:rsidRPr="0039761C">
        <w:rPr>
          <w:iCs/>
        </w:rPr>
        <w:t>). These are the CUS and bridge O sites we have seen in the CHE calculations. Remember, the bridge O sites were long thought to be innocent spectator in the water nucleophilic attack mechanism, until recently they were re-</w:t>
      </w:r>
      <w:r w:rsidRPr="0039761C">
        <w:rPr>
          <w:iCs/>
        </w:rPr>
        <w:lastRenderedPageBreak/>
        <w:t xml:space="preserve">considered as proton acceptor sites facilitating O-O bond formation. These electrophilic O species correspond to the formal </w:t>
      </w:r>
      <w:proofErr w:type="spellStart"/>
      <w:r w:rsidRPr="0039761C">
        <w:rPr>
          <w:iCs/>
        </w:rPr>
        <w:t>Ir</w:t>
      </w:r>
      <w:proofErr w:type="spellEnd"/>
      <w:r w:rsidRPr="0039761C">
        <w:rPr>
          <w:iCs/>
        </w:rPr>
        <w:t xml:space="preserve">(V) seen by </w:t>
      </w:r>
      <w:proofErr w:type="spellStart"/>
      <w:r w:rsidRPr="0039761C">
        <w:rPr>
          <w:iCs/>
        </w:rPr>
        <w:t>Ir</w:t>
      </w:r>
      <w:proofErr w:type="spellEnd"/>
      <w:r w:rsidRPr="0039761C">
        <w:rPr>
          <w:iCs/>
        </w:rPr>
        <w:t xml:space="preserve"> L-edge experiments. According to DFT calculations, the white line intensity of the O K-edge resonance increases as the edge position decreases. There is also a rough correlation between the </w:t>
      </w:r>
      <w:proofErr w:type="spellStart"/>
      <w:r w:rsidRPr="0039761C">
        <w:rPr>
          <w:iCs/>
        </w:rPr>
        <w:t>Löwdin</w:t>
      </w:r>
      <w:proofErr w:type="spellEnd"/>
      <w:r w:rsidRPr="0039761C">
        <w:rPr>
          <w:iCs/>
        </w:rPr>
        <w:t xml:space="preserve"> charge and the edge position for the O/OH species: the lower the </w:t>
      </w:r>
      <w:proofErr w:type="spellStart"/>
      <w:r w:rsidRPr="0039761C">
        <w:rPr>
          <w:iCs/>
        </w:rPr>
        <w:t>Löwdin</w:t>
      </w:r>
      <w:proofErr w:type="spellEnd"/>
      <w:r w:rsidRPr="0039761C">
        <w:rPr>
          <w:iCs/>
        </w:rPr>
        <w:t xml:space="preserve"> charge, the lower the edge position. This indicates that the more electrophilic (“hole”) character an O species has the lower its edge position. The onset of μ</w:t>
      </w:r>
      <w:r w:rsidRPr="0039761C">
        <w:rPr>
          <w:iCs/>
          <w:vertAlign w:val="subscript"/>
        </w:rPr>
        <w:t>2</w:t>
      </w:r>
      <w:r w:rsidRPr="0039761C">
        <w:rPr>
          <w:iCs/>
        </w:rPr>
        <w:t>-O formation under acidic condition</w:t>
      </w:r>
      <w:r w:rsidR="0034659F">
        <w:rPr>
          <w:iCs/>
        </w:rPr>
        <w:t>s</w:t>
      </w:r>
      <w:r w:rsidRPr="0039761C">
        <w:rPr>
          <w:iCs/>
        </w:rPr>
        <w:t xml:space="preserve"> is around 0.9-1.0 V vs RHE and continues up to approximately 1.6 V vs RHE. The μ</w:t>
      </w:r>
      <w:r w:rsidRPr="0039761C">
        <w:rPr>
          <w:iCs/>
          <w:vertAlign w:val="subscript"/>
        </w:rPr>
        <w:t>1</w:t>
      </w:r>
      <w:r w:rsidRPr="0039761C">
        <w:rPr>
          <w:iCs/>
        </w:rPr>
        <w:t>-O formation starts at around 1.2-1.3 V vs RHE and increases into OER conditions. Notice, however, the experimentally observed intensity of μ</w:t>
      </w:r>
      <w:r w:rsidRPr="0039761C">
        <w:rPr>
          <w:iCs/>
          <w:vertAlign w:val="subscript"/>
        </w:rPr>
        <w:t>1</w:t>
      </w:r>
      <w:r w:rsidRPr="0039761C">
        <w:rPr>
          <w:iCs/>
        </w:rPr>
        <w:t>-O with respect to μ</w:t>
      </w:r>
      <w:r w:rsidRPr="0039761C">
        <w:rPr>
          <w:iCs/>
          <w:vertAlign w:val="subscript"/>
        </w:rPr>
        <w:t>2</w:t>
      </w:r>
      <w:r w:rsidRPr="0039761C">
        <w:rPr>
          <w:iCs/>
        </w:rPr>
        <w:t>-O is in stark contrast to the predicted much increased white line intensity. This strongly suggests that while μ</w:t>
      </w:r>
      <w:r w:rsidRPr="0039761C">
        <w:rPr>
          <w:iCs/>
          <w:vertAlign w:val="subscript"/>
        </w:rPr>
        <w:t>2</w:t>
      </w:r>
      <w:r w:rsidRPr="0039761C">
        <w:rPr>
          <w:iCs/>
        </w:rPr>
        <w:t>-O coverage may approach and reach saturation under OER, the coverage of μ</w:t>
      </w:r>
      <w:r w:rsidRPr="0039761C">
        <w:rPr>
          <w:iCs/>
          <w:vertAlign w:val="subscript"/>
        </w:rPr>
        <w:t>1</w:t>
      </w:r>
      <w:r w:rsidRPr="0039761C">
        <w:rPr>
          <w:iCs/>
        </w:rPr>
        <w:t>-O is necessarily much lower. Although experiments are not unambiguous, they do not seem to support the presence of superoxo species, at least not with observable coverage. That is, theoretical surface phase diagrams predicting complete deprotonation of μ</w:t>
      </w:r>
      <w:r w:rsidRPr="0039761C">
        <w:rPr>
          <w:iCs/>
          <w:vertAlign w:val="subscript"/>
        </w:rPr>
        <w:t>1</w:t>
      </w:r>
      <w:r w:rsidRPr="0039761C">
        <w:rPr>
          <w:iCs/>
        </w:rPr>
        <w:t>-OH to μ</w:t>
      </w:r>
      <w:r w:rsidRPr="0039761C">
        <w:rPr>
          <w:iCs/>
          <w:vertAlign w:val="subscript"/>
        </w:rPr>
        <w:t>1</w:t>
      </w:r>
      <w:r w:rsidRPr="0039761C">
        <w:rPr>
          <w:iCs/>
        </w:rPr>
        <w:t xml:space="preserve">-O below the OER onset and/or their further transformation to superoxo seem to be erroneous. </w:t>
      </w:r>
    </w:p>
    <w:p w14:paraId="3BC16122" w14:textId="77777777" w:rsidR="0039761C" w:rsidRPr="0039761C" w:rsidRDefault="0039761C" w:rsidP="0039761C">
      <w:pPr>
        <w:rPr>
          <w:iCs/>
        </w:rPr>
      </w:pPr>
    </w:p>
    <w:p w14:paraId="04B82202" w14:textId="28B87A23" w:rsidR="0039761C" w:rsidRPr="0039761C" w:rsidRDefault="001F3796" w:rsidP="001C1AC5">
      <w:pPr>
        <w:jc w:val="center"/>
        <w:rPr>
          <w:iCs/>
        </w:rPr>
      </w:pPr>
      <w:r>
        <w:rPr>
          <w:iCs/>
          <w:noProof/>
          <w14:ligatures w14:val="standardContextual"/>
        </w:rPr>
        <w:drawing>
          <wp:inline distT="0" distB="0" distL="0" distR="0" wp14:anchorId="483258CC" wp14:editId="0A66FA00">
            <wp:extent cx="5219700" cy="4163691"/>
            <wp:effectExtent l="0" t="0" r="0" b="2540"/>
            <wp:docPr id="16015719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571918" name="Picture 1601571918"/>
                    <pic:cNvPicPr/>
                  </pic:nvPicPr>
                  <pic:blipFill rotWithShape="1">
                    <a:blip r:embed="rId43" cstate="print">
                      <a:extLst>
                        <a:ext uri="{28A0092B-C50C-407E-A947-70E740481C1C}">
                          <a14:useLocalDpi xmlns:a14="http://schemas.microsoft.com/office/drawing/2010/main" val="0"/>
                        </a:ext>
                      </a:extLst>
                    </a:blip>
                    <a:srcRect l="12630" t="3546" r="29869" b="14910"/>
                    <a:stretch/>
                  </pic:blipFill>
                  <pic:spPr bwMode="auto">
                    <a:xfrm>
                      <a:off x="0" y="0"/>
                      <a:ext cx="5268176" cy="4202360"/>
                    </a:xfrm>
                    <a:prstGeom prst="rect">
                      <a:avLst/>
                    </a:prstGeom>
                    <a:ln>
                      <a:noFill/>
                    </a:ln>
                    <a:extLst>
                      <a:ext uri="{53640926-AAD7-44D8-BBD7-CCE9431645EC}">
                        <a14:shadowObscured xmlns:a14="http://schemas.microsoft.com/office/drawing/2010/main"/>
                      </a:ext>
                    </a:extLst>
                  </pic:spPr>
                </pic:pic>
              </a:graphicData>
            </a:graphic>
          </wp:inline>
        </w:drawing>
      </w:r>
    </w:p>
    <w:p w14:paraId="42251C45" w14:textId="28CA5391" w:rsidR="000738F2" w:rsidRPr="000738F2" w:rsidRDefault="000F4A43" w:rsidP="000738F2">
      <w:pPr>
        <w:pStyle w:val="Caption"/>
      </w:pPr>
      <w:bookmarkStart w:id="117" w:name="_Ref159522829"/>
      <w:r w:rsidRPr="000F4A43">
        <w:rPr>
          <w:b/>
          <w:bCs w:val="0"/>
          <w:sz w:val="22"/>
        </w:rPr>
        <w:t xml:space="preserve">Figure </w:t>
      </w:r>
      <w:r w:rsidRPr="000F4A43">
        <w:rPr>
          <w:b/>
          <w:bCs w:val="0"/>
          <w:sz w:val="22"/>
        </w:rPr>
        <w:fldChar w:fldCharType="begin"/>
      </w:r>
      <w:r w:rsidRPr="000F4A43">
        <w:rPr>
          <w:b/>
          <w:bCs w:val="0"/>
          <w:sz w:val="22"/>
        </w:rPr>
        <w:instrText xml:space="preserve"> SEQ Figure \* ARABIC </w:instrText>
      </w:r>
      <w:r w:rsidRPr="000F4A43">
        <w:rPr>
          <w:b/>
          <w:bCs w:val="0"/>
          <w:sz w:val="22"/>
        </w:rPr>
        <w:fldChar w:fldCharType="separate"/>
      </w:r>
      <w:r w:rsidR="00B52708">
        <w:rPr>
          <w:b/>
          <w:bCs w:val="0"/>
          <w:noProof/>
          <w:sz w:val="22"/>
        </w:rPr>
        <w:t>33</w:t>
      </w:r>
      <w:r w:rsidRPr="000F4A43">
        <w:rPr>
          <w:b/>
          <w:bCs w:val="0"/>
          <w:sz w:val="22"/>
        </w:rPr>
        <w:fldChar w:fldCharType="end"/>
      </w:r>
      <w:bookmarkEnd w:id="117"/>
      <w:r w:rsidR="0039761C" w:rsidRPr="0039761C">
        <w:t xml:space="preserve"> </w:t>
      </w:r>
      <w:r w:rsidR="00FA3D7E">
        <w:t>(</w:t>
      </w:r>
      <w:r w:rsidR="00967BAD">
        <w:rPr>
          <w:iCs/>
        </w:rPr>
        <w:t>a</w:t>
      </w:r>
      <w:r w:rsidR="0039761C" w:rsidRPr="0039761C">
        <w:rPr>
          <w:iCs/>
        </w:rPr>
        <w:t xml:space="preserve">) Steady- state </w:t>
      </w:r>
      <w:r w:rsidR="00FE64CB" w:rsidRPr="00FE64CB">
        <w:rPr>
          <w:i/>
          <w:iCs/>
          <w:sz w:val="22"/>
        </w:rPr>
        <w:t>operando</w:t>
      </w:r>
      <w:r w:rsidR="0039761C" w:rsidRPr="0039761C">
        <w:rPr>
          <w:iCs/>
        </w:rPr>
        <w:t xml:space="preserve"> O K-edge X-ray absorption spectra of </w:t>
      </w:r>
      <w:proofErr w:type="spellStart"/>
      <w:r w:rsidR="0039761C" w:rsidRPr="0039761C">
        <w:rPr>
          <w:iCs/>
        </w:rPr>
        <w:t>IrNi</w:t>
      </w:r>
      <w:proofErr w:type="spellEnd"/>
      <w:r w:rsidR="0039761C" w:rsidRPr="0039761C">
        <w:rPr>
          <w:iCs/>
        </w:rPr>
        <w:t>/Graphene at selected (non-</w:t>
      </w:r>
      <w:proofErr w:type="spellStart"/>
      <w:r w:rsidR="0039761C" w:rsidRPr="0039761C">
        <w:rPr>
          <w:i/>
          <w:iCs/>
        </w:rPr>
        <w:t>iR</w:t>
      </w:r>
      <w:proofErr w:type="spellEnd"/>
      <w:r w:rsidR="0039761C" w:rsidRPr="0039761C">
        <w:rPr>
          <w:i/>
          <w:iCs/>
        </w:rPr>
        <w:t xml:space="preserve"> </w:t>
      </w:r>
      <w:r w:rsidR="0039761C" w:rsidRPr="0039761C">
        <w:rPr>
          <w:iCs/>
        </w:rPr>
        <w:t xml:space="preserve">corrected) potentials in the order indicated. </w:t>
      </w:r>
      <w:r w:rsidR="00FA3D7E">
        <w:rPr>
          <w:iCs/>
        </w:rPr>
        <w:t>(</w:t>
      </w:r>
      <w:r w:rsidR="00967BAD">
        <w:rPr>
          <w:iCs/>
        </w:rPr>
        <w:t>b</w:t>
      </w:r>
      <w:r w:rsidR="0039761C" w:rsidRPr="0039761C">
        <w:rPr>
          <w:iCs/>
        </w:rPr>
        <w:t xml:space="preserve">) Steady-state </w:t>
      </w:r>
      <w:r w:rsidR="00FE64CB" w:rsidRPr="00FE64CB">
        <w:rPr>
          <w:i/>
          <w:iCs/>
          <w:sz w:val="22"/>
        </w:rPr>
        <w:t>operando</w:t>
      </w:r>
      <w:r w:rsidR="0039761C" w:rsidRPr="0039761C">
        <w:rPr>
          <w:iCs/>
        </w:rPr>
        <w:t xml:space="preserve"> O K-edge spectra of </w:t>
      </w:r>
      <w:proofErr w:type="spellStart"/>
      <w:r w:rsidR="0039761C" w:rsidRPr="0039761C">
        <w:rPr>
          <w:iCs/>
        </w:rPr>
        <w:t>IrNi</w:t>
      </w:r>
      <w:proofErr w:type="spellEnd"/>
      <w:r w:rsidR="0039761C" w:rsidRPr="0039761C">
        <w:rPr>
          <w:iCs/>
        </w:rPr>
        <w:t>/Graphene at selected (non-</w:t>
      </w:r>
      <w:proofErr w:type="spellStart"/>
      <w:r w:rsidR="0039761C" w:rsidRPr="0039761C">
        <w:rPr>
          <w:i/>
          <w:iCs/>
        </w:rPr>
        <w:t>iR</w:t>
      </w:r>
      <w:proofErr w:type="spellEnd"/>
      <w:r w:rsidR="0039761C" w:rsidRPr="0039761C">
        <w:rPr>
          <w:i/>
          <w:iCs/>
        </w:rPr>
        <w:t xml:space="preserve"> </w:t>
      </w:r>
      <w:r w:rsidR="0039761C" w:rsidRPr="0039761C">
        <w:rPr>
          <w:iCs/>
        </w:rPr>
        <w:t>corrected) potentials after scaling the spectra at 528.9 eV. Taken from Ref</w:t>
      </w:r>
      <w:r w:rsidR="00033DA4">
        <w:rPr>
          <w:iCs/>
        </w:rPr>
        <w:t xml:space="preserve">. </w:t>
      </w:r>
      <w:r w:rsidR="00B104C4">
        <w:rPr>
          <w:iCs/>
        </w:rPr>
        <w:fldChar w:fldCharType="begin"/>
      </w:r>
      <w:r w:rsidR="00B104C4">
        <w:rPr>
          <w:iCs/>
        </w:rPr>
        <w:instrText xml:space="preserve"> ADDIN EN.CITE &lt;EndNote&gt;&lt;Cite&gt;&lt;Author&gt;Nong&lt;/Author&gt;&lt;Year&gt;2020&lt;/Year&gt;&lt;RecNum&gt;63&lt;/RecNum&gt;&lt;DisplayText&gt;&lt;style face="superscript"&gt;63&lt;/style&gt;&lt;/DisplayText&gt;&lt;record&gt;&lt;rec-number&gt;63&lt;/rec-number&gt;&lt;foreign-keys&gt;&lt;key app="EN" db-id="2xex0erf4eexr4e2dpbxpdd829xttesxxxdr" timestamp="1715075296"&gt;63&lt;/key&gt;&lt;/foreign-keys&gt;&lt;ref-type name="Journal Article"&gt;17&lt;/ref-type&gt;&lt;contributors&gt;&lt;authors&gt;&lt;author&gt;Nong, Hong Nhan&lt;/author&gt;&lt;author&gt;Falling, Lorenz J.&lt;/author&gt;&lt;author&gt;Bergmann, Arno&lt;/author&gt;&lt;author&gt;Klingenhof, Malte&lt;/author&gt;&lt;author&gt;Tran, Hoang Phi&lt;/author&gt;&lt;author&gt;Spöri, Camillo&lt;/author&gt;&lt;author&gt;Mom, Rik&lt;/author&gt;&lt;author&gt;Timoshenko, Janis&lt;/author&gt;&lt;author&gt;Zichittella, Guido&lt;/author&gt;&lt;author&gt;Knop-Gericke, Axel&lt;/author&gt;&lt;author&gt;Piccinin, Simone&lt;/author&gt;&lt;author&gt;Pérez-Ramírez, Javier&lt;/author&gt;&lt;author&gt;Cuenya, Beatriz Roldan&lt;/author&gt;&lt;author&gt;Schlögl, Robert&lt;/author&gt;&lt;author&gt;Strasser, Peter&lt;/author&gt;&lt;author&gt;Teschner, Detre&lt;/author&gt;&lt;author&gt;Jones, Travis E.&lt;/author&gt;&lt;/authors&gt;&lt;/contributors&gt;&lt;titles&gt;&lt;title&gt;Key role of chemistry versus bias in electrocatalytic oxygen evolution&lt;/title&gt;&lt;secondary-title&gt;Nature&lt;/secondary-title&gt;&lt;/titles&gt;&lt;pages&gt;408-413&lt;/pages&gt;&lt;volume&gt;587&lt;/volume&gt;&lt;number&gt;7834&lt;/number&gt;&lt;dates&gt;&lt;year&gt;2020&lt;/year&gt;&lt;pub-dates&gt;&lt;date&gt;2020/11/01&lt;/date&gt;&lt;/pub-dates&gt;&lt;/dates&gt;&lt;isbn&gt;1476-4687&lt;/isbn&gt;&lt;urls&gt;&lt;related-urls&gt;&lt;url&gt;https://doi.org/10.1038/s41586-020-2908-2&lt;/url&gt;&lt;/related-urls&gt;&lt;/urls&gt;&lt;electronic-resource-num&gt;10.1038/s41586-020-2908-2&lt;/electronic-resource-num&gt;&lt;/record&gt;&lt;/Cite&gt;&lt;/EndNote&gt;</w:instrText>
      </w:r>
      <w:r w:rsidR="00B104C4">
        <w:rPr>
          <w:iCs/>
        </w:rPr>
        <w:fldChar w:fldCharType="separate"/>
      </w:r>
      <w:r w:rsidR="00B104C4" w:rsidRPr="00B104C4">
        <w:rPr>
          <w:iCs/>
          <w:noProof/>
          <w:vertAlign w:val="superscript"/>
        </w:rPr>
        <w:t>63</w:t>
      </w:r>
      <w:r w:rsidR="00B104C4">
        <w:rPr>
          <w:iCs/>
        </w:rPr>
        <w:fldChar w:fldCharType="end"/>
      </w:r>
      <w:r w:rsidR="0039761C" w:rsidRPr="0039761C">
        <w:rPr>
          <w:iCs/>
        </w:rPr>
        <w:t xml:space="preserve"> supporting information. </w:t>
      </w:r>
      <w:r w:rsidR="00FA3D7E">
        <w:rPr>
          <w:iCs/>
        </w:rPr>
        <w:t>(</w:t>
      </w:r>
      <w:r w:rsidR="00967BAD">
        <w:rPr>
          <w:iCs/>
        </w:rPr>
        <w:t>c</w:t>
      </w:r>
      <w:r w:rsidR="0039761C" w:rsidRPr="0039761C">
        <w:rPr>
          <w:iCs/>
        </w:rPr>
        <w:t xml:space="preserve">) and </w:t>
      </w:r>
      <w:r w:rsidR="00FA3D7E">
        <w:rPr>
          <w:iCs/>
        </w:rPr>
        <w:t>(</w:t>
      </w:r>
      <w:r w:rsidR="00967BAD">
        <w:rPr>
          <w:iCs/>
        </w:rPr>
        <w:t>d</w:t>
      </w:r>
      <w:r w:rsidR="0039761C" w:rsidRPr="0039761C">
        <w:rPr>
          <w:iCs/>
        </w:rPr>
        <w:t>) Potential dependence of the μ</w:t>
      </w:r>
      <w:r w:rsidR="0039761C" w:rsidRPr="0039761C">
        <w:rPr>
          <w:iCs/>
          <w:vertAlign w:val="subscript"/>
        </w:rPr>
        <w:t>2</w:t>
      </w:r>
      <w:r w:rsidR="0039761C" w:rsidRPr="0039761C">
        <w:rPr>
          <w:iCs/>
        </w:rPr>
        <w:t>-O and μ</w:t>
      </w:r>
      <w:r w:rsidR="0039761C" w:rsidRPr="0039761C">
        <w:rPr>
          <w:iCs/>
          <w:vertAlign w:val="subscript"/>
        </w:rPr>
        <w:t>1</w:t>
      </w:r>
      <w:r w:rsidR="0039761C" w:rsidRPr="0039761C">
        <w:rPr>
          <w:iCs/>
        </w:rPr>
        <w:t xml:space="preserve">-O signals </w:t>
      </w:r>
      <w:r w:rsidR="00144CFD">
        <w:rPr>
          <w:iCs/>
        </w:rPr>
        <w:t>(c</w:t>
      </w:r>
      <w:r w:rsidR="0039761C" w:rsidRPr="0039761C">
        <w:rPr>
          <w:iCs/>
        </w:rPr>
        <w:t>) μ</w:t>
      </w:r>
      <w:r w:rsidR="0039761C" w:rsidRPr="0039761C">
        <w:rPr>
          <w:iCs/>
          <w:vertAlign w:val="subscript"/>
        </w:rPr>
        <w:t>2</w:t>
      </w:r>
      <w:r w:rsidR="0039761C" w:rsidRPr="0039761C">
        <w:rPr>
          <w:iCs/>
        </w:rPr>
        <w:t xml:space="preserve">-O signal at 529 eV. </w:t>
      </w:r>
      <w:r w:rsidR="00144CFD">
        <w:rPr>
          <w:iCs/>
        </w:rPr>
        <w:t>(d</w:t>
      </w:r>
      <w:r w:rsidR="0039761C" w:rsidRPr="0039761C">
        <w:rPr>
          <w:iCs/>
        </w:rPr>
        <w:t>) μ</w:t>
      </w:r>
      <w:r w:rsidR="0039761C" w:rsidRPr="0039761C">
        <w:rPr>
          <w:iCs/>
          <w:vertAlign w:val="subscript"/>
        </w:rPr>
        <w:t>1</w:t>
      </w:r>
      <w:r w:rsidR="0039761C" w:rsidRPr="0039761C">
        <w:rPr>
          <w:iCs/>
        </w:rPr>
        <w:t>-O signal obtained from integration between 528 and 528.35 eV. The experimental μ</w:t>
      </w:r>
      <w:r w:rsidR="0039761C" w:rsidRPr="0039761C">
        <w:rPr>
          <w:iCs/>
          <w:vertAlign w:val="subscript"/>
        </w:rPr>
        <w:t>1</w:t>
      </w:r>
      <w:r w:rsidR="0039761C" w:rsidRPr="0039761C">
        <w:rPr>
          <w:iCs/>
        </w:rPr>
        <w:t>-O and μ</w:t>
      </w:r>
      <w:r w:rsidR="0039761C" w:rsidRPr="0039761C">
        <w:rPr>
          <w:iCs/>
          <w:vertAlign w:val="subscript"/>
        </w:rPr>
        <w:t>2</w:t>
      </w:r>
      <w:r w:rsidR="0039761C" w:rsidRPr="0039761C">
        <w:rPr>
          <w:iCs/>
        </w:rPr>
        <w:t>-O signals were background-subtracted using the spectra at 0.25 V vs RHE, normalized to the μ</w:t>
      </w:r>
      <w:r w:rsidR="0039761C" w:rsidRPr="0039761C">
        <w:rPr>
          <w:iCs/>
          <w:vertAlign w:val="subscript"/>
        </w:rPr>
        <w:t>3</w:t>
      </w:r>
      <w:r w:rsidR="0039761C" w:rsidRPr="0039761C">
        <w:rPr>
          <w:iCs/>
        </w:rPr>
        <w:t xml:space="preserve">-O intensity at 530 eV for the semicrystalline and crystalline samples, and finally normalized to one at 1.65 V vs RHE. The solid lines show the theoretical coverage curves (also normalized at 1.65 V vs RHE) extracted from MD simulations. </w:t>
      </w:r>
      <w:r w:rsidR="00F21C6D">
        <w:rPr>
          <w:iCs/>
        </w:rPr>
        <w:t xml:space="preserve">Reproduced </w:t>
      </w:r>
      <w:r w:rsidR="0039761C" w:rsidRPr="0039761C">
        <w:rPr>
          <w:iCs/>
        </w:rPr>
        <w:t>from Ref</w:t>
      </w:r>
      <w:r w:rsidR="00637F6E">
        <w:rPr>
          <w:iCs/>
        </w:rPr>
        <w:t xml:space="preserve">. </w:t>
      </w:r>
      <w:r w:rsidR="0039761C" w:rsidRPr="0039761C">
        <w:rPr>
          <w:iCs/>
        </w:rPr>
        <w:fldChar w:fldCharType="begin"/>
      </w:r>
      <w:r w:rsidR="00FC5BEB">
        <w:rPr>
          <w:iCs/>
        </w:rPr>
        <w:instrText xml:space="preserve"> ADDIN EN.CITE &lt;EndNote&gt;&lt;Cite&gt;&lt;Author&gt;Mom&lt;/Author&gt;&lt;Year&gt;2022&lt;/Year&gt;&lt;RecNum&gt;402&lt;/RecNum&gt;&lt;DisplayText&gt;&lt;style face="superscript"&gt;404&lt;/style&gt;&lt;/DisplayText&gt;&lt;record&gt;&lt;rec-number&gt;402&lt;/rec-number&gt;&lt;foreign-keys&gt;&lt;key app="EN" db-id="2xex0erf4eexr4e2dpbxpdd829xttesxxxdr" timestamp="1715075297"&gt;402&lt;/key&gt;&lt;/foreign-keys&gt;&lt;ref-type name="Journal Article"&gt;17&lt;/ref-type&gt;&lt;contributors&gt;&lt;authors&gt;&lt;author&gt;Mom, Rik V.&lt;/author&gt;&lt;author&gt;Falling, Lorenz J.&lt;/author&gt;&lt;author&gt;Kasian, Olga&lt;/author&gt;&lt;author&gt;Algara-Siller, Gerardo&lt;/author&gt;&lt;author&gt;Teschner, Detre&lt;/author&gt;&lt;author&gt;Crabtree, Robert H.&lt;/author&gt;&lt;author&gt;Knop-Gericke, Axel&lt;/author&gt;&lt;author&gt;Mayrhofer, Karl J. J.&lt;/author&gt;&lt;author&gt;Velasco-Vélez, Juan-Jesús&lt;/author&gt;&lt;author&gt;Jones, Travis E.&lt;/author&gt;&lt;/authors&gt;&lt;/contributors&gt;&lt;titles&gt;&lt;title&gt;Operando Structure–Activity–Stability Relationship of Iridium Oxides during the Oxygen Evolution Reaction&lt;/title&gt;&lt;secondary-title&gt;ACS Catal.&lt;/secondary-title&gt;&lt;/titles&gt;&lt;periodical&gt;&lt;full-title&gt;ACS Catal.&lt;/full-title&gt;&lt;/periodical&gt;&lt;pages&gt;5174-5184&lt;/pages&gt;&lt;volume&gt;12&lt;/volume&gt;&lt;number&gt;9&lt;/number&gt;&lt;dates&gt;&lt;year&gt;2022&lt;/year&gt;&lt;/dates&gt;&lt;publisher&gt;American Chemical Society&lt;/publisher&gt;&lt;urls&gt;&lt;related-urls&gt;&lt;url&gt;https://doi.org/10.1021/acscatal.1c05951&lt;/url&gt;&lt;/related-urls&gt;&lt;/urls&gt;&lt;electronic-resource-num&gt;10.1021/acscatal.1c05951&lt;/electronic-resource-num&gt;&lt;/record&gt;&lt;/Cite&gt;&lt;/EndNote&gt;</w:instrText>
      </w:r>
      <w:r w:rsidR="0039761C" w:rsidRPr="0039761C">
        <w:rPr>
          <w:iCs/>
        </w:rPr>
        <w:fldChar w:fldCharType="separate"/>
      </w:r>
      <w:r w:rsidR="00FC5BEB" w:rsidRPr="00FC5BEB">
        <w:rPr>
          <w:iCs/>
          <w:noProof/>
          <w:vertAlign w:val="superscript"/>
        </w:rPr>
        <w:t>404</w:t>
      </w:r>
      <w:r w:rsidR="0039761C" w:rsidRPr="0039761C">
        <w:fldChar w:fldCharType="end"/>
      </w:r>
      <w:r w:rsidR="000738F2">
        <w:t xml:space="preserve"> </w:t>
      </w:r>
      <w:r w:rsidR="000738F2" w:rsidRPr="000738F2">
        <w:t xml:space="preserve">under the Creative Commons Attribution </w:t>
      </w:r>
      <w:r w:rsidR="000738F2">
        <w:t>4</w:t>
      </w:r>
      <w:r w:rsidR="000738F2" w:rsidRPr="000738F2">
        <w:t>.0 License.</w:t>
      </w:r>
    </w:p>
    <w:p w14:paraId="26FD533C" w14:textId="24BA4ADA" w:rsidR="0039761C" w:rsidRPr="0039761C" w:rsidRDefault="0039761C" w:rsidP="000F4A43">
      <w:pPr>
        <w:pStyle w:val="Caption"/>
        <w:rPr>
          <w:iCs/>
        </w:rPr>
      </w:pPr>
    </w:p>
    <w:p w14:paraId="5F6EFA97" w14:textId="77777777" w:rsidR="0039761C" w:rsidRPr="0039761C" w:rsidRDefault="0039761C" w:rsidP="0039761C">
      <w:pPr>
        <w:rPr>
          <w:iCs/>
        </w:rPr>
      </w:pPr>
    </w:p>
    <w:p w14:paraId="3F904BDF" w14:textId="55765718" w:rsidR="0039761C" w:rsidRPr="0039761C" w:rsidRDefault="0039761C" w:rsidP="0039761C">
      <w:pPr>
        <w:ind w:firstLine="720"/>
        <w:rPr>
          <w:iCs/>
        </w:rPr>
      </w:pPr>
      <w:r w:rsidRPr="0039761C">
        <w:rPr>
          <w:iCs/>
        </w:rPr>
        <w:lastRenderedPageBreak/>
        <w:t>This disagreement may be related to the lack of explicitly considering solvation. Nong et al.</w:t>
      </w:r>
      <w:r w:rsidR="0045303C">
        <w:rPr>
          <w:iCs/>
        </w:rPr>
        <w:fldChar w:fldCharType="begin"/>
      </w:r>
      <w:r w:rsidR="0045303C">
        <w:rPr>
          <w:iCs/>
        </w:rPr>
        <w:instrText xml:space="preserve"> ADDIN EN.CITE &lt;EndNote&gt;&lt;Cite&gt;&lt;Author&gt;Nong&lt;/Author&gt;&lt;Year&gt;2020&lt;/Year&gt;&lt;RecNum&gt;63&lt;/RecNum&gt;&lt;DisplayText&gt;&lt;style face="superscript"&gt;63&lt;/style&gt;&lt;/DisplayText&gt;&lt;record&gt;&lt;rec-number&gt;63&lt;/rec-number&gt;&lt;foreign-keys&gt;&lt;key app="EN" db-id="2xex0erf4eexr4e2dpbxpdd829xttesxxxdr" timestamp="1715075296"&gt;63&lt;/key&gt;&lt;/foreign-keys&gt;&lt;ref-type name="Journal Article"&gt;17&lt;/ref-type&gt;&lt;contributors&gt;&lt;authors&gt;&lt;author&gt;Nong, Hong Nhan&lt;/author&gt;&lt;author&gt;Falling, Lorenz J.&lt;/author&gt;&lt;author&gt;Bergmann, Arno&lt;/author&gt;&lt;author&gt;Klingenhof, Malte&lt;/author&gt;&lt;author&gt;Tran, Hoang Phi&lt;/author&gt;&lt;author&gt;Spöri, Camillo&lt;/author&gt;&lt;author&gt;Mom, Rik&lt;/author&gt;&lt;author&gt;Timoshenko, Janis&lt;/author&gt;&lt;author&gt;Zichittella, Guido&lt;/author&gt;&lt;author&gt;Knop-Gericke, Axel&lt;/author&gt;&lt;author&gt;Piccinin, Simone&lt;/author&gt;&lt;author&gt;Pérez-Ramírez, Javier&lt;/author&gt;&lt;author&gt;Cuenya, Beatriz Roldan&lt;/author&gt;&lt;author&gt;Schlögl, Robert&lt;/author&gt;&lt;author&gt;Strasser, Peter&lt;/author&gt;&lt;author&gt;Teschner, Detre&lt;/author&gt;&lt;author&gt;Jones, Travis E.&lt;/author&gt;&lt;/authors&gt;&lt;/contributors&gt;&lt;titles&gt;&lt;title&gt;Key role of chemistry versus bias in electrocatalytic oxygen evolution&lt;/title&gt;&lt;secondary-title&gt;Nature&lt;/secondary-title&gt;&lt;/titles&gt;&lt;pages&gt;408-413&lt;/pages&gt;&lt;volume&gt;587&lt;/volume&gt;&lt;number&gt;7834&lt;/number&gt;&lt;dates&gt;&lt;year&gt;2020&lt;/year&gt;&lt;pub-dates&gt;&lt;date&gt;2020/11/01&lt;/date&gt;&lt;/pub-dates&gt;&lt;/dates&gt;&lt;isbn&gt;1476-4687&lt;/isbn&gt;&lt;urls&gt;&lt;related-urls&gt;&lt;url&gt;https://doi.org/10.1038/s41586-020-2908-2&lt;/url&gt;&lt;/related-urls&gt;&lt;/urls&gt;&lt;electronic-resource-num&gt;10.1038/s41586-020-2908-2&lt;/electronic-resource-num&gt;&lt;/record&gt;&lt;/Cite&gt;&lt;/EndNote&gt;</w:instrText>
      </w:r>
      <w:r w:rsidR="0045303C">
        <w:rPr>
          <w:iCs/>
        </w:rPr>
        <w:fldChar w:fldCharType="separate"/>
      </w:r>
      <w:r w:rsidR="0045303C" w:rsidRPr="0045303C">
        <w:rPr>
          <w:iCs/>
          <w:noProof/>
          <w:vertAlign w:val="superscript"/>
        </w:rPr>
        <w:t>63</w:t>
      </w:r>
      <w:r w:rsidR="0045303C">
        <w:rPr>
          <w:iCs/>
        </w:rPr>
        <w:fldChar w:fldCharType="end"/>
      </w:r>
      <w:r w:rsidRPr="0039761C">
        <w:rPr>
          <w:iCs/>
        </w:rPr>
        <w:t xml:space="preserve"> when constructing their surface phase diagram used </w:t>
      </w:r>
      <w:r w:rsidRPr="00562573">
        <w:rPr>
          <w:i/>
        </w:rPr>
        <w:t>ab initio</w:t>
      </w:r>
      <w:r w:rsidRPr="0039761C">
        <w:rPr>
          <w:iCs/>
        </w:rPr>
        <w:t xml:space="preserve"> molecular dynamics</w:t>
      </w:r>
      <w:r w:rsidR="00D40731">
        <w:rPr>
          <w:iCs/>
        </w:rPr>
        <w:t xml:space="preserve"> (MD)</w:t>
      </w:r>
      <w:r w:rsidRPr="0039761C">
        <w:rPr>
          <w:iCs/>
        </w:rPr>
        <w:t xml:space="preserve">. They observed that the chemical potential of adsorbed H is a function of hole coverage, that is, due to lateral interaction of adsorbates and the equilibration with solvent the adsorption energy of </w:t>
      </w:r>
      <w:r w:rsidRPr="0039761C">
        <w:rPr>
          <w:iCs/>
          <w:lang w:val="en-GB"/>
        </w:rPr>
        <w:t>μ</w:t>
      </w:r>
      <w:r w:rsidRPr="0039761C">
        <w:rPr>
          <w:iCs/>
          <w:vertAlign w:val="subscript"/>
          <w:lang w:val="en-GB"/>
        </w:rPr>
        <w:t>2</w:t>
      </w:r>
      <w:r w:rsidRPr="0039761C">
        <w:rPr>
          <w:iCs/>
        </w:rPr>
        <w:t xml:space="preserve">-OH and </w:t>
      </w:r>
      <w:r w:rsidRPr="0039761C">
        <w:rPr>
          <w:iCs/>
          <w:lang w:val="en-GB"/>
        </w:rPr>
        <w:t>μ</w:t>
      </w:r>
      <w:r w:rsidRPr="0039761C">
        <w:rPr>
          <w:iCs/>
          <w:vertAlign w:val="subscript"/>
          <w:lang w:val="en-GB"/>
        </w:rPr>
        <w:t>1</w:t>
      </w:r>
      <w:r w:rsidRPr="0039761C">
        <w:rPr>
          <w:iCs/>
        </w:rPr>
        <w:t>-OH will be a function of their coverage</w:t>
      </w:r>
      <w:r w:rsidR="005332D7">
        <w:rPr>
          <w:iCs/>
        </w:rPr>
        <w:t xml:space="preserve"> (See discussion on </w:t>
      </w:r>
      <w:proofErr w:type="spellStart"/>
      <w:r w:rsidR="005332D7">
        <w:rPr>
          <w:iCs/>
        </w:rPr>
        <w:t>Frumkin</w:t>
      </w:r>
      <w:proofErr w:type="spellEnd"/>
      <w:r w:rsidR="005332D7">
        <w:rPr>
          <w:iCs/>
        </w:rPr>
        <w:t xml:space="preserve">/Temkin condition in Section </w:t>
      </w:r>
      <w:r w:rsidR="005332D7">
        <w:rPr>
          <w:iCs/>
        </w:rPr>
        <w:fldChar w:fldCharType="begin"/>
      </w:r>
      <w:r w:rsidR="005332D7">
        <w:rPr>
          <w:iCs/>
        </w:rPr>
        <w:instrText xml:space="preserve"> REF _Ref159951287 \r \h </w:instrText>
      </w:r>
      <w:r w:rsidR="005332D7">
        <w:rPr>
          <w:iCs/>
        </w:rPr>
      </w:r>
      <w:r w:rsidR="005332D7">
        <w:rPr>
          <w:iCs/>
        </w:rPr>
        <w:fldChar w:fldCharType="separate"/>
      </w:r>
      <w:r w:rsidR="00B52708">
        <w:rPr>
          <w:iCs/>
        </w:rPr>
        <w:t>2.3</w:t>
      </w:r>
      <w:r w:rsidR="005332D7">
        <w:rPr>
          <w:iCs/>
        </w:rPr>
        <w:fldChar w:fldCharType="end"/>
      </w:r>
      <w:r w:rsidR="005332D7">
        <w:rPr>
          <w:iCs/>
        </w:rPr>
        <w:t>)</w:t>
      </w:r>
      <w:r w:rsidRPr="0039761C">
        <w:rPr>
          <w:iCs/>
        </w:rPr>
        <w:t>. Consequently, the authors find a much wider deprotonation window of μ</w:t>
      </w:r>
      <w:r w:rsidRPr="0039761C">
        <w:rPr>
          <w:iCs/>
          <w:vertAlign w:val="subscript"/>
        </w:rPr>
        <w:t>2</w:t>
      </w:r>
      <w:r w:rsidRPr="0039761C">
        <w:rPr>
          <w:iCs/>
        </w:rPr>
        <w:t>-OH and μ</w:t>
      </w:r>
      <w:r w:rsidRPr="0039761C">
        <w:rPr>
          <w:iCs/>
          <w:vertAlign w:val="subscript"/>
        </w:rPr>
        <w:t>1</w:t>
      </w:r>
      <w:r w:rsidRPr="0039761C">
        <w:rPr>
          <w:iCs/>
        </w:rPr>
        <w:t xml:space="preserve">-OH, spanning together approximately 1 V, in better agreement to experiments. This behavior is also in accordance with the broad and less structured </w:t>
      </w:r>
      <w:proofErr w:type="spellStart"/>
      <w:r w:rsidRPr="0039761C">
        <w:rPr>
          <w:iCs/>
        </w:rPr>
        <w:t>cyclo</w:t>
      </w:r>
      <w:proofErr w:type="spellEnd"/>
      <w:r w:rsidRPr="0039761C">
        <w:rPr>
          <w:iCs/>
        </w:rPr>
        <w:t xml:space="preserve"> voltammogram of IrO</w:t>
      </w:r>
      <w:r w:rsidRPr="0039761C">
        <w:rPr>
          <w:iCs/>
          <w:vertAlign w:val="subscript"/>
        </w:rPr>
        <w:t>2</w:t>
      </w:r>
      <w:r w:rsidRPr="0039761C">
        <w:rPr>
          <w:iCs/>
        </w:rPr>
        <w:t>(110)</w:t>
      </w:r>
      <w:r w:rsidRPr="0039761C">
        <w:rPr>
          <w:iCs/>
        </w:rPr>
        <w:fldChar w:fldCharType="begin"/>
      </w:r>
      <w:r w:rsidR="00FC5BEB">
        <w:rPr>
          <w:iCs/>
        </w:rPr>
        <w:instrText xml:space="preserve"> ADDIN EN.CITE &lt;EndNote&gt;&lt;Cite&gt;&lt;Author&gt;Kuo&lt;/Author&gt;&lt;Year&gt;2017&lt;/Year&gt;&lt;RecNum&gt;124&lt;/RecNum&gt;&lt;DisplayText&gt;&lt;style face="superscript"&gt;126&lt;/style&gt;&lt;/DisplayText&gt;&lt;record&gt;&lt;rec-number&gt;124&lt;/rec-number&gt;&lt;foreign-keys&gt;&lt;key app="EN" db-id="2xex0erf4eexr4e2dpbxpdd829xttesxxxdr" timestamp="1715075296"&gt;124&lt;/key&gt;&lt;/foreign-keys&gt;&lt;ref-type name="Journal Article"&gt;17&lt;/ref-type&gt;&lt;contributors&gt;&lt;authors&gt;&lt;author&gt;Kuo, Ding-Yuan&lt;/author&gt;&lt;author&gt;Kawasaki, Jason K.&lt;/author&gt;&lt;author&gt;Nelson, Jocienne N.&lt;/author&gt;&lt;author&gt;Kloppenburg, Jan&lt;/author&gt;&lt;author&gt;Hautier, Geoffroy&lt;/author&gt;&lt;author&gt;Shen, Kyle M.&lt;/author&gt;&lt;author&gt;Schlom, Darrell G.&lt;/author&gt;&lt;author&gt;Suntivich, Jin&lt;/author&gt;&lt;/authors&gt;&lt;/contributors&gt;&lt;titles&gt;&lt;title&gt;Influence of Surface Adsorption on the Oxygen Evolution Reaction on IrO2(110)&lt;/title&gt;&lt;secondary-title&gt;Journal of the American Chemical Society&lt;/secondary-title&gt;&lt;/titles&gt;&lt;periodical&gt;&lt;full-title&gt;Journal of the American Chemical Society&lt;/full-title&gt;&lt;abbr-1&gt;J. Am. Chem. Soc.&lt;/abbr-1&gt;&lt;abbr-2&gt;J Am Chem Soc&lt;/abbr-2&gt;&lt;/periodical&gt;&lt;pages&gt;3473-3479&lt;/pages&gt;&lt;volume&gt;139&lt;/volume&gt;&lt;number&gt;9&lt;/number&gt;&lt;dates&gt;&lt;year&gt;2017&lt;/year&gt;&lt;pub-dates&gt;&lt;date&gt;2017/03/08&lt;/date&gt;&lt;/pub-dates&gt;&lt;/dates&gt;&lt;publisher&gt;American Chemical Society&lt;/publisher&gt;&lt;isbn&gt;0002-7863&lt;/isbn&gt;&lt;urls&gt;&lt;related-urls&gt;&lt;url&gt;https://doi.org/10.1021/jacs.6b11932&lt;/url&gt;&lt;/related-urls&gt;&lt;/urls&gt;&lt;electronic-resource-num&gt;10.1021/jacs.6b11932&lt;/electronic-resource-num&gt;&lt;/record&gt;&lt;/Cite&gt;&lt;/EndNote&gt;</w:instrText>
      </w:r>
      <w:r w:rsidRPr="0039761C">
        <w:rPr>
          <w:iCs/>
        </w:rPr>
        <w:fldChar w:fldCharType="separate"/>
      </w:r>
      <w:r w:rsidR="00FC5BEB" w:rsidRPr="00FC5BEB">
        <w:rPr>
          <w:iCs/>
          <w:noProof/>
          <w:vertAlign w:val="superscript"/>
        </w:rPr>
        <w:t>126</w:t>
      </w:r>
      <w:r w:rsidRPr="0039761C">
        <w:fldChar w:fldCharType="end"/>
      </w:r>
      <w:r w:rsidRPr="0039761C">
        <w:rPr>
          <w:iCs/>
        </w:rPr>
        <w:t xml:space="preserve"> and electrochemically prepared IrO</w:t>
      </w:r>
      <w:r w:rsidRPr="0039761C">
        <w:rPr>
          <w:iCs/>
          <w:vertAlign w:val="subscript"/>
        </w:rPr>
        <w:t>x</w:t>
      </w:r>
      <w:r w:rsidRPr="0039761C">
        <w:rPr>
          <w:iCs/>
        </w:rPr>
        <w:fldChar w:fldCharType="begin">
          <w:fldData xml:space="preserve">PEVuZE5vdGU+PENpdGU+PEF1dGhvcj5OaXNoaW1vdG88L0F1dGhvcj48WWVhcj4yMDIwPC9ZZWFy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</w:fldData>
        </w:fldChar>
      </w:r>
      <w:r w:rsidR="00FC5BEB">
        <w:rPr>
          <w:iCs/>
        </w:rPr>
        <w:instrText xml:space="preserve"> ADDIN EN.CITE </w:instrText>
      </w:r>
      <w:r w:rsidR="00FC5BEB">
        <w:rPr>
          <w:iCs/>
        </w:rPr>
        <w:fldChar w:fldCharType="begin">
          <w:fldData xml:space="preserve">PEVuZE5vdGU+PENpdGU+PEF1dGhvcj5OaXNoaW1vdG88L0F1dGhvcj48WWVhcj4yMDIwPC9ZZWFy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</w:fldData>
        </w:fldChar>
      </w:r>
      <w:r w:rsidR="00FC5BEB">
        <w:rPr>
          <w:iCs/>
        </w:rPr>
        <w:instrText xml:space="preserve"> ADDIN EN.CITE.DATA </w:instrText>
      </w:r>
      <w:r w:rsidR="00FC5BEB">
        <w:rPr>
          <w:iCs/>
        </w:rPr>
      </w:r>
      <w:r w:rsidR="00FC5BEB">
        <w:rPr>
          <w:iCs/>
        </w:rPr>
        <w:fldChar w:fldCharType="end"/>
      </w:r>
      <w:r w:rsidRPr="0039761C">
        <w:rPr>
          <w:iCs/>
        </w:rPr>
      </w:r>
      <w:r w:rsidRPr="0039761C">
        <w:rPr>
          <w:iCs/>
        </w:rPr>
        <w:fldChar w:fldCharType="separate"/>
      </w:r>
      <w:r w:rsidR="00FC5BEB" w:rsidRPr="00FC5BEB">
        <w:rPr>
          <w:iCs/>
          <w:noProof/>
          <w:vertAlign w:val="superscript"/>
        </w:rPr>
        <w:t>422, 423</w:t>
      </w:r>
      <w:r w:rsidRPr="0039761C">
        <w:fldChar w:fldCharType="end"/>
      </w:r>
      <w:r w:rsidRPr="0039761C">
        <w:rPr>
          <w:iCs/>
        </w:rPr>
        <w:t xml:space="preserve"> under acidic pH</w:t>
      </w:r>
      <w:r w:rsidR="005332D7">
        <w:rPr>
          <w:iCs/>
        </w:rPr>
        <w:t xml:space="preserve"> (See </w:t>
      </w:r>
      <w:r w:rsidR="005332D7">
        <w:rPr>
          <w:iCs/>
        </w:rPr>
        <w:fldChar w:fldCharType="begin"/>
      </w:r>
      <w:r w:rsidR="005332D7">
        <w:rPr>
          <w:iCs/>
        </w:rPr>
        <w:instrText xml:space="preserve"> REF _Ref159273731 \h </w:instrText>
      </w:r>
      <w:r w:rsidR="005332D7">
        <w:rPr>
          <w:iCs/>
        </w:rPr>
      </w:r>
      <w:r w:rsidR="005332D7">
        <w:rPr>
          <w:iCs/>
        </w:rPr>
        <w:fldChar w:fldCharType="separate"/>
      </w:r>
      <w:r w:rsidR="00B52708" w:rsidRPr="00BC70A0">
        <w:rPr>
          <w:b/>
        </w:rPr>
        <w:t xml:space="preserve">Figure </w:t>
      </w:r>
      <w:r w:rsidR="00B52708">
        <w:rPr>
          <w:b/>
          <w:noProof/>
        </w:rPr>
        <w:t>5</w:t>
      </w:r>
      <w:r w:rsidR="005332D7">
        <w:rPr>
          <w:iCs/>
        </w:rPr>
        <w:fldChar w:fldCharType="end"/>
      </w:r>
      <w:r w:rsidR="005332D7">
        <w:rPr>
          <w:iCs/>
        </w:rPr>
        <w:t>)</w:t>
      </w:r>
      <w:r w:rsidRPr="0039761C">
        <w:rPr>
          <w:iCs/>
        </w:rPr>
        <w:t xml:space="preserve">. Redox transitions of amorphous </w:t>
      </w:r>
      <w:proofErr w:type="spellStart"/>
      <w:r w:rsidRPr="0039761C">
        <w:rPr>
          <w:iCs/>
        </w:rPr>
        <w:t>IrO</w:t>
      </w:r>
      <w:r w:rsidRPr="0039761C">
        <w:rPr>
          <w:iCs/>
          <w:vertAlign w:val="subscript"/>
        </w:rPr>
        <w:t>x</w:t>
      </w:r>
      <w:proofErr w:type="spellEnd"/>
      <w:r w:rsidRPr="0039761C">
        <w:rPr>
          <w:iCs/>
        </w:rPr>
        <w:t xml:space="preserve"> with broad potential window were found by the </w:t>
      </w:r>
      <w:proofErr w:type="spellStart"/>
      <w:r w:rsidRPr="0039761C">
        <w:rPr>
          <w:iCs/>
        </w:rPr>
        <w:t>Durrant</w:t>
      </w:r>
      <w:proofErr w:type="spellEnd"/>
      <w:r w:rsidRPr="0039761C">
        <w:rPr>
          <w:iCs/>
        </w:rPr>
        <w:t xml:space="preserve"> group using </w:t>
      </w:r>
      <w:r w:rsidR="00FE64CB" w:rsidRPr="00FE64CB">
        <w:rPr>
          <w:i/>
          <w:iCs/>
        </w:rPr>
        <w:t>operando</w:t>
      </w:r>
      <w:r w:rsidRPr="0039761C">
        <w:rPr>
          <w:iCs/>
        </w:rPr>
        <w:t xml:space="preserve"> UV-Vis spectroscopy, matching the sample’s pseudocapacitive behavior in the </w:t>
      </w:r>
      <w:proofErr w:type="spellStart"/>
      <w:r w:rsidRPr="0039761C">
        <w:rPr>
          <w:iCs/>
        </w:rPr>
        <w:t>cyclo</w:t>
      </w:r>
      <w:proofErr w:type="spellEnd"/>
      <w:r w:rsidRPr="0039761C">
        <w:rPr>
          <w:iCs/>
        </w:rPr>
        <w:t xml:space="preserve"> voltammogram.</w:t>
      </w:r>
      <w:r w:rsidRPr="0039761C">
        <w:rPr>
          <w:iCs/>
        </w:rPr>
        <w:fldChar w:fldCharType="begin">
          <w:fldData xml:space="preserve">PEVuZE5vdGU+PENpdGU+PEF1dGhvcj5Cb3phbC1HaW5lc3RhPC9BdXRob3I+PFllYXI+MjAyMTwv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</w:fldData>
        </w:fldChar>
      </w:r>
      <w:r w:rsidR="00FC5BEB">
        <w:rPr>
          <w:iCs/>
        </w:rPr>
        <w:instrText xml:space="preserve"> ADDIN EN.CITE </w:instrText>
      </w:r>
      <w:r w:rsidR="00FC5BEB">
        <w:rPr>
          <w:iCs/>
        </w:rPr>
        <w:fldChar w:fldCharType="begin">
          <w:fldData xml:space="preserve">PEVuZE5vdGU+PENpdGU+PEF1dGhvcj5Cb3phbC1HaW5lc3RhPC9BdXRob3I+PFllYXI+MjAyMTwv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</w:fldData>
        </w:fldChar>
      </w:r>
      <w:r w:rsidR="00FC5BEB">
        <w:rPr>
          <w:iCs/>
        </w:rPr>
        <w:instrText xml:space="preserve"> ADDIN EN.CITE.DATA </w:instrText>
      </w:r>
      <w:r w:rsidR="00FC5BEB">
        <w:rPr>
          <w:iCs/>
        </w:rPr>
      </w:r>
      <w:r w:rsidR="00FC5BEB">
        <w:rPr>
          <w:iCs/>
        </w:rPr>
        <w:fldChar w:fldCharType="end"/>
      </w:r>
      <w:r w:rsidRPr="0039761C">
        <w:rPr>
          <w:iCs/>
        </w:rPr>
      </w:r>
      <w:r w:rsidRPr="0039761C">
        <w:rPr>
          <w:iCs/>
        </w:rPr>
        <w:fldChar w:fldCharType="separate"/>
      </w:r>
      <w:r w:rsidR="00FC5BEB" w:rsidRPr="00FC5BEB">
        <w:rPr>
          <w:iCs/>
          <w:noProof/>
          <w:vertAlign w:val="superscript"/>
        </w:rPr>
        <w:t>409, 423, 424</w:t>
      </w:r>
      <w:r w:rsidRPr="0039761C">
        <w:fldChar w:fldCharType="end"/>
      </w:r>
      <w:r w:rsidRPr="0039761C">
        <w:rPr>
          <w:iCs/>
        </w:rPr>
        <w:t xml:space="preserve"> They also argue that the broadness of the redox transitions are due to lateral interaction of adsorbates, giving rise to isotherms of </w:t>
      </w:r>
      <w:proofErr w:type="spellStart"/>
      <w:r w:rsidRPr="0039761C">
        <w:rPr>
          <w:iCs/>
        </w:rPr>
        <w:t>Frumkin</w:t>
      </w:r>
      <w:proofErr w:type="spellEnd"/>
      <w:r w:rsidRPr="0039761C">
        <w:rPr>
          <w:iCs/>
        </w:rPr>
        <w:t>-type. We note by passing that early works by Conway</w:t>
      </w:r>
      <w:r w:rsidRPr="0039761C">
        <w:rPr>
          <w:iCs/>
        </w:rPr>
        <w:fldChar w:fldCharType="begin">
          <w:fldData xml:space="preserve">PEVuZE5vdGU+PENpdGU+PEF1dGhvcj5Db253YXk8L0F1dGhvcj48WWVhcj4xOTYyPC9ZZWFyPjxS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</w:fldData>
        </w:fldChar>
      </w:r>
      <w:r w:rsidR="00FC5BEB">
        <w:rPr>
          <w:iCs/>
        </w:rPr>
        <w:instrText xml:space="preserve"> ADDIN EN.CITE </w:instrText>
      </w:r>
      <w:r w:rsidR="00FC5BEB">
        <w:rPr>
          <w:iCs/>
        </w:rPr>
        <w:fldChar w:fldCharType="begin">
          <w:fldData xml:space="preserve">PEVuZE5vdGU+PENpdGU+PEF1dGhvcj5Db253YXk8L0F1dGhvcj48WWVhcj4xOTYyPC9ZZWFyPjxS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</w:fldData>
        </w:fldChar>
      </w:r>
      <w:r w:rsidR="00FC5BEB">
        <w:rPr>
          <w:iCs/>
        </w:rPr>
        <w:instrText xml:space="preserve"> ADDIN EN.CITE.DATA </w:instrText>
      </w:r>
      <w:r w:rsidR="00FC5BEB">
        <w:rPr>
          <w:iCs/>
        </w:rPr>
      </w:r>
      <w:r w:rsidR="00FC5BEB">
        <w:rPr>
          <w:iCs/>
        </w:rPr>
        <w:fldChar w:fldCharType="end"/>
      </w:r>
      <w:r w:rsidRPr="0039761C">
        <w:rPr>
          <w:iCs/>
        </w:rPr>
      </w:r>
      <w:r w:rsidRPr="0039761C">
        <w:rPr>
          <w:iCs/>
        </w:rPr>
        <w:fldChar w:fldCharType="separate"/>
      </w:r>
      <w:r w:rsidR="00FC5BEB" w:rsidRPr="00FC5BEB">
        <w:rPr>
          <w:iCs/>
          <w:noProof/>
          <w:vertAlign w:val="superscript"/>
        </w:rPr>
        <w:t>95, 425</w:t>
      </w:r>
      <w:r w:rsidRPr="0039761C">
        <w:fldChar w:fldCharType="end"/>
      </w:r>
      <w:r w:rsidRPr="0039761C">
        <w:rPr>
          <w:iCs/>
        </w:rPr>
        <w:t xml:space="preserve"> and later by Saraby-Reintjes</w:t>
      </w:r>
      <w:r w:rsidRPr="0039761C">
        <w:rPr>
          <w:iCs/>
        </w:rPr>
        <w:fldChar w:fldCharType="begin"/>
      </w:r>
      <w:r w:rsidR="00FC5BEB">
        <w:rPr>
          <w:iCs/>
        </w:rPr>
        <w:instrText xml:space="preserve"> ADDIN EN.CITE &lt;EndNote&gt;&lt;Cite&gt;&lt;Author&gt;Saraby-Reintjes&lt;/Author&gt;&lt;Year&gt;1987&lt;/Year&gt;&lt;RecNum&gt;424&lt;/RecNum&gt;&lt;DisplayText&gt;&lt;style face="superscript"&gt;426&lt;/style&gt;&lt;/DisplayText&gt;&lt;record&gt;&lt;rec-number&gt;424&lt;/rec-number&gt;&lt;foreign-keys&gt;&lt;key app="EN" db-id="2xex0erf4eexr4e2dpbxpdd829xttesxxxdr" timestamp="1715075297"&gt;424&lt;/key&gt;&lt;/foreign-keys&gt;&lt;ref-type name="Journal Article"&gt;17&lt;/ref-type&gt;&lt;contributors&gt;&lt;authors&gt;&lt;author&gt;Saraby-Reintjes, A.&lt;/author&gt;&lt;/authors&gt;&lt;/contributors&gt;&lt;titles&gt;&lt;title&gt;Electrocatalysis under Temkin adsorption conditions&lt;/title&gt;&lt;secondary-title&gt;J. Chem. Soc., Faraday Trans. 1&lt;/secondary-title&gt;&lt;/titles&gt;&lt;periodical&gt;&lt;full-title&gt;J. Chem. Soc., Faraday Trans. 1&lt;/full-title&gt;&lt;/periodical&gt;&lt;pages&gt;271-279&lt;/pages&gt;&lt;volume&gt;83&lt;/volume&gt;&lt;number&gt;2&lt;/number&gt;&lt;dates&gt;&lt;year&gt;1987&lt;/year&gt;&lt;/dates&gt;&lt;publisher&gt;The Royal Society of Chemistry&lt;/publisher&gt;&lt;isbn&gt;0300-9599&lt;/isbn&gt;&lt;work-type&gt;10.1039/F19878300271&lt;/work-type&gt;&lt;urls&gt;&lt;related-urls&gt;&lt;url&gt;http://dx.doi.org/10.1039/F19878300271&lt;/url&gt;&lt;/related-urls&gt;&lt;/urls&gt;&lt;electronic-resource-num&gt;10.1039/F19878300271&lt;/electronic-resource-num&gt;&lt;/record&gt;&lt;/Cite&gt;&lt;/EndNote&gt;</w:instrText>
      </w:r>
      <w:r w:rsidRPr="0039761C">
        <w:rPr>
          <w:iCs/>
        </w:rPr>
        <w:fldChar w:fldCharType="separate"/>
      </w:r>
      <w:r w:rsidR="00FC5BEB" w:rsidRPr="00FC5BEB">
        <w:rPr>
          <w:iCs/>
          <w:noProof/>
          <w:vertAlign w:val="superscript"/>
        </w:rPr>
        <w:t>426</w:t>
      </w:r>
      <w:r w:rsidRPr="0039761C">
        <w:fldChar w:fldCharType="end"/>
      </w:r>
      <w:r w:rsidRPr="0039761C">
        <w:rPr>
          <w:iCs/>
        </w:rPr>
        <w:t xml:space="preserve"> emphasized the importance of Temkin/</w:t>
      </w:r>
      <w:proofErr w:type="spellStart"/>
      <w:r w:rsidRPr="0039761C">
        <w:rPr>
          <w:iCs/>
        </w:rPr>
        <w:t>Frumkin</w:t>
      </w:r>
      <w:proofErr w:type="spellEnd"/>
      <w:r w:rsidRPr="0039761C">
        <w:rPr>
          <w:iCs/>
        </w:rPr>
        <w:t xml:space="preserve"> isotherms in electrochemical gas evolution processes, </w:t>
      </w:r>
      <w:r w:rsidR="000F4A43">
        <w:rPr>
          <w:iCs/>
        </w:rPr>
        <w:t xml:space="preserve">as discussed in Section </w:t>
      </w:r>
      <w:r w:rsidR="00C80B22">
        <w:rPr>
          <w:iCs/>
        </w:rPr>
        <w:fldChar w:fldCharType="begin"/>
      </w:r>
      <w:r w:rsidR="00C80B22">
        <w:rPr>
          <w:iCs/>
        </w:rPr>
        <w:instrText xml:space="preserve"> REF _Ref159882697 \r \h </w:instrText>
      </w:r>
      <w:r w:rsidR="00C80B22">
        <w:rPr>
          <w:iCs/>
        </w:rPr>
      </w:r>
      <w:r w:rsidR="00C80B22">
        <w:rPr>
          <w:iCs/>
        </w:rPr>
        <w:fldChar w:fldCharType="separate"/>
      </w:r>
      <w:r w:rsidR="00B52708">
        <w:rPr>
          <w:iCs/>
        </w:rPr>
        <w:t>2.3</w:t>
      </w:r>
      <w:r w:rsidR="00C80B22">
        <w:rPr>
          <w:iCs/>
        </w:rPr>
        <w:fldChar w:fldCharType="end"/>
      </w:r>
      <w:r w:rsidR="007D359D">
        <w:rPr>
          <w:iCs/>
        </w:rPr>
        <w:t xml:space="preserve">, </w:t>
      </w:r>
      <w:r w:rsidRPr="0039761C">
        <w:rPr>
          <w:iCs/>
        </w:rPr>
        <w:t>either due to surface heterogeneity or due to lateral interactions of adsorbates.</w:t>
      </w:r>
    </w:p>
    <w:p w14:paraId="1DBB7BC3" w14:textId="77777777" w:rsidR="0039761C" w:rsidRPr="0039761C" w:rsidRDefault="0039761C" w:rsidP="0039761C">
      <w:pPr>
        <w:rPr>
          <w:iCs/>
        </w:rPr>
      </w:pPr>
    </w:p>
    <w:p w14:paraId="3C87A1D6" w14:textId="092B9C37" w:rsidR="0039761C" w:rsidRPr="0039761C" w:rsidRDefault="0039761C" w:rsidP="007D359D">
      <w:pPr>
        <w:ind w:firstLine="720"/>
        <w:rPr>
          <w:iCs/>
        </w:rPr>
      </w:pPr>
      <w:proofErr w:type="spellStart"/>
      <w:r w:rsidRPr="0039761C">
        <w:rPr>
          <w:iCs/>
        </w:rPr>
        <w:t>Nattino</w:t>
      </w:r>
      <w:proofErr w:type="spellEnd"/>
      <w:r w:rsidRPr="0039761C">
        <w:rPr>
          <w:iCs/>
        </w:rPr>
        <w:t xml:space="preserve"> et al.</w:t>
      </w:r>
      <w:r w:rsidRPr="0039761C">
        <w:rPr>
          <w:iCs/>
        </w:rPr>
        <w:fldChar w:fldCharType="begin"/>
      </w:r>
      <w:r w:rsidR="00FC5BEB">
        <w:rPr>
          <w:iCs/>
        </w:rPr>
        <w:instrText xml:space="preserve"> ADDIN EN.CITE &lt;EndNote&gt;&lt;Cite&gt;&lt;Author&gt;Nattino&lt;/Author&gt;&lt;Year&gt;2020&lt;/Year&gt;&lt;RecNum&gt;425&lt;/RecNum&gt;&lt;DisplayText&gt;&lt;style face="superscript"&gt;427&lt;/style&gt;&lt;/DisplayText&gt;&lt;record&gt;&lt;rec-number&gt;425&lt;/rec-number&gt;&lt;foreign-keys&gt;&lt;key app="EN" db-id="2xex0erf4eexr4e2dpbxpdd829xttesxxxdr" timestamp="1715075297"&gt;425&lt;/key&gt;&lt;/foreign-keys&gt;&lt;ref-type name="Journal Article"&gt;17&lt;/ref-type&gt;&lt;contributors&gt;&lt;authors&gt;&lt;author&gt;Nattino, Francesco&lt;/author&gt;&lt;author&gt;Marzari, Nicola&lt;/author&gt;&lt;/authors&gt;&lt;/contributors&gt;&lt;titles&gt;&lt;title&gt;Operando XANES from first-principles and its application to iridium oxide&lt;/title&gt;&lt;secondary-title&gt;Physical Chemistry Chemical Physics&lt;/secondary-title&gt;&lt;/titles&gt;&lt;periodical&gt;&lt;full-title&gt;Physical Chemistry Chemical Physics&lt;/full-title&gt;&lt;abbr-1&gt;Phys. Chem. Chem. Phys.&lt;/abbr-1&gt;&lt;abbr-2&gt;Phys Chem Chem Phys&lt;/abbr-2&gt;&lt;/periodical&gt;&lt;pages&gt;10807-10818&lt;/pages&gt;&lt;volume&gt;22&lt;/volume&gt;&lt;number&gt;19&lt;/number&gt;&lt;dates&gt;&lt;year&gt;2020&lt;/year&gt;&lt;/dates&gt;&lt;publisher&gt;The Royal Society of Chemistry&lt;/publisher&gt;&lt;isbn&gt;1463-9076&lt;/isbn&gt;&lt;work-type&gt;10.1039/C9CP06726D&lt;/work-type&gt;&lt;urls&gt;&lt;related-urls&gt;&lt;url&gt;http://dx.doi.org/10.1039/C9CP06726D&lt;/url&gt;&lt;/related-urls&gt;&lt;/urls&gt;&lt;electronic-resource-num&gt;10.1039/C9CP06726D&lt;/electronic-resource-num&gt;&lt;/record&gt;&lt;/Cite&gt;&lt;/EndNote&gt;</w:instrText>
      </w:r>
      <w:r w:rsidRPr="0039761C">
        <w:rPr>
          <w:iCs/>
        </w:rPr>
        <w:fldChar w:fldCharType="separate"/>
      </w:r>
      <w:r w:rsidR="00FC5BEB" w:rsidRPr="00FC5BEB">
        <w:rPr>
          <w:iCs/>
          <w:noProof/>
          <w:vertAlign w:val="superscript"/>
        </w:rPr>
        <w:t>427</w:t>
      </w:r>
      <w:r w:rsidRPr="0039761C">
        <w:fldChar w:fldCharType="end"/>
      </w:r>
      <w:r w:rsidRPr="0039761C">
        <w:rPr>
          <w:iCs/>
        </w:rPr>
        <w:t xml:space="preserve"> combined DFT simulations with a continuum description of solvent and electrolyte to investigate the interface stability of various IrO</w:t>
      </w:r>
      <w:r w:rsidRPr="0039761C">
        <w:rPr>
          <w:iCs/>
          <w:vertAlign w:val="subscript"/>
        </w:rPr>
        <w:t>2</w:t>
      </w:r>
      <w:r w:rsidRPr="0039761C">
        <w:rPr>
          <w:iCs/>
        </w:rPr>
        <w:t xml:space="preserve"> terminations while simultaneously predicting O K-edge and </w:t>
      </w:r>
      <w:proofErr w:type="spellStart"/>
      <w:r w:rsidRPr="0039761C">
        <w:rPr>
          <w:iCs/>
        </w:rPr>
        <w:t>Ir</w:t>
      </w:r>
      <w:proofErr w:type="spellEnd"/>
      <w:r w:rsidRPr="0039761C">
        <w:rPr>
          <w:iCs/>
        </w:rPr>
        <w:t xml:space="preserve"> L</w:t>
      </w:r>
      <w:r w:rsidRPr="0039761C">
        <w:rPr>
          <w:iCs/>
          <w:vertAlign w:val="subscript"/>
        </w:rPr>
        <w:t>3</w:t>
      </w:r>
      <w:r w:rsidRPr="0039761C">
        <w:rPr>
          <w:iCs/>
        </w:rPr>
        <w:t xml:space="preserve">-edge XAS cross-sections in the model electrochemical environment. O K-edge predictions support the interpretation of the appearance of pre-edge features at 529 eV (at ~1 V) and 528 eV (at ~1.4 V) with the formation of electrophilic oxygen atoms at bridge- and </w:t>
      </w:r>
      <w:proofErr w:type="spellStart"/>
      <w:r w:rsidRPr="0039761C">
        <w:rPr>
          <w:iCs/>
        </w:rPr>
        <w:t>cus</w:t>
      </w:r>
      <w:proofErr w:type="spellEnd"/>
      <w:r w:rsidRPr="0039761C">
        <w:rPr>
          <w:iCs/>
        </w:rPr>
        <w:t xml:space="preserve">-sites, respectively. The </w:t>
      </w:r>
      <w:proofErr w:type="spellStart"/>
      <w:r w:rsidRPr="0039761C">
        <w:rPr>
          <w:iCs/>
        </w:rPr>
        <w:t>Ir</w:t>
      </w:r>
      <w:proofErr w:type="spellEnd"/>
      <w:r w:rsidRPr="0039761C">
        <w:rPr>
          <w:iCs/>
        </w:rPr>
        <w:t xml:space="preserve"> L</w:t>
      </w:r>
      <w:r w:rsidRPr="0039761C">
        <w:rPr>
          <w:iCs/>
          <w:vertAlign w:val="subscript"/>
        </w:rPr>
        <w:t>3</w:t>
      </w:r>
      <w:r w:rsidRPr="0039761C">
        <w:rPr>
          <w:iCs/>
        </w:rPr>
        <w:t xml:space="preserve">-edge simulations were also consistent with experiments, showing that, starting with the fully hydroxylated surface, deprotonation continuously shifts the absorption cross section towards higher energies. This ties together </w:t>
      </w:r>
      <w:r w:rsidR="00FE64CB" w:rsidRPr="00FE64CB">
        <w:rPr>
          <w:i/>
          <w:iCs/>
        </w:rPr>
        <w:t>operando</w:t>
      </w:r>
      <w:r w:rsidRPr="0039761C">
        <w:rPr>
          <w:iCs/>
        </w:rPr>
        <w:t xml:space="preserve"> XAS experiments at the O K- and </w:t>
      </w:r>
      <w:proofErr w:type="spellStart"/>
      <w:r w:rsidRPr="0039761C">
        <w:rPr>
          <w:iCs/>
        </w:rPr>
        <w:t>Ir</w:t>
      </w:r>
      <w:proofErr w:type="spellEnd"/>
      <w:r w:rsidRPr="0039761C">
        <w:rPr>
          <w:iCs/>
        </w:rPr>
        <w:t xml:space="preserve"> L-edge nicely, suggesting that once the hydrated surface states are passed and deprotonation continues from OH, these experiments look essentially at the same process from different aspects. </w:t>
      </w:r>
    </w:p>
    <w:p w14:paraId="64DCCDD2" w14:textId="77777777" w:rsidR="0039761C" w:rsidRPr="0039761C" w:rsidRDefault="0039761C" w:rsidP="0039761C">
      <w:pPr>
        <w:rPr>
          <w:iCs/>
        </w:rPr>
      </w:pPr>
    </w:p>
    <w:p w14:paraId="05D0E3EF" w14:textId="708D773D" w:rsidR="0039761C" w:rsidRPr="0039761C" w:rsidRDefault="0039761C" w:rsidP="0039761C">
      <w:pPr>
        <w:ind w:firstLine="720"/>
        <w:rPr>
          <w:iCs/>
        </w:rPr>
      </w:pPr>
      <w:r w:rsidRPr="0039761C">
        <w:rPr>
          <w:iCs/>
        </w:rPr>
        <w:t xml:space="preserve">As we noted earlier, </w:t>
      </w:r>
      <w:proofErr w:type="spellStart"/>
      <w:r w:rsidRPr="0039761C">
        <w:t>Ir</w:t>
      </w:r>
      <w:proofErr w:type="spellEnd"/>
      <w:r w:rsidRPr="0039761C">
        <w:t xml:space="preserve"> dissolution from amorphous and hydrous </w:t>
      </w:r>
      <w:proofErr w:type="spellStart"/>
      <w:r w:rsidRPr="0039761C">
        <w:t>Ir</w:t>
      </w:r>
      <w:proofErr w:type="spellEnd"/>
      <w:r w:rsidRPr="0039761C">
        <w:t>-oxides is typically much enhanced compared to well-crystallized iridium oxides.</w:t>
      </w:r>
      <w:r w:rsidRPr="0039761C">
        <w:fldChar w:fldCharType="begin">
          <w:fldData xml:space="preserve">PEVuZE5vdGU+PENpdGU+PEF1dGhvcj5DaGVyZXZrbzwvQXV0aG9yPjxZZWFyPjIwMTQ8L1llYXI+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</w:fldData>
        </w:fldChar>
      </w:r>
      <w:r w:rsidR="00FC5BEB">
        <w:instrText xml:space="preserve"> ADDIN EN.CITE </w:instrText>
      </w:r>
      <w:r w:rsidR="00FC5BEB">
        <w:fldChar w:fldCharType="begin">
          <w:fldData xml:space="preserve">PEVuZE5vdGU+PENpdGU+PEF1dGhvcj5DaGVyZXZrbzwvQXV0aG9yPjxZZWFyPjIwMTQ8L1llYXI+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</w:fldData>
        </w:fldChar>
      </w:r>
      <w:r w:rsidR="00FC5BEB">
        <w:instrText xml:space="preserve"> ADDIN EN.CITE.DATA </w:instrText>
      </w:r>
      <w:r w:rsidR="00FC5BEB">
        <w:fldChar w:fldCharType="end"/>
      </w:r>
      <w:r w:rsidRPr="0039761C">
        <w:fldChar w:fldCharType="separate"/>
      </w:r>
      <w:r w:rsidR="00FC5BEB" w:rsidRPr="00FC5BEB">
        <w:rPr>
          <w:noProof/>
          <w:vertAlign w:val="superscript"/>
        </w:rPr>
        <w:t>330, 428</w:t>
      </w:r>
      <w:r w:rsidRPr="0039761C">
        <w:fldChar w:fldCharType="end"/>
      </w:r>
      <w:r w:rsidRPr="0039761C">
        <w:t xml:space="preserve"> Because OER activity and catalyst instability go often hand-in-hand, Geiger et al.</w:t>
      </w:r>
      <w:r w:rsidRPr="0039761C">
        <w:fldChar w:fldCharType="begin"/>
      </w:r>
      <w:r w:rsidR="00FC5BEB">
        <w:instrText xml:space="preserve"> ADDIN EN.CITE &lt;EndNote&gt;&lt;Cite&gt;&lt;Author&gt;Geiger&lt;/Author&gt;&lt;Year&gt;2018&lt;/Year&gt;&lt;RecNum&gt;319&lt;/RecNum&gt;&lt;DisplayText&gt;&lt;style face="superscript"&gt;321&lt;/style&gt;&lt;/DisplayText&gt;&lt;record&gt;&lt;rec-number&gt;319&lt;/rec-number&gt;&lt;foreign-keys&gt;&lt;key app="EN" db-id="2xex0erf4eexr4e2dpbxpdd829xttesxxxdr" timestamp="1715075296"&gt;319&lt;/key&gt;&lt;/foreign-keys&gt;&lt;ref-type name="Journal Article"&gt;17&lt;/ref-type&gt;&lt;contributors&gt;&lt;authors&gt;&lt;author&gt;Geiger, Simon&lt;/author&gt;&lt;author&gt;Kasian, Olga&lt;/author&gt;&lt;author&gt;Ledendecker, Marc&lt;/author&gt;&lt;author&gt;Pizzutilo, Enrico&lt;/author&gt;&lt;author&gt;Mingers, Andrea M.&lt;/author&gt;&lt;author&gt;Fu, Wen Tian&lt;/author&gt;&lt;author&gt;Diaz-Morales, Oscar&lt;/author&gt;&lt;author&gt;Li, Zhizhong&lt;/author&gt;&lt;author&gt;Oellers, Tobias&lt;/author&gt;&lt;author&gt;Fruchter, Luc&lt;/author&gt;&lt;author&gt;Ludwig, Alfred&lt;/author&gt;&lt;author&gt;Mayrhofer, Karl J. J.&lt;/author&gt;&lt;author&gt;Koper, Marc T. M.&lt;/author&gt;&lt;author&gt;Cherevko, Serhiy&lt;/author&gt;&lt;/authors&gt;&lt;/contributors&gt;&lt;titles&gt;&lt;title&gt;The stability number as a metric for electrocatalyst stability benchmarking&lt;/title&gt;&lt;secondary-title&gt;Nat. Catal.&lt;/secondary-title&gt;&lt;/titles&gt;&lt;periodical&gt;&lt;full-title&gt;Nat. Catal.&lt;/full-title&gt;&lt;abbr-1&gt;Nat. Catal.&lt;/abbr-1&gt;&lt;/periodical&gt;&lt;pages&gt;508-515&lt;/pages&gt;&lt;volume&gt;1&lt;/volume&gt;&lt;number&gt;7&lt;/number&gt;&lt;dates&gt;&lt;year&gt;2018&lt;/year&gt;&lt;pub-dates&gt;&lt;date&gt;2018/07/01&lt;/date&gt;&lt;/pub-dates&gt;&lt;/dates&gt;&lt;isbn&gt;2520-1158&lt;/isbn&gt;&lt;urls&gt;&lt;related-urls&gt;&lt;url&gt;https://doi.org/10.1038/s41929-018-0085-6&lt;/url&gt;&lt;/related-urls&gt;&lt;/urls&gt;&lt;electronic-resource-num&gt;10.1038/s41929-018-0085-6&lt;/electronic-resource-num&gt;&lt;/record&gt;&lt;/Cite&gt;&lt;/EndNote&gt;</w:instrText>
      </w:r>
      <w:r w:rsidRPr="0039761C">
        <w:fldChar w:fldCharType="separate"/>
      </w:r>
      <w:r w:rsidR="00FC5BEB" w:rsidRPr="00FC5BEB">
        <w:rPr>
          <w:noProof/>
          <w:vertAlign w:val="superscript"/>
        </w:rPr>
        <w:t>321</w:t>
      </w:r>
      <w:r w:rsidRPr="0039761C">
        <w:fldChar w:fldCharType="end"/>
      </w:r>
      <w:r w:rsidRPr="0039761C">
        <w:t xml:space="preserve"> proposed a stability number, defined as the ratio between the amount of evolved oxygen and the amount of dissolved iridium, as a metric for electrocatalyst stability benchmarking.</w:t>
      </w:r>
      <w:r w:rsidRPr="0039761C">
        <w:rPr>
          <w:iCs/>
        </w:rPr>
        <w:t xml:space="preserve"> IrO</w:t>
      </w:r>
      <w:r w:rsidRPr="0039761C">
        <w:rPr>
          <w:iCs/>
          <w:vertAlign w:val="subscript"/>
        </w:rPr>
        <w:t>2</w:t>
      </w:r>
      <w:r w:rsidRPr="0039761C">
        <w:rPr>
          <w:iCs/>
        </w:rPr>
        <w:t>(110), though being a less active surface orientation</w:t>
      </w:r>
      <w:r w:rsidRPr="0039761C">
        <w:rPr>
          <w:iCs/>
        </w:rPr>
        <w:fldChar w:fldCharType="begin"/>
      </w:r>
      <w:r w:rsidR="00FC5BEB">
        <w:rPr>
          <w:iCs/>
        </w:rPr>
        <w:instrText xml:space="preserve"> ADDIN EN.CITE &lt;EndNote&gt;&lt;Cite&gt;&lt;Author&gt;Stoerzinger&lt;/Author&gt;&lt;Year&gt;2014&lt;/Year&gt;&lt;RecNum&gt;184&lt;/RecNum&gt;&lt;DisplayText&gt;&lt;style face="superscript"&gt;186&lt;/style&gt;&lt;/DisplayText&gt;&lt;record&gt;&lt;rec-number&gt;184&lt;/rec-number&gt;&lt;foreign-keys&gt;&lt;key app="EN" db-id="2xex0erf4eexr4e2dpbxpdd829xttesxxxdr" timestamp="1715075296"&gt;184&lt;/key&gt;&lt;/foreign-keys&gt;&lt;ref-type name="Journal Article"&gt;17&lt;/ref-type&gt;&lt;contributors&gt;&lt;authors&gt;&lt;author&gt;Stoerzinger, Kelsey A.&lt;/author&gt;&lt;author&gt;Qiao, Liang&lt;/author&gt;&lt;author&gt;Biegalski, Michael D.&lt;/author&gt;&lt;author&gt;Shao-Horn, Yang&lt;/author&gt;&lt;/authors&gt;&lt;/contributors&gt;&lt;titles&gt;&lt;title&gt;Orientation-Dependent Oxygen Evolution Activities of Rutile IrO2 and RuO2&lt;/title&gt;&lt;secondary-title&gt;J. Phys. Chem. Lett.&lt;/secondary-title&gt;&lt;/titles&gt;&lt;periodical&gt;&lt;full-title&gt;J. Phys. Chem. Lett.&lt;/full-title&gt;&lt;/periodical&gt;&lt;pages&gt;1636-1641&lt;/pages&gt;&lt;volume&gt;5&lt;/volume&gt;&lt;number&gt;10&lt;/number&gt;&lt;dates&gt;&lt;year&gt;2014&lt;/year&gt;&lt;pub-dates&gt;&lt;date&gt;2014/05/15&lt;/date&gt;&lt;/pub-dates&gt;&lt;/dates&gt;&lt;publisher&gt;American Chemical Society&lt;/publisher&gt;&lt;urls&gt;&lt;related-urls&gt;&lt;url&gt;https://doi.org/10.1021/jz500610u&lt;/url&gt;&lt;/related-urls&gt;&lt;/urls&gt;&lt;electronic-resource-num&gt;10.1021/jz500610u&lt;/electronic-resource-num&gt;&lt;/record&gt;&lt;/Cite&gt;&lt;/EndNote&gt;</w:instrText>
      </w:r>
      <w:r w:rsidRPr="0039761C">
        <w:rPr>
          <w:iCs/>
        </w:rPr>
        <w:fldChar w:fldCharType="separate"/>
      </w:r>
      <w:r w:rsidR="00FC5BEB" w:rsidRPr="00FC5BEB">
        <w:rPr>
          <w:iCs/>
          <w:noProof/>
          <w:vertAlign w:val="superscript"/>
        </w:rPr>
        <w:t>186</w:t>
      </w:r>
      <w:r w:rsidRPr="0039761C">
        <w:fldChar w:fldCharType="end"/>
      </w:r>
      <w:r w:rsidRPr="0039761C">
        <w:rPr>
          <w:iCs/>
        </w:rPr>
        <w:t xml:space="preserve">, is highly stable with very low </w:t>
      </w:r>
      <w:proofErr w:type="spellStart"/>
      <w:r w:rsidRPr="0039761C">
        <w:rPr>
          <w:iCs/>
        </w:rPr>
        <w:t>Ir</w:t>
      </w:r>
      <w:proofErr w:type="spellEnd"/>
      <w:r w:rsidRPr="0039761C">
        <w:rPr>
          <w:iCs/>
        </w:rPr>
        <w:t xml:space="preserve"> dissolution.</w:t>
      </w:r>
      <w:r w:rsidRPr="0039761C">
        <w:rPr>
          <w:iCs/>
        </w:rPr>
        <w:fldChar w:fldCharType="begin"/>
      </w:r>
      <w:r w:rsidR="00FC5BEB">
        <w:rPr>
          <w:iCs/>
        </w:rPr>
        <w:instrText xml:space="preserve"> ADDIN EN.CITE &lt;EndNote&gt;&lt;Cite&gt;&lt;Author&gt;Weber&lt;/Author&gt;&lt;Year&gt;2021&lt;/Year&gt;&lt;RecNum&gt;401&lt;/RecNum&gt;&lt;DisplayText&gt;&lt;style face="superscript"&gt;403&lt;/style&gt;&lt;/DisplayText&gt;&lt;record&gt;&lt;rec-number&gt;401&lt;/rec-number&gt;&lt;foreign-keys&gt;&lt;key app="EN" db-id="2xex0erf4eexr4e2dpbxpdd829xttesxxxdr" timestamp="1715075297"&gt;401&lt;/key&gt;&lt;/foreign-keys&gt;&lt;ref-type name="Journal Article"&gt;17&lt;/ref-type&gt;&lt;contributors&gt;&lt;authors&gt;&lt;author&gt;Weber, Tim&lt;/author&gt;&lt;author&gt;Vonk, Vedran&lt;/author&gt;&lt;author&gt;Escalera-López, Daniel&lt;/author&gt;&lt;author&gt;Abbondanza, Giuseppe&lt;/author&gt;&lt;author&gt;Larsson, Alfred&lt;/author&gt;&lt;author&gt;Koller, Volkmar&lt;/author&gt;&lt;author&gt;Abb, Marcel J. S.&lt;/author&gt;&lt;author&gt;Hegedüs, Zoltan&lt;/author&gt;&lt;author&gt;Bäcker, Thomas&lt;/author&gt;&lt;author&gt;Lienert, Ulrich&lt;/author&gt;&lt;author&gt;Harlow, Gary S.&lt;/author&gt;&lt;author&gt;Stierle, Andreas&lt;/author&gt;&lt;author&gt;Cherevko, Serhiy&lt;/author&gt;&lt;author&gt;Lundgren, Edvin&lt;/author&gt;&lt;author&gt;Over, Herbert&lt;/author&gt;&lt;/authors&gt;&lt;/contributors&gt;&lt;titles&gt;&lt;title&gt;Operando Stability Studies of Ultrathin Single-Crystalline IrO2(110) Films under Acidic Oxygen Evolution Reaction Conditions&lt;/title&gt;&lt;secondary-title&gt;ACS Catal.&lt;/secondary-title&gt;&lt;/titles&gt;&lt;periodical&gt;&lt;full-title&gt;ACS Catal.&lt;/full-title&gt;&lt;/periodical&gt;&lt;pages&gt;12651-12660&lt;/pages&gt;&lt;volume&gt;11&lt;/volume&gt;&lt;number&gt;20&lt;/number&gt;&lt;dates&gt;&lt;year&gt;2021&lt;/year&gt;&lt;pub-dates&gt;&lt;date&gt;2021/10/15&lt;/date&gt;&lt;/pub-dates&gt;&lt;/dates&gt;&lt;publisher&gt;American Chemical Society&lt;/publisher&gt;&lt;urls&gt;&lt;related-urls&gt;&lt;url&gt;https://doi.org/10.1021/acscatal.1c03599&lt;/url&gt;&lt;/related-urls&gt;&lt;/urls&gt;&lt;electronic-resource-num&gt;10.1021/acscatal.1c03599&lt;/electronic-resource-num&gt;&lt;/record&gt;&lt;/Cite&gt;&lt;/EndNote&gt;</w:instrText>
      </w:r>
      <w:r w:rsidRPr="0039761C">
        <w:rPr>
          <w:iCs/>
        </w:rPr>
        <w:fldChar w:fldCharType="separate"/>
      </w:r>
      <w:r w:rsidR="00FC5BEB" w:rsidRPr="00FC5BEB">
        <w:rPr>
          <w:iCs/>
          <w:noProof/>
          <w:vertAlign w:val="superscript"/>
        </w:rPr>
        <w:t>403</w:t>
      </w:r>
      <w:r w:rsidRPr="0039761C">
        <w:fldChar w:fldCharType="end"/>
      </w:r>
      <w:r w:rsidRPr="0039761C">
        <w:rPr>
          <w:iCs/>
        </w:rPr>
        <w:t xml:space="preserve"> Performing </w:t>
      </w:r>
      <w:r w:rsidR="00FE64CB" w:rsidRPr="00FE64CB">
        <w:rPr>
          <w:i/>
          <w:iCs/>
        </w:rPr>
        <w:t>operando</w:t>
      </w:r>
      <w:r w:rsidRPr="0039761C">
        <w:rPr>
          <w:iCs/>
        </w:rPr>
        <w:t xml:space="preserve"> synchrotron-based high-energy X-ray reflectivity (XRR) and surface X-ray diffraction experiments, the authors found no measurable change of the IrO</w:t>
      </w:r>
      <w:r w:rsidRPr="0039761C">
        <w:rPr>
          <w:iCs/>
          <w:vertAlign w:val="subscript"/>
        </w:rPr>
        <w:t>2</w:t>
      </w:r>
      <w:r w:rsidRPr="0039761C">
        <w:rPr>
          <w:iCs/>
        </w:rPr>
        <w:t xml:space="preserve">(110) thin-film thickness (49.6 ± 0.1 Å) after oxygen evolution for </w:t>
      </w:r>
      <w:r w:rsidRPr="0039761C">
        <w:rPr>
          <w:rFonts w:ascii="Cambria Math" w:hAnsi="Cambria Math" w:cs="Cambria Math"/>
          <w:iCs/>
        </w:rPr>
        <w:t>∼</w:t>
      </w:r>
      <w:r w:rsidRPr="0039761C">
        <w:rPr>
          <w:iCs/>
        </w:rPr>
        <w:t>26 h at a current density of 50 mA/cm</w:t>
      </w:r>
      <w:r w:rsidRPr="0039761C">
        <w:rPr>
          <w:iCs/>
          <w:vertAlign w:val="superscript"/>
        </w:rPr>
        <w:t>−2</w:t>
      </w:r>
      <w:r w:rsidRPr="0039761C">
        <w:rPr>
          <w:iCs/>
        </w:rPr>
        <w:t>, only a slight increase of the film roughness from 3.0 to 3.9 Å. The crystallinity of the IrO</w:t>
      </w:r>
      <w:r w:rsidRPr="0039761C">
        <w:rPr>
          <w:iCs/>
          <w:vertAlign w:val="subscript"/>
        </w:rPr>
        <w:t>2</w:t>
      </w:r>
      <w:r w:rsidRPr="0039761C">
        <w:rPr>
          <w:iCs/>
        </w:rPr>
        <w:t xml:space="preserve"> film remained intact.</w:t>
      </w:r>
    </w:p>
    <w:p w14:paraId="39C4F7DB" w14:textId="77777777" w:rsidR="0039761C" w:rsidRPr="0039761C" w:rsidRDefault="0039761C" w:rsidP="0039761C">
      <w:pPr>
        <w:rPr>
          <w:iCs/>
        </w:rPr>
      </w:pPr>
      <w:r w:rsidRPr="0039761C">
        <w:rPr>
          <w:iCs/>
        </w:rPr>
        <w:tab/>
      </w:r>
    </w:p>
    <w:p w14:paraId="54655098" w14:textId="666A690C" w:rsidR="0039761C" w:rsidRPr="0039761C" w:rsidRDefault="0039761C" w:rsidP="0039761C">
      <w:pPr>
        <w:ind w:firstLine="720"/>
      </w:pPr>
      <w:r w:rsidRPr="0039761C">
        <w:rPr>
          <w:iCs/>
        </w:rPr>
        <w:t>In summary, experiments do not support the existence of IrO</w:t>
      </w:r>
      <w:r w:rsidRPr="0039761C">
        <w:rPr>
          <w:iCs/>
          <w:vertAlign w:val="subscript"/>
        </w:rPr>
        <w:t>3</w:t>
      </w:r>
      <w:r w:rsidRPr="0039761C">
        <w:rPr>
          <w:iCs/>
        </w:rPr>
        <w:t xml:space="preserve"> catalytic phase under OER conditions, nor the completely oxidized surface states proposed by CHE. </w:t>
      </w:r>
      <w:proofErr w:type="spellStart"/>
      <w:r w:rsidRPr="0039761C">
        <w:rPr>
          <w:iCs/>
        </w:rPr>
        <w:t>IrO</w:t>
      </w:r>
      <w:r w:rsidRPr="0039761C">
        <w:rPr>
          <w:iCs/>
          <w:vertAlign w:val="subscript"/>
        </w:rPr>
        <w:t>x</w:t>
      </w:r>
      <w:proofErr w:type="spellEnd"/>
      <w:r w:rsidRPr="0039761C">
        <w:rPr>
          <w:iCs/>
        </w:rPr>
        <w:t xml:space="preserve"> catalysts accumulate charge by deprotonation, the process does not stop at the OER onset and continues deep into OER potentials. Highly crystalline IrO</w:t>
      </w:r>
      <w:r w:rsidRPr="0039761C">
        <w:rPr>
          <w:iCs/>
          <w:vertAlign w:val="subscript"/>
        </w:rPr>
        <w:t>2</w:t>
      </w:r>
      <w:r w:rsidRPr="0039761C">
        <w:rPr>
          <w:iCs/>
        </w:rPr>
        <w:t>, and particularly IrO</w:t>
      </w:r>
      <w:r w:rsidRPr="0039761C">
        <w:rPr>
          <w:iCs/>
          <w:vertAlign w:val="subscript"/>
        </w:rPr>
        <w:t>2</w:t>
      </w:r>
      <w:r w:rsidRPr="0039761C">
        <w:rPr>
          <w:iCs/>
        </w:rPr>
        <w:t xml:space="preserve">(110) single crystals are very stable under OER. They do not phase transform nor leach </w:t>
      </w:r>
      <w:proofErr w:type="spellStart"/>
      <w:r w:rsidRPr="0039761C">
        <w:rPr>
          <w:iCs/>
        </w:rPr>
        <w:t>Ir</w:t>
      </w:r>
      <w:proofErr w:type="spellEnd"/>
      <w:r w:rsidRPr="0039761C">
        <w:rPr>
          <w:iCs/>
        </w:rPr>
        <w:t xml:space="preserve"> into the electrolyte in significant quantities. The apparent disagreement between the computed thermodynamic results in </w:t>
      </w:r>
      <w:r w:rsidR="007D359D">
        <w:rPr>
          <w:iCs/>
        </w:rPr>
        <w:fldChar w:fldCharType="begin"/>
      </w:r>
      <w:r w:rsidR="007D359D">
        <w:rPr>
          <w:iCs/>
        </w:rPr>
        <w:instrText xml:space="preserve"> REF _Ref159521802 \h </w:instrText>
      </w:r>
      <w:r w:rsidR="007D359D">
        <w:rPr>
          <w:iCs/>
        </w:rPr>
      </w:r>
      <w:r w:rsidR="007D359D">
        <w:rPr>
          <w:iCs/>
        </w:rPr>
        <w:fldChar w:fldCharType="separate"/>
      </w:r>
      <w:r w:rsidR="00B52708" w:rsidRPr="00282227">
        <w:rPr>
          <w:b/>
          <w:bCs/>
        </w:rPr>
        <w:t xml:space="preserve">Figure </w:t>
      </w:r>
      <w:r w:rsidR="00B52708">
        <w:rPr>
          <w:b/>
          <w:bCs/>
          <w:noProof/>
        </w:rPr>
        <w:t>28</w:t>
      </w:r>
      <w:r w:rsidR="007D359D">
        <w:rPr>
          <w:iCs/>
        </w:rPr>
        <w:fldChar w:fldCharType="end"/>
      </w:r>
      <w:r w:rsidRPr="00562573">
        <w:rPr>
          <w:b/>
          <w:bCs/>
          <w:iCs/>
        </w:rPr>
        <w:t>-</w:t>
      </w:r>
      <w:r w:rsidR="00536CF0">
        <w:rPr>
          <w:b/>
          <w:bCs/>
          <w:iCs/>
        </w:rPr>
        <w:t>30</w:t>
      </w:r>
      <w:r w:rsidRPr="0039761C">
        <w:rPr>
          <w:iCs/>
        </w:rPr>
        <w:t xml:space="preserve"> and experiment stand in stark contrast to the apparent success of the CHE model in predicting values of </w:t>
      </w:r>
      <w:r w:rsidRPr="0039761C">
        <w:rPr>
          <w:i/>
        </w:rPr>
        <w:sym w:font="Symbol" w:char="F068"/>
      </w:r>
      <w:r w:rsidRPr="0039761C">
        <w:rPr>
          <w:iCs/>
          <w:vertAlign w:val="subscript"/>
        </w:rPr>
        <w:t>CHE</w:t>
      </w:r>
      <w:r w:rsidRPr="0039761C">
        <w:rPr>
          <w:iCs/>
        </w:rPr>
        <w:t xml:space="preserve"> that mirror experimentally measured overpotentials and the widespread adoption of scaling relationships</w:t>
      </w:r>
      <w:r w:rsidRPr="0039761C">
        <w:fldChar w:fldCharType="begin"/>
      </w:r>
      <w:r w:rsidR="00FC5BEB">
        <w:instrText xml:space="preserve"> ADDIN EN.CITE &lt;EndNote&gt;&lt;Cite&gt;&lt;Author&gt;Man&lt;/Author&gt;&lt;Year&gt;2011&lt;/Year&gt;&lt;RecNum&gt;99&lt;/RecNum&gt;&lt;DisplayText&gt;&lt;style face="superscript"&gt;101&lt;/style&gt;&lt;/DisplayText&gt;&lt;record&gt;&lt;rec-number&gt;99&lt;/rec-number&gt;&lt;foreign-keys&gt;&lt;key app="EN" db-id="2xex0erf4eexr4e2dpbxpdd829xttesxxxdr" timestamp="1715075296"&gt;99&lt;/key&gt;&lt;/foreign-keys&gt;&lt;ref-type name="Journal Article"&gt;17&lt;/ref-type&gt;&lt;contributors&gt;&lt;authors&gt;&lt;author&gt;Man, Isabela C.&lt;/author&gt;&lt;author&gt;Su, Hai-Yan&lt;/author&gt;&lt;author&gt;Calle-Vallejo, Federico&lt;/author&gt;&lt;author&gt;Hansen, Heine A.&lt;/author&gt;&lt;author&gt;Martínez, José I.&lt;/author&gt;&lt;author&gt;Inoglu, Nilay G.&lt;/author&gt;&lt;author&gt;Kitchin, John&lt;/author&gt;&lt;author&gt;Jaramillo, Thomas F.&lt;/author&gt;&lt;author&gt;Nørskov, Jens K.&lt;/author&gt;&lt;author&gt;Rossmeisl, Jan&lt;/author&gt;&lt;/authors&gt;&lt;/contributors&gt;&lt;titles&gt;&lt;title&gt;Universality in Oxygen Evolution Electrocatalysis on Oxide Surfaces&lt;/title&gt;&lt;secondary-title&gt;ChemCatChem&lt;/secondary-title&gt;&lt;/titles&gt;&lt;pages&gt;1159-1165&lt;/pages&gt;&lt;volume&gt;3&lt;/volume&gt;&lt;number&gt;7&lt;/number&gt;&lt;dates&gt;&lt;year&gt;2011&lt;/year&gt;&lt;/dates&gt;&lt;isbn&gt;1867-3880&lt;/isbn&gt;&lt;urls&gt;&lt;related-urls&gt;&lt;url&gt;https://chemistry-europe.onlinelibrary.wiley.com/doi/abs/10.1002/cctc.201000397&lt;/url&gt;&lt;/related-urls&gt;&lt;/urls&gt;&lt;electronic-resource-num&gt;https://doi.org/10.1002/cctc.201000397&lt;/electronic-resource-num&gt;&lt;/record&gt;&lt;/Cite&gt;&lt;/EndNote&gt;</w:instrText>
      </w:r>
      <w:r w:rsidRPr="0039761C">
        <w:fldChar w:fldCharType="separate"/>
      </w:r>
      <w:r w:rsidR="00FC5BEB" w:rsidRPr="00FC5BEB">
        <w:rPr>
          <w:noProof/>
          <w:vertAlign w:val="superscript"/>
        </w:rPr>
        <w:t>101</w:t>
      </w:r>
      <w:r w:rsidRPr="0039761C">
        <w:fldChar w:fldCharType="end"/>
      </w:r>
      <w:r w:rsidRPr="0039761C">
        <w:t xml:space="preserve">. Such calculations are typically computed on surfaces oxidized to *OH or *O and no effort is typically made to identify the nature of the surface at potentials beyond </w:t>
      </w:r>
      <w:r w:rsidRPr="0039761C">
        <w:rPr>
          <w:i/>
        </w:rPr>
        <w:sym w:font="Symbol" w:char="F068"/>
      </w:r>
      <w:r w:rsidRPr="0039761C">
        <w:rPr>
          <w:iCs/>
          <w:vertAlign w:val="subscript"/>
        </w:rPr>
        <w:t>CHE</w:t>
      </w:r>
      <w:r w:rsidRPr="0039761C">
        <w:rPr>
          <w:iCs/>
        </w:rPr>
        <w:t>.</w:t>
      </w:r>
      <w:r w:rsidRPr="0039761C">
        <w:t xml:space="preserve"> This choice is roughly consistent with the assumptions of </w:t>
      </w:r>
      <w:r w:rsidRPr="0039761C">
        <w:rPr>
          <w:i/>
          <w:iCs/>
        </w:rPr>
        <w:t xml:space="preserve">ab initio </w:t>
      </w:r>
      <w:r w:rsidRPr="0039761C">
        <w:t xml:space="preserve">atomistic thermodynamics since the system is expected to behave effectively as a closed thermodynamic system when the OER, and dissolution, cannot proceed due to slow kinetics. At potentials beyond </w:t>
      </w:r>
      <w:r w:rsidRPr="0039761C">
        <w:rPr>
          <w:i/>
        </w:rPr>
        <w:sym w:font="Symbol" w:char="F068"/>
      </w:r>
      <w:r w:rsidRPr="0039761C">
        <w:rPr>
          <w:iCs/>
          <w:vertAlign w:val="subscript"/>
        </w:rPr>
        <w:t>CHE</w:t>
      </w:r>
      <w:r w:rsidRPr="0039761C">
        <w:rPr>
          <w:iCs/>
        </w:rPr>
        <w:t xml:space="preserve">, there is no thermodynamic contribution to the overpotential and kinetics become increasingly important; the assumption of a closed system breaks down. Thus, beyond </w:t>
      </w:r>
      <w:r w:rsidRPr="0039761C">
        <w:rPr>
          <w:i/>
        </w:rPr>
        <w:sym w:font="Symbol" w:char="F068"/>
      </w:r>
      <w:r w:rsidRPr="0039761C">
        <w:rPr>
          <w:iCs/>
          <w:vertAlign w:val="subscript"/>
        </w:rPr>
        <w:t>CHE</w:t>
      </w:r>
      <w:r w:rsidRPr="0039761C">
        <w:rPr>
          <w:iCs/>
        </w:rPr>
        <w:t xml:space="preserve"> the use of kinetic stability diagrams rather than </w:t>
      </w:r>
      <w:proofErr w:type="spellStart"/>
      <w:r w:rsidRPr="0039761C">
        <w:rPr>
          <w:iCs/>
        </w:rPr>
        <w:lastRenderedPageBreak/>
        <w:t>Pourbiax</w:t>
      </w:r>
      <w:proofErr w:type="spellEnd"/>
      <w:r w:rsidRPr="0039761C">
        <w:rPr>
          <w:iCs/>
        </w:rPr>
        <w:t xml:space="preserve"> diagrams becomes necessary</w:t>
      </w:r>
      <w:r w:rsidRPr="0039761C">
        <w:fldChar w:fldCharType="begin"/>
      </w:r>
      <w:r w:rsidR="00FC5BEB">
        <w:instrText xml:space="preserve"> ADDIN EN.CITE &lt;EndNote&gt;&lt;Cite&gt;&lt;Author&gt;Macdonald&lt;/Author&gt;&lt;Year&gt;2006&lt;/Year&gt;&lt;RecNum&gt;427&lt;/RecNum&gt;&lt;DisplayText&gt;&lt;style face="superscript"&gt;429&lt;/style&gt;&lt;/DisplayText&gt;&lt;record&gt;&lt;rec-number&gt;427&lt;/rec-number&gt;&lt;foreign-keys&gt;&lt;key app="EN" db-id="2xex0erf4eexr4e2dpbxpdd829xttesxxxdr" timestamp="1715075297"&gt;427&lt;/key&gt;&lt;/foreign-keys&gt;&lt;ref-type name="Journal Article"&gt;17&lt;/ref-type&gt;&lt;contributors&gt;&lt;authors&gt;&lt;author&gt;Macdonald, Digby D.&lt;/author&gt;&lt;/authors&gt;&lt;/contributors&gt;&lt;titles&gt;&lt;title&gt;On the Existence of Our Metals-Based Civilization: I. Phase-Space Analysis&lt;/title&gt;&lt;secondary-title&gt;Journal of The Electrochemical Society&lt;/secondary-title&gt;&lt;/titles&gt;&lt;periodical&gt;&lt;full-title&gt;Journal of the Electrochemical Society&lt;/full-title&gt;&lt;abbr-1&gt;J. Electrochem. Soc.&lt;/abbr-1&gt;&lt;abbr-2&gt;J Electrochem Soc&lt;/abbr-2&gt;&lt;/periodical&gt;&lt;pages&gt;B213&lt;/pages&gt;&lt;volume&gt;153&lt;/volume&gt;&lt;number&gt;7&lt;/number&gt;&lt;dates&gt;&lt;year&gt;2006&lt;/year&gt;&lt;pub-dates&gt;&lt;date&gt;2006/05/04&lt;/date&gt;&lt;/pub-dates&gt;&lt;/dates&gt;&lt;publisher&gt;The Electrochemical Society, Inc.&lt;/publisher&gt;&lt;isbn&gt;1945-7111&amp;#xD;0013-4651&lt;/isbn&gt;&lt;urls&gt;&lt;related-urls&gt;&lt;url&gt;https://dx.doi.org/10.1149/1.2195877&lt;/url&gt;&lt;/related-urls&gt;&lt;/urls&gt;&lt;electronic-resource-num&gt;10.1149/1.2195877&lt;/electronic-resource-num&gt;&lt;/record&gt;&lt;/Cite&gt;&lt;/EndNote&gt;</w:instrText>
      </w:r>
      <w:r w:rsidRPr="0039761C">
        <w:fldChar w:fldCharType="separate"/>
      </w:r>
      <w:r w:rsidR="00FC5BEB" w:rsidRPr="00FC5BEB">
        <w:rPr>
          <w:noProof/>
          <w:vertAlign w:val="superscript"/>
        </w:rPr>
        <w:t>429</w:t>
      </w:r>
      <w:r w:rsidRPr="0039761C">
        <w:fldChar w:fldCharType="end"/>
      </w:r>
      <w:r w:rsidRPr="0039761C">
        <w:t xml:space="preserve">. This issue is also known for thermal catalysis, as was discussed in relation to the development of </w:t>
      </w:r>
      <w:r w:rsidRPr="0039761C">
        <w:rPr>
          <w:i/>
          <w:iCs/>
        </w:rPr>
        <w:t>ab initio</w:t>
      </w:r>
      <w:r w:rsidRPr="0039761C">
        <w:t xml:space="preserve"> atomistic thermodynamics and its use in open systems </w:t>
      </w:r>
      <w:r w:rsidRPr="0039761C">
        <w:fldChar w:fldCharType="begin">
          <w:fldData xml:space="preserve">PEVuZE5vdGU+PENpdGU+PEF1dGhvcj5SZXV0ZXI8L0F1dGhvcj48WWVhcj4yMDAzPC9ZZWFyPjxS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</w:fldData>
        </w:fldChar>
      </w:r>
      <w:r w:rsidR="00FC5BEB">
        <w:instrText xml:space="preserve"> ADDIN EN.CITE </w:instrText>
      </w:r>
      <w:r w:rsidR="00FC5BEB">
        <w:fldChar w:fldCharType="begin">
          <w:fldData xml:space="preserve">PEVuZE5vdGU+PENpdGU+PEF1dGhvcj5SZXV0ZXI8L0F1dGhvcj48WWVhcj4yMDAzPC9ZZWFyPjxS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</w:fldData>
        </w:fldChar>
      </w:r>
      <w:r w:rsidR="00FC5BEB">
        <w:instrText xml:space="preserve"> ADDIN EN.CITE.DATA </w:instrText>
      </w:r>
      <w:r w:rsidR="00FC5BEB">
        <w:fldChar w:fldCharType="end"/>
      </w:r>
      <w:r w:rsidRPr="0039761C">
        <w:fldChar w:fldCharType="separate"/>
      </w:r>
      <w:r w:rsidR="00FC5BEB" w:rsidRPr="00FC5BEB">
        <w:rPr>
          <w:noProof/>
          <w:vertAlign w:val="superscript"/>
        </w:rPr>
        <w:t>108, 118</w:t>
      </w:r>
      <w:r w:rsidRPr="0039761C">
        <w:fldChar w:fldCharType="end"/>
      </w:r>
      <w:r w:rsidRPr="0039761C">
        <w:t xml:space="preserve">. </w:t>
      </w:r>
      <w:r w:rsidRPr="0039761C">
        <w:rPr>
          <w:iCs/>
        </w:rPr>
        <w:t xml:space="preserve">The large driving forces accessible in electrochemical reactions, however, are expected to make this issue more problematic for the CHE than has been observed for thermal </w:t>
      </w:r>
      <w:r w:rsidRPr="0039761C">
        <w:rPr>
          <w:i/>
        </w:rPr>
        <w:t xml:space="preserve">ab initio </w:t>
      </w:r>
      <w:r w:rsidRPr="0039761C">
        <w:rPr>
          <w:iCs/>
        </w:rPr>
        <w:t>atomistic thermodynamics, where the experimentally accessible thermodynamic driving forces are smaller than those achievable in electrochemical reactions. Thus, the CHE should be expected to be most effective when applied to identify a PDS among homologous materials, and care must be taken to ensure the computational model corresponds to reality when considering the effects of applied potentials beyond 1.23 V vs RHE in the OER as kinetics become increasing</w:t>
      </w:r>
      <w:r w:rsidR="00280BBA">
        <w:rPr>
          <w:iCs/>
        </w:rPr>
        <w:t>ly</w:t>
      </w:r>
      <w:r w:rsidRPr="0039761C">
        <w:rPr>
          <w:iCs/>
        </w:rPr>
        <w:t xml:space="preserve"> important. Such kinetic limitations may prevent (or enhance) metal dissolution and phase transitions from occurring</w:t>
      </w:r>
      <w:r w:rsidRPr="0039761C">
        <w:fldChar w:fldCharType="begin"/>
      </w:r>
      <w:r w:rsidR="00FC5BEB">
        <w:instrText xml:space="preserve"> ADDIN EN.CITE &lt;EndNote&gt;&lt;Cite&gt;&lt;Author&gt;Zagalskaya&lt;/Author&gt;&lt;Year&gt;2020&lt;/Year&gt;&lt;RecNum&gt;428&lt;/RecNum&gt;&lt;DisplayText&gt;&lt;style face="superscript"&gt;430&lt;/style&gt;&lt;/DisplayText&gt;&lt;record&gt;&lt;rec-number&gt;428&lt;/rec-number&gt;&lt;foreign-keys&gt;&lt;key app="EN" db-id="2xex0erf4eexr4e2dpbxpdd829xttesxxxdr" timestamp="1715075297"&gt;428&lt;/key&gt;&lt;/foreign-keys&gt;&lt;ref-type name="Journal Article"&gt;17&lt;/ref-type&gt;&lt;contributors&gt;&lt;authors&gt;&lt;author&gt;Zagalskaya, Alexandra&lt;/author&gt;&lt;author&gt;Alexandrov, Vitaly&lt;/author&gt;&lt;/authors&gt;&lt;/contributors&gt;&lt;titles&gt;&lt;title&gt;Mechanistic Study of IrO2 Dissolution during the Electrocatalytic Oxygen Evolution Reaction&lt;/title&gt;&lt;secondary-title&gt;J. Phys. Chem. Lett.&lt;/secondary-title&gt;&lt;/titles&gt;&lt;periodical&gt;&lt;full-title&gt;J. Phys. Chem. Lett.&lt;/full-title&gt;&lt;/periodical&gt;&lt;pages&gt;2695-2700&lt;/pages&gt;&lt;volume&gt;11&lt;/volume&gt;&lt;number&gt;7&lt;/number&gt;&lt;dates&gt;&lt;year&gt;2020&lt;/year&gt;&lt;pub-dates&gt;&lt;date&gt;2020/04/02&lt;/date&gt;&lt;/pub-dates&gt;&lt;/dates&gt;&lt;publisher&gt;American Chemical Society&lt;/publisher&gt;&lt;urls&gt;&lt;related-urls&gt;&lt;url&gt;https://doi.org/10.1021/acs.jpclett.0c00335&lt;/url&gt;&lt;/related-urls&gt;&lt;/urls&gt;&lt;electronic-resource-num&gt;10.1021/acs.jpclett.0c00335&lt;/electronic-resource-num&gt;&lt;/record&gt;&lt;/Cite&gt;&lt;/EndNote&gt;</w:instrText>
      </w:r>
      <w:r w:rsidRPr="0039761C">
        <w:fldChar w:fldCharType="separate"/>
      </w:r>
      <w:r w:rsidR="00FC5BEB" w:rsidRPr="00FC5BEB">
        <w:rPr>
          <w:noProof/>
          <w:vertAlign w:val="superscript"/>
        </w:rPr>
        <w:t>430</w:t>
      </w:r>
      <w:r w:rsidRPr="0039761C">
        <w:fldChar w:fldCharType="end"/>
      </w:r>
      <w:r w:rsidRPr="0039761C">
        <w:t xml:space="preserve"> and can impact reaction mechanisms through changes in surface phases</w:t>
      </w:r>
      <w:r w:rsidRPr="0039761C">
        <w:fldChar w:fldCharType="begin"/>
      </w:r>
      <w:r w:rsidR="00FC5BEB">
        <w:instrText xml:space="preserve"> ADDIN EN.CITE &lt;EndNote&gt;&lt;Cite&gt;&lt;Author&gt;Ha&lt;/Author&gt;&lt;Year&gt;2021&lt;/Year&gt;&lt;RecNum&gt;429&lt;/RecNum&gt;&lt;DisplayText&gt;&lt;style face="superscript"&gt;431&lt;/style&gt;&lt;/DisplayText&gt;&lt;record&gt;&lt;rec-number&gt;429&lt;/rec-number&gt;&lt;foreign-keys&gt;&lt;key app="EN" db-id="2xex0erf4eexr4e2dpbxpdd829xttesxxxdr" timestamp="1715075297"&gt;429&lt;/key&gt;&lt;/foreign-keys&gt;&lt;ref-type name="Journal Article"&gt;17&lt;/ref-type&gt;&lt;contributors&gt;&lt;authors&gt;&lt;author&gt;Ha, Mai-Anh&lt;/author&gt;&lt;author&gt;Larsen, Ross E.&lt;/author&gt;&lt;/authors&gt;&lt;/contributors&gt;&lt;titles&gt;&lt;title&gt;Multiple Reaction Pathways for the Oxygen Evolution Reaction May Contribute to IrO2 (110)’s High Activity&lt;/title&gt;&lt;secondary-title&gt;Journal of The Electrochemical Society&lt;/secondary-title&gt;&lt;/titles&gt;&lt;periodical&gt;&lt;full-title&gt;Journal of the Electrochemical Society&lt;/full-title&gt;&lt;abbr-1&gt;J. Electrochem. Soc.&lt;/abbr-1&gt;&lt;abbr-2&gt;J Electrochem Soc&lt;/abbr-2&gt;&lt;/periodical&gt;&lt;pages&gt;024506&lt;/pages&gt;&lt;volume&gt;168&lt;/volume&gt;&lt;number&gt;2&lt;/number&gt;&lt;dates&gt;&lt;year&gt;2021&lt;/year&gt;&lt;pub-dates&gt;&lt;date&gt;2021/02/05&lt;/date&gt;&lt;/pub-dates&gt;&lt;/dates&gt;&lt;publisher&gt;IOP Publishing&lt;/publisher&gt;&lt;isbn&gt;1945-7111&amp;#xD;0013-4651&lt;/isbn&gt;&lt;urls&gt;&lt;related-urls&gt;&lt;url&gt;https://dx.doi.org/10.1149/1945-7111/abdeea&lt;/url&gt;&lt;/related-urls&gt;&lt;/urls&gt;&lt;electronic-resource-num&gt;10.1149/1945-7111/abdeea&lt;/electronic-resource-num&gt;&lt;/record&gt;&lt;/Cite&gt;&lt;/EndNote&gt;</w:instrText>
      </w:r>
      <w:r w:rsidRPr="0039761C">
        <w:fldChar w:fldCharType="separate"/>
      </w:r>
      <w:r w:rsidR="00FC5BEB" w:rsidRPr="00FC5BEB">
        <w:rPr>
          <w:noProof/>
          <w:vertAlign w:val="superscript"/>
        </w:rPr>
        <w:t>431</w:t>
      </w:r>
      <w:r w:rsidRPr="0039761C">
        <w:fldChar w:fldCharType="end"/>
      </w:r>
      <w:r w:rsidRPr="0039761C">
        <w:t xml:space="preserve">. </w:t>
      </w:r>
      <w:r w:rsidRPr="0039761C">
        <w:rPr>
          <w:iCs/>
        </w:rPr>
        <w:t xml:space="preserve">Even when used to identify the PDS and compute </w:t>
      </w:r>
      <w:r w:rsidRPr="0039761C">
        <w:rPr>
          <w:i/>
        </w:rPr>
        <w:sym w:font="Symbol" w:char="F068"/>
      </w:r>
      <w:r w:rsidRPr="0039761C">
        <w:rPr>
          <w:iCs/>
          <w:vertAlign w:val="subscript"/>
        </w:rPr>
        <w:t>CHE</w:t>
      </w:r>
      <w:r w:rsidRPr="0039761C">
        <w:rPr>
          <w:iCs/>
        </w:rPr>
        <w:t xml:space="preserve">, however, the absence of explicit kinetics casts doubt on mechanistic suggestions since </w:t>
      </w:r>
      <w:r w:rsidRPr="0039761C">
        <w:t>the PDS need not be the RDS</w:t>
      </w:r>
      <w:r w:rsidRPr="0039761C">
        <w:fldChar w:fldCharType="begin">
          <w:fldData xml:space="preserve">PEVuZE5vdGU+PENpdGU+PEF1dGhvcj5FeG5lcjwvQXV0aG9yPjxZZWFyPjIwMTc8L1llYXI+PFJl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</w:fldData>
        </w:fldChar>
      </w:r>
      <w:r w:rsidR="00FC5BEB">
        <w:instrText xml:space="preserve"> ADDIN EN.CITE </w:instrText>
      </w:r>
      <w:r w:rsidR="00FC5BEB">
        <w:fldChar w:fldCharType="begin">
          <w:fldData xml:space="preserve">PEVuZE5vdGU+PENpdGU+PEF1dGhvcj5FeG5lcjwvQXV0aG9yPjxZZWFyPjIwMTc8L1llYXI+PFJl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</w:fldData>
        </w:fldChar>
      </w:r>
      <w:r w:rsidR="00FC5BEB">
        <w:instrText xml:space="preserve"> ADDIN EN.CITE.DATA </w:instrText>
      </w:r>
      <w:r w:rsidR="00FC5BEB">
        <w:fldChar w:fldCharType="end"/>
      </w:r>
      <w:r w:rsidRPr="0039761C">
        <w:fldChar w:fldCharType="separate"/>
      </w:r>
      <w:r w:rsidR="00FC5BEB" w:rsidRPr="00FC5BEB">
        <w:rPr>
          <w:noProof/>
          <w:vertAlign w:val="superscript"/>
        </w:rPr>
        <w:t>179, 180</w:t>
      </w:r>
      <w:r w:rsidRPr="0039761C">
        <w:fldChar w:fldCharType="end"/>
      </w:r>
      <w:r w:rsidRPr="0039761C">
        <w:t>.</w:t>
      </w:r>
    </w:p>
    <w:p w14:paraId="4DD1AE5C" w14:textId="77777777" w:rsidR="0039761C" w:rsidRPr="0039761C" w:rsidRDefault="0039761C" w:rsidP="0039761C"/>
    <w:p w14:paraId="001AE2C8" w14:textId="0C085DF6" w:rsidR="0039761C" w:rsidRPr="002818A4" w:rsidRDefault="0039761C" w:rsidP="0039761C">
      <w:r w:rsidRPr="0039761C">
        <w:tab/>
        <w:t xml:space="preserve">Thus, while the CHE was a tremendous advance that heralded in new ideas and a significant change in our mechanistic views of the OER, not all of those changes improved our mechanistic understanding. Initially the nucleophilic attack mechanism, now broadly known as the AEM, supplanted other established concepts in the literature. However, over time, lattice oxidation and other alternative mechanisms have reemerged as likely candidates. While there appears to be strong evidence that highly oxidized adsorbed oxygen species facilitate the OER, the details of how the bulk and surface phases influence the mechanistic details do not appear be answerable within the </w:t>
      </w:r>
      <w:r w:rsidRPr="0039761C">
        <w:rPr>
          <w:i/>
          <w:iCs/>
        </w:rPr>
        <w:t xml:space="preserve">ab initio </w:t>
      </w:r>
      <w:r w:rsidRPr="0039761C">
        <w:t xml:space="preserve">atomistic thermodynamics alone. Rather, we must </w:t>
      </w:r>
      <w:r w:rsidR="002818A4">
        <w:t>introduce additional model complexity</w:t>
      </w:r>
      <w:r w:rsidRPr="0039761C">
        <w:t xml:space="preserve"> and include the effects of electrolytes and explicit kinetics. These are going to be the topics of our next sections.</w:t>
      </w:r>
      <w:r w:rsidR="002818A4">
        <w:t xml:space="preserve"> Before turning to </w:t>
      </w:r>
      <w:r w:rsidR="002818A4">
        <w:rPr>
          <w:i/>
          <w:iCs/>
        </w:rPr>
        <w:t>ab initio</w:t>
      </w:r>
      <w:r w:rsidR="002818A4">
        <w:t xml:space="preserve"> methods, however, we will briefly review the effects of electrolytes in experimental studies of the OER.</w:t>
      </w:r>
    </w:p>
    <w:p w14:paraId="227AC097" w14:textId="77777777" w:rsidR="0039761C" w:rsidRPr="0039761C" w:rsidRDefault="0039761C" w:rsidP="0039761C"/>
    <w:p w14:paraId="57F8025C" w14:textId="6C8B6A97" w:rsidR="00091697" w:rsidRPr="00892F0B" w:rsidRDefault="00091697" w:rsidP="00577291">
      <w:pPr>
        <w:pStyle w:val="Heading1"/>
        <w:numPr>
          <w:ilvl w:val="0"/>
          <w:numId w:val="17"/>
        </w:numPr>
      </w:pPr>
      <w:bookmarkStart w:id="118" w:name="_Ref159882333"/>
      <w:bookmarkStart w:id="119" w:name="_Toc166441742"/>
      <w:r w:rsidRPr="00037592">
        <w:t xml:space="preserve">Electrolyte effects in the </w:t>
      </w:r>
      <w:r>
        <w:t xml:space="preserve">experimental </w:t>
      </w:r>
      <w:r w:rsidRPr="00037592">
        <w:t>OER</w:t>
      </w:r>
      <w:bookmarkEnd w:id="118"/>
      <w:bookmarkEnd w:id="119"/>
    </w:p>
    <w:p w14:paraId="607F58D7" w14:textId="77777777" w:rsidR="00091697" w:rsidRDefault="00091697" w:rsidP="00091697">
      <w:pPr>
        <w:rPr>
          <w:b/>
        </w:rPr>
      </w:pPr>
    </w:p>
    <w:p w14:paraId="10800CA5" w14:textId="77777777" w:rsidR="00091697" w:rsidRPr="00C87FF4" w:rsidRDefault="00091697" w:rsidP="00091697">
      <w:pPr>
        <w:ind w:firstLine="720"/>
        <w:rPr>
          <w:bCs/>
          <w:color w:val="000000" w:themeColor="text1"/>
        </w:rPr>
      </w:pPr>
      <w:r w:rsidRPr="00C87FF4">
        <w:rPr>
          <w:bCs/>
          <w:color w:val="000000" w:themeColor="text1"/>
        </w:rPr>
        <w:t>An electrolytic cell converts electrical energy into chemical energy by applying an external voltage between two electrodes immersed into an electrolyte. An electrolyte is a medium containing dissolved ions to provide the necessary ionic conductivity in the electrolyte. Upon the application of a potential, ions will migrate towards the electrodes of opposite charge. For practical reasons, electrolytes with high ionic conductivity are important. In the OER, we convert H</w:t>
      </w:r>
      <w:r w:rsidRPr="00C87FF4">
        <w:rPr>
          <w:bCs/>
          <w:color w:val="000000" w:themeColor="text1"/>
          <w:vertAlign w:val="subscript"/>
        </w:rPr>
        <w:t>2</w:t>
      </w:r>
      <w:r w:rsidRPr="00C87FF4">
        <w:rPr>
          <w:bCs/>
          <w:color w:val="000000" w:themeColor="text1"/>
        </w:rPr>
        <w:t>O or OH</w:t>
      </w:r>
      <w:r w:rsidRPr="00C87FF4">
        <w:rPr>
          <w:bCs/>
          <w:color w:val="000000" w:themeColor="text1"/>
          <w:vertAlign w:val="superscript"/>
        </w:rPr>
        <w:t>-</w:t>
      </w:r>
      <w:r w:rsidRPr="00C87FF4">
        <w:rPr>
          <w:bCs/>
          <w:color w:val="000000" w:themeColor="text1"/>
        </w:rPr>
        <w:t xml:space="preserve"> into O</w:t>
      </w:r>
      <w:r w:rsidRPr="00C87FF4">
        <w:rPr>
          <w:bCs/>
          <w:color w:val="000000" w:themeColor="text1"/>
          <w:vertAlign w:val="subscript"/>
        </w:rPr>
        <w:t>2</w:t>
      </w:r>
      <w:r w:rsidRPr="00C87FF4">
        <w:rPr>
          <w:bCs/>
          <w:color w:val="000000" w:themeColor="text1"/>
        </w:rPr>
        <w:t>, hence the electrolyte is typically at the strongly acid or alkaline side of the pH range. An exception to this is sea water electrolysis, which we only touch upon in passing.</w:t>
      </w:r>
    </w:p>
    <w:p w14:paraId="1B71D5EF" w14:textId="77777777" w:rsidR="00091697" w:rsidRPr="00C87FF4" w:rsidRDefault="00091697" w:rsidP="00091697">
      <w:pPr>
        <w:ind w:firstLine="720"/>
        <w:rPr>
          <w:bCs/>
          <w:color w:val="000000" w:themeColor="text1"/>
        </w:rPr>
      </w:pPr>
    </w:p>
    <w:p w14:paraId="7928E9F1" w14:textId="67E5A847" w:rsidR="00091697" w:rsidRPr="00C87FF4" w:rsidRDefault="00091697" w:rsidP="00091697">
      <w:pPr>
        <w:ind w:firstLine="720"/>
        <w:rPr>
          <w:bCs/>
          <w:color w:val="000000" w:themeColor="text1"/>
        </w:rPr>
      </w:pPr>
      <w:r w:rsidRPr="00C87FF4">
        <w:rPr>
          <w:bCs/>
          <w:color w:val="000000" w:themeColor="text1"/>
        </w:rPr>
        <w:t xml:space="preserve">Electrolytes can have profound effects on the activity of Faradaic reactions; a well-known example is the detrimental effect of alkaline electrolytes on the </w:t>
      </w:r>
      <w:r w:rsidR="00EE2C62">
        <w:rPr>
          <w:bCs/>
          <w:color w:val="000000" w:themeColor="text1"/>
        </w:rPr>
        <w:t>HER</w:t>
      </w:r>
      <w:r w:rsidRPr="00C87FF4">
        <w:rPr>
          <w:bCs/>
          <w:color w:val="000000" w:themeColor="text1"/>
        </w:rPr>
        <w:t>.</w:t>
      </w:r>
      <w:r w:rsidRPr="00C87FF4">
        <w:rPr>
          <w:bCs/>
          <w:color w:val="000000" w:themeColor="text1"/>
        </w:rPr>
        <w:fldChar w:fldCharType="begin">
          <w:fldData xml:space="preserve">PEVuZE5vdGU+PENpdGU+PEF1dGhvcj5HZWJyZW1hcmlhbTwvQXV0aG9yPjxZZWFyPjIwMjM8L1ll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</w:fldData>
        </w:fldChar>
      </w:r>
      <w:r w:rsidR="00FC5BEB">
        <w:rPr>
          <w:bCs/>
          <w:color w:val="000000" w:themeColor="text1"/>
        </w:rPr>
        <w:instrText xml:space="preserve"> ADDIN EN.CITE </w:instrText>
      </w:r>
      <w:r w:rsidR="00FC5BEB">
        <w:rPr>
          <w:bCs/>
          <w:color w:val="000000" w:themeColor="text1"/>
        </w:rPr>
        <w:fldChar w:fldCharType="begin">
          <w:fldData xml:space="preserve">PEVuZE5vdGU+PENpdGU+PEF1dGhvcj5HZWJyZW1hcmlhbTwvQXV0aG9yPjxZZWFyPjIwMjM8L1ll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</w:fldData>
        </w:fldChar>
      </w:r>
      <w:r w:rsidR="00FC5BEB">
        <w:rPr>
          <w:bCs/>
          <w:color w:val="000000" w:themeColor="text1"/>
        </w:rPr>
        <w:instrText xml:space="preserve"> ADDIN EN.CITE.DATA </w:instrText>
      </w:r>
      <w:r w:rsidR="00FC5BEB">
        <w:rPr>
          <w:bCs/>
          <w:color w:val="000000" w:themeColor="text1"/>
        </w:rPr>
      </w:r>
      <w:r w:rsidR="00FC5BEB">
        <w:rPr>
          <w:bCs/>
          <w:color w:val="000000" w:themeColor="text1"/>
        </w:rPr>
        <w:fldChar w:fldCharType="end"/>
      </w:r>
      <w:r w:rsidRPr="00C87FF4">
        <w:rPr>
          <w:bCs/>
          <w:color w:val="000000" w:themeColor="text1"/>
        </w:rPr>
      </w:r>
      <w:r w:rsidRPr="00C87FF4">
        <w:rPr>
          <w:bCs/>
          <w:color w:val="000000" w:themeColor="text1"/>
        </w:rPr>
        <w:fldChar w:fldCharType="separate"/>
      </w:r>
      <w:r w:rsidR="00FC5BEB" w:rsidRPr="00FC5BEB">
        <w:rPr>
          <w:bCs/>
          <w:noProof/>
          <w:color w:val="000000" w:themeColor="text1"/>
          <w:vertAlign w:val="superscript"/>
        </w:rPr>
        <w:t>432-434</w:t>
      </w:r>
      <w:r w:rsidRPr="00C87FF4">
        <w:rPr>
          <w:bCs/>
          <w:color w:val="000000" w:themeColor="text1"/>
        </w:rPr>
        <w:fldChar w:fldCharType="end"/>
      </w:r>
      <w:r w:rsidRPr="00C87FF4">
        <w:rPr>
          <w:bCs/>
          <w:color w:val="000000" w:themeColor="text1"/>
        </w:rPr>
        <w:t xml:space="preserve"> Sometimes also the selectivity of electrocatalytic reactions is a strong function of the electrolyte. For example, the products of the CO</w:t>
      </w:r>
      <w:r w:rsidRPr="00C87FF4">
        <w:rPr>
          <w:bCs/>
          <w:color w:val="000000" w:themeColor="text1"/>
          <w:vertAlign w:val="subscript"/>
        </w:rPr>
        <w:t>2</w:t>
      </w:r>
      <w:r w:rsidRPr="00C87FF4">
        <w:rPr>
          <w:bCs/>
          <w:color w:val="000000" w:themeColor="text1"/>
        </w:rPr>
        <w:t xml:space="preserve"> reduction reaction can vary depending on the electrolyte used.</w:t>
      </w:r>
      <w:r w:rsidRPr="00C87FF4">
        <w:rPr>
          <w:bCs/>
          <w:color w:val="000000" w:themeColor="text1"/>
        </w:rPr>
        <w:fldChar w:fldCharType="begin"/>
      </w:r>
      <w:r w:rsidR="00FC5BEB">
        <w:rPr>
          <w:bCs/>
          <w:color w:val="000000" w:themeColor="text1"/>
        </w:rPr>
        <w:instrText xml:space="preserve"> ADDIN EN.CITE &lt;EndNote&gt;&lt;Cite&gt;&lt;Author&gt;Moura de Salles Pupo&lt;/Author&gt;&lt;Year&gt;2019&lt;/Year&gt;&lt;RecNum&gt;433&lt;/RecNum&gt;&lt;DisplayText&gt;&lt;style face="superscript"&gt;435&lt;/style&gt;&lt;/DisplayText&gt;&lt;record&gt;&lt;rec-number&gt;433&lt;/rec-number&gt;&lt;foreign-keys&gt;&lt;key app="EN" db-id="2xex0erf4eexr4e2dpbxpdd829xttesxxxdr" timestamp="1715075297"&gt;433&lt;/key&gt;&lt;/foreign-keys&gt;&lt;ref-type name="Journal Article"&gt;17&lt;/ref-type&gt;&lt;contributors&gt;&lt;authors&gt;&lt;author&gt;Moura de Salles Pupo, Marilia&lt;/author&gt;&lt;author&gt;Kortlever, Ruud&lt;/author&gt;&lt;/authors&gt;&lt;/contributors&gt;&lt;titles&gt;&lt;title&gt;Electrolyte Effects on the Electrochemical Reduction of CO2&lt;/title&gt;&lt;secondary-title&gt;ChemPhysChem&lt;/secondary-title&gt;&lt;/titles&gt;&lt;pages&gt;2926-2935&lt;/pages&gt;&lt;volume&gt;20&lt;/volume&gt;&lt;number&gt;22&lt;/number&gt;&lt;dates&gt;&lt;year&gt;2019&lt;/year&gt;&lt;/dates&gt;&lt;isbn&gt;1439-4235&lt;/isbn&gt;&lt;urls&gt;&lt;related-urls&gt;&lt;url&gt;https://chemistry-europe.onlinelibrary.wiley.com/doi/abs/10.1002/cphc.201900680&lt;/url&gt;&lt;/related-urls&gt;&lt;/urls&gt;&lt;electronic-resource-num&gt;https://doi.org/10.1002/cphc.201900680&lt;/electronic-resource-num&gt;&lt;/record&gt;&lt;/Cite&gt;&lt;/EndNote&gt;</w:instrText>
      </w:r>
      <w:r w:rsidRPr="00C87FF4">
        <w:rPr>
          <w:bCs/>
          <w:color w:val="000000" w:themeColor="text1"/>
        </w:rPr>
        <w:fldChar w:fldCharType="separate"/>
      </w:r>
      <w:r w:rsidR="00FC5BEB" w:rsidRPr="00FC5BEB">
        <w:rPr>
          <w:bCs/>
          <w:noProof/>
          <w:color w:val="000000" w:themeColor="text1"/>
          <w:vertAlign w:val="superscript"/>
        </w:rPr>
        <w:t>435</w:t>
      </w:r>
      <w:r w:rsidRPr="00C87FF4">
        <w:rPr>
          <w:bCs/>
          <w:color w:val="000000" w:themeColor="text1"/>
        </w:rPr>
        <w:fldChar w:fldCharType="end"/>
      </w:r>
      <w:r w:rsidRPr="00C87FF4">
        <w:rPr>
          <w:bCs/>
          <w:color w:val="000000" w:themeColor="text1"/>
        </w:rPr>
        <w:t xml:space="preserve"> The standard potential of the chlorine evolution reaction (CER) and the OER are close enough that the electrolyte and the catalyst of choice can completely shift the reaction selectivity.</w:t>
      </w:r>
      <w:r w:rsidRPr="00C87FF4">
        <w:rPr>
          <w:bCs/>
          <w:color w:val="000000" w:themeColor="text1"/>
        </w:rPr>
        <w:fldChar w:fldCharType="begin">
          <w:fldData xml:space="preserve">PEVuZE5vdGU+PENpdGU+PEF1dGhvcj5XYW5nPC9BdXRob3I+PFllYXI+MjAyMTwvWWVhcj48UmVj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</w:fldData>
        </w:fldChar>
      </w:r>
      <w:r w:rsidR="00FC5BEB">
        <w:rPr>
          <w:bCs/>
          <w:color w:val="000000" w:themeColor="text1"/>
        </w:rPr>
        <w:instrText xml:space="preserve"> ADDIN EN.CITE </w:instrText>
      </w:r>
      <w:r w:rsidR="00FC5BEB">
        <w:rPr>
          <w:bCs/>
          <w:color w:val="000000" w:themeColor="text1"/>
        </w:rPr>
        <w:fldChar w:fldCharType="begin">
          <w:fldData xml:space="preserve">PEVuZE5vdGU+PENpdGU+PEF1dGhvcj5XYW5nPC9BdXRob3I+PFllYXI+MjAyMTwvWWVhcj48UmVj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</w:fldData>
        </w:fldChar>
      </w:r>
      <w:r w:rsidR="00FC5BEB">
        <w:rPr>
          <w:bCs/>
          <w:color w:val="000000" w:themeColor="text1"/>
        </w:rPr>
        <w:instrText xml:space="preserve"> ADDIN EN.CITE.DATA </w:instrText>
      </w:r>
      <w:r w:rsidR="00FC5BEB">
        <w:rPr>
          <w:bCs/>
          <w:color w:val="000000" w:themeColor="text1"/>
        </w:rPr>
      </w:r>
      <w:r w:rsidR="00FC5BEB">
        <w:rPr>
          <w:bCs/>
          <w:color w:val="000000" w:themeColor="text1"/>
        </w:rPr>
        <w:fldChar w:fldCharType="end"/>
      </w:r>
      <w:r w:rsidRPr="00C87FF4">
        <w:rPr>
          <w:bCs/>
          <w:color w:val="000000" w:themeColor="text1"/>
        </w:rPr>
      </w:r>
      <w:r w:rsidRPr="00C87FF4">
        <w:rPr>
          <w:bCs/>
          <w:color w:val="000000" w:themeColor="text1"/>
        </w:rPr>
        <w:fldChar w:fldCharType="separate"/>
      </w:r>
      <w:r w:rsidR="00FC5BEB" w:rsidRPr="00FC5BEB">
        <w:rPr>
          <w:bCs/>
          <w:noProof/>
          <w:color w:val="000000" w:themeColor="text1"/>
          <w:vertAlign w:val="superscript"/>
        </w:rPr>
        <w:t>272, 436</w:t>
      </w:r>
      <w:r w:rsidRPr="00C87FF4">
        <w:rPr>
          <w:bCs/>
          <w:color w:val="000000" w:themeColor="text1"/>
        </w:rPr>
        <w:fldChar w:fldCharType="end"/>
      </w:r>
      <w:r w:rsidRPr="00C87FF4">
        <w:rPr>
          <w:bCs/>
          <w:color w:val="000000" w:themeColor="text1"/>
        </w:rPr>
        <w:t xml:space="preserve"> The above-mentioned sea-water electrolysis is also an interesting application, where chloride oxidation needs to be selectively avoided.</w:t>
      </w:r>
      <w:r w:rsidRPr="00C87FF4">
        <w:rPr>
          <w:bCs/>
          <w:color w:val="000000" w:themeColor="text1"/>
        </w:rPr>
        <w:fldChar w:fldCharType="begin">
          <w:fldData xml:space="preserve">PEVuZE5vdGU+PENpdGU+PEF1dGhvcj5Wb3M8L0F1dGhvcj48WWVhcj4yMDIwPC9ZZWFyPjxSZWNO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</w:fldData>
        </w:fldChar>
      </w:r>
      <w:r w:rsidR="00FC5BEB">
        <w:rPr>
          <w:bCs/>
          <w:color w:val="000000" w:themeColor="text1"/>
        </w:rPr>
        <w:instrText xml:space="preserve"> ADDIN EN.CITE </w:instrText>
      </w:r>
      <w:r w:rsidR="00FC5BEB">
        <w:rPr>
          <w:bCs/>
          <w:color w:val="000000" w:themeColor="text1"/>
        </w:rPr>
        <w:fldChar w:fldCharType="begin">
          <w:fldData xml:space="preserve">PEVuZE5vdGU+PENpdGU+PEF1dGhvcj5Wb3M8L0F1dGhvcj48WWVhcj4yMDIwPC9ZZWFyPjxSZWNO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</w:fldData>
        </w:fldChar>
      </w:r>
      <w:r w:rsidR="00FC5BEB">
        <w:rPr>
          <w:bCs/>
          <w:color w:val="000000" w:themeColor="text1"/>
        </w:rPr>
        <w:instrText xml:space="preserve"> ADDIN EN.CITE.DATA </w:instrText>
      </w:r>
      <w:r w:rsidR="00FC5BEB">
        <w:rPr>
          <w:bCs/>
          <w:color w:val="000000" w:themeColor="text1"/>
        </w:rPr>
      </w:r>
      <w:r w:rsidR="00FC5BEB">
        <w:rPr>
          <w:bCs/>
          <w:color w:val="000000" w:themeColor="text1"/>
        </w:rPr>
        <w:fldChar w:fldCharType="end"/>
      </w:r>
      <w:r w:rsidRPr="00C87FF4">
        <w:rPr>
          <w:bCs/>
          <w:color w:val="000000" w:themeColor="text1"/>
        </w:rPr>
      </w:r>
      <w:r w:rsidRPr="00C87FF4">
        <w:rPr>
          <w:bCs/>
          <w:color w:val="000000" w:themeColor="text1"/>
        </w:rPr>
        <w:fldChar w:fldCharType="separate"/>
      </w:r>
      <w:r w:rsidR="00FC5BEB" w:rsidRPr="00FC5BEB">
        <w:rPr>
          <w:bCs/>
          <w:noProof/>
          <w:color w:val="000000" w:themeColor="text1"/>
          <w:vertAlign w:val="superscript"/>
        </w:rPr>
        <w:t>437-439</w:t>
      </w:r>
      <w:r w:rsidRPr="00C87FF4">
        <w:rPr>
          <w:bCs/>
          <w:color w:val="000000" w:themeColor="text1"/>
        </w:rPr>
        <w:fldChar w:fldCharType="end"/>
      </w:r>
      <w:r w:rsidRPr="00C87FF4">
        <w:rPr>
          <w:bCs/>
          <w:color w:val="000000" w:themeColor="text1"/>
        </w:rPr>
        <w:t xml:space="preserve"> Most of the time, the effects of the electrolytes can be traced back either to the pH, or to the influence of cations and the anions. This is in stark contrast to the models applied in CHE calculations we reviewed above based on PCET steps as they predict pH independent redox chemistry and OER activity (on the RHE scale). Furthermore, any potential effect of the electrolyte ions is usually neglected in those calculations. The lattice oxidation mechanism allowed us to circumvent this limitation, though we have seen that not all catalysts that show a pH dependent OER activity operate according to the LOM mechanism.</w:t>
      </w:r>
      <w:r w:rsidRPr="00C87FF4">
        <w:rPr>
          <w:bCs/>
          <w:color w:val="000000" w:themeColor="text1"/>
        </w:rPr>
        <w:fldChar w:fldCharType="begin"/>
      </w:r>
      <w:r w:rsidR="00FC5BEB">
        <w:rPr>
          <w:bCs/>
          <w:color w:val="000000" w:themeColor="text1"/>
        </w:rPr>
        <w:instrText xml:space="preserve"> ADDIN EN.CITE &lt;EndNote&gt;&lt;Cite&gt;&lt;Author&gt;Lee&lt;/Author&gt;&lt;Year&gt;2019&lt;/Year&gt;&lt;RecNum&gt;332&lt;/RecNum&gt;&lt;DisplayText&gt;&lt;style face="superscript"&gt;334&lt;/style&gt;&lt;/DisplayText&gt;&lt;record&gt;&lt;rec-number&gt;332&lt;/rec-number&gt;&lt;foreign-keys&gt;&lt;key app="EN" db-id="2xex0erf4eexr4e2dpbxpdd829xttesxxxdr" timestamp="1715075296"&gt;332&lt;/key&gt;&lt;/foreign-keys&gt;&lt;ref-type name="Journal Article"&gt;17&lt;/ref-type&gt;&lt;contributors&gt;&lt;authors&gt;&lt;author&gt;Lee, Seunghwa&lt;/author&gt;&lt;author&gt;Banjac, Karla&lt;/author&gt;&lt;author&gt;Lingenfelder, Magalí&lt;/author&gt;&lt;author&gt;Hu, Xile&lt;/author&gt;&lt;/authors&gt;&lt;/contributors&gt;&lt;titles&gt;&lt;title&gt;Oxygen Isotope Labeling Experiments Reveal Different Reaction Sites for the Oxygen Evolution Reaction on Nickel and Nickel Iron Oxides&lt;/title&gt;&lt;secondary-title&gt;Angewandte Chemie International Edition&lt;/secondary-title&gt;&lt;/titles&gt;&lt;periodical&gt;&lt;full-title&gt;Angewandte Chemie International Edition&lt;/full-title&gt;&lt;abbr-1&gt;Angew. Chem. Int. Ed.&lt;/abbr-1&gt;&lt;abbr-2&gt;Angew Chem Int Ed&lt;/abbr-2&gt;&lt;/periodical&gt;&lt;pages&gt;10295-10299&lt;/pages&gt;&lt;volume&gt;58&lt;/volume&gt;&lt;number&gt;30&lt;/number&gt;&lt;dates&gt;&lt;year&gt;2019&lt;/year&gt;&lt;/dates&gt;&lt;isbn&gt;1433-7851&lt;/isbn&gt;&lt;urls&gt;&lt;related-urls&gt;&lt;url&gt;https://onlinelibrary.wiley.com/doi/abs/10.1002/anie.201903200&lt;/url&gt;&lt;/related-urls&gt;&lt;/urls&gt;&lt;electronic-resource-num&gt;https://doi.org/10.1002/anie.201903200&lt;/electronic-resource-num&gt;&lt;/record&gt;&lt;/Cite&gt;&lt;/EndNote&gt;</w:instrText>
      </w:r>
      <w:r w:rsidRPr="00C87FF4">
        <w:rPr>
          <w:bCs/>
          <w:color w:val="000000" w:themeColor="text1"/>
        </w:rPr>
        <w:fldChar w:fldCharType="separate"/>
      </w:r>
      <w:r w:rsidR="00FC5BEB" w:rsidRPr="00FC5BEB">
        <w:rPr>
          <w:bCs/>
          <w:noProof/>
          <w:color w:val="000000" w:themeColor="text1"/>
          <w:vertAlign w:val="superscript"/>
        </w:rPr>
        <w:t>334</w:t>
      </w:r>
      <w:r w:rsidRPr="00C87FF4">
        <w:rPr>
          <w:bCs/>
          <w:color w:val="000000" w:themeColor="text1"/>
        </w:rPr>
        <w:fldChar w:fldCharType="end"/>
      </w:r>
      <w:r w:rsidRPr="00C87FF4">
        <w:rPr>
          <w:bCs/>
          <w:color w:val="000000" w:themeColor="text1"/>
        </w:rPr>
        <w:t xml:space="preserve"> In what follows, we briefly review the experimental literature and investigate the influence of the electrolyte on the OER activity of electrocatalysts. We start with pH and then move to the influence of dissolved cations and anions.</w:t>
      </w:r>
    </w:p>
    <w:p w14:paraId="31A3C4A1" w14:textId="77777777" w:rsidR="00091697" w:rsidRPr="00C87FF4" w:rsidRDefault="00091697" w:rsidP="00091697">
      <w:pPr>
        <w:ind w:firstLine="720"/>
        <w:rPr>
          <w:bCs/>
          <w:color w:val="000000" w:themeColor="text1"/>
        </w:rPr>
      </w:pPr>
    </w:p>
    <w:p w14:paraId="72BB148D" w14:textId="41D22143" w:rsidR="00091697" w:rsidRPr="00C87FF4" w:rsidRDefault="00091697" w:rsidP="00091697">
      <w:pPr>
        <w:ind w:firstLine="720"/>
        <w:rPr>
          <w:bCs/>
          <w:color w:val="000000" w:themeColor="text1"/>
        </w:rPr>
      </w:pPr>
      <w:r w:rsidRPr="00C87FF4">
        <w:rPr>
          <w:bCs/>
          <w:color w:val="000000" w:themeColor="text1"/>
        </w:rPr>
        <w:lastRenderedPageBreak/>
        <w:t xml:space="preserve">Perovskites are, for us, an appropriate starting point as many of them seem to fulfill the LOM mechanism. In an early study by </w:t>
      </w:r>
      <w:proofErr w:type="spellStart"/>
      <w:r w:rsidRPr="00C87FF4">
        <w:rPr>
          <w:bCs/>
          <w:color w:val="000000" w:themeColor="text1"/>
        </w:rPr>
        <w:t>Bockis</w:t>
      </w:r>
      <w:proofErr w:type="spellEnd"/>
      <w:r w:rsidRPr="00C87FF4">
        <w:rPr>
          <w:bCs/>
          <w:color w:val="000000" w:themeColor="text1"/>
        </w:rPr>
        <w:t xml:space="preserve"> and </w:t>
      </w:r>
      <w:proofErr w:type="spellStart"/>
      <w:r w:rsidRPr="00C87FF4">
        <w:rPr>
          <w:bCs/>
          <w:color w:val="000000" w:themeColor="text1"/>
        </w:rPr>
        <w:t>Otagawa</w:t>
      </w:r>
      <w:proofErr w:type="spellEnd"/>
      <w:r w:rsidR="0067206B">
        <w:rPr>
          <w:bCs/>
          <w:color w:val="000000" w:themeColor="text1"/>
        </w:rPr>
        <w:t xml:space="preserve"> (see Section </w:t>
      </w:r>
      <w:r w:rsidR="0067206B">
        <w:rPr>
          <w:bCs/>
          <w:color w:val="000000" w:themeColor="text1"/>
        </w:rPr>
        <w:fldChar w:fldCharType="begin"/>
      </w:r>
      <w:r w:rsidR="0067206B">
        <w:rPr>
          <w:bCs/>
          <w:color w:val="000000" w:themeColor="text1"/>
        </w:rPr>
        <w:instrText xml:space="preserve"> REF _Ref159928684 \r \h </w:instrText>
      </w:r>
      <w:r w:rsidR="0067206B">
        <w:rPr>
          <w:bCs/>
          <w:color w:val="000000" w:themeColor="text1"/>
        </w:rPr>
      </w:r>
      <w:r w:rsidR="0067206B">
        <w:rPr>
          <w:bCs/>
          <w:color w:val="000000" w:themeColor="text1"/>
        </w:rPr>
        <w:fldChar w:fldCharType="separate"/>
      </w:r>
      <w:r w:rsidR="00B52708">
        <w:rPr>
          <w:bCs/>
          <w:color w:val="000000" w:themeColor="text1"/>
        </w:rPr>
        <w:t>2.2</w:t>
      </w:r>
      <w:r w:rsidR="0067206B">
        <w:rPr>
          <w:bCs/>
          <w:color w:val="000000" w:themeColor="text1"/>
        </w:rPr>
        <w:fldChar w:fldCharType="end"/>
      </w:r>
      <w:r w:rsidR="0067206B">
        <w:rPr>
          <w:bCs/>
          <w:color w:val="000000" w:themeColor="text1"/>
        </w:rPr>
        <w:t>)</w:t>
      </w:r>
      <w:r w:rsidRPr="00C87FF4">
        <w:rPr>
          <w:bCs/>
          <w:color w:val="000000" w:themeColor="text1"/>
        </w:rPr>
        <w:t>, a large number of perovskites have shown an [OH</w:t>
      </w:r>
      <w:r w:rsidRPr="00C87FF4">
        <w:rPr>
          <w:bCs/>
          <w:color w:val="000000" w:themeColor="text1"/>
          <w:vertAlign w:val="superscript"/>
        </w:rPr>
        <w:t>-</w:t>
      </w:r>
      <w:r w:rsidRPr="00C87FF4">
        <w:rPr>
          <w:bCs/>
          <w:color w:val="000000" w:themeColor="text1"/>
        </w:rPr>
        <w:t>] reaction order of 0.6-0.95</w:t>
      </w:r>
      <w:r w:rsidR="00920F25">
        <w:rPr>
          <w:bCs/>
          <w:color w:val="000000" w:themeColor="text1"/>
        </w:rPr>
        <w:t xml:space="preserve">, </w:t>
      </w:r>
      <w:r w:rsidR="00B125E1">
        <w:rPr>
          <w:bCs/>
          <w:color w:val="000000" w:themeColor="text1"/>
        </w:rPr>
        <w:t xml:space="preserve">the experiments performed </w:t>
      </w:r>
      <w:r w:rsidR="00920F25">
        <w:rPr>
          <w:bCs/>
          <w:color w:val="000000" w:themeColor="text1"/>
        </w:rPr>
        <w:t>using a pH-independent saturated calomel electrode</w:t>
      </w:r>
      <w:r w:rsidRPr="00C87FF4">
        <w:rPr>
          <w:bCs/>
          <w:color w:val="000000" w:themeColor="text1"/>
        </w:rPr>
        <w:t>.</w:t>
      </w:r>
      <w:r w:rsidRPr="00C87FF4">
        <w:rPr>
          <w:bCs/>
          <w:color w:val="000000" w:themeColor="text1"/>
        </w:rPr>
        <w:fldChar w:fldCharType="begin"/>
      </w:r>
      <w:r w:rsidR="00FC5BEB">
        <w:rPr>
          <w:bCs/>
          <w:color w:val="000000" w:themeColor="text1"/>
        </w:rPr>
        <w:instrText xml:space="preserve"> ADDIN EN.CITE &lt;EndNote&gt;&lt;Cite&gt;&lt;Author&gt;Bockris&lt;/Author&gt;&lt;Year&gt;1983&lt;/Year&gt;&lt;RecNum&gt;82&lt;/RecNum&gt;&lt;DisplayText&gt;&lt;style face="superscript"&gt;84&lt;/style&gt;&lt;/DisplayText&gt;&lt;record&gt;&lt;rec-number&gt;82&lt;/rec-number&gt;&lt;foreign-keys&gt;&lt;key app="EN" db-id="2xex0erf4eexr4e2dpbxpdd829xttesxxxdr" timestamp="1715075296"&gt;82&lt;/key&gt;&lt;/foreign-keys&gt;&lt;ref-type name="Journal Article"&gt;17&lt;/ref-type&gt;&lt;contributors&gt;&lt;authors&gt;&lt;author&gt;Bockris, John O&amp;apos;M&lt;/author&gt;&lt;author&gt;Otagawa, Takaaki&lt;/author&gt;&lt;/authors&gt;&lt;/contributors&gt;&lt;titles&gt;&lt;title&gt;Mechanism of oxygen evolution on perovskites&lt;/title&gt;&lt;secondary-title&gt;Journal of Physical Chemistry&lt;/secondary-title&gt;&lt;/titles&gt;&lt;periodical&gt;&lt;full-title&gt;Journal of Physical Chemistry&lt;/full-title&gt;&lt;abbr-1&gt;J. Phys. Chem.&lt;/abbr-1&gt;&lt;abbr-2&gt;J Phys Chem&lt;/abbr-2&gt;&lt;/periodical&gt;&lt;pages&gt;2960-2971&lt;/pages&gt;&lt;volume&gt;87&lt;/volume&gt;&lt;number&gt;15&lt;/number&gt;&lt;dates&gt;&lt;year&gt;1983&lt;/year&gt;&lt;pub-dates&gt;&lt;date&gt;1983/07/01&lt;/date&gt;&lt;/pub-dates&gt;&lt;/dates&gt;&lt;publisher&gt;American Chemical Society&lt;/publisher&gt;&lt;isbn&gt;0022-3654&lt;/isbn&gt;&lt;urls&gt;&lt;related-urls&gt;&lt;url&gt;https://doi.org/10.1021/j100238a048&lt;/url&gt;&lt;/related-urls&gt;&lt;/urls&gt;&lt;electronic-resource-num&gt;10.1021/j100238a048&lt;/electronic-resource-num&gt;&lt;/record&gt;&lt;/Cite&gt;&lt;/EndNote&gt;</w:instrText>
      </w:r>
      <w:r w:rsidRPr="00C87FF4">
        <w:rPr>
          <w:bCs/>
          <w:color w:val="000000" w:themeColor="text1"/>
        </w:rPr>
        <w:fldChar w:fldCharType="separate"/>
      </w:r>
      <w:r w:rsidR="00FC5BEB" w:rsidRPr="00FC5BEB">
        <w:rPr>
          <w:bCs/>
          <w:noProof/>
          <w:color w:val="000000" w:themeColor="text1"/>
          <w:vertAlign w:val="superscript"/>
        </w:rPr>
        <w:t>84</w:t>
      </w:r>
      <w:r w:rsidRPr="00C87FF4">
        <w:rPr>
          <w:bCs/>
          <w:color w:val="000000" w:themeColor="text1"/>
        </w:rPr>
        <w:fldChar w:fldCharType="end"/>
      </w:r>
      <w:r w:rsidRPr="00C87FF4">
        <w:rPr>
          <w:bCs/>
          <w:color w:val="000000" w:themeColor="text1"/>
        </w:rPr>
        <w:t xml:space="preserve"> They also found a linear trend with negative slope between the OER activity and the activation energies estimated from the temperature dependence. Their postulated mechanism via H</w:t>
      </w:r>
      <w:r w:rsidRPr="00C87FF4">
        <w:rPr>
          <w:bCs/>
          <w:color w:val="000000" w:themeColor="text1"/>
          <w:vertAlign w:val="subscript"/>
        </w:rPr>
        <w:t>2</w:t>
      </w:r>
      <w:r w:rsidRPr="00C87FF4">
        <w:rPr>
          <w:bCs/>
          <w:color w:val="000000" w:themeColor="text1"/>
        </w:rPr>
        <w:t>O</w:t>
      </w:r>
      <w:r w:rsidRPr="00C87FF4">
        <w:rPr>
          <w:bCs/>
          <w:color w:val="000000" w:themeColor="text1"/>
          <w:vertAlign w:val="subscript"/>
        </w:rPr>
        <w:t>2</w:t>
      </w:r>
      <w:r w:rsidRPr="00C87FF4">
        <w:rPr>
          <w:bCs/>
          <w:color w:val="000000" w:themeColor="text1"/>
        </w:rPr>
        <w:t xml:space="preserve"> formation and decomposition is nowadays largely abandoned in the literature. Li et al.</w:t>
      </w:r>
      <w:r w:rsidRPr="00C87FF4">
        <w:rPr>
          <w:bCs/>
          <w:color w:val="000000" w:themeColor="text1"/>
        </w:rPr>
        <w:fldChar w:fldCharType="begin"/>
      </w:r>
      <w:r w:rsidR="00FC5BEB">
        <w:rPr>
          <w:bCs/>
          <w:color w:val="000000" w:themeColor="text1"/>
        </w:rPr>
        <w:instrText xml:space="preserve"> ADDIN EN.CITE &lt;EndNote&gt;&lt;Cite&gt;&lt;Author&gt;Li&lt;/Author&gt;&lt;Year&gt;2019&lt;/Year&gt;&lt;RecNum&gt;361&lt;/RecNum&gt;&lt;DisplayText&gt;&lt;style face="superscript"&gt;363&lt;/style&gt;&lt;/DisplayText&gt;&lt;record&gt;&lt;rec-number&gt;361&lt;/rec-number&gt;&lt;foreign-keys&gt;&lt;key app="EN" db-id="2xex0erf4eexr4e2dpbxpdd829xttesxxxdr" timestamp="1715075296"&gt;361&lt;/key&gt;&lt;/foreign-keys&gt;&lt;ref-type name="Journal Article"&gt;17&lt;/ref-type&gt;&lt;contributors&gt;&lt;authors&gt;&lt;author&gt;Li, Xiang&lt;/author&gt;&lt;author&gt;Wang, Hao&lt;/author&gt;&lt;author&gt;Cui, Zhiming&lt;/author&gt;&lt;author&gt;Li, Yutao&lt;/author&gt;&lt;author&gt;Xin, Sen&lt;/author&gt;&lt;author&gt;Zhou, Jianshi&lt;/author&gt;&lt;author&gt;Long, Youwen&lt;/author&gt;&lt;author&gt;Jin, Changqing&lt;/author&gt;&lt;author&gt;Goodenough, John B.&lt;/author&gt;&lt;/authors&gt;&lt;/contributors&gt;&lt;titles&gt;&lt;title&gt;Exceptional oxygen evolution reactivities on CaCoO3 and SrCoO3&lt;/title&gt;&lt;secondary-title&gt;Sci. Adv.&lt;/secondary-title&gt;&lt;/titles&gt;&lt;periodical&gt;&lt;full-title&gt;Sci. Adv.&lt;/full-title&gt;&lt;/periodical&gt;&lt;pages&gt;eaav6262&lt;/pages&gt;&lt;volume&gt;5&lt;/volume&gt;&lt;number&gt;8&lt;/number&gt;&lt;dates&gt;&lt;year&gt;2019&lt;/year&gt;&lt;/dates&gt;&lt;urls&gt;&lt;related-urls&gt;&lt;url&gt;https://www.science.org/doi/abs/10.1126/sciadv.aav6262&lt;/url&gt;&lt;/related-urls&gt;&lt;/urls&gt;&lt;electronic-resource-num&gt;doi:10.1126/sciadv.aav6262&lt;/electronic-resource-num&gt;&lt;/record&gt;&lt;/Cite&gt;&lt;/EndNote&gt;</w:instrText>
      </w:r>
      <w:r w:rsidRPr="00C87FF4">
        <w:rPr>
          <w:bCs/>
          <w:color w:val="000000" w:themeColor="text1"/>
        </w:rPr>
        <w:fldChar w:fldCharType="separate"/>
      </w:r>
      <w:r w:rsidR="00FC5BEB" w:rsidRPr="00FC5BEB">
        <w:rPr>
          <w:bCs/>
          <w:noProof/>
          <w:color w:val="000000" w:themeColor="text1"/>
          <w:vertAlign w:val="superscript"/>
        </w:rPr>
        <w:t>363</w:t>
      </w:r>
      <w:r w:rsidRPr="00C87FF4">
        <w:rPr>
          <w:bCs/>
          <w:color w:val="000000" w:themeColor="text1"/>
        </w:rPr>
        <w:fldChar w:fldCharType="end"/>
      </w:r>
      <w:r w:rsidRPr="00C87FF4">
        <w:rPr>
          <w:bCs/>
          <w:color w:val="000000" w:themeColor="text1"/>
        </w:rPr>
        <w:t xml:space="preserve"> and Liu et al.</w:t>
      </w:r>
      <w:r w:rsidRPr="00C87FF4">
        <w:rPr>
          <w:bCs/>
          <w:color w:val="000000" w:themeColor="text1"/>
        </w:rPr>
        <w:fldChar w:fldCharType="begin"/>
      </w:r>
      <w:r w:rsidR="00FC5BEB">
        <w:rPr>
          <w:bCs/>
          <w:color w:val="000000" w:themeColor="text1"/>
        </w:rPr>
        <w:instrText xml:space="preserve"> ADDIN EN.CITE &lt;EndNote&gt;&lt;Cite&gt;&lt;Author&gt;Liu&lt;/Author&gt;&lt;Year&gt;2020&lt;/Year&gt;&lt;RecNum&gt;313&lt;/RecNum&gt;&lt;DisplayText&gt;&lt;style face="superscript"&gt;315&lt;/style&gt;&lt;/DisplayText&gt;&lt;record&gt;&lt;rec-number&gt;313&lt;/rec-number&gt;&lt;foreign-keys&gt;&lt;key app="EN" db-id="2xex0erf4eexr4e2dpbxpdd829xttesxxxdr" timestamp="1715075296"&gt;313&lt;/key&gt;&lt;/foreign-keys&gt;&lt;ref-type name="Journal Article"&gt;17&lt;/ref-type&gt;&lt;contributors&gt;&lt;authors&gt;&lt;author&gt;Liu, Jishan&lt;/author&gt;&lt;author&gt;Jia, Endong&lt;/author&gt;&lt;author&gt;Stoerzinger, Kelsey A.&lt;/author&gt;&lt;author&gt;Wang, Le&lt;/author&gt;&lt;author&gt;Wang, Yining&lt;/author&gt;&lt;author&gt;Yang, Zhenzhong&lt;/author&gt;&lt;author&gt;Shen, Dawei&lt;/author&gt;&lt;author&gt;Engelhard, Mark H.&lt;/author&gt;&lt;author&gt;Bowden, Mark E.&lt;/author&gt;&lt;author&gt;Zhu, Zihua&lt;/author&gt;&lt;author&gt;Chambers, Scott A.&lt;/author&gt;&lt;author&gt;Du, Yingge&lt;/author&gt;&lt;/authors&gt;&lt;/contributors&gt;&lt;titles&gt;&lt;title&gt;Dynamic Lattice Oxygen Participation on Perovskite LaNiO3 during Oxygen Evolution Reaction&lt;/title&gt;&lt;secondary-title&gt;Journal of Physical Chemistry C&lt;/secondary-title&gt;&lt;/titles&gt;&lt;periodical&gt;&lt;full-title&gt;Journal of Physical Chemistry C&lt;/full-title&gt;&lt;abbr-1&gt;J. Phys. Chem. C&lt;/abbr-1&gt;&lt;/periodical&gt;&lt;pages&gt;15386-15390&lt;/pages&gt;&lt;volume&gt;124&lt;/volume&gt;&lt;number&gt;28&lt;/number&gt;&lt;dates&gt;&lt;year&gt;2020&lt;/year&gt;&lt;pub-dates&gt;&lt;date&gt;2020/07/16&lt;/date&gt;&lt;/pub-dates&gt;&lt;/dates&gt;&lt;publisher&gt;American Chemical Society&lt;/publisher&gt;&lt;isbn&gt;1932-7447&lt;/isbn&gt;&lt;urls&gt;&lt;related-urls&gt;&lt;url&gt;https://doi.org/10.1021/acs.jpcc.0c04808&lt;/url&gt;&lt;/related-urls&gt;&lt;/urls&gt;&lt;electronic-resource-num&gt;10.1021/acs.jpcc.0c04808&lt;/electronic-resource-num&gt;&lt;/record&gt;&lt;/Cite&gt;&lt;/EndNote&gt;</w:instrText>
      </w:r>
      <w:r w:rsidRPr="00C87FF4">
        <w:rPr>
          <w:bCs/>
          <w:color w:val="000000" w:themeColor="text1"/>
        </w:rPr>
        <w:fldChar w:fldCharType="separate"/>
      </w:r>
      <w:r w:rsidR="00FC5BEB" w:rsidRPr="00FC5BEB">
        <w:rPr>
          <w:bCs/>
          <w:noProof/>
          <w:color w:val="000000" w:themeColor="text1"/>
          <w:vertAlign w:val="superscript"/>
        </w:rPr>
        <w:t>315</w:t>
      </w:r>
      <w:r w:rsidRPr="00C87FF4">
        <w:rPr>
          <w:bCs/>
          <w:color w:val="000000" w:themeColor="text1"/>
        </w:rPr>
        <w:fldChar w:fldCharType="end"/>
      </w:r>
      <w:r w:rsidRPr="00C87FF4">
        <w:rPr>
          <w:bCs/>
          <w:color w:val="000000" w:themeColor="text1"/>
        </w:rPr>
        <w:t xml:space="preserve"> both found strong effect</w:t>
      </w:r>
      <w:r w:rsidR="004A5D45">
        <w:rPr>
          <w:bCs/>
          <w:color w:val="000000" w:themeColor="text1"/>
        </w:rPr>
        <w:t>s</w:t>
      </w:r>
      <w:r w:rsidRPr="00C87FF4">
        <w:rPr>
          <w:bCs/>
          <w:color w:val="000000" w:themeColor="text1"/>
        </w:rPr>
        <w:t xml:space="preserve"> of the pH, a first order or close to first order dependence of [OH</w:t>
      </w:r>
      <w:r w:rsidRPr="00C87FF4">
        <w:rPr>
          <w:bCs/>
          <w:color w:val="000000" w:themeColor="text1"/>
          <w:vertAlign w:val="superscript"/>
        </w:rPr>
        <w:t>-</w:t>
      </w:r>
      <w:r w:rsidRPr="00C87FF4">
        <w:rPr>
          <w:bCs/>
          <w:color w:val="000000" w:themeColor="text1"/>
        </w:rPr>
        <w:t>] on the activity of perovskites, CaCoO</w:t>
      </w:r>
      <w:r w:rsidRPr="00C87FF4">
        <w:rPr>
          <w:bCs/>
          <w:color w:val="000000" w:themeColor="text1"/>
          <w:vertAlign w:val="subscript"/>
        </w:rPr>
        <w:t>3</w:t>
      </w:r>
      <w:r w:rsidRPr="00C87FF4">
        <w:rPr>
          <w:bCs/>
          <w:color w:val="000000" w:themeColor="text1"/>
        </w:rPr>
        <w:t>, SrCoO</w:t>
      </w:r>
      <w:r w:rsidRPr="00C87FF4">
        <w:rPr>
          <w:bCs/>
          <w:color w:val="000000" w:themeColor="text1"/>
          <w:vertAlign w:val="subscript"/>
        </w:rPr>
        <w:t>3</w:t>
      </w:r>
      <w:r w:rsidRPr="00C87FF4">
        <w:rPr>
          <w:bCs/>
          <w:color w:val="000000" w:themeColor="text1"/>
        </w:rPr>
        <w:t xml:space="preserve"> and LiNiO</w:t>
      </w:r>
      <w:r w:rsidRPr="00C87FF4">
        <w:rPr>
          <w:bCs/>
          <w:color w:val="000000" w:themeColor="text1"/>
          <w:vertAlign w:val="subscript"/>
        </w:rPr>
        <w:t>3</w:t>
      </w:r>
      <w:r w:rsidRPr="00C87FF4">
        <w:rPr>
          <w:bCs/>
          <w:color w:val="000000" w:themeColor="text1"/>
        </w:rPr>
        <w:t>, respectively. Both articles assigned the pH-dependence to the LOM mechanism. Duan et al.</w:t>
      </w:r>
      <w:r w:rsidRPr="00C87FF4">
        <w:rPr>
          <w:bCs/>
          <w:color w:val="000000" w:themeColor="text1"/>
        </w:rPr>
        <w:fldChar w:fldCharType="begin"/>
      </w:r>
      <w:r w:rsidR="00FC5BEB">
        <w:rPr>
          <w:bCs/>
          <w:color w:val="000000" w:themeColor="text1"/>
        </w:rPr>
        <w:instrText xml:space="preserve"> ADDIN EN.CITE &lt;EndNote&gt;&lt;Cite&gt;&lt;Author&gt;Duan&lt;/Author&gt;&lt;Year&gt;2020&lt;/Year&gt;&lt;RecNum&gt;438&lt;/RecNum&gt;&lt;DisplayText&gt;&lt;style face="superscript"&gt;440&lt;/style&gt;&lt;/DisplayText&gt;&lt;record&gt;&lt;rec-number&gt;438&lt;/rec-number&gt;&lt;foreign-keys&gt;&lt;key app="EN" db-id="2xex0erf4eexr4e2dpbxpdd829xttesxxxdr" timestamp="1715075297"&gt;438&lt;/key&gt;&lt;/foreign-keys&gt;&lt;ref-type name="Journal Article"&gt;17&lt;/ref-type&gt;&lt;contributors&gt;&lt;authors&gt;&lt;author&gt;Duan, Yan&lt;/author&gt;&lt;author&gt;Dubouis, Nicolas&lt;/author&gt;&lt;author&gt;Huang, Jiaqiang&lt;/author&gt;&lt;author&gt;Dalla Corte, Daniel Alves&lt;/author&gt;&lt;author&gt;Pimenta, Vanessa&lt;/author&gt;&lt;author&gt;Xu, Zhichuan J.&lt;/author&gt;&lt;author&gt;Grimaud, Alexis&lt;/author&gt;&lt;/authors&gt;&lt;/contributors&gt;&lt;titles&gt;&lt;title&gt;Revealing the Impact of Electrolyte Composition for Co-Based Water Oxidation Catalysts by the Study of Reaction Kinetics Parameters&lt;/title&gt;&lt;secondary-title&gt;ACS Catal.&lt;/secondary-title&gt;&lt;/titles&gt;&lt;periodical&gt;&lt;full-title&gt;ACS Catal.&lt;/full-title&gt;&lt;/periodical&gt;&lt;pages&gt;4160-4170&lt;/pages&gt;&lt;volume&gt;10&lt;/volume&gt;&lt;number&gt;7&lt;/number&gt;&lt;dates&gt;&lt;year&gt;2020&lt;/year&gt;&lt;pub-dates&gt;&lt;date&gt;2020/04/03&lt;/date&gt;&lt;/pub-dates&gt;&lt;/dates&gt;&lt;publisher&gt;American Chemical Society&lt;/publisher&gt;&lt;urls&gt;&lt;related-urls&gt;&lt;url&gt;https://doi.org/10.1021/acscatal.0c00490&lt;/url&gt;&lt;/related-urls&gt;&lt;/urls&gt;&lt;electronic-resource-num&gt;10.1021/acscatal.0c00490&lt;/electronic-resource-num&gt;&lt;/record&gt;&lt;/Cite&gt;&lt;/EndNote&gt;</w:instrText>
      </w:r>
      <w:r w:rsidRPr="00C87FF4">
        <w:rPr>
          <w:bCs/>
          <w:color w:val="000000" w:themeColor="text1"/>
        </w:rPr>
        <w:fldChar w:fldCharType="separate"/>
      </w:r>
      <w:r w:rsidR="00FC5BEB" w:rsidRPr="00FC5BEB">
        <w:rPr>
          <w:bCs/>
          <w:noProof/>
          <w:color w:val="000000" w:themeColor="text1"/>
          <w:vertAlign w:val="superscript"/>
        </w:rPr>
        <w:t>440</w:t>
      </w:r>
      <w:r w:rsidRPr="00C87FF4">
        <w:rPr>
          <w:bCs/>
          <w:color w:val="000000" w:themeColor="text1"/>
        </w:rPr>
        <w:fldChar w:fldCharType="end"/>
      </w:r>
      <w:r w:rsidRPr="00C87FF4">
        <w:rPr>
          <w:bCs/>
          <w:color w:val="000000" w:themeColor="text1"/>
        </w:rPr>
        <w:t xml:space="preserve"> investigated the OER kinetics of La</w:t>
      </w:r>
      <w:r w:rsidRPr="00C87FF4">
        <w:rPr>
          <w:bCs/>
          <w:color w:val="000000" w:themeColor="text1"/>
          <w:vertAlign w:val="subscript"/>
        </w:rPr>
        <w:t>1−x</w:t>
      </w:r>
      <w:r w:rsidRPr="00C87FF4">
        <w:rPr>
          <w:bCs/>
          <w:color w:val="000000" w:themeColor="text1"/>
        </w:rPr>
        <w:t>Sr</w:t>
      </w:r>
      <w:r w:rsidRPr="00C87FF4">
        <w:rPr>
          <w:bCs/>
          <w:color w:val="000000" w:themeColor="text1"/>
          <w:vertAlign w:val="subscript"/>
        </w:rPr>
        <w:t>x</w:t>
      </w:r>
      <w:r w:rsidRPr="00C87FF4">
        <w:rPr>
          <w:bCs/>
          <w:color w:val="000000" w:themeColor="text1"/>
        </w:rPr>
        <w:t>CoO</w:t>
      </w:r>
      <w:r w:rsidRPr="00C87FF4">
        <w:rPr>
          <w:bCs/>
          <w:color w:val="000000" w:themeColor="text1"/>
          <w:vertAlign w:val="subscript"/>
        </w:rPr>
        <w:t>3−δ</w:t>
      </w:r>
      <w:r w:rsidRPr="00C87FF4">
        <w:rPr>
          <w:bCs/>
          <w:color w:val="000000" w:themeColor="text1"/>
        </w:rPr>
        <w:t xml:space="preserve"> perovskites (x = 0, 0.2, 0.4 and 0.5), amorphous </w:t>
      </w:r>
      <w:proofErr w:type="spellStart"/>
      <w:r w:rsidRPr="00C87FF4">
        <w:rPr>
          <w:bCs/>
          <w:color w:val="000000" w:themeColor="text1"/>
        </w:rPr>
        <w:t>CoOOH</w:t>
      </w:r>
      <w:proofErr w:type="spellEnd"/>
      <w:r w:rsidRPr="00C87FF4">
        <w:rPr>
          <w:bCs/>
          <w:color w:val="000000" w:themeColor="text1"/>
        </w:rPr>
        <w:t xml:space="preserve"> and Fe</w:t>
      </w:r>
      <w:r w:rsidRPr="00C87FF4">
        <w:rPr>
          <w:bCs/>
          <w:color w:val="000000" w:themeColor="text1"/>
          <w:vertAlign w:val="subscript"/>
        </w:rPr>
        <w:t>0.5</w:t>
      </w:r>
      <w:r w:rsidRPr="00C87FF4">
        <w:rPr>
          <w:bCs/>
          <w:color w:val="000000" w:themeColor="text1"/>
        </w:rPr>
        <w:t>Co</w:t>
      </w:r>
      <w:r w:rsidRPr="00C87FF4">
        <w:rPr>
          <w:bCs/>
          <w:color w:val="000000" w:themeColor="text1"/>
          <w:vertAlign w:val="subscript"/>
        </w:rPr>
        <w:t>0.5</w:t>
      </w:r>
      <w:r w:rsidRPr="00C87FF4">
        <w:rPr>
          <w:bCs/>
          <w:color w:val="000000" w:themeColor="text1"/>
        </w:rPr>
        <w:t>OOH (</w:t>
      </w:r>
      <w:r w:rsidRPr="00C87FF4">
        <w:rPr>
          <w:bCs/>
          <w:color w:val="000000" w:themeColor="text1"/>
        </w:rPr>
        <w:fldChar w:fldCharType="begin"/>
      </w:r>
      <w:r w:rsidRPr="00C87FF4">
        <w:rPr>
          <w:bCs/>
          <w:color w:val="000000" w:themeColor="text1"/>
        </w:rPr>
        <w:instrText xml:space="preserve"> REF _Ref159524503 \h </w:instrText>
      </w:r>
      <w:r w:rsidRPr="00C87FF4">
        <w:rPr>
          <w:bCs/>
          <w:color w:val="000000" w:themeColor="text1"/>
        </w:rPr>
      </w:r>
      <w:r w:rsidRPr="00C87FF4">
        <w:rPr>
          <w:bCs/>
          <w:color w:val="000000" w:themeColor="text1"/>
        </w:rPr>
        <w:fldChar w:fldCharType="separate"/>
      </w:r>
      <w:r w:rsidR="00B52708" w:rsidRPr="00C87FF4">
        <w:rPr>
          <w:b/>
          <w:bCs/>
        </w:rPr>
        <w:t xml:space="preserve">Figure </w:t>
      </w:r>
      <w:r w:rsidR="00B52708">
        <w:rPr>
          <w:b/>
          <w:bCs/>
          <w:noProof/>
        </w:rPr>
        <w:t>34</w:t>
      </w:r>
      <w:r w:rsidRPr="00C87FF4">
        <w:rPr>
          <w:bCs/>
          <w:color w:val="000000" w:themeColor="text1"/>
        </w:rPr>
        <w:fldChar w:fldCharType="end"/>
      </w:r>
      <w:r w:rsidR="00144CFD" w:rsidRPr="00144CFD">
        <w:rPr>
          <w:b/>
          <w:color w:val="000000" w:themeColor="text1"/>
        </w:rPr>
        <w:t>a</w:t>
      </w:r>
      <w:r w:rsidRPr="00C87FF4">
        <w:rPr>
          <w:bCs/>
          <w:color w:val="000000" w:themeColor="text1"/>
        </w:rPr>
        <w:t xml:space="preserve"> and </w:t>
      </w:r>
      <w:r w:rsidR="00144CFD" w:rsidRPr="00144CFD">
        <w:rPr>
          <w:b/>
          <w:color w:val="000000" w:themeColor="text1"/>
        </w:rPr>
        <w:t>c</w:t>
      </w:r>
      <w:r w:rsidRPr="00C87FF4">
        <w:rPr>
          <w:bCs/>
          <w:color w:val="000000" w:themeColor="text1"/>
        </w:rPr>
        <w:t xml:space="preserve">) and have found a strong effect of (iron purified) KOH concentration, and hence the pH, with the perovskites (when x &gt; 0) and </w:t>
      </w:r>
      <w:proofErr w:type="spellStart"/>
      <w:r w:rsidRPr="00C87FF4">
        <w:rPr>
          <w:bCs/>
          <w:color w:val="000000" w:themeColor="text1"/>
        </w:rPr>
        <w:t>CoOOH</w:t>
      </w:r>
      <w:proofErr w:type="spellEnd"/>
      <w:r w:rsidRPr="00C87FF4">
        <w:rPr>
          <w:bCs/>
          <w:color w:val="000000" w:themeColor="text1"/>
        </w:rPr>
        <w:t>. On the other hand, the OER activity of LaCoO</w:t>
      </w:r>
      <w:r w:rsidRPr="00C87FF4">
        <w:rPr>
          <w:bCs/>
          <w:color w:val="000000" w:themeColor="text1"/>
          <w:vertAlign w:val="subscript"/>
        </w:rPr>
        <w:t>3</w:t>
      </w:r>
      <w:r w:rsidRPr="00C87FF4">
        <w:rPr>
          <w:bCs/>
          <w:color w:val="000000" w:themeColor="text1"/>
        </w:rPr>
        <w:t xml:space="preserve"> and Co</w:t>
      </w:r>
      <w:r w:rsidRPr="00C87FF4">
        <w:rPr>
          <w:bCs/>
          <w:color w:val="000000" w:themeColor="text1"/>
          <w:vertAlign w:val="subscript"/>
        </w:rPr>
        <w:t>0.5</w:t>
      </w:r>
      <w:r w:rsidRPr="00C87FF4">
        <w:rPr>
          <w:bCs/>
          <w:color w:val="000000" w:themeColor="text1"/>
        </w:rPr>
        <w:t>Fe</w:t>
      </w:r>
      <w:r w:rsidRPr="00C87FF4">
        <w:rPr>
          <w:bCs/>
          <w:color w:val="000000" w:themeColor="text1"/>
          <w:vertAlign w:val="subscript"/>
        </w:rPr>
        <w:t>0.5</w:t>
      </w:r>
      <w:r w:rsidRPr="00C87FF4">
        <w:rPr>
          <w:bCs/>
          <w:color w:val="000000" w:themeColor="text1"/>
        </w:rPr>
        <w:t xml:space="preserve">OOH showed no dependence on the concentration of KOH (nor with </w:t>
      </w:r>
      <w:proofErr w:type="spellStart"/>
      <w:r w:rsidRPr="00C87FF4">
        <w:rPr>
          <w:bCs/>
          <w:color w:val="000000" w:themeColor="text1"/>
        </w:rPr>
        <w:t>LiOH</w:t>
      </w:r>
      <w:proofErr w:type="spellEnd"/>
      <w:r w:rsidRPr="00C87FF4">
        <w:rPr>
          <w:bCs/>
          <w:color w:val="000000" w:themeColor="text1"/>
        </w:rPr>
        <w:t>) in the range of 0.1-1 M.</w:t>
      </w:r>
    </w:p>
    <w:p w14:paraId="0E104AAE" w14:textId="4F86EAC6" w:rsidR="00091697" w:rsidRPr="00C87FF4" w:rsidRDefault="001F3796" w:rsidP="00091697">
      <w:pPr>
        <w:rPr>
          <w:bCs/>
          <w:color w:val="000000" w:themeColor="text1"/>
        </w:rPr>
      </w:pPr>
      <w:r>
        <w:rPr>
          <w:bCs/>
          <w:noProof/>
          <w:color w:val="000000" w:themeColor="text1"/>
          <w14:ligatures w14:val="standardContextual"/>
        </w:rPr>
        <w:drawing>
          <wp:inline distT="0" distB="0" distL="0" distR="0" wp14:anchorId="05E9836D" wp14:editId="38CF7923">
            <wp:extent cx="5731510" cy="3168650"/>
            <wp:effectExtent l="0" t="0" r="0" b="6350"/>
            <wp:docPr id="120752991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529912" name="Picture 1207529912"/>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731510" cy="3168650"/>
                    </a:xfrm>
                    <a:prstGeom prst="rect">
                      <a:avLst/>
                    </a:prstGeom>
                  </pic:spPr>
                </pic:pic>
              </a:graphicData>
            </a:graphic>
          </wp:inline>
        </w:drawing>
      </w:r>
    </w:p>
    <w:p w14:paraId="2DE93A19" w14:textId="361104B6" w:rsidR="00432104" w:rsidRPr="00432104" w:rsidRDefault="00091697" w:rsidP="00432104">
      <w:pPr>
        <w:pStyle w:val="Caption"/>
        <w:rPr>
          <w:szCs w:val="20"/>
          <w:lang w:val="en-US"/>
        </w:rPr>
      </w:pPr>
      <w:bookmarkStart w:id="120" w:name="_Ref159524503"/>
      <w:r w:rsidRPr="00C87FF4">
        <w:rPr>
          <w:b/>
          <w:bCs w:val="0"/>
          <w:sz w:val="22"/>
        </w:rPr>
        <w:t xml:space="preserve">Figure </w:t>
      </w:r>
      <w:r w:rsidRPr="00C87FF4">
        <w:rPr>
          <w:b/>
          <w:bCs w:val="0"/>
          <w:sz w:val="22"/>
        </w:rPr>
        <w:fldChar w:fldCharType="begin"/>
      </w:r>
      <w:r w:rsidRPr="00C87FF4">
        <w:rPr>
          <w:b/>
          <w:bCs w:val="0"/>
          <w:sz w:val="22"/>
        </w:rPr>
        <w:instrText xml:space="preserve"> SEQ Figure \* ARABIC </w:instrText>
      </w:r>
      <w:r w:rsidRPr="00C87FF4">
        <w:rPr>
          <w:b/>
          <w:bCs w:val="0"/>
          <w:sz w:val="22"/>
        </w:rPr>
        <w:fldChar w:fldCharType="separate"/>
      </w:r>
      <w:r w:rsidR="00B52708">
        <w:rPr>
          <w:b/>
          <w:bCs w:val="0"/>
          <w:noProof/>
          <w:sz w:val="22"/>
        </w:rPr>
        <w:t>34</w:t>
      </w:r>
      <w:r w:rsidRPr="00C87FF4">
        <w:rPr>
          <w:b/>
          <w:bCs w:val="0"/>
          <w:sz w:val="22"/>
        </w:rPr>
        <w:fldChar w:fldCharType="end"/>
      </w:r>
      <w:bookmarkEnd w:id="120"/>
      <w:r w:rsidRPr="00C87FF4">
        <w:rPr>
          <w:sz w:val="22"/>
        </w:rPr>
        <w:t xml:space="preserve"> </w:t>
      </w:r>
      <w:r w:rsidRPr="00562573">
        <w:rPr>
          <w:szCs w:val="20"/>
        </w:rPr>
        <w:t xml:space="preserve">CV curves for </w:t>
      </w:r>
      <w:proofErr w:type="spellStart"/>
      <w:r w:rsidRPr="00562573">
        <w:rPr>
          <w:szCs w:val="20"/>
        </w:rPr>
        <w:t>CoOOH</w:t>
      </w:r>
      <w:proofErr w:type="spellEnd"/>
      <w:r w:rsidRPr="00562573">
        <w:rPr>
          <w:szCs w:val="20"/>
        </w:rPr>
        <w:t xml:space="preserve"> (</w:t>
      </w:r>
      <w:r w:rsidR="00144CFD">
        <w:rPr>
          <w:szCs w:val="20"/>
        </w:rPr>
        <w:t>a</w:t>
      </w:r>
      <w:r w:rsidRPr="00562573">
        <w:rPr>
          <w:szCs w:val="20"/>
        </w:rPr>
        <w:t>) and Fe</w:t>
      </w:r>
      <w:r w:rsidRPr="00562573">
        <w:rPr>
          <w:szCs w:val="20"/>
          <w:vertAlign w:val="subscript"/>
        </w:rPr>
        <w:t>0.5</w:t>
      </w:r>
      <w:r w:rsidRPr="00562573">
        <w:rPr>
          <w:szCs w:val="20"/>
        </w:rPr>
        <w:t>Co</w:t>
      </w:r>
      <w:r w:rsidRPr="00562573">
        <w:rPr>
          <w:szCs w:val="20"/>
          <w:vertAlign w:val="subscript"/>
        </w:rPr>
        <w:t>0.5</w:t>
      </w:r>
      <w:r w:rsidRPr="00562573">
        <w:rPr>
          <w:szCs w:val="20"/>
        </w:rPr>
        <w:t>OOH (</w:t>
      </w:r>
      <w:r w:rsidR="00144CFD">
        <w:rPr>
          <w:szCs w:val="20"/>
        </w:rPr>
        <w:t>c</w:t>
      </w:r>
      <w:r w:rsidRPr="00562573">
        <w:rPr>
          <w:szCs w:val="20"/>
        </w:rPr>
        <w:t xml:space="preserve">) measured at 20 °C in 0.1, 0.3, and 1 M </w:t>
      </w:r>
      <w:proofErr w:type="spellStart"/>
      <w:r w:rsidRPr="00562573">
        <w:rPr>
          <w:szCs w:val="20"/>
        </w:rPr>
        <w:t>LiOH</w:t>
      </w:r>
      <w:proofErr w:type="spellEnd"/>
      <w:r w:rsidRPr="00562573">
        <w:rPr>
          <w:szCs w:val="20"/>
        </w:rPr>
        <w:t xml:space="preserve"> and KOH. CV curves for </w:t>
      </w:r>
      <w:proofErr w:type="spellStart"/>
      <w:r w:rsidRPr="00562573">
        <w:rPr>
          <w:szCs w:val="20"/>
        </w:rPr>
        <w:t>CoOOH</w:t>
      </w:r>
      <w:proofErr w:type="spellEnd"/>
      <w:r w:rsidRPr="00562573">
        <w:rPr>
          <w:szCs w:val="20"/>
        </w:rPr>
        <w:t xml:space="preserve"> (</w:t>
      </w:r>
      <w:r w:rsidR="00144CFD">
        <w:rPr>
          <w:szCs w:val="20"/>
        </w:rPr>
        <w:t>b</w:t>
      </w:r>
      <w:r w:rsidRPr="00562573">
        <w:rPr>
          <w:szCs w:val="20"/>
        </w:rPr>
        <w:t>) and Fe</w:t>
      </w:r>
      <w:r w:rsidRPr="00562573">
        <w:rPr>
          <w:szCs w:val="20"/>
          <w:vertAlign w:val="subscript"/>
        </w:rPr>
        <w:t>0.5</w:t>
      </w:r>
      <w:r w:rsidRPr="00562573">
        <w:rPr>
          <w:szCs w:val="20"/>
        </w:rPr>
        <w:t>Co</w:t>
      </w:r>
      <w:r w:rsidRPr="00562573">
        <w:rPr>
          <w:szCs w:val="20"/>
          <w:vertAlign w:val="subscript"/>
        </w:rPr>
        <w:t>0.5</w:t>
      </w:r>
      <w:r w:rsidRPr="00562573">
        <w:rPr>
          <w:szCs w:val="20"/>
        </w:rPr>
        <w:t>OOH (</w:t>
      </w:r>
      <w:r w:rsidR="00144CFD">
        <w:rPr>
          <w:szCs w:val="20"/>
        </w:rPr>
        <w:t>d</w:t>
      </w:r>
      <w:r w:rsidRPr="00562573">
        <w:rPr>
          <w:szCs w:val="20"/>
        </w:rPr>
        <w:t xml:space="preserve">) measured at 20 °C in 1 M </w:t>
      </w:r>
      <w:proofErr w:type="spellStart"/>
      <w:r w:rsidRPr="00562573">
        <w:rPr>
          <w:szCs w:val="20"/>
        </w:rPr>
        <w:t>LiOH</w:t>
      </w:r>
      <w:proofErr w:type="spellEnd"/>
      <w:r w:rsidRPr="00562573">
        <w:rPr>
          <w:szCs w:val="20"/>
        </w:rPr>
        <w:t xml:space="preserve">, NaOH, KOH, and </w:t>
      </w:r>
      <w:proofErr w:type="spellStart"/>
      <w:r w:rsidRPr="00562573">
        <w:rPr>
          <w:szCs w:val="20"/>
        </w:rPr>
        <w:t>CsOH</w:t>
      </w:r>
      <w:proofErr w:type="spellEnd"/>
      <w:r w:rsidRPr="00562573">
        <w:rPr>
          <w:szCs w:val="20"/>
        </w:rPr>
        <w:t>. (</w:t>
      </w:r>
      <w:r w:rsidR="00144CFD">
        <w:rPr>
          <w:szCs w:val="20"/>
        </w:rPr>
        <w:t>e</w:t>
      </w:r>
      <w:r w:rsidRPr="00562573">
        <w:rPr>
          <w:szCs w:val="20"/>
        </w:rPr>
        <w:t>) and (</w:t>
      </w:r>
      <w:r w:rsidR="00144CFD">
        <w:rPr>
          <w:szCs w:val="20"/>
        </w:rPr>
        <w:t>f</w:t>
      </w:r>
      <w:r w:rsidRPr="00562573">
        <w:rPr>
          <w:szCs w:val="20"/>
        </w:rPr>
        <w:t xml:space="preserve">) Apparent activation energies and pre-exponential factors as a function of the OER activity at 20 °C and </w:t>
      </w:r>
      <w:r w:rsidRPr="00562573">
        <w:rPr>
          <w:i/>
          <w:iCs/>
          <w:szCs w:val="20"/>
        </w:rPr>
        <w:t>η</w:t>
      </w:r>
      <w:r w:rsidRPr="00562573">
        <w:rPr>
          <w:szCs w:val="20"/>
        </w:rPr>
        <w:t xml:space="preserve"> = 400 mV, corresponding to (</w:t>
      </w:r>
      <w:r w:rsidR="00144CFD">
        <w:rPr>
          <w:szCs w:val="20"/>
        </w:rPr>
        <w:t>c</w:t>
      </w:r>
      <w:r w:rsidRPr="00562573">
        <w:rPr>
          <w:szCs w:val="20"/>
        </w:rPr>
        <w:t>) and (</w:t>
      </w:r>
      <w:r w:rsidR="00144CFD">
        <w:rPr>
          <w:szCs w:val="20"/>
        </w:rPr>
        <w:t>d</w:t>
      </w:r>
      <w:r w:rsidRPr="00562573">
        <w:rPr>
          <w:szCs w:val="20"/>
        </w:rPr>
        <w:t>), respectively.</w:t>
      </w:r>
      <w:r w:rsidR="008953F9" w:rsidRPr="00562573">
        <w:rPr>
          <w:szCs w:val="20"/>
        </w:rPr>
        <w:t xml:space="preserve"> Reproduced with permission from Ref.</w:t>
      </w:r>
      <w:r w:rsidR="00562573">
        <w:rPr>
          <w:szCs w:val="20"/>
        </w:rPr>
        <w:fldChar w:fldCharType="begin"/>
      </w:r>
      <w:r w:rsidR="00FC5BEB">
        <w:rPr>
          <w:szCs w:val="20"/>
        </w:rPr>
        <w:instrText xml:space="preserve"> ADDIN EN.CITE &lt;EndNote&gt;&lt;Cite&gt;&lt;Author&gt;Duan&lt;/Author&gt;&lt;Year&gt;2020&lt;/Year&gt;&lt;RecNum&gt;438&lt;/RecNum&gt;&lt;DisplayText&gt;&lt;style face="superscript"&gt;440&lt;/style&gt;&lt;/DisplayText&gt;&lt;record&gt;&lt;rec-number&gt;438&lt;/rec-number&gt;&lt;foreign-keys&gt;&lt;key app="EN" db-id="2xex0erf4eexr4e2dpbxpdd829xttesxxxdr" timestamp="1715075297"&gt;438&lt;/key&gt;&lt;/foreign-keys&gt;&lt;ref-type name="Journal Article"&gt;17&lt;/ref-type&gt;&lt;contributors&gt;&lt;authors&gt;&lt;author&gt;Duan, Yan&lt;/author&gt;&lt;author&gt;Dubouis, Nicolas&lt;/author&gt;&lt;author&gt;Huang, Jiaqiang&lt;/author&gt;&lt;author&gt;Dalla Corte, Daniel Alves&lt;/author&gt;&lt;author&gt;Pimenta, Vanessa&lt;/author&gt;&lt;author&gt;Xu, Zhichuan J.&lt;/author&gt;&lt;author&gt;Grimaud, Alexis&lt;/author&gt;&lt;/authors&gt;&lt;/contributors&gt;&lt;titles&gt;&lt;title&gt;Revealing the Impact of Electrolyte Composition for Co-Based Water Oxidation Catalysts by the Study of Reaction Kinetics Parameters&lt;/title&gt;&lt;secondary-title&gt;ACS Catal.&lt;/secondary-title&gt;&lt;/titles&gt;&lt;periodical&gt;&lt;full-title&gt;ACS Catal.&lt;/full-title&gt;&lt;/periodical&gt;&lt;pages&gt;4160-4170&lt;/pages&gt;&lt;volume&gt;10&lt;/volume&gt;&lt;number&gt;7&lt;/number&gt;&lt;dates&gt;&lt;year&gt;2020&lt;/year&gt;&lt;pub-dates&gt;&lt;date&gt;2020/04/03&lt;/date&gt;&lt;/pub-dates&gt;&lt;/dates&gt;&lt;publisher&gt;American Chemical Society&lt;/publisher&gt;&lt;urls&gt;&lt;related-urls&gt;&lt;url&gt;https://doi.org/10.1021/acscatal.0c00490&lt;/url&gt;&lt;/related-urls&gt;&lt;/urls&gt;&lt;electronic-resource-num&gt;10.1021/acscatal.0c00490&lt;/electronic-resource-num&gt;&lt;/record&gt;&lt;/Cite&gt;&lt;/EndNote&gt;</w:instrText>
      </w:r>
      <w:r w:rsidR="00562573">
        <w:rPr>
          <w:szCs w:val="20"/>
        </w:rPr>
        <w:fldChar w:fldCharType="separate"/>
      </w:r>
      <w:r w:rsidR="00FC5BEB" w:rsidRPr="00FC5BEB">
        <w:rPr>
          <w:noProof/>
          <w:szCs w:val="20"/>
          <w:vertAlign w:val="superscript"/>
        </w:rPr>
        <w:t>440</w:t>
      </w:r>
      <w:r w:rsidR="00562573">
        <w:rPr>
          <w:szCs w:val="20"/>
        </w:rPr>
        <w:fldChar w:fldCharType="end"/>
      </w:r>
      <w:r w:rsidR="00432104">
        <w:rPr>
          <w:szCs w:val="20"/>
        </w:rPr>
        <w:t xml:space="preserve"> </w:t>
      </w:r>
      <w:r w:rsidR="00432104" w:rsidRPr="00432104">
        <w:rPr>
          <w:szCs w:val="20"/>
          <w:lang w:val="en-US"/>
        </w:rPr>
        <w:t xml:space="preserve">Copyright </w:t>
      </w:r>
      <w:r w:rsidR="00432104">
        <w:rPr>
          <w:szCs w:val="20"/>
          <w:lang w:val="en-US"/>
        </w:rPr>
        <w:t>2020</w:t>
      </w:r>
      <w:r w:rsidR="00432104" w:rsidRPr="00432104">
        <w:rPr>
          <w:szCs w:val="20"/>
          <w:lang w:val="en-US"/>
        </w:rPr>
        <w:t xml:space="preserve"> American Chemical Society.</w:t>
      </w:r>
    </w:p>
    <w:p w14:paraId="220DA671" w14:textId="67669C88" w:rsidR="00091697" w:rsidRPr="00C87FF4" w:rsidRDefault="00091697" w:rsidP="00091697">
      <w:pPr>
        <w:pStyle w:val="Caption"/>
        <w:rPr>
          <w:bCs w:val="0"/>
        </w:rPr>
      </w:pPr>
    </w:p>
    <w:p w14:paraId="00B6FD7E" w14:textId="77777777" w:rsidR="00091697" w:rsidRPr="00C87FF4" w:rsidRDefault="00091697" w:rsidP="00091697">
      <w:pPr>
        <w:rPr>
          <w:bCs/>
          <w:color w:val="000000" w:themeColor="text1"/>
        </w:rPr>
      </w:pPr>
    </w:p>
    <w:p w14:paraId="64153422" w14:textId="53C64C19" w:rsidR="00091697" w:rsidRPr="00C87FF4" w:rsidRDefault="00091697" w:rsidP="00DB5848">
      <w:pPr>
        <w:ind w:firstLine="720"/>
        <w:rPr>
          <w:bCs/>
          <w:color w:val="000000" w:themeColor="text1"/>
        </w:rPr>
      </w:pPr>
      <w:r w:rsidRPr="00C87FF4">
        <w:rPr>
          <w:bCs/>
          <w:color w:val="000000" w:themeColor="text1"/>
        </w:rPr>
        <w:t xml:space="preserve">Though believed not to operate by the LOM, rutile oxides also show some peculiar behavior as a function of </w:t>
      </w:r>
      <w:proofErr w:type="spellStart"/>
      <w:r w:rsidRPr="00C87FF4">
        <w:rPr>
          <w:bCs/>
          <w:color w:val="000000" w:themeColor="text1"/>
        </w:rPr>
        <w:t>pH.</w:t>
      </w:r>
      <w:proofErr w:type="spellEnd"/>
      <w:r w:rsidRPr="00C87FF4">
        <w:rPr>
          <w:bCs/>
          <w:color w:val="000000" w:themeColor="text1"/>
        </w:rPr>
        <w:t xml:space="preserve"> The group of Suntivich</w:t>
      </w:r>
      <w:r w:rsidRPr="00C87FF4">
        <w:rPr>
          <w:bCs/>
          <w:color w:val="000000" w:themeColor="text1"/>
        </w:rPr>
        <w:fldChar w:fldCharType="begin">
          <w:fldData xml:space="preserve">PEVuZE5vdGU+PENpdGU+PEF1dGhvcj5LdW88L0F1dGhvcj48WWVhcj4yMDE3PC9ZZWFyPjxSZWNO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</w:fldData>
        </w:fldChar>
      </w:r>
      <w:r w:rsidR="00FC5BEB">
        <w:rPr>
          <w:bCs/>
          <w:color w:val="000000" w:themeColor="text1"/>
        </w:rPr>
        <w:instrText xml:space="preserve"> ADDIN EN.CITE </w:instrText>
      </w:r>
      <w:r w:rsidR="00FC5BEB">
        <w:rPr>
          <w:bCs/>
          <w:color w:val="000000" w:themeColor="text1"/>
        </w:rPr>
        <w:fldChar w:fldCharType="begin">
          <w:fldData xml:space="preserve">PEVuZE5vdGU+PENpdGU+PEF1dGhvcj5LdW88L0F1dGhvcj48WWVhcj4yMDE3PC9ZZWFyPjxSZWNO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</w:fldData>
        </w:fldChar>
      </w:r>
      <w:r w:rsidR="00FC5BEB">
        <w:rPr>
          <w:bCs/>
          <w:color w:val="000000" w:themeColor="text1"/>
        </w:rPr>
        <w:instrText xml:space="preserve"> ADDIN EN.CITE.DATA </w:instrText>
      </w:r>
      <w:r w:rsidR="00FC5BEB">
        <w:rPr>
          <w:bCs/>
          <w:color w:val="000000" w:themeColor="text1"/>
        </w:rPr>
      </w:r>
      <w:r w:rsidR="00FC5BEB">
        <w:rPr>
          <w:bCs/>
          <w:color w:val="000000" w:themeColor="text1"/>
        </w:rPr>
        <w:fldChar w:fldCharType="end"/>
      </w:r>
      <w:r w:rsidRPr="00C87FF4">
        <w:rPr>
          <w:bCs/>
          <w:color w:val="000000" w:themeColor="text1"/>
        </w:rPr>
      </w:r>
      <w:r w:rsidRPr="00C87FF4">
        <w:rPr>
          <w:bCs/>
          <w:color w:val="000000" w:themeColor="text1"/>
        </w:rPr>
        <w:fldChar w:fldCharType="separate"/>
      </w:r>
      <w:r w:rsidR="00FC5BEB" w:rsidRPr="00FC5BEB">
        <w:rPr>
          <w:bCs/>
          <w:noProof/>
          <w:color w:val="000000" w:themeColor="text1"/>
          <w:vertAlign w:val="superscript"/>
        </w:rPr>
        <w:t>126, 441</w:t>
      </w:r>
      <w:r w:rsidRPr="00C87FF4">
        <w:rPr>
          <w:bCs/>
          <w:color w:val="000000" w:themeColor="text1"/>
        </w:rPr>
        <w:fldChar w:fldCharType="end"/>
      </w:r>
      <w:r w:rsidRPr="00C87FF4">
        <w:rPr>
          <w:bCs/>
          <w:color w:val="000000" w:themeColor="text1"/>
        </w:rPr>
        <w:t xml:space="preserve"> has grown IrO</w:t>
      </w:r>
      <w:r w:rsidRPr="00C87FF4">
        <w:rPr>
          <w:bCs/>
          <w:color w:val="000000" w:themeColor="text1"/>
          <w:vertAlign w:val="subscript"/>
        </w:rPr>
        <w:t>2</w:t>
      </w:r>
      <w:r w:rsidRPr="00C87FF4">
        <w:rPr>
          <w:bCs/>
          <w:color w:val="000000" w:themeColor="text1"/>
        </w:rPr>
        <w:t>(110) and RuO</w:t>
      </w:r>
      <w:r w:rsidRPr="00C87FF4">
        <w:rPr>
          <w:bCs/>
          <w:color w:val="000000" w:themeColor="text1"/>
          <w:vertAlign w:val="subscript"/>
        </w:rPr>
        <w:t>2</w:t>
      </w:r>
      <w:r w:rsidRPr="00C87FF4">
        <w:rPr>
          <w:bCs/>
          <w:color w:val="000000" w:themeColor="text1"/>
        </w:rPr>
        <w:t>(110) thin films on TiO</w:t>
      </w:r>
      <w:r w:rsidRPr="00C87FF4">
        <w:rPr>
          <w:bCs/>
          <w:color w:val="000000" w:themeColor="text1"/>
          <w:vertAlign w:val="subscript"/>
        </w:rPr>
        <w:t>2</w:t>
      </w:r>
      <w:r w:rsidRPr="00C87FF4">
        <w:rPr>
          <w:bCs/>
          <w:color w:val="000000" w:themeColor="text1"/>
        </w:rPr>
        <w:t>(110) single crystals and studied their pH dependence in the range of 1.0-12.9. Cyclic voltammetry of IrO</w:t>
      </w:r>
      <w:r w:rsidRPr="00C87FF4">
        <w:rPr>
          <w:bCs/>
          <w:color w:val="000000" w:themeColor="text1"/>
          <w:vertAlign w:val="subscript"/>
        </w:rPr>
        <w:t>2</w:t>
      </w:r>
      <w:r w:rsidRPr="00C87FF4">
        <w:rPr>
          <w:bCs/>
          <w:color w:val="000000" w:themeColor="text1"/>
        </w:rPr>
        <w:t xml:space="preserve">(110) reveals two reasonably separated redox transitions in alkaline pH, see </w:t>
      </w:r>
      <w:r w:rsidR="00854B25" w:rsidRPr="00C87FF4">
        <w:rPr>
          <w:bCs/>
          <w:color w:val="000000" w:themeColor="text1"/>
        </w:rPr>
        <w:fldChar w:fldCharType="begin"/>
      </w:r>
      <w:r w:rsidR="00854B25" w:rsidRPr="00C87FF4">
        <w:rPr>
          <w:bCs/>
          <w:color w:val="000000" w:themeColor="text1"/>
        </w:rPr>
        <w:instrText xml:space="preserve"> REF _Ref159526195 \h </w:instrText>
      </w:r>
      <w:r w:rsidR="00854B25" w:rsidRPr="00C87FF4">
        <w:rPr>
          <w:bCs/>
          <w:color w:val="000000" w:themeColor="text1"/>
        </w:rPr>
      </w:r>
      <w:r w:rsidR="00854B25" w:rsidRPr="00C87FF4">
        <w:rPr>
          <w:bCs/>
          <w:color w:val="000000" w:themeColor="text1"/>
        </w:rPr>
        <w:fldChar w:fldCharType="separate"/>
      </w:r>
      <w:r w:rsidR="00B52708" w:rsidRPr="00C87FF4">
        <w:rPr>
          <w:b/>
          <w:bCs/>
        </w:rPr>
        <w:t xml:space="preserve">Figure </w:t>
      </w:r>
      <w:r w:rsidR="00B52708">
        <w:rPr>
          <w:b/>
          <w:bCs/>
          <w:noProof/>
        </w:rPr>
        <w:t>35</w:t>
      </w:r>
      <w:r w:rsidR="00854B25" w:rsidRPr="00C87FF4">
        <w:rPr>
          <w:bCs/>
          <w:color w:val="000000" w:themeColor="text1"/>
        </w:rPr>
        <w:fldChar w:fldCharType="end"/>
      </w:r>
      <w:r w:rsidR="00144CFD" w:rsidRPr="00144CFD">
        <w:rPr>
          <w:b/>
          <w:color w:val="000000" w:themeColor="text1"/>
        </w:rPr>
        <w:t>a</w:t>
      </w:r>
      <w:r w:rsidRPr="00C87FF4">
        <w:rPr>
          <w:bCs/>
          <w:color w:val="000000" w:themeColor="text1"/>
        </w:rPr>
        <w:t xml:space="preserve">, which, based on CHE calculations, the authors assign to the </w:t>
      </w:r>
      <w:r w:rsidRPr="00C87FF4">
        <w:rPr>
          <w:iCs/>
          <w:color w:val="000000" w:themeColor="text1"/>
          <w:szCs w:val="22"/>
          <w:lang w:val="en-GB"/>
        </w:rPr>
        <w:t>μ</w:t>
      </w:r>
      <w:r w:rsidRPr="00C87FF4">
        <w:rPr>
          <w:iCs/>
          <w:color w:val="000000" w:themeColor="text1"/>
          <w:szCs w:val="22"/>
          <w:vertAlign w:val="subscript"/>
          <w:lang w:val="en-GB"/>
        </w:rPr>
        <w:t>1</w:t>
      </w:r>
      <w:r w:rsidRPr="00C87FF4">
        <w:rPr>
          <w:iCs/>
          <w:color w:val="000000" w:themeColor="text1"/>
          <w:szCs w:val="22"/>
          <w:lang w:val="en-GB"/>
        </w:rPr>
        <w:t>-</w:t>
      </w:r>
      <w:r w:rsidRPr="00C87FF4">
        <w:rPr>
          <w:bCs/>
          <w:color w:val="000000" w:themeColor="text1"/>
        </w:rPr>
        <w:t>OH</w:t>
      </w:r>
      <w:r w:rsidRPr="00C87FF4">
        <w:rPr>
          <w:bCs/>
          <w:color w:val="000000" w:themeColor="text1"/>
          <w:vertAlign w:val="subscript"/>
        </w:rPr>
        <w:t>2</w:t>
      </w:r>
      <w:r w:rsidRPr="00C87FF4">
        <w:rPr>
          <w:bCs/>
          <w:color w:val="000000" w:themeColor="text1"/>
        </w:rPr>
        <w:t xml:space="preserve"> to </w:t>
      </w:r>
      <w:r w:rsidRPr="00C87FF4">
        <w:rPr>
          <w:iCs/>
          <w:color w:val="000000" w:themeColor="text1"/>
          <w:szCs w:val="22"/>
          <w:lang w:val="en-GB"/>
        </w:rPr>
        <w:t>μ</w:t>
      </w:r>
      <w:r w:rsidRPr="00C87FF4">
        <w:rPr>
          <w:iCs/>
          <w:color w:val="000000" w:themeColor="text1"/>
          <w:szCs w:val="22"/>
          <w:vertAlign w:val="subscript"/>
          <w:lang w:val="en-GB"/>
        </w:rPr>
        <w:t>1</w:t>
      </w:r>
      <w:r w:rsidRPr="00C87FF4">
        <w:rPr>
          <w:iCs/>
          <w:color w:val="000000" w:themeColor="text1"/>
          <w:szCs w:val="22"/>
          <w:lang w:val="en-GB"/>
        </w:rPr>
        <w:t>-</w:t>
      </w:r>
      <w:r w:rsidRPr="00C87FF4">
        <w:rPr>
          <w:bCs/>
          <w:color w:val="000000" w:themeColor="text1"/>
        </w:rPr>
        <w:t xml:space="preserve">OH and </w:t>
      </w:r>
      <w:r w:rsidRPr="00C87FF4">
        <w:rPr>
          <w:iCs/>
          <w:color w:val="000000" w:themeColor="text1"/>
          <w:szCs w:val="22"/>
          <w:lang w:val="en-GB"/>
        </w:rPr>
        <w:t>μ</w:t>
      </w:r>
      <w:r w:rsidRPr="00C87FF4">
        <w:rPr>
          <w:iCs/>
          <w:color w:val="000000" w:themeColor="text1"/>
          <w:szCs w:val="22"/>
          <w:vertAlign w:val="subscript"/>
          <w:lang w:val="en-GB"/>
        </w:rPr>
        <w:t>1</w:t>
      </w:r>
      <w:r w:rsidRPr="00C87FF4">
        <w:rPr>
          <w:iCs/>
          <w:color w:val="000000" w:themeColor="text1"/>
          <w:szCs w:val="22"/>
          <w:lang w:val="en-GB"/>
        </w:rPr>
        <w:t>-</w:t>
      </w:r>
      <w:r w:rsidRPr="00C87FF4">
        <w:rPr>
          <w:bCs/>
          <w:color w:val="000000" w:themeColor="text1"/>
        </w:rPr>
        <w:t xml:space="preserve">OH to </w:t>
      </w:r>
      <w:r w:rsidRPr="00C87FF4">
        <w:rPr>
          <w:iCs/>
          <w:color w:val="000000" w:themeColor="text1"/>
          <w:szCs w:val="22"/>
          <w:lang w:val="en-GB"/>
        </w:rPr>
        <w:t>μ</w:t>
      </w:r>
      <w:r w:rsidRPr="00C87FF4">
        <w:rPr>
          <w:iCs/>
          <w:color w:val="000000" w:themeColor="text1"/>
          <w:szCs w:val="22"/>
          <w:vertAlign w:val="subscript"/>
          <w:lang w:val="en-GB"/>
        </w:rPr>
        <w:t>1</w:t>
      </w:r>
      <w:r w:rsidRPr="00C87FF4">
        <w:rPr>
          <w:iCs/>
          <w:color w:val="000000" w:themeColor="text1"/>
          <w:szCs w:val="22"/>
          <w:lang w:val="en-GB"/>
        </w:rPr>
        <w:t>-</w:t>
      </w:r>
      <w:r w:rsidRPr="00C87FF4">
        <w:rPr>
          <w:bCs/>
          <w:color w:val="000000" w:themeColor="text1"/>
        </w:rPr>
        <w:t xml:space="preserve">O transitions, respectively. Or, as the authors said, to the electro-adsorption of </w:t>
      </w:r>
      <w:r w:rsidRPr="00C87FF4">
        <w:rPr>
          <w:iCs/>
          <w:color w:val="000000" w:themeColor="text1"/>
          <w:szCs w:val="22"/>
          <w:lang w:val="en-GB"/>
        </w:rPr>
        <w:t>μ</w:t>
      </w:r>
      <w:r w:rsidRPr="00C87FF4">
        <w:rPr>
          <w:iCs/>
          <w:color w:val="000000" w:themeColor="text1"/>
          <w:szCs w:val="22"/>
          <w:vertAlign w:val="subscript"/>
          <w:lang w:val="en-GB"/>
        </w:rPr>
        <w:t>1</w:t>
      </w:r>
      <w:r w:rsidRPr="00C87FF4">
        <w:rPr>
          <w:iCs/>
          <w:color w:val="000000" w:themeColor="text1"/>
          <w:szCs w:val="22"/>
          <w:lang w:val="en-GB"/>
        </w:rPr>
        <w:t>-</w:t>
      </w:r>
      <w:r w:rsidRPr="00C87FF4">
        <w:rPr>
          <w:bCs/>
          <w:color w:val="000000" w:themeColor="text1"/>
        </w:rPr>
        <w:t xml:space="preserve">OH and </w:t>
      </w:r>
      <w:r w:rsidRPr="00C87FF4">
        <w:rPr>
          <w:iCs/>
          <w:color w:val="000000" w:themeColor="text1"/>
          <w:szCs w:val="22"/>
          <w:lang w:val="en-GB"/>
        </w:rPr>
        <w:t>μ</w:t>
      </w:r>
      <w:r w:rsidRPr="00C87FF4">
        <w:rPr>
          <w:iCs/>
          <w:color w:val="000000" w:themeColor="text1"/>
          <w:szCs w:val="22"/>
          <w:vertAlign w:val="subscript"/>
          <w:lang w:val="en-GB"/>
        </w:rPr>
        <w:t>1</w:t>
      </w:r>
      <w:r w:rsidRPr="00C87FF4">
        <w:rPr>
          <w:iCs/>
          <w:color w:val="000000" w:themeColor="text1"/>
          <w:szCs w:val="22"/>
          <w:lang w:val="en-GB"/>
        </w:rPr>
        <w:t>-</w:t>
      </w:r>
      <w:r w:rsidRPr="00C87FF4">
        <w:rPr>
          <w:bCs/>
          <w:color w:val="000000" w:themeColor="text1"/>
        </w:rPr>
        <w:t xml:space="preserve">O. This assignment neglects the potential influence of bridging sites. The electrolyte visibly shifts these CV redox transitions and by pH = 1.0, the first peak strongly broadens and the second oxidation peak is shifted into the OER region, seen only by the cathodic peak at the OER onset. The observed pH dependence (RHE) of these two redox transitions was different, </w:t>
      </w:r>
      <w:r w:rsidRPr="00C87FF4">
        <w:rPr>
          <w:bCs/>
          <w:color w:val="000000" w:themeColor="text1"/>
          <w:lang w:val="en-GB"/>
        </w:rPr>
        <w:t>25 and 7.5 mV/pH units, respectively,</w:t>
      </w:r>
      <w:r w:rsidRPr="00C87FF4">
        <w:rPr>
          <w:bCs/>
          <w:color w:val="000000" w:themeColor="text1"/>
        </w:rPr>
        <w:t xml:space="preserve"> </w:t>
      </w:r>
      <w:r w:rsidR="00854B25" w:rsidRPr="00C87FF4">
        <w:rPr>
          <w:bCs/>
          <w:color w:val="000000" w:themeColor="text1"/>
        </w:rPr>
        <w:fldChar w:fldCharType="begin"/>
      </w:r>
      <w:r w:rsidR="00854B25" w:rsidRPr="00C87FF4">
        <w:rPr>
          <w:bCs/>
          <w:color w:val="000000" w:themeColor="text1"/>
        </w:rPr>
        <w:instrText xml:space="preserve"> REF _Ref159526195 \h </w:instrText>
      </w:r>
      <w:r w:rsidR="00854B25" w:rsidRPr="00C87FF4">
        <w:rPr>
          <w:bCs/>
          <w:color w:val="000000" w:themeColor="text1"/>
        </w:rPr>
      </w:r>
      <w:r w:rsidR="00854B25" w:rsidRPr="00C87FF4">
        <w:rPr>
          <w:bCs/>
          <w:color w:val="000000" w:themeColor="text1"/>
        </w:rPr>
        <w:fldChar w:fldCharType="separate"/>
      </w:r>
      <w:r w:rsidR="00B52708" w:rsidRPr="00C87FF4">
        <w:rPr>
          <w:b/>
          <w:bCs/>
        </w:rPr>
        <w:t xml:space="preserve">Figure </w:t>
      </w:r>
      <w:r w:rsidR="00B52708">
        <w:rPr>
          <w:b/>
          <w:bCs/>
          <w:noProof/>
        </w:rPr>
        <w:t>35</w:t>
      </w:r>
      <w:r w:rsidR="00854B25" w:rsidRPr="00C87FF4">
        <w:rPr>
          <w:bCs/>
          <w:color w:val="000000" w:themeColor="text1"/>
        </w:rPr>
        <w:fldChar w:fldCharType="end"/>
      </w:r>
      <w:r w:rsidR="00144CFD">
        <w:rPr>
          <w:b/>
          <w:color w:val="000000" w:themeColor="text1"/>
        </w:rPr>
        <w:t>b</w:t>
      </w:r>
      <w:r w:rsidRPr="00C87FF4">
        <w:rPr>
          <w:bCs/>
          <w:color w:val="000000" w:themeColor="text1"/>
        </w:rPr>
        <w:t xml:space="preserve">. These are non-Nernstian peak shifts, not compatible with purely PCET processes. The authors estimate the free energy of formation of </w:t>
      </w:r>
      <w:r w:rsidRPr="00C87FF4">
        <w:rPr>
          <w:iCs/>
          <w:color w:val="000000" w:themeColor="text1"/>
          <w:szCs w:val="22"/>
          <w:lang w:val="en-GB"/>
        </w:rPr>
        <w:t>μ</w:t>
      </w:r>
      <w:r w:rsidRPr="00C87FF4">
        <w:rPr>
          <w:iCs/>
          <w:color w:val="000000" w:themeColor="text1"/>
          <w:szCs w:val="22"/>
          <w:vertAlign w:val="subscript"/>
          <w:lang w:val="en-GB"/>
        </w:rPr>
        <w:t>1</w:t>
      </w:r>
      <w:r w:rsidRPr="00C87FF4">
        <w:rPr>
          <w:iCs/>
          <w:color w:val="000000" w:themeColor="text1"/>
          <w:szCs w:val="22"/>
          <w:lang w:val="en-GB"/>
        </w:rPr>
        <w:t>-</w:t>
      </w:r>
      <w:r w:rsidRPr="00C87FF4">
        <w:rPr>
          <w:bCs/>
          <w:color w:val="000000" w:themeColor="text1"/>
        </w:rPr>
        <w:t xml:space="preserve">OH and </w:t>
      </w:r>
      <w:r w:rsidRPr="00C87FF4">
        <w:rPr>
          <w:iCs/>
          <w:color w:val="000000" w:themeColor="text1"/>
          <w:szCs w:val="22"/>
          <w:lang w:val="en-GB"/>
        </w:rPr>
        <w:t>μ</w:t>
      </w:r>
      <w:r w:rsidRPr="00C87FF4">
        <w:rPr>
          <w:iCs/>
          <w:color w:val="000000" w:themeColor="text1"/>
          <w:szCs w:val="22"/>
          <w:vertAlign w:val="subscript"/>
          <w:lang w:val="en-GB"/>
        </w:rPr>
        <w:t>1</w:t>
      </w:r>
      <w:r w:rsidRPr="00C87FF4">
        <w:rPr>
          <w:iCs/>
          <w:color w:val="000000" w:themeColor="text1"/>
          <w:szCs w:val="22"/>
          <w:lang w:val="en-GB"/>
        </w:rPr>
        <w:t>-</w:t>
      </w:r>
      <w:r w:rsidRPr="00C87FF4">
        <w:rPr>
          <w:bCs/>
          <w:color w:val="000000" w:themeColor="text1"/>
        </w:rPr>
        <w:t xml:space="preserve">O by considering the water covered surface as a reference state and assign the potential of first redox transition to </w:t>
      </w:r>
      <m:oMath>
        <m:r>
          <w:rPr>
            <w:rFonts w:ascii="Cambria Math" w:hAnsi="Cambria Math"/>
            <w:color w:val="000000" w:themeColor="text1"/>
          </w:rPr>
          <m:t>∆</m:t>
        </m:r>
        <m:sSub>
          <m:sSubPr>
            <m:ctrlPr>
              <w:rPr>
                <w:rFonts w:ascii="Cambria Math" w:hAnsi="Cambria Math"/>
                <w:bCs/>
                <w:i/>
                <w:color w:val="000000" w:themeColor="text1"/>
              </w:rPr>
            </m:ctrlPr>
          </m:sSubPr>
          <m:e>
            <m:r>
              <w:rPr>
                <w:rFonts w:ascii="Cambria Math" w:hAnsi="Cambria Math"/>
                <w:color w:val="000000" w:themeColor="text1"/>
              </w:rPr>
              <m:t>G</m:t>
            </m:r>
          </m:e>
          <m:sub>
            <m:r>
              <w:rPr>
                <w:rFonts w:ascii="Cambria Math" w:hAnsi="Cambria Math"/>
                <w:color w:val="000000" w:themeColor="text1"/>
              </w:rPr>
              <m:t>OH</m:t>
            </m:r>
          </m:sub>
        </m:sSub>
      </m:oMath>
      <w:r w:rsidRPr="00C87FF4">
        <w:rPr>
          <w:bCs/>
          <w:color w:val="000000" w:themeColor="text1"/>
        </w:rPr>
        <w:t xml:space="preserve"> (</w:t>
      </w:r>
      <m:oMath>
        <m:r>
          <w:rPr>
            <w:rFonts w:ascii="Cambria Math" w:hAnsi="Cambria Math"/>
            <w:color w:val="000000" w:themeColor="text1"/>
          </w:rPr>
          <m:t>∆</m:t>
        </m:r>
        <m:sSub>
          <m:sSubPr>
            <m:ctrlPr>
              <w:rPr>
                <w:rFonts w:ascii="Cambria Math" w:hAnsi="Cambria Math"/>
                <w:bCs/>
                <w:i/>
                <w:color w:val="000000" w:themeColor="text1"/>
              </w:rPr>
            </m:ctrlPr>
          </m:sSubPr>
          <m:e>
            <m:r>
              <w:rPr>
                <w:rFonts w:ascii="Cambria Math" w:hAnsi="Cambria Math"/>
                <w:color w:val="000000" w:themeColor="text1"/>
              </w:rPr>
              <m:t>E</m:t>
            </m:r>
          </m:e>
          <m:sub>
            <m:r>
              <w:rPr>
                <w:rFonts w:ascii="Cambria Math" w:hAnsi="Cambria Math"/>
                <w:color w:val="000000" w:themeColor="text1"/>
              </w:rPr>
              <m:t>1</m:t>
            </m:r>
          </m:sub>
        </m:sSub>
      </m:oMath>
      <w:r w:rsidRPr="00C87FF4">
        <w:rPr>
          <w:bCs/>
          <w:iCs/>
          <w:color w:val="000000" w:themeColor="text1"/>
        </w:rPr>
        <w:t xml:space="preserve"> in </w:t>
      </w:r>
      <w:r w:rsidR="00854B25" w:rsidRPr="00C87FF4">
        <w:rPr>
          <w:bCs/>
          <w:iCs/>
          <w:color w:val="000000" w:themeColor="text1"/>
        </w:rPr>
        <w:fldChar w:fldCharType="begin"/>
      </w:r>
      <w:r w:rsidR="00854B25" w:rsidRPr="00C87FF4">
        <w:rPr>
          <w:bCs/>
          <w:iCs/>
          <w:color w:val="000000" w:themeColor="text1"/>
        </w:rPr>
        <w:instrText xml:space="preserve"> REF _Ref159526195 \h </w:instrText>
      </w:r>
      <w:r w:rsidR="00854B25" w:rsidRPr="00C87FF4">
        <w:rPr>
          <w:bCs/>
          <w:iCs/>
          <w:color w:val="000000" w:themeColor="text1"/>
        </w:rPr>
      </w:r>
      <w:r w:rsidR="00854B25" w:rsidRPr="00C87FF4">
        <w:rPr>
          <w:bCs/>
          <w:iCs/>
          <w:color w:val="000000" w:themeColor="text1"/>
        </w:rPr>
        <w:fldChar w:fldCharType="separate"/>
      </w:r>
      <w:r w:rsidR="00B52708" w:rsidRPr="00C87FF4">
        <w:rPr>
          <w:b/>
          <w:bCs/>
        </w:rPr>
        <w:t xml:space="preserve">Figure </w:t>
      </w:r>
      <w:r w:rsidR="00B52708">
        <w:rPr>
          <w:b/>
          <w:bCs/>
          <w:noProof/>
        </w:rPr>
        <w:lastRenderedPageBreak/>
        <w:t>35</w:t>
      </w:r>
      <w:r w:rsidR="00854B25" w:rsidRPr="00C87FF4">
        <w:rPr>
          <w:bCs/>
          <w:iCs/>
          <w:color w:val="000000" w:themeColor="text1"/>
        </w:rPr>
        <w:fldChar w:fldCharType="end"/>
      </w:r>
      <w:r w:rsidR="00144CFD">
        <w:rPr>
          <w:b/>
          <w:iCs/>
          <w:color w:val="000000" w:themeColor="text1"/>
        </w:rPr>
        <w:t>c</w:t>
      </w:r>
      <w:r w:rsidRPr="00C87FF4">
        <w:rPr>
          <w:bCs/>
          <w:iCs/>
          <w:color w:val="000000" w:themeColor="text1"/>
        </w:rPr>
        <w:t xml:space="preserve">) and the sum of the two redox transitions to </w:t>
      </w:r>
      <m:oMath>
        <m:r>
          <w:rPr>
            <w:rFonts w:ascii="Cambria Math" w:hAnsi="Cambria Math"/>
            <w:color w:val="000000" w:themeColor="text1"/>
          </w:rPr>
          <m:t>∆</m:t>
        </m:r>
        <m:sSub>
          <m:sSubPr>
            <m:ctrlPr>
              <w:rPr>
                <w:rFonts w:ascii="Cambria Math" w:hAnsi="Cambria Math"/>
                <w:bCs/>
                <w:i/>
                <w:color w:val="000000" w:themeColor="text1"/>
              </w:rPr>
            </m:ctrlPr>
          </m:sSubPr>
          <m:e>
            <m:r>
              <w:rPr>
                <w:rFonts w:ascii="Cambria Math" w:hAnsi="Cambria Math"/>
                <w:color w:val="000000" w:themeColor="text1"/>
              </w:rPr>
              <m:t>G</m:t>
            </m:r>
          </m:e>
          <m:sub>
            <m:r>
              <w:rPr>
                <w:rFonts w:ascii="Cambria Math" w:hAnsi="Cambria Math"/>
                <w:color w:val="000000" w:themeColor="text1"/>
              </w:rPr>
              <m:t>O</m:t>
            </m:r>
          </m:sub>
        </m:sSub>
      </m:oMath>
      <w:r w:rsidRPr="00C87FF4">
        <w:rPr>
          <w:bCs/>
          <w:color w:val="000000" w:themeColor="text1"/>
        </w:rPr>
        <w:t xml:space="preserve"> (</w:t>
      </w:r>
      <m:oMath>
        <m:r>
          <w:rPr>
            <w:rFonts w:ascii="Cambria Math" w:hAnsi="Cambria Math"/>
            <w:color w:val="000000" w:themeColor="text1"/>
          </w:rPr>
          <m:t>∆</m:t>
        </m:r>
        <m:sSub>
          <m:sSubPr>
            <m:ctrlPr>
              <w:rPr>
                <w:rFonts w:ascii="Cambria Math" w:hAnsi="Cambria Math"/>
                <w:bCs/>
                <w:i/>
                <w:color w:val="000000" w:themeColor="text1"/>
              </w:rPr>
            </m:ctrlPr>
          </m:sSubPr>
          <m:e>
            <m:r>
              <w:rPr>
                <w:rFonts w:ascii="Cambria Math" w:hAnsi="Cambria Math"/>
                <w:color w:val="000000" w:themeColor="text1"/>
              </w:rPr>
              <m:t>E</m:t>
            </m:r>
          </m:e>
          <m:sub>
            <m:r>
              <w:rPr>
                <w:rFonts w:ascii="Cambria Math" w:hAnsi="Cambria Math"/>
                <w:color w:val="000000" w:themeColor="text1"/>
              </w:rPr>
              <m:t>2</m:t>
            </m:r>
          </m:sub>
        </m:sSub>
      </m:oMath>
      <w:r w:rsidRPr="00C87FF4">
        <w:rPr>
          <w:bCs/>
          <w:iCs/>
          <w:color w:val="000000" w:themeColor="text1"/>
        </w:rPr>
        <w:t xml:space="preserve"> in </w:t>
      </w:r>
      <w:r w:rsidR="00854B25" w:rsidRPr="00C87FF4">
        <w:rPr>
          <w:bCs/>
          <w:iCs/>
          <w:color w:val="000000" w:themeColor="text1"/>
        </w:rPr>
        <w:fldChar w:fldCharType="begin"/>
      </w:r>
      <w:r w:rsidR="00854B25" w:rsidRPr="00C87FF4">
        <w:rPr>
          <w:bCs/>
          <w:iCs/>
          <w:color w:val="000000" w:themeColor="text1"/>
        </w:rPr>
        <w:instrText xml:space="preserve"> REF _Ref159526195 \h </w:instrText>
      </w:r>
      <w:r w:rsidR="00854B25" w:rsidRPr="00C87FF4">
        <w:rPr>
          <w:bCs/>
          <w:iCs/>
          <w:color w:val="000000" w:themeColor="text1"/>
        </w:rPr>
      </w:r>
      <w:r w:rsidR="00854B25" w:rsidRPr="00C87FF4">
        <w:rPr>
          <w:bCs/>
          <w:iCs/>
          <w:color w:val="000000" w:themeColor="text1"/>
        </w:rPr>
        <w:fldChar w:fldCharType="separate"/>
      </w:r>
      <w:r w:rsidR="00B52708" w:rsidRPr="00C87FF4">
        <w:rPr>
          <w:b/>
          <w:bCs/>
        </w:rPr>
        <w:t xml:space="preserve">Figure </w:t>
      </w:r>
      <w:r w:rsidR="00B52708">
        <w:rPr>
          <w:b/>
          <w:bCs/>
          <w:noProof/>
        </w:rPr>
        <w:t>35</w:t>
      </w:r>
      <w:r w:rsidR="00854B25" w:rsidRPr="00C87FF4">
        <w:rPr>
          <w:bCs/>
          <w:iCs/>
          <w:color w:val="000000" w:themeColor="text1"/>
        </w:rPr>
        <w:fldChar w:fldCharType="end"/>
      </w:r>
      <w:r w:rsidR="00144CFD">
        <w:rPr>
          <w:bCs/>
          <w:iCs/>
          <w:color w:val="000000" w:themeColor="text1"/>
        </w:rPr>
        <w:t>c</w:t>
      </w:r>
      <w:r w:rsidRPr="00C87FF4">
        <w:rPr>
          <w:bCs/>
          <w:iCs/>
          <w:color w:val="000000" w:themeColor="text1"/>
        </w:rPr>
        <w:t>). By doing so, they find a scaling between these two, though the slope seems be roughly 0.75, hence more than the theoretical 0.5 would be based on bond order conservation arguments (=O vs -OH). A similar scaling was found for RuO</w:t>
      </w:r>
      <w:r w:rsidRPr="00C87FF4">
        <w:rPr>
          <w:bCs/>
          <w:iCs/>
          <w:color w:val="000000" w:themeColor="text1"/>
          <w:vertAlign w:val="subscript"/>
        </w:rPr>
        <w:t>2</w:t>
      </w:r>
      <w:r w:rsidRPr="00C87FF4">
        <w:rPr>
          <w:bCs/>
          <w:iCs/>
          <w:color w:val="000000" w:themeColor="text1"/>
        </w:rPr>
        <w:t xml:space="preserve">(110), see </w:t>
      </w:r>
      <w:r w:rsidR="00854B25" w:rsidRPr="00C87FF4">
        <w:rPr>
          <w:bCs/>
          <w:color w:val="000000" w:themeColor="text1"/>
        </w:rPr>
        <w:fldChar w:fldCharType="begin"/>
      </w:r>
      <w:r w:rsidR="00854B25" w:rsidRPr="00C87FF4">
        <w:rPr>
          <w:bCs/>
          <w:iCs/>
          <w:color w:val="000000" w:themeColor="text1"/>
        </w:rPr>
        <w:instrText xml:space="preserve"> REF _Ref159526344 \h </w:instrText>
      </w:r>
      <w:r w:rsidR="00C87FF4" w:rsidRPr="00C87FF4">
        <w:rPr>
          <w:bCs/>
          <w:color w:val="000000" w:themeColor="text1"/>
        </w:rPr>
        <w:instrText xml:space="preserve"> \* MERGEFORMAT </w:instrText>
      </w:r>
      <w:r w:rsidR="00854B25" w:rsidRPr="00C87FF4">
        <w:rPr>
          <w:bCs/>
          <w:color w:val="000000" w:themeColor="text1"/>
        </w:rPr>
      </w:r>
      <w:r w:rsidR="00854B25" w:rsidRPr="00C87FF4">
        <w:rPr>
          <w:bCs/>
          <w:color w:val="000000" w:themeColor="text1"/>
        </w:rPr>
        <w:fldChar w:fldCharType="separate"/>
      </w:r>
      <w:r w:rsidR="00B52708" w:rsidRPr="00245F0C">
        <w:rPr>
          <w:b/>
          <w:bCs/>
          <w:color w:val="000000" w:themeColor="text1"/>
          <w:szCs w:val="22"/>
        </w:rPr>
        <w:t xml:space="preserve">Figure </w:t>
      </w:r>
      <w:r w:rsidR="00B52708" w:rsidRPr="00245F0C">
        <w:rPr>
          <w:b/>
          <w:bCs/>
          <w:noProof/>
          <w:color w:val="000000" w:themeColor="text1"/>
          <w:szCs w:val="22"/>
        </w:rPr>
        <w:t>36</w:t>
      </w:r>
      <w:r w:rsidR="00854B25" w:rsidRPr="00C87FF4">
        <w:rPr>
          <w:bCs/>
          <w:color w:val="000000" w:themeColor="text1"/>
        </w:rPr>
        <w:fldChar w:fldCharType="end"/>
      </w:r>
      <w:r w:rsidR="00144CFD">
        <w:rPr>
          <w:b/>
          <w:color w:val="000000" w:themeColor="text1"/>
        </w:rPr>
        <w:t>a</w:t>
      </w:r>
      <w:r w:rsidRPr="00C87FF4">
        <w:rPr>
          <w:bCs/>
          <w:color w:val="000000" w:themeColor="text1"/>
        </w:rPr>
        <w:t xml:space="preserve">. </w:t>
      </w:r>
      <w:r w:rsidRPr="00C87FF4">
        <w:rPr>
          <w:bCs/>
          <w:iCs/>
          <w:color w:val="000000" w:themeColor="text1"/>
        </w:rPr>
        <w:t>Linear sweep voltammetry and the Tafel plot (</w:t>
      </w:r>
      <w:r w:rsidR="00854B25" w:rsidRPr="00144CFD">
        <w:rPr>
          <w:b/>
          <w:color w:val="000000" w:themeColor="text1"/>
        </w:rPr>
        <w:fldChar w:fldCharType="begin"/>
      </w:r>
      <w:r w:rsidR="00854B25" w:rsidRPr="00144CFD">
        <w:rPr>
          <w:b/>
          <w:iCs/>
          <w:color w:val="000000" w:themeColor="text1"/>
        </w:rPr>
        <w:instrText xml:space="preserve"> REF _Ref159526195 \h </w:instrText>
      </w:r>
      <w:r w:rsidR="00144CFD">
        <w:rPr>
          <w:b/>
          <w:color w:val="000000" w:themeColor="text1"/>
        </w:rPr>
        <w:instrText xml:space="preserve"> \* MERGEFORMAT </w:instrText>
      </w:r>
      <w:r w:rsidR="00854B25" w:rsidRPr="00144CFD">
        <w:rPr>
          <w:b/>
          <w:color w:val="000000" w:themeColor="text1"/>
        </w:rPr>
      </w:r>
      <w:r w:rsidR="00854B25" w:rsidRPr="00144CFD">
        <w:rPr>
          <w:b/>
          <w:color w:val="000000" w:themeColor="text1"/>
        </w:rPr>
        <w:fldChar w:fldCharType="separate"/>
      </w:r>
      <w:r w:rsidR="00B52708" w:rsidRPr="00245F0C">
        <w:rPr>
          <w:b/>
          <w:color w:val="000000" w:themeColor="text1"/>
          <w:szCs w:val="22"/>
        </w:rPr>
        <w:t xml:space="preserve">Figure </w:t>
      </w:r>
      <w:r w:rsidR="00B52708" w:rsidRPr="00245F0C">
        <w:rPr>
          <w:b/>
          <w:noProof/>
          <w:color w:val="000000" w:themeColor="text1"/>
          <w:szCs w:val="22"/>
        </w:rPr>
        <w:t>35</w:t>
      </w:r>
      <w:r w:rsidR="00854B25" w:rsidRPr="00144CFD">
        <w:rPr>
          <w:b/>
          <w:color w:val="000000" w:themeColor="text1"/>
        </w:rPr>
        <w:fldChar w:fldCharType="end"/>
      </w:r>
      <w:r w:rsidR="00144CFD">
        <w:rPr>
          <w:b/>
          <w:color w:val="000000" w:themeColor="text1"/>
        </w:rPr>
        <w:t>d</w:t>
      </w:r>
      <w:r w:rsidRPr="00144CFD">
        <w:rPr>
          <w:b/>
          <w:color w:val="000000" w:themeColor="text1"/>
        </w:rPr>
        <w:t xml:space="preserve">, </w:t>
      </w:r>
      <w:r w:rsidR="00144CFD">
        <w:rPr>
          <w:b/>
          <w:color w:val="000000" w:themeColor="text1"/>
        </w:rPr>
        <w:t>e</w:t>
      </w:r>
      <w:r w:rsidRPr="00C87FF4">
        <w:rPr>
          <w:bCs/>
          <w:iCs/>
          <w:color w:val="000000" w:themeColor="text1"/>
        </w:rPr>
        <w:t xml:space="preserve">) suggest a pH dependent OER activity, </w:t>
      </w:r>
      <w:r w:rsidRPr="00C87FF4">
        <w:rPr>
          <w:bCs/>
          <w:iCs/>
          <w:color w:val="000000" w:themeColor="text1"/>
          <w:lang w:val="en-GB"/>
        </w:rPr>
        <w:t xml:space="preserve">with the ranking of pH 1.0 &gt; pH 2.8 ≈ pH 12.9 &gt; pH 6.5 &gt; pH 9.6. Their Tafel slope changed from roughly 60 mV/dec in pH 1.0 to up to 120 mV/dec in pH 9.6. We note here, the authors used buffered solutions (at pH 2.8 and 6.5 phosphate buffer, and at pH 9.6 carbonate buffer). The authors compared a widely used OER descriptor </w:t>
      </w:r>
      <m:oMath>
        <m:r>
          <w:rPr>
            <w:rFonts w:ascii="Cambria Math" w:hAnsi="Cambria Math"/>
            <w:color w:val="000000" w:themeColor="text1"/>
          </w:rPr>
          <m:t>∆</m:t>
        </m:r>
        <m:sSub>
          <m:sSubPr>
            <m:ctrlPr>
              <w:rPr>
                <w:rFonts w:ascii="Cambria Math" w:hAnsi="Cambria Math"/>
                <w:bCs/>
                <w:i/>
                <w:color w:val="000000" w:themeColor="text1"/>
              </w:rPr>
            </m:ctrlPr>
          </m:sSubPr>
          <m:e>
            <m:r>
              <w:rPr>
                <w:rFonts w:ascii="Cambria Math" w:hAnsi="Cambria Math"/>
                <w:color w:val="000000" w:themeColor="text1"/>
              </w:rPr>
              <m:t>G</m:t>
            </m:r>
          </m:e>
          <m:sub>
            <m:r>
              <w:rPr>
                <w:rFonts w:ascii="Cambria Math" w:hAnsi="Cambria Math"/>
                <w:color w:val="000000" w:themeColor="text1"/>
              </w:rPr>
              <m:t>O</m:t>
            </m:r>
          </m:sub>
        </m:sSub>
      </m:oMath>
      <w:r w:rsidRPr="00C87FF4">
        <w:rPr>
          <w:bCs/>
          <w:iCs/>
          <w:color w:val="000000" w:themeColor="text1"/>
          <w:lang w:val="en-GB"/>
        </w:rPr>
        <w:t>-</w:t>
      </w:r>
      <m:oMath>
        <m:r>
          <w:rPr>
            <w:rFonts w:ascii="Cambria Math" w:hAnsi="Cambria Math"/>
            <w:color w:val="000000" w:themeColor="text1"/>
          </w:rPr>
          <m:t>∆</m:t>
        </m:r>
        <m:sSub>
          <m:sSubPr>
            <m:ctrlPr>
              <w:rPr>
                <w:rFonts w:ascii="Cambria Math" w:hAnsi="Cambria Math"/>
                <w:bCs/>
                <w:i/>
                <w:color w:val="000000" w:themeColor="text1"/>
              </w:rPr>
            </m:ctrlPr>
          </m:sSubPr>
          <m:e>
            <m:r>
              <w:rPr>
                <w:rFonts w:ascii="Cambria Math" w:hAnsi="Cambria Math"/>
                <w:color w:val="000000" w:themeColor="text1"/>
              </w:rPr>
              <m:t>G</m:t>
            </m:r>
          </m:e>
          <m:sub>
            <m:r>
              <w:rPr>
                <w:rFonts w:ascii="Cambria Math" w:hAnsi="Cambria Math"/>
                <w:color w:val="000000" w:themeColor="text1"/>
              </w:rPr>
              <m:t>OH</m:t>
            </m:r>
          </m:sub>
        </m:sSub>
      </m:oMath>
      <w:r w:rsidRPr="00C87FF4">
        <w:rPr>
          <w:bCs/>
          <w:iCs/>
          <w:color w:val="000000" w:themeColor="text1"/>
          <w:lang w:val="en-GB"/>
        </w:rPr>
        <w:t xml:space="preserve"> (</w:t>
      </w:r>
      <m:oMath>
        <m:r>
          <w:rPr>
            <w:rFonts w:ascii="Cambria Math" w:hAnsi="Cambria Math"/>
            <w:color w:val="000000" w:themeColor="text1"/>
          </w:rPr>
          <m:t>∆</m:t>
        </m:r>
        <m:sSub>
          <m:sSubPr>
            <m:ctrlPr>
              <w:rPr>
                <w:rFonts w:ascii="Cambria Math" w:hAnsi="Cambria Math"/>
                <w:bCs/>
                <w:i/>
                <w:color w:val="000000" w:themeColor="text1"/>
              </w:rPr>
            </m:ctrlPr>
          </m:sSubPr>
          <m:e>
            <m:r>
              <w:rPr>
                <w:rFonts w:ascii="Cambria Math" w:hAnsi="Cambria Math"/>
                <w:color w:val="000000" w:themeColor="text1"/>
              </w:rPr>
              <m:t>E</m:t>
            </m:r>
          </m:e>
          <m:sub>
            <m:r>
              <w:rPr>
                <w:rFonts w:ascii="Cambria Math" w:hAnsi="Cambria Math"/>
                <w:color w:val="000000" w:themeColor="text1"/>
              </w:rPr>
              <m:t>2</m:t>
            </m:r>
          </m:sub>
        </m:sSub>
      </m:oMath>
      <w:r w:rsidRPr="00C87FF4">
        <w:rPr>
          <w:bCs/>
          <w:iCs/>
          <w:color w:val="000000" w:themeColor="text1"/>
          <w:lang w:val="en-GB"/>
        </w:rPr>
        <w:t>-</w:t>
      </w:r>
      <m:oMath>
        <m:r>
          <w:rPr>
            <w:rFonts w:ascii="Cambria Math" w:hAnsi="Cambria Math"/>
            <w:color w:val="000000" w:themeColor="text1"/>
          </w:rPr>
          <m:t>∆</m:t>
        </m:r>
        <m:sSub>
          <m:sSubPr>
            <m:ctrlPr>
              <w:rPr>
                <w:rFonts w:ascii="Cambria Math" w:hAnsi="Cambria Math"/>
                <w:bCs/>
                <w:i/>
                <w:color w:val="000000" w:themeColor="text1"/>
              </w:rPr>
            </m:ctrlPr>
          </m:sSubPr>
          <m:e>
            <m:r>
              <w:rPr>
                <w:rFonts w:ascii="Cambria Math" w:hAnsi="Cambria Math"/>
                <w:color w:val="000000" w:themeColor="text1"/>
              </w:rPr>
              <m:t>E</m:t>
            </m:r>
          </m:e>
          <m:sub>
            <m:r>
              <w:rPr>
                <w:rFonts w:ascii="Cambria Math" w:hAnsi="Cambria Math"/>
                <w:color w:val="000000" w:themeColor="text1"/>
              </w:rPr>
              <m:t>1</m:t>
            </m:r>
          </m:sub>
        </m:sSub>
      </m:oMath>
      <w:r w:rsidRPr="00C87FF4">
        <w:rPr>
          <w:bCs/>
          <w:iCs/>
          <w:color w:val="000000" w:themeColor="text1"/>
          <w:lang w:val="en-GB"/>
        </w:rPr>
        <w:t xml:space="preserve">) in </w:t>
      </w:r>
      <w:r w:rsidR="00854B25" w:rsidRPr="00C87FF4">
        <w:rPr>
          <w:bCs/>
          <w:iCs/>
          <w:color w:val="000000" w:themeColor="text1"/>
          <w:lang w:val="en-GB"/>
        </w:rPr>
        <w:fldChar w:fldCharType="begin"/>
      </w:r>
      <w:r w:rsidR="00854B25" w:rsidRPr="00C87FF4">
        <w:rPr>
          <w:bCs/>
          <w:iCs/>
          <w:color w:val="000000" w:themeColor="text1"/>
          <w:lang w:val="en-GB"/>
        </w:rPr>
        <w:instrText xml:space="preserve"> REF _Ref159526195 \h </w:instrText>
      </w:r>
      <w:r w:rsidR="00854B25" w:rsidRPr="00C87FF4">
        <w:rPr>
          <w:bCs/>
          <w:iCs/>
          <w:color w:val="000000" w:themeColor="text1"/>
          <w:lang w:val="en-GB"/>
        </w:rPr>
      </w:r>
      <w:r w:rsidR="00854B25" w:rsidRPr="00C87FF4">
        <w:rPr>
          <w:bCs/>
          <w:iCs/>
          <w:color w:val="000000" w:themeColor="text1"/>
          <w:lang w:val="en-GB"/>
        </w:rPr>
        <w:fldChar w:fldCharType="separate"/>
      </w:r>
      <w:r w:rsidR="00B52708" w:rsidRPr="00C87FF4">
        <w:rPr>
          <w:b/>
          <w:bCs/>
        </w:rPr>
        <w:t xml:space="preserve">Figure </w:t>
      </w:r>
      <w:r w:rsidR="00B52708">
        <w:rPr>
          <w:b/>
          <w:bCs/>
          <w:noProof/>
        </w:rPr>
        <w:t>35</w:t>
      </w:r>
      <w:r w:rsidR="00854B25" w:rsidRPr="00C87FF4">
        <w:rPr>
          <w:bCs/>
          <w:iCs/>
          <w:color w:val="000000" w:themeColor="text1"/>
          <w:lang w:val="en-GB"/>
        </w:rPr>
        <w:fldChar w:fldCharType="end"/>
      </w:r>
      <w:r w:rsidR="00144CFD">
        <w:rPr>
          <w:b/>
          <w:color w:val="000000" w:themeColor="text1"/>
        </w:rPr>
        <w:t>f</w:t>
      </w:r>
      <w:r w:rsidRPr="00C87FF4">
        <w:rPr>
          <w:bCs/>
          <w:color w:val="000000" w:themeColor="text1"/>
        </w:rPr>
        <w:t xml:space="preserve"> and in </w:t>
      </w:r>
      <w:r w:rsidR="00854B25" w:rsidRPr="00C87FF4">
        <w:rPr>
          <w:bCs/>
          <w:color w:val="000000" w:themeColor="text1"/>
        </w:rPr>
        <w:fldChar w:fldCharType="begin"/>
      </w:r>
      <w:r w:rsidR="00854B25" w:rsidRPr="00C87FF4">
        <w:rPr>
          <w:bCs/>
          <w:color w:val="000000" w:themeColor="text1"/>
        </w:rPr>
        <w:instrText xml:space="preserve"> REF _Ref159526344 \h </w:instrText>
      </w:r>
      <w:r w:rsidR="00854B25" w:rsidRPr="00C87FF4">
        <w:rPr>
          <w:bCs/>
          <w:color w:val="000000" w:themeColor="text1"/>
        </w:rPr>
      </w:r>
      <w:r w:rsidR="00854B25" w:rsidRPr="00C87FF4">
        <w:rPr>
          <w:bCs/>
          <w:color w:val="000000" w:themeColor="text1"/>
        </w:rPr>
        <w:fldChar w:fldCharType="separate"/>
      </w:r>
      <w:r w:rsidR="00B52708" w:rsidRPr="00C87FF4">
        <w:rPr>
          <w:b/>
          <w:bCs/>
        </w:rPr>
        <w:t xml:space="preserve">Figure </w:t>
      </w:r>
      <w:r w:rsidR="00B52708">
        <w:rPr>
          <w:b/>
          <w:bCs/>
          <w:noProof/>
        </w:rPr>
        <w:t>36</w:t>
      </w:r>
      <w:r w:rsidR="00854B25" w:rsidRPr="00C87FF4">
        <w:rPr>
          <w:bCs/>
          <w:color w:val="000000" w:themeColor="text1"/>
        </w:rPr>
        <w:fldChar w:fldCharType="end"/>
      </w:r>
      <w:r w:rsidR="00144CFD">
        <w:rPr>
          <w:b/>
          <w:color w:val="000000" w:themeColor="text1"/>
        </w:rPr>
        <w:t>b</w:t>
      </w:r>
      <w:r w:rsidRPr="00C87FF4">
        <w:rPr>
          <w:bCs/>
          <w:color w:val="000000" w:themeColor="text1"/>
        </w:rPr>
        <w:t xml:space="preserve">, to test the hypothesis of the Sabatier principle. As shown in these figures, the authors do not observe any volcano relationship between the OER activity and the oxygen electro-adsorption energy. As the trend of predicted and observed </w:t>
      </w:r>
      <w:r w:rsidRPr="00C87FF4">
        <w:rPr>
          <w:bCs/>
          <w:iCs/>
          <w:color w:val="000000" w:themeColor="text1"/>
          <w:lang w:val="en-GB"/>
        </w:rPr>
        <w:t xml:space="preserve"> </w:t>
      </w:r>
      <m:oMath>
        <m:r>
          <w:rPr>
            <w:rFonts w:ascii="Cambria Math" w:hAnsi="Cambria Math"/>
            <w:color w:val="000000" w:themeColor="text1"/>
          </w:rPr>
          <m:t>∆</m:t>
        </m:r>
        <m:sSub>
          <m:sSubPr>
            <m:ctrlPr>
              <w:rPr>
                <w:rFonts w:ascii="Cambria Math" w:hAnsi="Cambria Math"/>
                <w:bCs/>
                <w:i/>
                <w:color w:val="000000" w:themeColor="text1"/>
              </w:rPr>
            </m:ctrlPr>
          </m:sSubPr>
          <m:e>
            <m:r>
              <w:rPr>
                <w:rFonts w:ascii="Cambria Math" w:hAnsi="Cambria Math"/>
                <w:color w:val="000000" w:themeColor="text1"/>
              </w:rPr>
              <m:t>G</m:t>
            </m:r>
          </m:e>
          <m:sub>
            <m:r>
              <w:rPr>
                <w:rFonts w:ascii="Cambria Math" w:hAnsi="Cambria Math"/>
                <w:color w:val="000000" w:themeColor="text1"/>
              </w:rPr>
              <m:t>O</m:t>
            </m:r>
          </m:sub>
        </m:sSub>
      </m:oMath>
      <w:r w:rsidRPr="00C87FF4">
        <w:rPr>
          <w:bCs/>
          <w:iCs/>
          <w:color w:val="000000" w:themeColor="text1"/>
          <w:lang w:val="en-GB"/>
        </w:rPr>
        <w:t>-</w:t>
      </w:r>
      <m:oMath>
        <m:r>
          <w:rPr>
            <w:rFonts w:ascii="Cambria Math" w:hAnsi="Cambria Math"/>
            <w:color w:val="000000" w:themeColor="text1"/>
          </w:rPr>
          <m:t>∆</m:t>
        </m:r>
        <m:sSub>
          <m:sSubPr>
            <m:ctrlPr>
              <w:rPr>
                <w:rFonts w:ascii="Cambria Math" w:hAnsi="Cambria Math"/>
                <w:bCs/>
                <w:i/>
                <w:color w:val="000000" w:themeColor="text1"/>
              </w:rPr>
            </m:ctrlPr>
          </m:sSubPr>
          <m:e>
            <m:r>
              <w:rPr>
                <w:rFonts w:ascii="Cambria Math" w:hAnsi="Cambria Math"/>
                <w:color w:val="000000" w:themeColor="text1"/>
              </w:rPr>
              <m:t>G</m:t>
            </m:r>
          </m:e>
          <m:sub>
            <m:r>
              <w:rPr>
                <w:rFonts w:ascii="Cambria Math" w:hAnsi="Cambria Math"/>
                <w:color w:val="000000" w:themeColor="text1"/>
              </w:rPr>
              <m:t>OH</m:t>
            </m:r>
          </m:sub>
        </m:sSub>
      </m:oMath>
      <w:r w:rsidRPr="00C87FF4">
        <w:rPr>
          <w:bCs/>
          <w:iCs/>
          <w:color w:val="000000" w:themeColor="text1"/>
          <w:lang w:val="en-GB"/>
        </w:rPr>
        <w:t xml:space="preserve"> for </w:t>
      </w:r>
      <w:r w:rsidRPr="00C87FF4">
        <w:rPr>
          <w:bCs/>
          <w:color w:val="000000" w:themeColor="text1"/>
        </w:rPr>
        <w:t>IrO</w:t>
      </w:r>
      <w:r w:rsidRPr="00C87FF4">
        <w:rPr>
          <w:bCs/>
          <w:color w:val="000000" w:themeColor="text1"/>
          <w:vertAlign w:val="subscript"/>
        </w:rPr>
        <w:t>2</w:t>
      </w:r>
      <w:r w:rsidRPr="00C87FF4">
        <w:rPr>
          <w:bCs/>
          <w:color w:val="000000" w:themeColor="text1"/>
        </w:rPr>
        <w:t>(110) and RuO</w:t>
      </w:r>
      <w:r w:rsidRPr="00C87FF4">
        <w:rPr>
          <w:bCs/>
          <w:color w:val="000000" w:themeColor="text1"/>
          <w:vertAlign w:val="subscript"/>
        </w:rPr>
        <w:t>2</w:t>
      </w:r>
      <w:r w:rsidRPr="00C87FF4">
        <w:rPr>
          <w:bCs/>
          <w:color w:val="000000" w:themeColor="text1"/>
        </w:rPr>
        <w:t xml:space="preserve">(110) were the same and the fact that also experimentally they find a scaling between </w:t>
      </w:r>
      <m:oMath>
        <m:r>
          <w:rPr>
            <w:rFonts w:ascii="Cambria Math" w:hAnsi="Cambria Math"/>
            <w:color w:val="000000" w:themeColor="text1"/>
          </w:rPr>
          <m:t>∆</m:t>
        </m:r>
        <m:sSub>
          <m:sSubPr>
            <m:ctrlPr>
              <w:rPr>
                <w:rFonts w:ascii="Cambria Math" w:hAnsi="Cambria Math"/>
                <w:bCs/>
                <w:i/>
                <w:color w:val="000000" w:themeColor="text1"/>
              </w:rPr>
            </m:ctrlPr>
          </m:sSubPr>
          <m:e>
            <m:r>
              <w:rPr>
                <w:rFonts w:ascii="Cambria Math" w:hAnsi="Cambria Math"/>
                <w:color w:val="000000" w:themeColor="text1"/>
              </w:rPr>
              <m:t>G</m:t>
            </m:r>
          </m:e>
          <m:sub>
            <m:r>
              <w:rPr>
                <w:rFonts w:ascii="Cambria Math" w:hAnsi="Cambria Math"/>
                <w:color w:val="000000" w:themeColor="text1"/>
              </w:rPr>
              <m:t>O</m:t>
            </m:r>
          </m:sub>
        </m:sSub>
      </m:oMath>
      <w:r w:rsidRPr="00C87FF4">
        <w:rPr>
          <w:bCs/>
          <w:color w:val="000000" w:themeColor="text1"/>
        </w:rPr>
        <w:t xml:space="preserve"> and </w:t>
      </w:r>
      <m:oMath>
        <m:r>
          <w:rPr>
            <w:rFonts w:ascii="Cambria Math" w:hAnsi="Cambria Math"/>
            <w:color w:val="000000" w:themeColor="text1"/>
          </w:rPr>
          <m:t>∆</m:t>
        </m:r>
        <m:sSub>
          <m:sSubPr>
            <m:ctrlPr>
              <w:rPr>
                <w:rFonts w:ascii="Cambria Math" w:hAnsi="Cambria Math"/>
                <w:bCs/>
                <w:i/>
                <w:color w:val="000000" w:themeColor="text1"/>
              </w:rPr>
            </m:ctrlPr>
          </m:sSubPr>
          <m:e>
            <m:r>
              <w:rPr>
                <w:rFonts w:ascii="Cambria Math" w:hAnsi="Cambria Math"/>
                <w:color w:val="000000" w:themeColor="text1"/>
              </w:rPr>
              <m:t>G</m:t>
            </m:r>
          </m:e>
          <m:sub>
            <m:r>
              <w:rPr>
                <w:rFonts w:ascii="Cambria Math" w:hAnsi="Cambria Math"/>
                <w:color w:val="000000" w:themeColor="text1"/>
              </w:rPr>
              <m:t>OH</m:t>
            </m:r>
          </m:sub>
        </m:sSub>
      </m:oMath>
      <w:r w:rsidRPr="00C87FF4">
        <w:rPr>
          <w:bCs/>
          <w:color w:val="000000" w:themeColor="text1"/>
        </w:rPr>
        <w:t xml:space="preserve">, </w:t>
      </w:r>
      <w:r w:rsidR="00854B25" w:rsidRPr="00C87FF4">
        <w:rPr>
          <w:bCs/>
          <w:color w:val="000000" w:themeColor="text1"/>
        </w:rPr>
        <w:fldChar w:fldCharType="begin"/>
      </w:r>
      <w:r w:rsidR="00854B25" w:rsidRPr="00C87FF4">
        <w:rPr>
          <w:bCs/>
          <w:color w:val="000000" w:themeColor="text1"/>
        </w:rPr>
        <w:instrText xml:space="preserve"> REF _Ref159526344 \h </w:instrText>
      </w:r>
      <w:r w:rsidR="00854B25" w:rsidRPr="00C87FF4">
        <w:rPr>
          <w:bCs/>
          <w:color w:val="000000" w:themeColor="text1"/>
        </w:rPr>
      </w:r>
      <w:r w:rsidR="00854B25" w:rsidRPr="00C87FF4">
        <w:rPr>
          <w:bCs/>
          <w:color w:val="000000" w:themeColor="text1"/>
        </w:rPr>
        <w:fldChar w:fldCharType="separate"/>
      </w:r>
      <w:r w:rsidR="00B52708" w:rsidRPr="00C87FF4">
        <w:rPr>
          <w:b/>
          <w:bCs/>
        </w:rPr>
        <w:t xml:space="preserve">Figure </w:t>
      </w:r>
      <w:r w:rsidR="00B52708">
        <w:rPr>
          <w:b/>
          <w:bCs/>
          <w:noProof/>
        </w:rPr>
        <w:t>36</w:t>
      </w:r>
      <w:r w:rsidR="00854B25" w:rsidRPr="00C87FF4">
        <w:rPr>
          <w:bCs/>
          <w:color w:val="000000" w:themeColor="text1"/>
        </w:rPr>
        <w:fldChar w:fldCharType="end"/>
      </w:r>
      <w:r w:rsidR="00144CFD">
        <w:rPr>
          <w:b/>
          <w:color w:val="000000" w:themeColor="text1"/>
        </w:rPr>
        <w:t>a</w:t>
      </w:r>
      <w:r w:rsidRPr="00C87FF4">
        <w:rPr>
          <w:bCs/>
          <w:color w:val="000000" w:themeColor="text1"/>
        </w:rPr>
        <w:t xml:space="preserve">, the authors speculate that the shortcoming is not a simple DFT problem but rather related to the lack of considering the microkinetic details of the OER. We note that </w:t>
      </w:r>
      <m:oMath>
        <m:r>
          <w:rPr>
            <w:rFonts w:ascii="Cambria Math" w:hAnsi="Cambria Math"/>
            <w:color w:val="000000" w:themeColor="text1"/>
          </w:rPr>
          <m:t>∆</m:t>
        </m:r>
        <m:sSub>
          <m:sSubPr>
            <m:ctrlPr>
              <w:rPr>
                <w:rFonts w:ascii="Cambria Math" w:hAnsi="Cambria Math"/>
                <w:bCs/>
                <w:i/>
                <w:color w:val="000000" w:themeColor="text1"/>
              </w:rPr>
            </m:ctrlPr>
          </m:sSubPr>
          <m:e>
            <m:r>
              <w:rPr>
                <w:rFonts w:ascii="Cambria Math" w:hAnsi="Cambria Math"/>
                <w:color w:val="000000" w:themeColor="text1"/>
              </w:rPr>
              <m:t>G</m:t>
            </m:r>
          </m:e>
          <m:sub>
            <m:r>
              <w:rPr>
                <w:rFonts w:ascii="Cambria Math" w:hAnsi="Cambria Math"/>
                <w:color w:val="000000" w:themeColor="text1"/>
              </w:rPr>
              <m:t>O</m:t>
            </m:r>
          </m:sub>
        </m:sSub>
      </m:oMath>
      <w:r w:rsidRPr="00C87FF4">
        <w:rPr>
          <w:bCs/>
          <w:color w:val="000000" w:themeColor="text1"/>
        </w:rPr>
        <w:t xml:space="preserve"> and </w:t>
      </w:r>
      <m:oMath>
        <m:r>
          <w:rPr>
            <w:rFonts w:ascii="Cambria Math" w:hAnsi="Cambria Math"/>
            <w:color w:val="000000" w:themeColor="text1"/>
          </w:rPr>
          <m:t>∆</m:t>
        </m:r>
        <m:sSub>
          <m:sSubPr>
            <m:ctrlPr>
              <w:rPr>
                <w:rFonts w:ascii="Cambria Math" w:hAnsi="Cambria Math"/>
                <w:bCs/>
                <w:i/>
                <w:color w:val="000000" w:themeColor="text1"/>
              </w:rPr>
            </m:ctrlPr>
          </m:sSubPr>
          <m:e>
            <m:r>
              <w:rPr>
                <w:rFonts w:ascii="Cambria Math" w:hAnsi="Cambria Math"/>
                <w:color w:val="000000" w:themeColor="text1"/>
              </w:rPr>
              <m:t>G</m:t>
            </m:r>
          </m:e>
          <m:sub>
            <m:r>
              <w:rPr>
                <w:rFonts w:ascii="Cambria Math" w:hAnsi="Cambria Math"/>
                <w:color w:val="000000" w:themeColor="text1"/>
              </w:rPr>
              <m:t>OH</m:t>
            </m:r>
          </m:sub>
        </m:sSub>
      </m:oMath>
      <w:r w:rsidRPr="00C87FF4">
        <w:rPr>
          <w:bCs/>
          <w:color w:val="000000" w:themeColor="text1"/>
        </w:rPr>
        <w:t xml:space="preserve"> were derived from CVs showing non-Nernstian peak shifts and hence the electrolyte itself can play a role. </w:t>
      </w:r>
    </w:p>
    <w:p w14:paraId="07278658" w14:textId="1C7DE075" w:rsidR="00091697" w:rsidRPr="00C87FF4" w:rsidRDefault="00091697" w:rsidP="00091697">
      <w:pPr>
        <w:ind w:firstLine="720"/>
        <w:rPr>
          <w:bCs/>
          <w:color w:val="000000" w:themeColor="text1"/>
        </w:rPr>
      </w:pPr>
    </w:p>
    <w:p w14:paraId="1259A0F5" w14:textId="35C75EC3" w:rsidR="00091697" w:rsidRPr="00C87FF4" w:rsidRDefault="001F3796" w:rsidP="00091697">
      <w:pPr>
        <w:rPr>
          <w:bCs/>
          <w:color w:val="000000" w:themeColor="text1"/>
        </w:rPr>
      </w:pPr>
      <w:r>
        <w:rPr>
          <w:bCs/>
          <w:noProof/>
          <w:color w:val="000000" w:themeColor="text1"/>
          <w14:ligatures w14:val="standardContextual"/>
        </w:rPr>
        <w:drawing>
          <wp:inline distT="0" distB="0" distL="0" distR="0" wp14:anchorId="3C8B3216" wp14:editId="43AC01D7">
            <wp:extent cx="5731510" cy="2875280"/>
            <wp:effectExtent l="0" t="0" r="0" b="0"/>
            <wp:docPr id="69523175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231758" name="Picture 695231758"/>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731510" cy="2875280"/>
                    </a:xfrm>
                    <a:prstGeom prst="rect">
                      <a:avLst/>
                    </a:prstGeom>
                  </pic:spPr>
                </pic:pic>
              </a:graphicData>
            </a:graphic>
          </wp:inline>
        </w:drawing>
      </w:r>
    </w:p>
    <w:p w14:paraId="7FA5FE82" w14:textId="344C0232" w:rsidR="003428B1" w:rsidRPr="003428B1" w:rsidRDefault="00854B25" w:rsidP="003428B1">
      <w:pPr>
        <w:pStyle w:val="Caption"/>
        <w:rPr>
          <w:szCs w:val="20"/>
          <w:lang w:val="en-US"/>
        </w:rPr>
      </w:pPr>
      <w:bookmarkStart w:id="121" w:name="_Ref159526195"/>
      <w:r w:rsidRPr="00C87FF4">
        <w:rPr>
          <w:b/>
          <w:bCs w:val="0"/>
          <w:sz w:val="22"/>
        </w:rPr>
        <w:t xml:space="preserve">Figure </w:t>
      </w:r>
      <w:r w:rsidRPr="00C87FF4">
        <w:rPr>
          <w:b/>
          <w:bCs w:val="0"/>
          <w:sz w:val="22"/>
        </w:rPr>
        <w:fldChar w:fldCharType="begin"/>
      </w:r>
      <w:r w:rsidRPr="00C87FF4">
        <w:rPr>
          <w:b/>
          <w:bCs w:val="0"/>
          <w:sz w:val="22"/>
        </w:rPr>
        <w:instrText xml:space="preserve"> SEQ Figure \* ARABIC </w:instrText>
      </w:r>
      <w:r w:rsidRPr="00C87FF4">
        <w:rPr>
          <w:b/>
          <w:bCs w:val="0"/>
          <w:sz w:val="22"/>
        </w:rPr>
        <w:fldChar w:fldCharType="separate"/>
      </w:r>
      <w:r w:rsidR="00B52708">
        <w:rPr>
          <w:b/>
          <w:bCs w:val="0"/>
          <w:noProof/>
          <w:sz w:val="22"/>
        </w:rPr>
        <w:t>35</w:t>
      </w:r>
      <w:r w:rsidRPr="00C87FF4">
        <w:rPr>
          <w:b/>
          <w:bCs w:val="0"/>
          <w:sz w:val="22"/>
        </w:rPr>
        <w:fldChar w:fldCharType="end"/>
      </w:r>
      <w:bookmarkEnd w:id="121"/>
      <w:r w:rsidR="00091697" w:rsidRPr="00C87FF4">
        <w:rPr>
          <w:sz w:val="22"/>
        </w:rPr>
        <w:t xml:space="preserve"> </w:t>
      </w:r>
      <w:r w:rsidR="00091697" w:rsidRPr="00562573">
        <w:rPr>
          <w:szCs w:val="20"/>
        </w:rPr>
        <w:t>(</w:t>
      </w:r>
      <w:r w:rsidR="00144CFD">
        <w:rPr>
          <w:szCs w:val="20"/>
        </w:rPr>
        <w:t>a</w:t>
      </w:r>
      <w:r w:rsidR="00091697" w:rsidRPr="00562573">
        <w:rPr>
          <w:szCs w:val="20"/>
        </w:rPr>
        <w:t>) Cyclic voltammograms of IrO</w:t>
      </w:r>
      <w:r w:rsidR="00091697" w:rsidRPr="00562573">
        <w:rPr>
          <w:szCs w:val="20"/>
          <w:vertAlign w:val="subscript"/>
        </w:rPr>
        <w:t>2</w:t>
      </w:r>
      <w:r w:rsidR="00091697" w:rsidRPr="00562573">
        <w:rPr>
          <w:szCs w:val="20"/>
        </w:rPr>
        <w:t xml:space="preserve">(110) in </w:t>
      </w:r>
      <w:proofErr w:type="spellStart"/>
      <w:r w:rsidR="00091697" w:rsidRPr="00562573">
        <w:rPr>
          <w:szCs w:val="20"/>
        </w:rPr>
        <w:t>Ar</w:t>
      </w:r>
      <w:proofErr w:type="spellEnd"/>
      <w:r w:rsidR="00091697" w:rsidRPr="00562573">
        <w:rPr>
          <w:szCs w:val="20"/>
        </w:rPr>
        <w:t>-saturated 0.1 M electrolytes with different pH values at a scan rate of 200 mV/s. (</w:t>
      </w:r>
      <w:r w:rsidR="00144CFD">
        <w:rPr>
          <w:szCs w:val="20"/>
        </w:rPr>
        <w:t>b</w:t>
      </w:r>
      <w:r w:rsidR="00091697" w:rsidRPr="00562573">
        <w:rPr>
          <w:szCs w:val="20"/>
        </w:rPr>
        <w:t>) Shifts of the adsorption peak potentials with pH from (</w:t>
      </w:r>
      <w:r w:rsidR="00144CFD">
        <w:rPr>
          <w:szCs w:val="20"/>
        </w:rPr>
        <w:t>a</w:t>
      </w:r>
      <w:r w:rsidR="00091697" w:rsidRPr="00562573">
        <w:rPr>
          <w:szCs w:val="20"/>
        </w:rPr>
        <w:t>). (</w:t>
      </w:r>
      <w:r w:rsidR="00144CFD">
        <w:rPr>
          <w:szCs w:val="20"/>
        </w:rPr>
        <w:t>c</w:t>
      </w:r>
      <w:r w:rsidR="00091697" w:rsidRPr="00562573">
        <w:rPr>
          <w:szCs w:val="20"/>
        </w:rPr>
        <w:t>) Energy relationship between the adsorbates for peaks 1 and 2 from (</w:t>
      </w:r>
      <w:r w:rsidR="00144CFD">
        <w:rPr>
          <w:szCs w:val="20"/>
        </w:rPr>
        <w:t>a</w:t>
      </w:r>
      <w:r w:rsidR="00091697" w:rsidRPr="00562573">
        <w:rPr>
          <w:szCs w:val="20"/>
        </w:rPr>
        <w:t>). (</w:t>
      </w:r>
      <w:r w:rsidR="00144CFD">
        <w:rPr>
          <w:szCs w:val="20"/>
        </w:rPr>
        <w:t>d</w:t>
      </w:r>
      <w:r w:rsidR="00091697" w:rsidRPr="00562573">
        <w:rPr>
          <w:szCs w:val="20"/>
        </w:rPr>
        <w:t>) Cyclic voltammograms of IrO</w:t>
      </w:r>
      <w:r w:rsidR="00091697" w:rsidRPr="00562573">
        <w:rPr>
          <w:szCs w:val="20"/>
          <w:vertAlign w:val="subscript"/>
        </w:rPr>
        <w:t>2</w:t>
      </w:r>
      <w:r w:rsidR="00091697" w:rsidRPr="00562573">
        <w:rPr>
          <w:szCs w:val="20"/>
        </w:rPr>
        <w:t>(110) in O</w:t>
      </w:r>
      <w:r w:rsidR="00091697" w:rsidRPr="00562573">
        <w:rPr>
          <w:szCs w:val="20"/>
          <w:vertAlign w:val="subscript"/>
        </w:rPr>
        <w:t>2</w:t>
      </w:r>
      <w:r w:rsidR="00091697" w:rsidRPr="00562573">
        <w:rPr>
          <w:szCs w:val="20"/>
        </w:rPr>
        <w:t>-saturated 0.1 M electrolytes with different pH values at a scan rate of 10 mV/s. (</w:t>
      </w:r>
      <w:r w:rsidR="00144CFD">
        <w:rPr>
          <w:szCs w:val="20"/>
        </w:rPr>
        <w:t>e</w:t>
      </w:r>
      <w:r w:rsidR="00091697" w:rsidRPr="00562573">
        <w:rPr>
          <w:szCs w:val="20"/>
        </w:rPr>
        <w:t>) Tafel plots for the OER kinetics of IrO</w:t>
      </w:r>
      <w:r w:rsidR="00091697" w:rsidRPr="00562573">
        <w:rPr>
          <w:szCs w:val="20"/>
          <w:vertAlign w:val="subscript"/>
        </w:rPr>
        <w:t>2</w:t>
      </w:r>
      <w:r w:rsidR="00091697" w:rsidRPr="00562573">
        <w:rPr>
          <w:szCs w:val="20"/>
        </w:rPr>
        <w:t>(110) at different pH values. (</w:t>
      </w:r>
      <w:r w:rsidR="00144CFD">
        <w:rPr>
          <w:szCs w:val="20"/>
        </w:rPr>
        <w:t>f</w:t>
      </w:r>
      <w:r w:rsidR="00091697" w:rsidRPr="00562573">
        <w:rPr>
          <w:szCs w:val="20"/>
        </w:rPr>
        <w:t xml:space="preserve">) Overpotentials for the OER at 5 </w:t>
      </w:r>
      <w:proofErr w:type="spellStart"/>
      <w:r w:rsidR="00091697" w:rsidRPr="00562573">
        <w:rPr>
          <w:szCs w:val="20"/>
        </w:rPr>
        <w:t>μA</w:t>
      </w:r>
      <w:proofErr w:type="spellEnd"/>
      <w:r w:rsidR="00091697" w:rsidRPr="00562573">
        <w:rPr>
          <w:szCs w:val="20"/>
        </w:rPr>
        <w:t xml:space="preserve"> cm</w:t>
      </w:r>
      <w:r w:rsidR="00091697" w:rsidRPr="00562573">
        <w:rPr>
          <w:szCs w:val="20"/>
          <w:vertAlign w:val="superscript"/>
        </w:rPr>
        <w:t>-2</w:t>
      </w:r>
      <w:r w:rsidR="00091697" w:rsidRPr="00562573">
        <w:rPr>
          <w:szCs w:val="20"/>
          <w:vertAlign w:val="subscript"/>
        </w:rPr>
        <w:t>geo</w:t>
      </w:r>
      <w:r w:rsidR="00091697" w:rsidRPr="00562573">
        <w:rPr>
          <w:szCs w:val="20"/>
        </w:rPr>
        <w:t xml:space="preserve"> at different pH values. Reproduced</w:t>
      </w:r>
      <w:r w:rsidR="00870CFE" w:rsidRPr="00562573">
        <w:rPr>
          <w:szCs w:val="20"/>
        </w:rPr>
        <w:t xml:space="preserve"> with permission</w:t>
      </w:r>
      <w:r w:rsidR="00091697" w:rsidRPr="00562573">
        <w:rPr>
          <w:szCs w:val="20"/>
        </w:rPr>
        <w:t xml:space="preserve"> from Ref</w:t>
      </w:r>
      <w:r w:rsidR="00091697" w:rsidRPr="00562573">
        <w:rPr>
          <w:szCs w:val="20"/>
        </w:rPr>
        <w:fldChar w:fldCharType="begin"/>
      </w:r>
      <w:r w:rsidR="00FC5BEB">
        <w:rPr>
          <w:szCs w:val="20"/>
        </w:rPr>
        <w:instrText xml:space="preserve"> ADDIN EN.CITE &lt;EndNote&gt;&lt;Cite&gt;&lt;Author&gt;Kuo&lt;/Author&gt;&lt;Year&gt;2017&lt;/Year&gt;&lt;RecNum&gt;124&lt;/RecNum&gt;&lt;DisplayText&gt;&lt;style face="superscript"&gt;126&lt;/style&gt;&lt;/DisplayText&gt;&lt;record&gt;&lt;rec-number&gt;124&lt;/rec-number&gt;&lt;foreign-keys&gt;&lt;key app="EN" db-id="2xex0erf4eexr4e2dpbxpdd829xttesxxxdr" timestamp="1715075296"&gt;124&lt;/key&gt;&lt;/foreign-keys&gt;&lt;ref-type name="Journal Article"&gt;17&lt;/ref-type&gt;&lt;contributors&gt;&lt;authors&gt;&lt;author&gt;Kuo, Ding-Yuan&lt;/author&gt;&lt;author&gt;Kawasaki, Jason K.&lt;/author&gt;&lt;author&gt;Nelson, Jocienne N.&lt;/author&gt;&lt;author&gt;Kloppenburg, Jan&lt;/author&gt;&lt;author&gt;Hautier, Geoffroy&lt;/author&gt;&lt;author&gt;Shen, Kyle M.&lt;/author&gt;&lt;author&gt;Schlom, Darrell G.&lt;/author&gt;&lt;author&gt;Suntivich, Jin&lt;/author&gt;&lt;/authors&gt;&lt;/contributors&gt;&lt;titles&gt;&lt;title&gt;Influence of Surface Adsorption on the Oxygen Evolution Reaction on IrO2(110)&lt;/title&gt;&lt;secondary-title&gt;Journal of the American Chemical Society&lt;/secondary-title&gt;&lt;/titles&gt;&lt;periodical&gt;&lt;full-title&gt;Journal of the American Chemical Society&lt;/full-title&gt;&lt;abbr-1&gt;J. Am. Chem. Soc.&lt;/abbr-1&gt;&lt;abbr-2&gt;J Am Chem Soc&lt;/abbr-2&gt;&lt;/periodical&gt;&lt;pages&gt;3473-3479&lt;/pages&gt;&lt;volume&gt;139&lt;/volume&gt;&lt;number&gt;9&lt;/number&gt;&lt;dates&gt;&lt;year&gt;2017&lt;/year&gt;&lt;pub-dates&gt;&lt;date&gt;2017/03/08&lt;/date&gt;&lt;/pub-dates&gt;&lt;/dates&gt;&lt;publisher&gt;American Chemical Society&lt;/publisher&gt;&lt;isbn&gt;0002-7863&lt;/isbn&gt;&lt;urls&gt;&lt;related-urls&gt;&lt;url&gt;https://doi.org/10.1021/jacs.6b11932&lt;/url&gt;&lt;/related-urls&gt;&lt;/urls&gt;&lt;electronic-resource-num&gt;10.1021/jacs.6b11932&lt;/electronic-resource-num&gt;&lt;/record&gt;&lt;/Cite&gt;&lt;/EndNote&gt;</w:instrText>
      </w:r>
      <w:r w:rsidR="00091697" w:rsidRPr="00562573">
        <w:rPr>
          <w:szCs w:val="20"/>
        </w:rPr>
        <w:fldChar w:fldCharType="separate"/>
      </w:r>
      <w:r w:rsidR="00FC5BEB" w:rsidRPr="00FC5BEB">
        <w:rPr>
          <w:noProof/>
          <w:szCs w:val="20"/>
          <w:vertAlign w:val="superscript"/>
        </w:rPr>
        <w:t>126</w:t>
      </w:r>
      <w:r w:rsidR="00091697" w:rsidRPr="00562573">
        <w:rPr>
          <w:szCs w:val="20"/>
        </w:rPr>
        <w:fldChar w:fldCharType="end"/>
      </w:r>
      <w:r w:rsidR="003428B1">
        <w:rPr>
          <w:szCs w:val="20"/>
        </w:rPr>
        <w:t xml:space="preserve"> </w:t>
      </w:r>
      <w:r w:rsidR="003428B1" w:rsidRPr="003428B1">
        <w:rPr>
          <w:szCs w:val="20"/>
          <w:lang w:val="en-US"/>
        </w:rPr>
        <w:t xml:space="preserve">Copyright </w:t>
      </w:r>
      <w:r w:rsidR="003428B1">
        <w:rPr>
          <w:szCs w:val="20"/>
          <w:lang w:val="en-US"/>
        </w:rPr>
        <w:t>2017</w:t>
      </w:r>
      <w:r w:rsidR="003428B1" w:rsidRPr="003428B1">
        <w:rPr>
          <w:szCs w:val="20"/>
          <w:lang w:val="en-US"/>
        </w:rPr>
        <w:t xml:space="preserve"> American Chemical Society.</w:t>
      </w:r>
    </w:p>
    <w:p w14:paraId="1380A4D2" w14:textId="74F4A7BB" w:rsidR="00091697" w:rsidRPr="00C87FF4" w:rsidRDefault="00091697" w:rsidP="001F3796">
      <w:pPr>
        <w:pStyle w:val="Caption"/>
        <w:spacing w:after="0"/>
        <w:rPr>
          <w:bCs w:val="0"/>
        </w:rPr>
      </w:pPr>
    </w:p>
    <w:p w14:paraId="493FC4E6" w14:textId="77777777" w:rsidR="00091697" w:rsidRPr="00C87FF4" w:rsidRDefault="00091697" w:rsidP="00091697">
      <w:pPr>
        <w:rPr>
          <w:bCs/>
          <w:color w:val="000000" w:themeColor="text1"/>
        </w:rPr>
      </w:pPr>
    </w:p>
    <w:p w14:paraId="2E717B04" w14:textId="7EBCE3A4" w:rsidR="00091697" w:rsidRPr="00C87FF4" w:rsidRDefault="001F3796" w:rsidP="00091697">
      <w:pPr>
        <w:jc w:val="center"/>
        <w:rPr>
          <w:bCs/>
          <w:color w:val="000000" w:themeColor="text1"/>
        </w:rPr>
      </w:pPr>
      <w:r>
        <w:rPr>
          <w:bCs/>
          <w:noProof/>
          <w:color w:val="000000" w:themeColor="text1"/>
          <w14:ligatures w14:val="standardContextual"/>
        </w:rPr>
        <w:lastRenderedPageBreak/>
        <w:drawing>
          <wp:inline distT="0" distB="0" distL="0" distR="0" wp14:anchorId="2F761486" wp14:editId="14FCDCB6">
            <wp:extent cx="2271889" cy="3505200"/>
            <wp:effectExtent l="0" t="0" r="1905" b="0"/>
            <wp:docPr id="145460983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609839" name="Picture 1454609839"/>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313388" cy="3569227"/>
                    </a:xfrm>
                    <a:prstGeom prst="rect">
                      <a:avLst/>
                    </a:prstGeom>
                  </pic:spPr>
                </pic:pic>
              </a:graphicData>
            </a:graphic>
          </wp:inline>
        </w:drawing>
      </w:r>
    </w:p>
    <w:p w14:paraId="1F2430AF" w14:textId="6DD07412" w:rsidR="001A3853" w:rsidRPr="001A3853" w:rsidRDefault="00854B25" w:rsidP="001A3853">
      <w:pPr>
        <w:pStyle w:val="Caption"/>
        <w:rPr>
          <w:szCs w:val="20"/>
          <w:lang w:val="en-US"/>
        </w:rPr>
      </w:pPr>
      <w:bookmarkStart w:id="122" w:name="_Ref159526344"/>
      <w:r w:rsidRPr="00C87FF4">
        <w:rPr>
          <w:b/>
          <w:bCs w:val="0"/>
          <w:sz w:val="22"/>
        </w:rPr>
        <w:t xml:space="preserve">Figure </w:t>
      </w:r>
      <w:r w:rsidRPr="00C87FF4">
        <w:rPr>
          <w:b/>
          <w:bCs w:val="0"/>
          <w:sz w:val="22"/>
        </w:rPr>
        <w:fldChar w:fldCharType="begin"/>
      </w:r>
      <w:r w:rsidRPr="00C87FF4">
        <w:rPr>
          <w:b/>
          <w:bCs w:val="0"/>
          <w:sz w:val="22"/>
        </w:rPr>
        <w:instrText xml:space="preserve"> SEQ Figure \* ARABIC </w:instrText>
      </w:r>
      <w:r w:rsidRPr="00C87FF4">
        <w:rPr>
          <w:b/>
          <w:bCs w:val="0"/>
          <w:sz w:val="22"/>
        </w:rPr>
        <w:fldChar w:fldCharType="separate"/>
      </w:r>
      <w:r w:rsidR="00B52708">
        <w:rPr>
          <w:b/>
          <w:bCs w:val="0"/>
          <w:noProof/>
          <w:sz w:val="22"/>
        </w:rPr>
        <w:t>36</w:t>
      </w:r>
      <w:r w:rsidRPr="00C87FF4">
        <w:rPr>
          <w:b/>
          <w:bCs w:val="0"/>
          <w:sz w:val="22"/>
        </w:rPr>
        <w:fldChar w:fldCharType="end"/>
      </w:r>
      <w:bookmarkEnd w:id="122"/>
      <w:r w:rsidR="00091697" w:rsidRPr="00C87FF4">
        <w:rPr>
          <w:sz w:val="22"/>
        </w:rPr>
        <w:t xml:space="preserve"> </w:t>
      </w:r>
      <w:r w:rsidR="00091697" w:rsidRPr="00562573">
        <w:rPr>
          <w:szCs w:val="20"/>
        </w:rPr>
        <w:t>(</w:t>
      </w:r>
      <w:r w:rsidR="00144CFD">
        <w:rPr>
          <w:szCs w:val="20"/>
        </w:rPr>
        <w:t>a</w:t>
      </w:r>
      <w:r w:rsidR="00091697" w:rsidRPr="00562573">
        <w:rPr>
          <w:szCs w:val="20"/>
        </w:rPr>
        <w:t xml:space="preserve">) Experimentally measured adsorption energies of </w:t>
      </w:r>
      <w:proofErr w:type="spellStart"/>
      <w:r w:rsidR="00091697" w:rsidRPr="00562573">
        <w:rPr>
          <w:szCs w:val="20"/>
        </w:rPr>
        <w:t>O</w:t>
      </w:r>
      <w:r w:rsidR="00091697" w:rsidRPr="00562573">
        <w:rPr>
          <w:szCs w:val="20"/>
          <w:vertAlign w:val="subscript"/>
        </w:rPr>
        <w:t>ad</w:t>
      </w:r>
      <w:proofErr w:type="spellEnd"/>
      <w:r w:rsidR="00091697" w:rsidRPr="00562573">
        <w:rPr>
          <w:szCs w:val="20"/>
        </w:rPr>
        <w:t xml:space="preserve"> and </w:t>
      </w:r>
      <w:proofErr w:type="spellStart"/>
      <w:r w:rsidR="00091697" w:rsidRPr="00562573">
        <w:rPr>
          <w:szCs w:val="20"/>
        </w:rPr>
        <w:t>OH</w:t>
      </w:r>
      <w:r w:rsidR="00091697" w:rsidRPr="00562573">
        <w:rPr>
          <w:szCs w:val="20"/>
          <w:vertAlign w:val="subscript"/>
        </w:rPr>
        <w:t>ad</w:t>
      </w:r>
      <w:proofErr w:type="spellEnd"/>
      <w:r w:rsidR="00091697" w:rsidRPr="00562573">
        <w:rPr>
          <w:szCs w:val="20"/>
        </w:rPr>
        <w:t xml:space="preserve"> on RuO</w:t>
      </w:r>
      <w:r w:rsidR="00091697" w:rsidRPr="00562573">
        <w:rPr>
          <w:szCs w:val="20"/>
          <w:vertAlign w:val="subscript"/>
        </w:rPr>
        <w:t>2</w:t>
      </w:r>
      <w:r w:rsidR="00091697" w:rsidRPr="00562573">
        <w:rPr>
          <w:szCs w:val="20"/>
        </w:rPr>
        <w:t xml:space="preserve">(110) (blue: without phosphate; </w:t>
      </w:r>
      <w:proofErr w:type="spellStart"/>
      <w:r w:rsidR="00091697" w:rsidRPr="00562573">
        <w:rPr>
          <w:szCs w:val="20"/>
        </w:rPr>
        <w:t>gray</w:t>
      </w:r>
      <w:proofErr w:type="spellEnd"/>
      <w:r w:rsidR="00091697" w:rsidRPr="00562573">
        <w:rPr>
          <w:szCs w:val="20"/>
        </w:rPr>
        <w:t xml:space="preserve"> and light </w:t>
      </w:r>
      <w:proofErr w:type="spellStart"/>
      <w:r w:rsidR="00091697" w:rsidRPr="00562573">
        <w:rPr>
          <w:szCs w:val="20"/>
        </w:rPr>
        <w:t>gray</w:t>
      </w:r>
      <w:proofErr w:type="spellEnd"/>
      <w:r w:rsidR="00091697" w:rsidRPr="00562573">
        <w:rPr>
          <w:szCs w:val="20"/>
        </w:rPr>
        <w:t>: with phosphate) and IrO</w:t>
      </w:r>
      <w:r w:rsidR="00091697" w:rsidRPr="00562573">
        <w:rPr>
          <w:szCs w:val="20"/>
          <w:vertAlign w:val="subscript"/>
        </w:rPr>
        <w:t>2</w:t>
      </w:r>
      <w:r w:rsidR="00091697" w:rsidRPr="00562573">
        <w:rPr>
          <w:szCs w:val="20"/>
        </w:rPr>
        <w:t xml:space="preserve">(110) (red) at different </w:t>
      </w:r>
      <w:proofErr w:type="spellStart"/>
      <w:r w:rsidR="00091697" w:rsidRPr="00562573">
        <w:rPr>
          <w:szCs w:val="20"/>
        </w:rPr>
        <w:t>pH.</w:t>
      </w:r>
      <w:proofErr w:type="spellEnd"/>
      <w:r w:rsidR="00091697" w:rsidRPr="00562573">
        <w:rPr>
          <w:szCs w:val="20"/>
        </w:rPr>
        <w:t xml:space="preserve"> (</w:t>
      </w:r>
      <w:r w:rsidR="00144CFD">
        <w:rPr>
          <w:szCs w:val="20"/>
        </w:rPr>
        <w:t>b</w:t>
      </w:r>
      <w:r w:rsidR="00091697" w:rsidRPr="00562573">
        <w:rPr>
          <w:szCs w:val="20"/>
        </w:rPr>
        <w:t>) Comparison of the OER current density at 1.63 V vs RHE of RuO</w:t>
      </w:r>
      <w:r w:rsidR="00091697" w:rsidRPr="00562573">
        <w:rPr>
          <w:szCs w:val="20"/>
          <w:vertAlign w:val="subscript"/>
        </w:rPr>
        <w:t>2</w:t>
      </w:r>
      <w:r w:rsidR="00091697" w:rsidRPr="00562573">
        <w:rPr>
          <w:szCs w:val="20"/>
        </w:rPr>
        <w:t>(110) and IrO</w:t>
      </w:r>
      <w:r w:rsidR="00091697" w:rsidRPr="00562573">
        <w:rPr>
          <w:szCs w:val="20"/>
          <w:vertAlign w:val="subscript"/>
        </w:rPr>
        <w:t>2</w:t>
      </w:r>
      <w:r w:rsidR="00091697" w:rsidRPr="00562573">
        <w:rPr>
          <w:szCs w:val="20"/>
        </w:rPr>
        <w:t xml:space="preserve">(110) at different </w:t>
      </w:r>
      <w:proofErr w:type="spellStart"/>
      <w:r w:rsidR="00091697" w:rsidRPr="00562573">
        <w:rPr>
          <w:szCs w:val="20"/>
        </w:rPr>
        <w:t>pH.</w:t>
      </w:r>
      <w:proofErr w:type="spellEnd"/>
      <w:r w:rsidR="00091697" w:rsidRPr="00562573">
        <w:rPr>
          <w:szCs w:val="20"/>
        </w:rPr>
        <w:t xml:space="preserve"> The </w:t>
      </w:r>
      <w:r w:rsidR="002A09AD" w:rsidRPr="00562573">
        <w:rPr>
          <w:szCs w:val="20"/>
        </w:rPr>
        <w:t>label</w:t>
      </w:r>
      <w:r w:rsidR="00536CF0">
        <w:rPr>
          <w:szCs w:val="20"/>
        </w:rPr>
        <w:t>l</w:t>
      </w:r>
      <w:r w:rsidR="002A09AD" w:rsidRPr="00562573">
        <w:rPr>
          <w:szCs w:val="20"/>
        </w:rPr>
        <w:t>ed</w:t>
      </w:r>
      <w:r w:rsidR="00091697" w:rsidRPr="00562573">
        <w:rPr>
          <w:szCs w:val="20"/>
        </w:rPr>
        <w:t xml:space="preserve"> (*) symbols indicate the electrolytes with phosphate ion. Reproduced </w:t>
      </w:r>
      <w:r w:rsidR="00870CFE" w:rsidRPr="00562573">
        <w:rPr>
          <w:szCs w:val="20"/>
        </w:rPr>
        <w:t xml:space="preserve">with permission </w:t>
      </w:r>
      <w:r w:rsidR="00091697" w:rsidRPr="00562573">
        <w:rPr>
          <w:szCs w:val="20"/>
        </w:rPr>
        <w:t>from Ref</w:t>
      </w:r>
      <w:r w:rsidR="00091697" w:rsidRPr="00562573">
        <w:rPr>
          <w:szCs w:val="20"/>
        </w:rPr>
        <w:fldChar w:fldCharType="begin"/>
      </w:r>
      <w:r w:rsidR="00FC5BEB">
        <w:rPr>
          <w:szCs w:val="20"/>
        </w:rPr>
        <w:instrText xml:space="preserve"> ADDIN EN.CITE &lt;EndNote&gt;&lt;Cite&gt;&lt;Author&gt;Kuo&lt;/Author&gt;&lt;Year&gt;2018&lt;/Year&gt;&lt;RecNum&gt;439&lt;/RecNum&gt;&lt;DisplayText&gt;&lt;style face="superscript"&gt;441&lt;/style&gt;&lt;/DisplayText&gt;&lt;record&gt;&lt;rec-number&gt;439&lt;/rec-number&gt;&lt;foreign-keys&gt;&lt;key app="EN" db-id="2xex0erf4eexr4e2dpbxpdd829xttesxxxdr" timestamp="1715075297"&gt;439&lt;/key&gt;&lt;/foreign-keys&gt;&lt;ref-type name="Journal Article"&gt;17&lt;/ref-type&gt;&lt;contributors&gt;&lt;authors&gt;&lt;author&gt;Kuo, Ding-Yuan&lt;/author&gt;&lt;author&gt;Paik, Hanjong&lt;/author&gt;&lt;author&gt;Kloppenburg, Jan&lt;/author&gt;&lt;author&gt;Faeth, Brendan&lt;/author&gt;&lt;author&gt;Shen, Kyle M.&lt;/author&gt;&lt;author&gt;Schlom, Darrell G.&lt;/author&gt;&lt;author&gt;Hautier, Geoffroy&lt;/author&gt;&lt;author&gt;Suntivich, Jin&lt;/author&gt;&lt;/authors&gt;&lt;/contributors&gt;&lt;titles&gt;&lt;title&gt;Measurements of Oxygen Electroadsorption Energies and Oxygen Evolution Reaction on RuO2(110): A Discussion of the Sabatier Principle and its Role in Electrocatalysis&lt;/title&gt;&lt;secondary-title&gt;J. Am. Chem. Soc.&lt;/secondary-title&gt;&lt;/titles&gt;&lt;periodical&gt;&lt;full-title&gt;Journal of the American Chemical Society&lt;/full-title&gt;&lt;abbr-1&gt;J. Am. Chem. Soc.&lt;/abbr-1&gt;&lt;abbr-2&gt;J Am Chem Soc&lt;/abbr-2&gt;&lt;/periodical&gt;&lt;pages&gt;17597–17605&lt;/pages&gt;&lt;volume&gt;2&lt;/volume&gt;&lt;number&gt;110&lt;/number&gt;&lt;dates&gt;&lt;year&gt;2018&lt;/year&gt;&lt;/dates&gt;&lt;urls&gt;&lt;related-urls&gt;&lt;url&gt;http://pubs.acs.org/doi/10.1021/jacs.8b09657&lt;/url&gt;&lt;/related-urls&gt;&lt;/urls&gt;&lt;electronic-resource-num&gt;10.1021/jacs.8b09657&lt;/electronic-resource-num&gt;&lt;/record&gt;&lt;/Cite&gt;&lt;/EndNote&gt;</w:instrText>
      </w:r>
      <w:r w:rsidR="00091697" w:rsidRPr="00562573">
        <w:rPr>
          <w:szCs w:val="20"/>
        </w:rPr>
        <w:fldChar w:fldCharType="separate"/>
      </w:r>
      <w:r w:rsidR="00FC5BEB" w:rsidRPr="00FC5BEB">
        <w:rPr>
          <w:noProof/>
          <w:szCs w:val="20"/>
          <w:vertAlign w:val="superscript"/>
        </w:rPr>
        <w:t>441</w:t>
      </w:r>
      <w:r w:rsidR="00091697" w:rsidRPr="00562573">
        <w:rPr>
          <w:szCs w:val="20"/>
        </w:rPr>
        <w:fldChar w:fldCharType="end"/>
      </w:r>
      <w:r w:rsidR="001A3853">
        <w:rPr>
          <w:szCs w:val="20"/>
        </w:rPr>
        <w:t xml:space="preserve"> </w:t>
      </w:r>
      <w:r w:rsidR="001A3853" w:rsidRPr="001A3853">
        <w:rPr>
          <w:szCs w:val="20"/>
          <w:lang w:val="en-US"/>
        </w:rPr>
        <w:t>Copyright 201</w:t>
      </w:r>
      <w:r w:rsidR="001A3853">
        <w:rPr>
          <w:szCs w:val="20"/>
          <w:lang w:val="en-US"/>
        </w:rPr>
        <w:t>8</w:t>
      </w:r>
      <w:r w:rsidR="001A3853" w:rsidRPr="001A3853">
        <w:rPr>
          <w:szCs w:val="20"/>
          <w:lang w:val="en-US"/>
        </w:rPr>
        <w:t xml:space="preserve"> American Chemical Society.</w:t>
      </w:r>
    </w:p>
    <w:p w14:paraId="26150C12" w14:textId="68D3AAC4" w:rsidR="003A4C8A" w:rsidRPr="003A4C8A" w:rsidRDefault="003A4C8A" w:rsidP="003A4C8A">
      <w:pPr>
        <w:pStyle w:val="Caption"/>
        <w:rPr>
          <w:szCs w:val="20"/>
        </w:rPr>
      </w:pPr>
    </w:p>
    <w:p w14:paraId="4B348F6F" w14:textId="77777777" w:rsidR="00091697" w:rsidRPr="00C87FF4" w:rsidRDefault="00091697" w:rsidP="00091697">
      <w:pPr>
        <w:rPr>
          <w:bCs/>
          <w:color w:val="000000" w:themeColor="text1"/>
        </w:rPr>
      </w:pPr>
    </w:p>
    <w:p w14:paraId="3A6F7CA7" w14:textId="0C05DD8C" w:rsidR="00091697" w:rsidRPr="00C87FF4" w:rsidRDefault="00F22A67" w:rsidP="00091697">
      <w:pPr>
        <w:rPr>
          <w:bCs/>
          <w:color w:val="000000" w:themeColor="text1"/>
        </w:rPr>
      </w:pPr>
      <w:r>
        <w:rPr>
          <w:bCs/>
          <w:noProof/>
          <w:color w:val="000000" w:themeColor="text1"/>
          <w14:ligatures w14:val="standardContextual"/>
        </w:rPr>
        <w:lastRenderedPageBreak/>
        <w:drawing>
          <wp:inline distT="0" distB="0" distL="0" distR="0" wp14:anchorId="5811056C" wp14:editId="648CB689">
            <wp:extent cx="5731510" cy="4580255"/>
            <wp:effectExtent l="0" t="0" r="0" b="4445"/>
            <wp:docPr id="181292215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2922158" name="Picture 1812922158"/>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731510" cy="4580255"/>
                    </a:xfrm>
                    <a:prstGeom prst="rect">
                      <a:avLst/>
                    </a:prstGeom>
                  </pic:spPr>
                </pic:pic>
              </a:graphicData>
            </a:graphic>
          </wp:inline>
        </w:drawing>
      </w:r>
    </w:p>
    <w:p w14:paraId="5CFA90F8" w14:textId="7F2342C6" w:rsidR="00F67146" w:rsidRPr="00F67146" w:rsidRDefault="00854B25" w:rsidP="00F67146">
      <w:pPr>
        <w:pStyle w:val="Caption"/>
        <w:rPr>
          <w:lang w:val="en-US"/>
        </w:rPr>
      </w:pPr>
      <w:bookmarkStart w:id="123" w:name="_Ref159526528"/>
      <w:r w:rsidRPr="00C87FF4">
        <w:rPr>
          <w:b/>
          <w:bCs w:val="0"/>
          <w:sz w:val="22"/>
        </w:rPr>
        <w:t xml:space="preserve">Figure </w:t>
      </w:r>
      <w:r w:rsidRPr="00C87FF4">
        <w:rPr>
          <w:b/>
          <w:bCs w:val="0"/>
          <w:sz w:val="22"/>
        </w:rPr>
        <w:fldChar w:fldCharType="begin"/>
      </w:r>
      <w:r w:rsidRPr="00C87FF4">
        <w:rPr>
          <w:b/>
          <w:bCs w:val="0"/>
          <w:sz w:val="22"/>
        </w:rPr>
        <w:instrText xml:space="preserve"> SEQ Figure \* ARABIC </w:instrText>
      </w:r>
      <w:r w:rsidRPr="00C87FF4">
        <w:rPr>
          <w:b/>
          <w:bCs w:val="0"/>
          <w:sz w:val="22"/>
        </w:rPr>
        <w:fldChar w:fldCharType="separate"/>
      </w:r>
      <w:r w:rsidR="00B52708">
        <w:rPr>
          <w:b/>
          <w:bCs w:val="0"/>
          <w:noProof/>
          <w:sz w:val="22"/>
        </w:rPr>
        <w:t>37</w:t>
      </w:r>
      <w:r w:rsidRPr="00C87FF4">
        <w:rPr>
          <w:b/>
          <w:bCs w:val="0"/>
          <w:sz w:val="22"/>
        </w:rPr>
        <w:fldChar w:fldCharType="end"/>
      </w:r>
      <w:bookmarkEnd w:id="123"/>
      <w:r w:rsidR="00091697" w:rsidRPr="00C87FF4">
        <w:rPr>
          <w:sz w:val="22"/>
        </w:rPr>
        <w:t xml:space="preserve"> </w:t>
      </w:r>
      <w:r w:rsidR="00091697" w:rsidRPr="00562573">
        <w:rPr>
          <w:szCs w:val="20"/>
        </w:rPr>
        <w:t xml:space="preserve">pH Dependence of the Ru Redox at ~1.35 V and OER Current. (A and B) CV measurements at 50 mV/s in </w:t>
      </w:r>
      <w:proofErr w:type="spellStart"/>
      <w:r w:rsidR="00091697" w:rsidRPr="00562573">
        <w:rPr>
          <w:szCs w:val="20"/>
        </w:rPr>
        <w:t>Ar</w:t>
      </w:r>
      <w:proofErr w:type="spellEnd"/>
      <w:r w:rsidR="00091697" w:rsidRPr="00562573">
        <w:rPr>
          <w:szCs w:val="20"/>
        </w:rPr>
        <w:t>-saturated KOH for the (100) surface (A) and the (101) surface (B).</w:t>
      </w:r>
      <w:r w:rsidR="00562573">
        <w:rPr>
          <w:szCs w:val="20"/>
        </w:rPr>
        <w:t xml:space="preserve"> </w:t>
      </w:r>
      <w:r w:rsidR="00091697" w:rsidRPr="00C87FF4">
        <w:t xml:space="preserve">(C) The pH dependence (reaction order) for OER activity on the RHE scale was measured by CV (solid) and </w:t>
      </w:r>
      <w:proofErr w:type="spellStart"/>
      <w:r w:rsidR="00091697" w:rsidRPr="00C87FF4">
        <w:t>potentiostatic</w:t>
      </w:r>
      <w:proofErr w:type="spellEnd"/>
      <w:r w:rsidR="00091697" w:rsidRPr="00C87FF4">
        <w:t xml:space="preserve"> (open) measurements. The super-Nernstian shift of the redox peak at ~1.35 V on the RHE scale is shown for comparison. (D and E) Position of Ru redox (left, circle) and OER current at 1.51 V on the RHE scale (right, triangle) and the pH used for determining the reaction order and super-Nernstian shift, which are negligible for the (100) surface (D) and notable for the (101) surface (E). Reproduced </w:t>
      </w:r>
      <w:r w:rsidR="00D655E5">
        <w:t xml:space="preserve">with permission </w:t>
      </w:r>
      <w:r w:rsidR="00091697" w:rsidRPr="00C87FF4">
        <w:t>from Ref</w:t>
      </w:r>
      <w:r w:rsidR="00091697" w:rsidRPr="00C87FF4">
        <w:fldChar w:fldCharType="begin"/>
      </w:r>
      <w:r w:rsidR="00FC5BEB">
        <w:instrText xml:space="preserve"> ADDIN EN.CITE &lt;EndNote&gt;&lt;Cite&gt;&lt;Author&gt;Stoerzinger&lt;/Author&gt;&lt;Year&gt;2017&lt;/Year&gt;&lt;RecNum&gt;306&lt;/RecNum&gt;&lt;DisplayText&gt;&lt;style face="superscript"&gt;308&lt;/style&gt;&lt;/DisplayText&gt;&lt;record&gt;&lt;rec-number&gt;306&lt;/rec-number&gt;&lt;foreign-keys&gt;&lt;key app="EN" db-id="2xex0erf4eexr4e2dpbxpdd829xttesxxxdr" timestamp="1715075296"&gt;306&lt;/key&gt;&lt;/foreign-keys&gt;&lt;ref-type name="Journal Article"&gt;17&lt;/ref-type&gt;&lt;contributors&gt;&lt;authors&gt;&lt;author&gt;Stoerzinger, Kelsey A.&lt;/author&gt;&lt;author&gt;Rao, Reshma R.&lt;/author&gt;&lt;author&gt;Wang, Xiao Renshaw&lt;/author&gt;&lt;author&gt;Hong, Wesley T.&lt;/author&gt;&lt;author&gt;Rouleau, Christopher M.&lt;/author&gt;&lt;author&gt;Shao-Horn, Yang&lt;/author&gt;&lt;/authors&gt;&lt;/contributors&gt;&lt;titles&gt;&lt;title&gt;The Role of Ru Redox in pH-Dependent Oxygen Evolution on Rutile Ruthenium Dioxide Surfaces&lt;/title&gt;&lt;secondary-title&gt;Chem&lt;/secondary-title&gt;&lt;/titles&gt;&lt;pages&gt;668-675&lt;/pages&gt;&lt;volume&gt;2&lt;/volume&gt;&lt;number&gt;5&lt;/number&gt;&lt;keywords&gt;&lt;keyword&gt;OER&lt;/keyword&gt;&lt;keyword&gt;RuO2&lt;/keyword&gt;&lt;keyword&gt;electrocatalysis&lt;/keyword&gt;&lt;keyword&gt;orientation-dependent&lt;/keyword&gt;&lt;keyword&gt;oxygen evolution reaction&lt;/keyword&gt;&lt;keyword&gt;pH&lt;/keyword&gt;&lt;keyword&gt;ruthenium dioxide&lt;/keyword&gt;&lt;keyword&gt;super-Nernstian&lt;/keyword&gt;&lt;keyword&gt;thin film&lt;/keyword&gt;&lt;keyword&gt;water splitting&lt;/keyword&gt;&lt;/keywords&gt;&lt;dates&gt;&lt;year&gt;2017&lt;/year&gt;&lt;/dates&gt;&lt;publisher&gt;Elsevier Inc.&lt;/publisher&gt;&lt;urls&gt;&lt;/urls&gt;&lt;electronic-resource-num&gt;10.1016/j.chempr.2017.04.001&lt;/electronic-resource-num&gt;&lt;/record&gt;&lt;/Cite&gt;&lt;/EndNote&gt;</w:instrText>
      </w:r>
      <w:r w:rsidR="00091697" w:rsidRPr="00C87FF4">
        <w:fldChar w:fldCharType="separate"/>
      </w:r>
      <w:r w:rsidR="00FC5BEB" w:rsidRPr="00FC5BEB">
        <w:rPr>
          <w:noProof/>
          <w:vertAlign w:val="superscript"/>
        </w:rPr>
        <w:t>308</w:t>
      </w:r>
      <w:r w:rsidR="00091697" w:rsidRPr="00C87FF4">
        <w:fldChar w:fldCharType="end"/>
      </w:r>
      <w:r w:rsidR="00F67146">
        <w:t xml:space="preserve"> </w:t>
      </w:r>
      <w:r w:rsidR="00F67146" w:rsidRPr="00F67146">
        <w:rPr>
          <w:lang w:val="en-US"/>
        </w:rPr>
        <w:t xml:space="preserve">Copyright </w:t>
      </w:r>
      <w:r w:rsidR="00F67146">
        <w:rPr>
          <w:lang w:val="en-US"/>
        </w:rPr>
        <w:t>2017</w:t>
      </w:r>
      <w:r w:rsidR="00F67146" w:rsidRPr="00F67146">
        <w:rPr>
          <w:lang w:val="en-US"/>
        </w:rPr>
        <w:t xml:space="preserve"> Elsevier.</w:t>
      </w:r>
    </w:p>
    <w:p w14:paraId="483D4B2B" w14:textId="1B4B0862" w:rsidR="00091697" w:rsidRPr="00562573" w:rsidRDefault="00091697" w:rsidP="00562573">
      <w:pPr>
        <w:pStyle w:val="Caption"/>
        <w:rPr>
          <w:sz w:val="22"/>
        </w:rPr>
      </w:pPr>
    </w:p>
    <w:p w14:paraId="72799BEA" w14:textId="77777777" w:rsidR="00091697" w:rsidRPr="00C87FF4" w:rsidRDefault="00091697" w:rsidP="00091697">
      <w:pPr>
        <w:rPr>
          <w:color w:val="000000" w:themeColor="text1"/>
          <w:szCs w:val="22"/>
          <w:lang w:val="en-GB"/>
        </w:rPr>
      </w:pPr>
    </w:p>
    <w:p w14:paraId="6C9BC21F" w14:textId="06ED1CE5" w:rsidR="00091697" w:rsidRPr="00C87FF4" w:rsidRDefault="00091697" w:rsidP="00854B25">
      <w:pPr>
        <w:ind w:firstLine="720"/>
        <w:rPr>
          <w:bCs/>
          <w:color w:val="000000" w:themeColor="text1"/>
        </w:rPr>
      </w:pPr>
      <w:proofErr w:type="spellStart"/>
      <w:r w:rsidRPr="00C87FF4">
        <w:rPr>
          <w:bCs/>
          <w:color w:val="000000" w:themeColor="text1"/>
        </w:rPr>
        <w:t>Stoerzinger</w:t>
      </w:r>
      <w:proofErr w:type="spellEnd"/>
      <w:r w:rsidRPr="00C87FF4">
        <w:rPr>
          <w:bCs/>
          <w:color w:val="000000" w:themeColor="text1"/>
        </w:rPr>
        <w:t xml:space="preserve"> et al.</w:t>
      </w:r>
      <w:r w:rsidRPr="00C87FF4">
        <w:rPr>
          <w:bCs/>
          <w:color w:val="000000" w:themeColor="text1"/>
        </w:rPr>
        <w:fldChar w:fldCharType="begin"/>
      </w:r>
      <w:r w:rsidR="00FC5BEB">
        <w:rPr>
          <w:bCs/>
          <w:color w:val="000000" w:themeColor="text1"/>
        </w:rPr>
        <w:instrText xml:space="preserve"> ADDIN EN.CITE &lt;EndNote&gt;&lt;Cite&gt;&lt;Author&gt;Stoerzinger&lt;/Author&gt;&lt;Year&gt;2017&lt;/Year&gt;&lt;RecNum&gt;306&lt;/RecNum&gt;&lt;DisplayText&gt;&lt;style face="superscript"&gt;308&lt;/style&gt;&lt;/DisplayText&gt;&lt;record&gt;&lt;rec-number&gt;306&lt;/rec-number&gt;&lt;foreign-keys&gt;&lt;key app="EN" db-id="2xex0erf4eexr4e2dpbxpdd829xttesxxxdr" timestamp="1715075296"&gt;306&lt;/key&gt;&lt;/foreign-keys&gt;&lt;ref-type name="Journal Article"&gt;17&lt;/ref-type&gt;&lt;contributors&gt;&lt;authors&gt;&lt;author&gt;Stoerzinger, Kelsey A.&lt;/author&gt;&lt;author&gt;Rao, Reshma R.&lt;/author&gt;&lt;author&gt;Wang, Xiao Renshaw&lt;/author&gt;&lt;author&gt;Hong, Wesley T.&lt;/author&gt;&lt;author&gt;Rouleau, Christopher M.&lt;/author&gt;&lt;author&gt;Shao-Horn, Yang&lt;/author&gt;&lt;/authors&gt;&lt;/contributors&gt;&lt;titles&gt;&lt;title&gt;The Role of Ru Redox in pH-Dependent Oxygen Evolution on Rutile Ruthenium Dioxide Surfaces&lt;/title&gt;&lt;secondary-title&gt;Chem&lt;/secondary-title&gt;&lt;/titles&gt;&lt;pages&gt;668-675&lt;/pages&gt;&lt;volume&gt;2&lt;/volume&gt;&lt;number&gt;5&lt;/number&gt;&lt;keywords&gt;&lt;keyword&gt;OER&lt;/keyword&gt;&lt;keyword&gt;RuO2&lt;/keyword&gt;&lt;keyword&gt;electrocatalysis&lt;/keyword&gt;&lt;keyword&gt;orientation-dependent&lt;/keyword&gt;&lt;keyword&gt;oxygen evolution reaction&lt;/keyword&gt;&lt;keyword&gt;pH&lt;/keyword&gt;&lt;keyword&gt;ruthenium dioxide&lt;/keyword&gt;&lt;keyword&gt;super-Nernstian&lt;/keyword&gt;&lt;keyword&gt;thin film&lt;/keyword&gt;&lt;keyword&gt;water splitting&lt;/keyword&gt;&lt;/keywords&gt;&lt;dates&gt;&lt;year&gt;2017&lt;/year&gt;&lt;/dates&gt;&lt;publisher&gt;Elsevier Inc.&lt;/publisher&gt;&lt;urls&gt;&lt;/urls&gt;&lt;electronic-resource-num&gt;10.1016/j.chempr.2017.04.001&lt;/electronic-resource-num&gt;&lt;/record&gt;&lt;/Cite&gt;&lt;/EndNote&gt;</w:instrText>
      </w:r>
      <w:r w:rsidRPr="00C87FF4">
        <w:rPr>
          <w:bCs/>
          <w:color w:val="000000" w:themeColor="text1"/>
        </w:rPr>
        <w:fldChar w:fldCharType="separate"/>
      </w:r>
      <w:r w:rsidR="00FC5BEB" w:rsidRPr="00FC5BEB">
        <w:rPr>
          <w:bCs/>
          <w:noProof/>
          <w:color w:val="000000" w:themeColor="text1"/>
          <w:vertAlign w:val="superscript"/>
        </w:rPr>
        <w:t>308</w:t>
      </w:r>
      <w:r w:rsidRPr="00C87FF4">
        <w:rPr>
          <w:bCs/>
          <w:color w:val="000000" w:themeColor="text1"/>
        </w:rPr>
        <w:fldChar w:fldCharType="end"/>
      </w:r>
      <w:r w:rsidRPr="00C87FF4">
        <w:rPr>
          <w:bCs/>
          <w:color w:val="000000" w:themeColor="text1"/>
        </w:rPr>
        <w:t xml:space="preserve"> performed a similar study over differently oriented RuO</w:t>
      </w:r>
      <w:r w:rsidRPr="00C87FF4">
        <w:rPr>
          <w:bCs/>
          <w:color w:val="000000" w:themeColor="text1"/>
          <w:vertAlign w:val="subscript"/>
        </w:rPr>
        <w:t>2</w:t>
      </w:r>
      <w:r w:rsidRPr="00C87FF4">
        <w:rPr>
          <w:bCs/>
          <w:color w:val="000000" w:themeColor="text1"/>
        </w:rPr>
        <w:t xml:space="preserve"> surfaces under alkaline conditions (in 0.03-1 M KOH; pH: 12.5-14.0), </w:t>
      </w:r>
      <w:r w:rsidR="00854B25" w:rsidRPr="00C87FF4">
        <w:rPr>
          <w:bCs/>
          <w:color w:val="000000" w:themeColor="text1"/>
        </w:rPr>
        <w:fldChar w:fldCharType="begin"/>
      </w:r>
      <w:r w:rsidR="00854B25" w:rsidRPr="00C87FF4">
        <w:rPr>
          <w:bCs/>
          <w:color w:val="000000" w:themeColor="text1"/>
        </w:rPr>
        <w:instrText xml:space="preserve"> REF _Ref159526528 \h </w:instrText>
      </w:r>
      <w:r w:rsidR="00854B25" w:rsidRPr="00C87FF4">
        <w:rPr>
          <w:bCs/>
          <w:color w:val="000000" w:themeColor="text1"/>
        </w:rPr>
      </w:r>
      <w:r w:rsidR="00854B25" w:rsidRPr="00C87FF4">
        <w:rPr>
          <w:bCs/>
          <w:color w:val="000000" w:themeColor="text1"/>
        </w:rPr>
        <w:fldChar w:fldCharType="separate"/>
      </w:r>
      <w:r w:rsidR="00B52708" w:rsidRPr="00C87FF4">
        <w:rPr>
          <w:b/>
          <w:bCs/>
        </w:rPr>
        <w:t xml:space="preserve">Figure </w:t>
      </w:r>
      <w:r w:rsidR="00B52708">
        <w:rPr>
          <w:b/>
          <w:bCs/>
          <w:noProof/>
        </w:rPr>
        <w:t>37</w:t>
      </w:r>
      <w:r w:rsidR="00854B25" w:rsidRPr="00C87FF4">
        <w:rPr>
          <w:bCs/>
          <w:color w:val="000000" w:themeColor="text1"/>
        </w:rPr>
        <w:fldChar w:fldCharType="end"/>
      </w:r>
      <w:r w:rsidRPr="00C87FF4">
        <w:rPr>
          <w:bCs/>
          <w:color w:val="000000" w:themeColor="text1"/>
        </w:rPr>
        <w:t>. They find a Nernstian shift of the redox transition before the OER onset (at approx. 1.35 V) on the (110) and (100) surfaces but gradually increasing non-Nernstian (termed super-Nernstian) shift in ascending order from the (111) to (001) to (101) surfaces, on the latter of which it was 27 mV/</w:t>
      </w:r>
      <w:proofErr w:type="spellStart"/>
      <w:r w:rsidRPr="00C87FF4">
        <w:rPr>
          <w:bCs/>
          <w:color w:val="000000" w:themeColor="text1"/>
        </w:rPr>
        <w:t>pH.</w:t>
      </w:r>
      <w:proofErr w:type="spellEnd"/>
      <w:r w:rsidRPr="00C87FF4">
        <w:rPr>
          <w:bCs/>
          <w:color w:val="000000" w:themeColor="text1"/>
        </w:rPr>
        <w:t xml:space="preserve"> The super-Nernstian shift of this redox peak scaled with the pH dependence of OER activity (</w:t>
      </w:r>
      <w:r w:rsidR="00854B25" w:rsidRPr="00C87FF4">
        <w:rPr>
          <w:bCs/>
          <w:color w:val="000000" w:themeColor="text1"/>
        </w:rPr>
        <w:fldChar w:fldCharType="begin"/>
      </w:r>
      <w:r w:rsidR="00854B25" w:rsidRPr="00C87FF4">
        <w:rPr>
          <w:bCs/>
          <w:color w:val="000000" w:themeColor="text1"/>
        </w:rPr>
        <w:instrText xml:space="preserve"> REF _Ref159526528 \h </w:instrText>
      </w:r>
      <w:r w:rsidR="00854B25" w:rsidRPr="00C87FF4">
        <w:rPr>
          <w:bCs/>
          <w:color w:val="000000" w:themeColor="text1"/>
        </w:rPr>
      </w:r>
      <w:r w:rsidR="00854B25" w:rsidRPr="00C87FF4">
        <w:rPr>
          <w:bCs/>
          <w:color w:val="000000" w:themeColor="text1"/>
        </w:rPr>
        <w:fldChar w:fldCharType="separate"/>
      </w:r>
      <w:r w:rsidR="00B52708" w:rsidRPr="00C87FF4">
        <w:rPr>
          <w:b/>
          <w:bCs/>
        </w:rPr>
        <w:t xml:space="preserve">Figure </w:t>
      </w:r>
      <w:r w:rsidR="00B52708">
        <w:rPr>
          <w:b/>
          <w:bCs/>
          <w:noProof/>
        </w:rPr>
        <w:t>37</w:t>
      </w:r>
      <w:r w:rsidR="00854B25" w:rsidRPr="00C87FF4">
        <w:rPr>
          <w:bCs/>
          <w:color w:val="000000" w:themeColor="text1"/>
        </w:rPr>
        <w:fldChar w:fldCharType="end"/>
      </w:r>
      <w:r w:rsidR="00144CFD">
        <w:rPr>
          <w:b/>
          <w:color w:val="000000" w:themeColor="text1"/>
        </w:rPr>
        <w:t>c</w:t>
      </w:r>
      <w:r w:rsidRPr="00C87FF4">
        <w:rPr>
          <w:bCs/>
          <w:color w:val="000000" w:themeColor="text1"/>
        </w:rPr>
        <w:t xml:space="preserve">), such that the larger negative redox shift was accompanied by a greater pH dependence of OER activity. Although the actual magnitude of these quantities is somewhat ambiguous at close to zero dependence (e.g. the (100) orientation in </w:t>
      </w:r>
      <w:r w:rsidR="00854B25" w:rsidRPr="00C87FF4">
        <w:rPr>
          <w:bCs/>
          <w:color w:val="000000" w:themeColor="text1"/>
        </w:rPr>
        <w:fldChar w:fldCharType="begin"/>
      </w:r>
      <w:r w:rsidR="00854B25" w:rsidRPr="00C87FF4">
        <w:rPr>
          <w:bCs/>
          <w:color w:val="000000" w:themeColor="text1"/>
        </w:rPr>
        <w:instrText xml:space="preserve"> REF _Ref159526528 \h </w:instrText>
      </w:r>
      <w:r w:rsidR="00854B25" w:rsidRPr="00C87FF4">
        <w:rPr>
          <w:bCs/>
          <w:color w:val="000000" w:themeColor="text1"/>
        </w:rPr>
      </w:r>
      <w:r w:rsidR="00854B25" w:rsidRPr="00C87FF4">
        <w:rPr>
          <w:bCs/>
          <w:color w:val="000000" w:themeColor="text1"/>
        </w:rPr>
        <w:fldChar w:fldCharType="separate"/>
      </w:r>
      <w:r w:rsidR="00B52708" w:rsidRPr="00C87FF4">
        <w:rPr>
          <w:b/>
          <w:bCs/>
        </w:rPr>
        <w:t xml:space="preserve">Figure </w:t>
      </w:r>
      <w:r w:rsidR="00B52708">
        <w:rPr>
          <w:b/>
          <w:bCs/>
          <w:noProof/>
        </w:rPr>
        <w:t>37</w:t>
      </w:r>
      <w:r w:rsidR="00854B25" w:rsidRPr="00C87FF4">
        <w:rPr>
          <w:bCs/>
          <w:color w:val="000000" w:themeColor="text1"/>
        </w:rPr>
        <w:fldChar w:fldCharType="end"/>
      </w:r>
      <w:r w:rsidR="00144CFD">
        <w:rPr>
          <w:b/>
          <w:color w:val="000000" w:themeColor="text1"/>
        </w:rPr>
        <w:t>d</w:t>
      </w:r>
      <w:r w:rsidRPr="00C87FF4">
        <w:rPr>
          <w:bCs/>
          <w:color w:val="000000" w:themeColor="text1"/>
        </w:rPr>
        <w:t>) trends were clearer for example for the (101) surface (</w:t>
      </w:r>
      <w:r w:rsidR="00854B25" w:rsidRPr="00C87FF4">
        <w:rPr>
          <w:bCs/>
          <w:color w:val="000000" w:themeColor="text1"/>
        </w:rPr>
        <w:fldChar w:fldCharType="begin"/>
      </w:r>
      <w:r w:rsidR="00854B25" w:rsidRPr="00C87FF4">
        <w:rPr>
          <w:bCs/>
          <w:color w:val="000000" w:themeColor="text1"/>
        </w:rPr>
        <w:instrText xml:space="preserve"> REF _Ref159526528 \h </w:instrText>
      </w:r>
      <w:r w:rsidR="00854B25" w:rsidRPr="00C87FF4">
        <w:rPr>
          <w:bCs/>
          <w:color w:val="000000" w:themeColor="text1"/>
        </w:rPr>
      </w:r>
      <w:r w:rsidR="00854B25" w:rsidRPr="00C87FF4">
        <w:rPr>
          <w:bCs/>
          <w:color w:val="000000" w:themeColor="text1"/>
        </w:rPr>
        <w:fldChar w:fldCharType="separate"/>
      </w:r>
      <w:r w:rsidR="00B52708" w:rsidRPr="00C87FF4">
        <w:rPr>
          <w:b/>
          <w:bCs/>
        </w:rPr>
        <w:t xml:space="preserve">Figure </w:t>
      </w:r>
      <w:r w:rsidR="00B52708">
        <w:rPr>
          <w:b/>
          <w:bCs/>
          <w:noProof/>
        </w:rPr>
        <w:t>37</w:t>
      </w:r>
      <w:r w:rsidR="00854B25" w:rsidRPr="00C87FF4">
        <w:rPr>
          <w:bCs/>
          <w:color w:val="000000" w:themeColor="text1"/>
        </w:rPr>
        <w:fldChar w:fldCharType="end"/>
      </w:r>
      <w:r w:rsidR="00144CFD">
        <w:rPr>
          <w:b/>
          <w:color w:val="000000" w:themeColor="text1"/>
        </w:rPr>
        <w:t>e</w:t>
      </w:r>
      <w:r w:rsidRPr="00C87FF4">
        <w:rPr>
          <w:bCs/>
          <w:color w:val="000000" w:themeColor="text1"/>
        </w:rPr>
        <w:t xml:space="preserve">). Interestingly, at an arbitrarily selected pH 13, the (001) surface was the most active, closely followed by the (100); the least active surface orientations were the (110) and (111). The super-Nernstian shift of the pre-OER redox transition, and hence the “earliness” of this surface oxidation process before OER did not track the activity order. On the other hand, the OER activity was found to scale with the integrated charge of the cathodic redox transition at approximately 1.35 V, suggesting that this pre-OER redox transition provides the active sites/species for the reaction. The merge of the oxidation wave under acidic condition with the OER catalytic wave, as seen also in </w:t>
      </w:r>
      <w:r w:rsidR="00854B25" w:rsidRPr="00C87FF4">
        <w:rPr>
          <w:bCs/>
          <w:color w:val="000000" w:themeColor="text1"/>
        </w:rPr>
        <w:fldChar w:fldCharType="begin"/>
      </w:r>
      <w:r w:rsidR="00854B25" w:rsidRPr="00C87FF4">
        <w:rPr>
          <w:bCs/>
          <w:color w:val="000000" w:themeColor="text1"/>
        </w:rPr>
        <w:instrText xml:space="preserve"> REF _Ref159526195 \h </w:instrText>
      </w:r>
      <w:r w:rsidR="00854B25" w:rsidRPr="00C87FF4">
        <w:rPr>
          <w:bCs/>
          <w:color w:val="000000" w:themeColor="text1"/>
        </w:rPr>
      </w:r>
      <w:r w:rsidR="00854B25" w:rsidRPr="00C87FF4">
        <w:rPr>
          <w:bCs/>
          <w:color w:val="000000" w:themeColor="text1"/>
        </w:rPr>
        <w:fldChar w:fldCharType="separate"/>
      </w:r>
      <w:r w:rsidR="00B52708" w:rsidRPr="00C87FF4">
        <w:rPr>
          <w:b/>
          <w:bCs/>
        </w:rPr>
        <w:t xml:space="preserve">Figure </w:t>
      </w:r>
      <w:r w:rsidR="00B52708">
        <w:rPr>
          <w:b/>
          <w:bCs/>
          <w:noProof/>
        </w:rPr>
        <w:t>35</w:t>
      </w:r>
      <w:r w:rsidR="00854B25" w:rsidRPr="00C87FF4">
        <w:rPr>
          <w:bCs/>
          <w:color w:val="000000" w:themeColor="text1"/>
        </w:rPr>
        <w:fldChar w:fldCharType="end"/>
      </w:r>
      <w:r w:rsidR="00144CFD">
        <w:rPr>
          <w:b/>
          <w:color w:val="000000" w:themeColor="text1"/>
        </w:rPr>
        <w:t>a</w:t>
      </w:r>
      <w:r w:rsidRPr="00C87FF4">
        <w:rPr>
          <w:bCs/>
          <w:color w:val="000000" w:themeColor="text1"/>
        </w:rPr>
        <w:t xml:space="preserve">, has an </w:t>
      </w:r>
      <w:r w:rsidRPr="00C87FF4">
        <w:rPr>
          <w:bCs/>
          <w:color w:val="000000" w:themeColor="text1"/>
        </w:rPr>
        <w:lastRenderedPageBreak/>
        <w:t>implication to the actual surface state (change) under OER conditions. Interestingly, Lyons and Burke</w:t>
      </w:r>
      <w:r w:rsidRPr="00C87FF4">
        <w:rPr>
          <w:bCs/>
          <w:color w:val="000000" w:themeColor="text1"/>
        </w:rPr>
        <w:fldChar w:fldCharType="begin"/>
      </w:r>
      <w:r w:rsidR="00FC5BEB">
        <w:rPr>
          <w:bCs/>
          <w:color w:val="000000" w:themeColor="text1"/>
        </w:rPr>
        <w:instrText xml:space="preserve"> ADDIN EN.CITE &lt;EndNote&gt;&lt;Cite&gt;&lt;Author&gt;Lyons&lt;/Author&gt;&lt;Year&gt;1987&lt;/Year&gt;&lt;RecNum&gt;440&lt;/RecNum&gt;&lt;DisplayText&gt;&lt;style face="superscript"&gt;442&lt;/style&gt;&lt;/DisplayText&gt;&lt;record&gt;&lt;rec-number&gt;440&lt;/rec-number&gt;&lt;foreign-keys&gt;&lt;key app="EN" db-id="2xex0erf4eexr4e2dpbxpdd829xttesxxxdr" timestamp="1715075297"&gt;440&lt;/key&gt;&lt;/foreign-keys&gt;&lt;ref-type name="Journal Article"&gt;17&lt;/ref-type&gt;&lt;contributors&gt;&lt;authors&gt;&lt;author&gt;Lyons, Michael E. G.&lt;/author&gt;&lt;author&gt;Burke, Laurence D.&lt;/author&gt;&lt;/authors&gt;&lt;/contributors&gt;&lt;titles&gt;&lt;title&gt;Mechanism of oxygen reactions at porous oxide electrodes. Part 1.—Oxygen evolution at RuO2 and RuSn1–O2 electrodes in alkaline solution under vigorous electrolysis conditions&lt;/title&gt;&lt;secondary-title&gt;J. Chem. Soc., Faraday Trans. 1&lt;/secondary-title&gt;&lt;/titles&gt;&lt;periodical&gt;&lt;full-title&gt;J. Chem. Soc., Faraday Trans. 1&lt;/full-title&gt;&lt;/periodical&gt;&lt;pages&gt;299-321&lt;/pages&gt;&lt;volume&gt;83&lt;/volume&gt;&lt;number&gt;2&lt;/number&gt;&lt;dates&gt;&lt;year&gt;1987&lt;/year&gt;&lt;/dates&gt;&lt;publisher&gt;The Royal Society of Chemistry&lt;/publisher&gt;&lt;isbn&gt;0300-9599&lt;/isbn&gt;&lt;work-type&gt;10.1039/F19878300299&lt;/work-type&gt;&lt;urls&gt;&lt;related-urls&gt;&lt;url&gt;http://dx.doi.org/10.1039/F19878300299&lt;/url&gt;&lt;/related-urls&gt;&lt;/urls&gt;&lt;electronic-resource-num&gt;10.1039/F19878300299&lt;/electronic-resource-num&gt;&lt;/record&gt;&lt;/Cite&gt;&lt;/EndNote&gt;</w:instrText>
      </w:r>
      <w:r w:rsidRPr="00C87FF4">
        <w:rPr>
          <w:bCs/>
          <w:color w:val="000000" w:themeColor="text1"/>
        </w:rPr>
        <w:fldChar w:fldCharType="separate"/>
      </w:r>
      <w:r w:rsidR="00FC5BEB" w:rsidRPr="00FC5BEB">
        <w:rPr>
          <w:bCs/>
          <w:noProof/>
          <w:color w:val="000000" w:themeColor="text1"/>
          <w:vertAlign w:val="superscript"/>
        </w:rPr>
        <w:t>442</w:t>
      </w:r>
      <w:r w:rsidRPr="00C87FF4">
        <w:rPr>
          <w:bCs/>
          <w:color w:val="000000" w:themeColor="text1"/>
        </w:rPr>
        <w:fldChar w:fldCharType="end"/>
      </w:r>
      <w:r w:rsidRPr="00C87FF4">
        <w:rPr>
          <w:bCs/>
          <w:color w:val="000000" w:themeColor="text1"/>
        </w:rPr>
        <w:t xml:space="preserve"> has found an [OH</w:t>
      </w:r>
      <w:r w:rsidRPr="00C87FF4">
        <w:rPr>
          <w:bCs/>
          <w:color w:val="000000" w:themeColor="text1"/>
          <w:vertAlign w:val="superscript"/>
        </w:rPr>
        <w:t>-</w:t>
      </w:r>
      <w:r w:rsidRPr="00C87FF4">
        <w:rPr>
          <w:bCs/>
          <w:color w:val="000000" w:themeColor="text1"/>
        </w:rPr>
        <w:t>] reaction order of 0.83 (that is, close to 1) on the OER activity of thermally prepared RuO</w:t>
      </w:r>
      <w:r w:rsidRPr="00C87FF4">
        <w:rPr>
          <w:bCs/>
          <w:color w:val="000000" w:themeColor="text1"/>
          <w:vertAlign w:val="subscript"/>
        </w:rPr>
        <w:t>2</w:t>
      </w:r>
      <w:r w:rsidRPr="00C87FF4">
        <w:rPr>
          <w:bCs/>
          <w:color w:val="000000" w:themeColor="text1"/>
        </w:rPr>
        <w:t>/</w:t>
      </w:r>
      <w:proofErr w:type="spellStart"/>
      <w:r w:rsidRPr="00C87FF4">
        <w:rPr>
          <w:bCs/>
          <w:color w:val="000000" w:themeColor="text1"/>
        </w:rPr>
        <w:t>Ti</w:t>
      </w:r>
      <w:proofErr w:type="spellEnd"/>
      <w:r w:rsidRPr="00C87FF4">
        <w:rPr>
          <w:bCs/>
          <w:color w:val="000000" w:themeColor="text1"/>
        </w:rPr>
        <w:t xml:space="preserve"> in 1-9 M NaOH at 80 °C, hence significantly stronger than the largest reaction order of 0.45 obtained by </w:t>
      </w:r>
      <w:proofErr w:type="spellStart"/>
      <w:r w:rsidRPr="00C87FF4">
        <w:rPr>
          <w:bCs/>
          <w:color w:val="000000" w:themeColor="text1"/>
        </w:rPr>
        <w:t>Stoerzinger</w:t>
      </w:r>
      <w:proofErr w:type="spellEnd"/>
      <w:r w:rsidRPr="00C87FF4">
        <w:rPr>
          <w:bCs/>
          <w:color w:val="000000" w:themeColor="text1"/>
        </w:rPr>
        <w:t xml:space="preserve"> on the (101) surface orientation. This suggests that either the reaction conditions or the macroscopic nature of the catalyst’s surface has an influence on the pH dependence.</w:t>
      </w:r>
    </w:p>
    <w:p w14:paraId="345DD33C" w14:textId="77777777" w:rsidR="00854B25" w:rsidRPr="00C87FF4" w:rsidRDefault="00854B25" w:rsidP="00854B25">
      <w:pPr>
        <w:rPr>
          <w:bCs/>
          <w:color w:val="000000" w:themeColor="text1"/>
        </w:rPr>
      </w:pPr>
    </w:p>
    <w:p w14:paraId="518F53B4" w14:textId="5B98ECC8" w:rsidR="00854B25" w:rsidRPr="00C87FF4" w:rsidRDefault="00F22A67" w:rsidP="00854B25">
      <w:pPr>
        <w:rPr>
          <w:bCs/>
          <w:color w:val="000000" w:themeColor="text1"/>
        </w:rPr>
      </w:pPr>
      <w:r>
        <w:rPr>
          <w:bCs/>
          <w:noProof/>
          <w:color w:val="000000" w:themeColor="text1"/>
          <w14:ligatures w14:val="standardContextual"/>
        </w:rPr>
        <w:drawing>
          <wp:inline distT="0" distB="0" distL="0" distR="0" wp14:anchorId="14C0AC78" wp14:editId="2C08B176">
            <wp:extent cx="5731510" cy="4488815"/>
            <wp:effectExtent l="0" t="0" r="0" b="0"/>
            <wp:docPr id="65833502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8335023" name="Picture 658335023"/>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731510" cy="4488815"/>
                    </a:xfrm>
                    <a:prstGeom prst="rect">
                      <a:avLst/>
                    </a:prstGeom>
                  </pic:spPr>
                </pic:pic>
              </a:graphicData>
            </a:graphic>
          </wp:inline>
        </w:drawing>
      </w:r>
    </w:p>
    <w:p w14:paraId="76715F22" w14:textId="288D4FA6" w:rsidR="00854B25" w:rsidRPr="00562573" w:rsidRDefault="00854B25" w:rsidP="00854B25">
      <w:pPr>
        <w:pStyle w:val="Caption"/>
        <w:rPr>
          <w:szCs w:val="20"/>
        </w:rPr>
      </w:pPr>
      <w:bookmarkStart w:id="124" w:name="_Ref159526715"/>
      <w:r w:rsidRPr="00C87FF4">
        <w:rPr>
          <w:b/>
          <w:bCs w:val="0"/>
          <w:sz w:val="22"/>
        </w:rPr>
        <w:t xml:space="preserve">Figure </w:t>
      </w:r>
      <w:r w:rsidRPr="00C87FF4">
        <w:rPr>
          <w:b/>
          <w:bCs w:val="0"/>
          <w:sz w:val="22"/>
        </w:rPr>
        <w:fldChar w:fldCharType="begin"/>
      </w:r>
      <w:r w:rsidRPr="00C87FF4">
        <w:rPr>
          <w:b/>
          <w:bCs w:val="0"/>
          <w:sz w:val="22"/>
        </w:rPr>
        <w:instrText xml:space="preserve"> SEQ Figure \* ARABIC </w:instrText>
      </w:r>
      <w:r w:rsidRPr="00C87FF4">
        <w:rPr>
          <w:b/>
          <w:bCs w:val="0"/>
          <w:sz w:val="22"/>
        </w:rPr>
        <w:fldChar w:fldCharType="separate"/>
      </w:r>
      <w:r w:rsidR="00AA1AFF">
        <w:rPr>
          <w:b/>
          <w:bCs w:val="0"/>
          <w:noProof/>
          <w:sz w:val="22"/>
        </w:rPr>
        <w:t>38</w:t>
      </w:r>
      <w:r w:rsidRPr="00C87FF4">
        <w:rPr>
          <w:b/>
          <w:bCs w:val="0"/>
          <w:sz w:val="22"/>
        </w:rPr>
        <w:fldChar w:fldCharType="end"/>
      </w:r>
      <w:bookmarkEnd w:id="124"/>
      <w:r w:rsidRPr="00C87FF4">
        <w:rPr>
          <w:sz w:val="22"/>
        </w:rPr>
        <w:t xml:space="preserve"> </w:t>
      </w:r>
      <w:r w:rsidRPr="00562573">
        <w:rPr>
          <w:szCs w:val="20"/>
        </w:rPr>
        <w:t xml:space="preserve">OER over </w:t>
      </w:r>
      <w:proofErr w:type="spellStart"/>
      <w:r w:rsidRPr="00562573">
        <w:rPr>
          <w:szCs w:val="20"/>
        </w:rPr>
        <w:t>IrO</w:t>
      </w:r>
      <w:r w:rsidRPr="00562573">
        <w:rPr>
          <w:szCs w:val="20"/>
          <w:vertAlign w:val="subscript"/>
        </w:rPr>
        <w:t>x</w:t>
      </w:r>
      <w:proofErr w:type="spellEnd"/>
      <w:r w:rsidRPr="00562573">
        <w:rPr>
          <w:szCs w:val="20"/>
        </w:rPr>
        <w:t xml:space="preserve"> in various electrolytes. (</w:t>
      </w:r>
      <w:r w:rsidR="00144CFD">
        <w:rPr>
          <w:szCs w:val="20"/>
        </w:rPr>
        <w:t>a</w:t>
      </w:r>
      <w:r w:rsidRPr="00562573">
        <w:rPr>
          <w:szCs w:val="20"/>
        </w:rPr>
        <w:t xml:space="preserve">) LSVs over the </w:t>
      </w:r>
      <w:proofErr w:type="spellStart"/>
      <w:r w:rsidRPr="00562573">
        <w:rPr>
          <w:szCs w:val="20"/>
        </w:rPr>
        <w:t>IrO</w:t>
      </w:r>
      <w:r w:rsidRPr="00562573">
        <w:rPr>
          <w:szCs w:val="20"/>
          <w:vertAlign w:val="subscript"/>
        </w:rPr>
        <w:t>x</w:t>
      </w:r>
      <w:proofErr w:type="spellEnd"/>
      <w:r w:rsidRPr="00562573">
        <w:rPr>
          <w:szCs w:val="20"/>
        </w:rPr>
        <w:t xml:space="preserve"> disk electrode in a RDE configuration are shown (0.1 mol/kg Na-perchlorate at pH 1, 11, and 13, or 0.1 mol/kg Na-phosphate at pH 11, 4900 rpm, -1 mV/sec, 298 K). The numbers in the figure indicate the electrolyte pH in the bulk. (</w:t>
      </w:r>
      <w:r w:rsidR="00144CFD">
        <w:rPr>
          <w:szCs w:val="20"/>
        </w:rPr>
        <w:t>b</w:t>
      </w:r>
      <w:r w:rsidRPr="00562573">
        <w:rPr>
          <w:szCs w:val="20"/>
        </w:rPr>
        <w:t xml:space="preserve">) Onset potential, defined as potential reaching 1 mA/cm, plotted as a function of electrolyte pH in the bulk. The solid line </w:t>
      </w:r>
      <w:proofErr w:type="spellStart"/>
      <w:r w:rsidR="002A09AD" w:rsidRPr="00562573">
        <w:rPr>
          <w:szCs w:val="20"/>
        </w:rPr>
        <w:t>labeled</w:t>
      </w:r>
      <w:proofErr w:type="spellEnd"/>
      <w:r w:rsidRPr="00562573">
        <w:rPr>
          <w:szCs w:val="20"/>
        </w:rPr>
        <w:t xml:space="preserve"> as </w:t>
      </w:r>
      <w:proofErr w:type="spellStart"/>
      <w:r w:rsidRPr="00562573">
        <w:rPr>
          <w:i/>
          <w:iCs/>
          <w:szCs w:val="20"/>
        </w:rPr>
        <w:t>E</w:t>
      </w:r>
      <w:r w:rsidRPr="00562573">
        <w:rPr>
          <w:szCs w:val="20"/>
          <w:vertAlign w:val="subscript"/>
        </w:rPr>
        <w:t>eq</w:t>
      </w:r>
      <w:proofErr w:type="spellEnd"/>
      <w:r w:rsidRPr="00562573">
        <w:rPr>
          <w:szCs w:val="20"/>
        </w:rPr>
        <w:t xml:space="preserve"> indicates the equilibrium potential for the OER. (</w:t>
      </w:r>
      <w:r w:rsidR="00144CFD">
        <w:rPr>
          <w:szCs w:val="20"/>
        </w:rPr>
        <w:t>c</w:t>
      </w:r>
      <w:r w:rsidRPr="00562573">
        <w:rPr>
          <w:szCs w:val="20"/>
        </w:rPr>
        <w:t xml:space="preserve">) Tafel slopes and kinetic order of the OER at various pH levels over </w:t>
      </w:r>
      <w:proofErr w:type="spellStart"/>
      <w:r w:rsidRPr="00562573">
        <w:rPr>
          <w:szCs w:val="20"/>
        </w:rPr>
        <w:t>IrO</w:t>
      </w:r>
      <w:r w:rsidRPr="00562573">
        <w:rPr>
          <w:szCs w:val="20"/>
          <w:vertAlign w:val="subscript"/>
        </w:rPr>
        <w:t>x</w:t>
      </w:r>
      <w:proofErr w:type="spellEnd"/>
      <w:r w:rsidRPr="00562573">
        <w:rPr>
          <w:szCs w:val="20"/>
        </w:rPr>
        <w:t>. (top) Tafel slope values (0.1 mol/kg Na-phosphate at pH 2–6 and 8–13, or 1.0 mol/kg Na-phosphate at pH 7, -1 mV/sec, 298 K). (middle) Calculated reaction order of H</w:t>
      </w:r>
      <w:r w:rsidRPr="00562573">
        <w:rPr>
          <w:szCs w:val="20"/>
          <w:vertAlign w:val="superscript"/>
        </w:rPr>
        <w:t>+</w:t>
      </w:r>
      <w:r w:rsidRPr="00562573">
        <w:rPr>
          <w:szCs w:val="20"/>
        </w:rPr>
        <w:t xml:space="preserve"> and OH</w:t>
      </w:r>
      <w:r w:rsidRPr="00562573">
        <w:rPr>
          <w:szCs w:val="20"/>
          <w:vertAlign w:val="superscript"/>
        </w:rPr>
        <w:t>-</w:t>
      </w:r>
      <w:r w:rsidRPr="00562573">
        <w:rPr>
          <w:szCs w:val="20"/>
        </w:rPr>
        <w:t xml:space="preserve"> of the OER over </w:t>
      </w:r>
      <w:proofErr w:type="spellStart"/>
      <w:r w:rsidRPr="00562573">
        <w:rPr>
          <w:szCs w:val="20"/>
        </w:rPr>
        <w:t>IrO</w:t>
      </w:r>
      <w:r w:rsidRPr="00562573">
        <w:rPr>
          <w:szCs w:val="20"/>
          <w:vertAlign w:val="subscript"/>
        </w:rPr>
        <w:t>x</w:t>
      </w:r>
      <w:proofErr w:type="spellEnd"/>
      <w:r w:rsidRPr="00562573">
        <w:rPr>
          <w:szCs w:val="20"/>
        </w:rPr>
        <w:t xml:space="preserve">. (bottom) Composition of phosphate displayed as a function of electrolyte </w:t>
      </w:r>
      <w:proofErr w:type="spellStart"/>
      <w:r w:rsidRPr="00562573">
        <w:rPr>
          <w:szCs w:val="20"/>
        </w:rPr>
        <w:t>pH.</w:t>
      </w:r>
      <w:proofErr w:type="spellEnd"/>
      <w:r w:rsidRPr="00562573">
        <w:rPr>
          <w:szCs w:val="20"/>
        </w:rPr>
        <w:t xml:space="preserve"> </w:t>
      </w:r>
      <w:r w:rsidR="0065312C" w:rsidRPr="00562573">
        <w:rPr>
          <w:szCs w:val="20"/>
        </w:rPr>
        <w:t xml:space="preserve"> Reproduced from Ref.</w:t>
      </w:r>
      <w:r w:rsidR="00562573">
        <w:rPr>
          <w:szCs w:val="20"/>
        </w:rPr>
        <w:fldChar w:fldCharType="begin"/>
      </w:r>
      <w:r w:rsidR="00FC5BEB">
        <w:rPr>
          <w:szCs w:val="20"/>
        </w:rPr>
        <w:instrText xml:space="preserve"> ADDIN EN.CITE &lt;EndNote&gt;&lt;Cite&gt;&lt;Author&gt;Nishimoto&lt;/Author&gt;&lt;Year&gt;2021&lt;/Year&gt;&lt;RecNum&gt;441&lt;/RecNum&gt;&lt;DisplayText&gt;&lt;style face="superscript"&gt;443&lt;/style&gt;&lt;/DisplayText&gt;&lt;record&gt;&lt;rec-number&gt;441&lt;/rec-number&gt;&lt;foreign-keys&gt;&lt;key app="EN" db-id="2xex0erf4eexr4e2dpbxpdd829xttesxxxdr" timestamp="1715075297"&gt;441&lt;/key&gt;&lt;/foreign-keys&gt;&lt;ref-type name="Journal Article"&gt;17&lt;/ref-type&gt;&lt;contributors&gt;&lt;authors&gt;&lt;author&gt;Nishimoto, Takeshi&lt;/author&gt;&lt;author&gt;Shinagawa, Tatsuya&lt;/author&gt;&lt;author&gt;Naito, Takahiro&lt;/author&gt;&lt;author&gt;Takanabe, Kazuhiro&lt;/author&gt;&lt;/authors&gt;&lt;/contributors&gt;&lt;titles&gt;&lt;title&gt;Delivering the Full Potential of Oxygen Evolving Electrocatalyst by Conditioning Electrolytes at Near-Neutral pH&lt;/title&gt;&lt;secondary-title&gt;ChemSusChem&lt;/secondary-title&gt;&lt;/titles&gt;&lt;pages&gt;1554-1564&lt;/pages&gt;&lt;volume&gt;14&lt;/volume&gt;&lt;number&gt;6&lt;/number&gt;&lt;dates&gt;&lt;year&gt;2021&lt;/year&gt;&lt;/dates&gt;&lt;isbn&gt;1864-5631&lt;/isbn&gt;&lt;urls&gt;&lt;related-urls&gt;&lt;url&gt;https://chemistry-europe.onlinelibrary.wiley.com/doi/abs/10.1002/cssc.202002813&lt;/url&gt;&lt;/related-urls&gt;&lt;/urls&gt;&lt;electronic-resource-num&gt;https://doi.org/10.1002/cssc.202002813&lt;/electronic-resource-num&gt;&lt;/record&gt;&lt;/Cite&gt;&lt;/EndNote&gt;</w:instrText>
      </w:r>
      <w:r w:rsidR="00562573">
        <w:rPr>
          <w:szCs w:val="20"/>
        </w:rPr>
        <w:fldChar w:fldCharType="separate"/>
      </w:r>
      <w:r w:rsidR="00FC5BEB" w:rsidRPr="00FC5BEB">
        <w:rPr>
          <w:noProof/>
          <w:szCs w:val="20"/>
          <w:vertAlign w:val="superscript"/>
        </w:rPr>
        <w:t>443</w:t>
      </w:r>
      <w:r w:rsidR="00562573">
        <w:rPr>
          <w:szCs w:val="20"/>
        </w:rPr>
        <w:fldChar w:fldCharType="end"/>
      </w:r>
      <w:r w:rsidR="001647C7">
        <w:rPr>
          <w:szCs w:val="20"/>
        </w:rPr>
        <w:t xml:space="preserve"> </w:t>
      </w:r>
      <w:r w:rsidR="001647C7">
        <w:rPr>
          <w:szCs w:val="20"/>
          <w:shd w:val="clear" w:color="auto" w:fill="FFFFFF"/>
        </w:rPr>
        <w:t xml:space="preserve">under the </w:t>
      </w:r>
      <w:r w:rsidR="001647C7" w:rsidRPr="006171E1">
        <w:rPr>
          <w:szCs w:val="20"/>
          <w:shd w:val="clear" w:color="auto" w:fill="FFFFFF"/>
        </w:rPr>
        <w:t xml:space="preserve">Creative Commons Attribution </w:t>
      </w:r>
      <w:r w:rsidR="001647C7">
        <w:rPr>
          <w:szCs w:val="20"/>
          <w:shd w:val="clear" w:color="auto" w:fill="FFFFFF"/>
        </w:rPr>
        <w:t>4</w:t>
      </w:r>
      <w:r w:rsidR="001647C7" w:rsidRPr="006171E1">
        <w:rPr>
          <w:szCs w:val="20"/>
          <w:shd w:val="clear" w:color="auto" w:fill="FFFFFF"/>
        </w:rPr>
        <w:t>.0 License</w:t>
      </w:r>
      <w:r w:rsidR="001647C7">
        <w:rPr>
          <w:szCs w:val="20"/>
          <w:shd w:val="clear" w:color="auto" w:fill="FFFFFF"/>
        </w:rPr>
        <w:t>.</w:t>
      </w:r>
    </w:p>
    <w:p w14:paraId="7A4D9912" w14:textId="3020DA9A" w:rsidR="00091697" w:rsidRPr="00C87FF4" w:rsidRDefault="00091697" w:rsidP="00854B25">
      <w:pPr>
        <w:ind w:firstLine="720"/>
        <w:rPr>
          <w:bCs/>
          <w:color w:val="000000" w:themeColor="text1"/>
          <w:lang w:val="en-GB"/>
        </w:rPr>
      </w:pPr>
      <w:r w:rsidRPr="00C87FF4">
        <w:rPr>
          <w:bCs/>
          <w:color w:val="000000" w:themeColor="text1"/>
        </w:rPr>
        <w:t>Nishimoto et al.</w:t>
      </w:r>
      <w:r w:rsidRPr="00C87FF4">
        <w:rPr>
          <w:bCs/>
          <w:color w:val="000000" w:themeColor="text1"/>
        </w:rPr>
        <w:fldChar w:fldCharType="begin">
          <w:fldData xml:space="preserve">PEVuZE5vdGU+PENpdGU+PEF1dGhvcj5OaXNoaW1vdG88L0F1dGhvcj48WWVhcj4yMDIwPC9ZZWFy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</w:fldData>
        </w:fldChar>
      </w:r>
      <w:r w:rsidR="00FC5BEB">
        <w:rPr>
          <w:bCs/>
          <w:color w:val="000000" w:themeColor="text1"/>
        </w:rPr>
        <w:instrText xml:space="preserve"> ADDIN EN.CITE </w:instrText>
      </w:r>
      <w:r w:rsidR="00FC5BEB">
        <w:rPr>
          <w:bCs/>
          <w:color w:val="000000" w:themeColor="text1"/>
        </w:rPr>
        <w:fldChar w:fldCharType="begin">
          <w:fldData xml:space="preserve">PEVuZE5vdGU+PENpdGU+PEF1dGhvcj5OaXNoaW1vdG88L0F1dGhvcj48WWVhcj4yMDIwPC9ZZWFy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</w:fldData>
        </w:fldChar>
      </w:r>
      <w:r w:rsidR="00FC5BEB">
        <w:rPr>
          <w:bCs/>
          <w:color w:val="000000" w:themeColor="text1"/>
        </w:rPr>
        <w:instrText xml:space="preserve"> ADDIN EN.CITE.DATA </w:instrText>
      </w:r>
      <w:r w:rsidR="00FC5BEB">
        <w:rPr>
          <w:bCs/>
          <w:color w:val="000000" w:themeColor="text1"/>
        </w:rPr>
      </w:r>
      <w:r w:rsidR="00FC5BEB">
        <w:rPr>
          <w:bCs/>
          <w:color w:val="000000" w:themeColor="text1"/>
        </w:rPr>
        <w:fldChar w:fldCharType="end"/>
      </w:r>
      <w:r w:rsidRPr="00C87FF4">
        <w:rPr>
          <w:bCs/>
          <w:color w:val="000000" w:themeColor="text1"/>
        </w:rPr>
      </w:r>
      <w:r w:rsidRPr="00C87FF4">
        <w:rPr>
          <w:bCs/>
          <w:color w:val="000000" w:themeColor="text1"/>
        </w:rPr>
        <w:fldChar w:fldCharType="separate"/>
      </w:r>
      <w:r w:rsidR="00FC5BEB" w:rsidRPr="00FC5BEB">
        <w:rPr>
          <w:bCs/>
          <w:noProof/>
          <w:color w:val="000000" w:themeColor="text1"/>
          <w:vertAlign w:val="superscript"/>
        </w:rPr>
        <w:t>422, 443</w:t>
      </w:r>
      <w:r w:rsidRPr="00C87FF4">
        <w:rPr>
          <w:bCs/>
          <w:color w:val="000000" w:themeColor="text1"/>
        </w:rPr>
        <w:fldChar w:fldCharType="end"/>
      </w:r>
      <w:r w:rsidRPr="00C87FF4">
        <w:rPr>
          <w:bCs/>
          <w:color w:val="000000" w:themeColor="text1"/>
        </w:rPr>
        <w:t xml:space="preserve"> studied the OER kinetics on electrochemically prepared </w:t>
      </w:r>
      <w:proofErr w:type="spellStart"/>
      <w:r w:rsidRPr="00C87FF4">
        <w:rPr>
          <w:bCs/>
          <w:color w:val="000000" w:themeColor="text1"/>
        </w:rPr>
        <w:t>IrO</w:t>
      </w:r>
      <w:r w:rsidRPr="00C87FF4">
        <w:rPr>
          <w:bCs/>
          <w:color w:val="000000" w:themeColor="text1"/>
          <w:vertAlign w:val="subscript"/>
        </w:rPr>
        <w:t>x</w:t>
      </w:r>
      <w:proofErr w:type="spellEnd"/>
      <w:r w:rsidRPr="00C87FF4">
        <w:rPr>
          <w:bCs/>
          <w:color w:val="000000" w:themeColor="text1"/>
        </w:rPr>
        <w:t xml:space="preserve"> in the pH range of 1-13 (in both buffered and unbuffered solutions) including Tafel analysis, H/D isotope experiments and temperature dependence. </w:t>
      </w:r>
      <w:r w:rsidRPr="00C87FF4">
        <w:rPr>
          <w:bCs/>
          <w:color w:val="000000" w:themeColor="text1"/>
          <w:lang w:val="en-GB"/>
        </w:rPr>
        <w:t>Under the unbuffered conditions, while the anodic current densities monotonically increased with the applied potential at the pH levels of 1 and 13, a two-step anodic event was observed at the weakly alkaline pH of 11 (</w:t>
      </w:r>
      <w:r w:rsidR="00854B25" w:rsidRPr="00C87FF4">
        <w:rPr>
          <w:bCs/>
          <w:color w:val="000000" w:themeColor="text1"/>
          <w:lang w:val="en-GB"/>
        </w:rPr>
        <w:fldChar w:fldCharType="begin"/>
      </w:r>
      <w:r w:rsidR="00854B25" w:rsidRPr="00C87FF4">
        <w:rPr>
          <w:bCs/>
          <w:color w:val="000000" w:themeColor="text1"/>
          <w:lang w:val="en-GB"/>
        </w:rPr>
        <w:instrText xml:space="preserve"> REF _Ref159526715 \h </w:instrText>
      </w:r>
      <w:r w:rsidR="00854B25" w:rsidRPr="00C87FF4">
        <w:rPr>
          <w:bCs/>
          <w:color w:val="000000" w:themeColor="text1"/>
          <w:lang w:val="en-GB"/>
        </w:rPr>
      </w:r>
      <w:r w:rsidR="00854B25" w:rsidRPr="00C87FF4">
        <w:rPr>
          <w:bCs/>
          <w:color w:val="000000" w:themeColor="text1"/>
          <w:lang w:val="en-GB"/>
        </w:rPr>
        <w:fldChar w:fldCharType="separate"/>
      </w:r>
      <w:r w:rsidR="00AA1AFF" w:rsidRPr="00C87FF4">
        <w:rPr>
          <w:b/>
        </w:rPr>
        <w:t xml:space="preserve">Figure </w:t>
      </w:r>
      <w:r w:rsidR="00AA1AFF">
        <w:rPr>
          <w:b/>
          <w:bCs/>
          <w:noProof/>
        </w:rPr>
        <w:t>38</w:t>
      </w:r>
      <w:r w:rsidR="00854B25" w:rsidRPr="00C87FF4">
        <w:rPr>
          <w:bCs/>
          <w:color w:val="000000" w:themeColor="text1"/>
          <w:lang w:val="en-GB"/>
        </w:rPr>
        <w:fldChar w:fldCharType="end"/>
      </w:r>
      <w:r w:rsidR="00144CFD">
        <w:rPr>
          <w:b/>
          <w:color w:val="000000" w:themeColor="text1"/>
          <w:lang w:val="en-GB"/>
        </w:rPr>
        <w:t>a</w:t>
      </w:r>
      <w:r w:rsidRPr="00C87FF4">
        <w:rPr>
          <w:bCs/>
          <w:color w:val="000000" w:themeColor="text1"/>
          <w:lang w:val="en-GB"/>
        </w:rPr>
        <w:t>). This latter the authors assigned to the reactant switching from OH</w:t>
      </w:r>
      <w:r w:rsidRPr="00C87FF4">
        <w:rPr>
          <w:bCs/>
          <w:color w:val="000000" w:themeColor="text1"/>
          <w:vertAlign w:val="superscript"/>
          <w:lang w:val="en-GB"/>
        </w:rPr>
        <w:t>-</w:t>
      </w:r>
      <w:r w:rsidRPr="00C87FF4">
        <w:rPr>
          <w:bCs/>
          <w:color w:val="000000" w:themeColor="text1"/>
          <w:lang w:val="en-GB"/>
        </w:rPr>
        <w:t xml:space="preserve"> at the diffusion limiting current to the water molecule once the potential was increased enough to sustain H</w:t>
      </w:r>
      <w:r w:rsidRPr="00C87FF4">
        <w:rPr>
          <w:bCs/>
          <w:color w:val="000000" w:themeColor="text1"/>
          <w:vertAlign w:val="subscript"/>
          <w:lang w:val="en-GB"/>
        </w:rPr>
        <w:t>2</w:t>
      </w:r>
      <w:r w:rsidRPr="00C87FF4">
        <w:rPr>
          <w:bCs/>
          <w:color w:val="000000" w:themeColor="text1"/>
          <w:lang w:val="en-GB"/>
        </w:rPr>
        <w:t>O oxidation after the plateau. The two-step OER current was absent in the phosphate buffered electrolyte. The effect of electrolytes, unbuffered (Na-phosphate) or buffered (the rest), on the potential reaching 1 mA cm</w:t>
      </w:r>
      <w:r w:rsidRPr="00C87FF4">
        <w:rPr>
          <w:bCs/>
          <w:color w:val="000000" w:themeColor="text1"/>
          <w:vertAlign w:val="superscript"/>
          <w:lang w:val="en-GB"/>
        </w:rPr>
        <w:t>-2</w:t>
      </w:r>
      <w:r w:rsidRPr="00C87FF4">
        <w:rPr>
          <w:bCs/>
          <w:color w:val="000000" w:themeColor="text1"/>
          <w:lang w:val="en-GB"/>
        </w:rPr>
        <w:t xml:space="preserve"> current density is plotted in </w:t>
      </w:r>
      <w:r w:rsidR="00854B25" w:rsidRPr="00C87FF4">
        <w:rPr>
          <w:bCs/>
          <w:color w:val="000000" w:themeColor="text1"/>
          <w:lang w:val="en-GB"/>
        </w:rPr>
        <w:fldChar w:fldCharType="begin"/>
      </w:r>
      <w:r w:rsidR="00854B25" w:rsidRPr="00C87FF4">
        <w:rPr>
          <w:bCs/>
          <w:color w:val="000000" w:themeColor="text1"/>
          <w:lang w:val="en-GB"/>
        </w:rPr>
        <w:instrText xml:space="preserve"> REF _Ref159526715 \h </w:instrText>
      </w:r>
      <w:r w:rsidR="00854B25" w:rsidRPr="00C87FF4">
        <w:rPr>
          <w:bCs/>
          <w:color w:val="000000" w:themeColor="text1"/>
          <w:lang w:val="en-GB"/>
        </w:rPr>
      </w:r>
      <w:r w:rsidR="00854B25" w:rsidRPr="00C87FF4">
        <w:rPr>
          <w:bCs/>
          <w:color w:val="000000" w:themeColor="text1"/>
          <w:lang w:val="en-GB"/>
        </w:rPr>
        <w:fldChar w:fldCharType="separate"/>
      </w:r>
      <w:r w:rsidR="00B52708" w:rsidRPr="00C87FF4">
        <w:rPr>
          <w:b/>
          <w:bCs/>
        </w:rPr>
        <w:t xml:space="preserve">Figure </w:t>
      </w:r>
      <w:r w:rsidR="00B52708">
        <w:rPr>
          <w:b/>
          <w:bCs/>
          <w:noProof/>
        </w:rPr>
        <w:t>38</w:t>
      </w:r>
      <w:r w:rsidR="00854B25" w:rsidRPr="00C87FF4">
        <w:rPr>
          <w:bCs/>
          <w:color w:val="000000" w:themeColor="text1"/>
          <w:lang w:val="en-GB"/>
        </w:rPr>
        <w:fldChar w:fldCharType="end"/>
      </w:r>
      <w:r w:rsidR="00144CFD" w:rsidRPr="00144CFD">
        <w:rPr>
          <w:b/>
          <w:color w:val="000000" w:themeColor="text1"/>
          <w:lang w:val="en-GB"/>
        </w:rPr>
        <w:t>b</w:t>
      </w:r>
      <w:r w:rsidRPr="00C87FF4">
        <w:rPr>
          <w:bCs/>
          <w:color w:val="000000" w:themeColor="text1"/>
          <w:lang w:val="en-GB"/>
        </w:rPr>
        <w:t xml:space="preserve">. Notice, the potential is expressed at the standard hydrogen electrode scale, and hence the OER equilibrium potential shifts 59 mV/pH at RT, the diagonal solid line in the figure. In the </w:t>
      </w:r>
      <w:r w:rsidRPr="00C87FF4">
        <w:rPr>
          <w:bCs/>
          <w:color w:val="000000" w:themeColor="text1"/>
          <w:lang w:val="en-GB"/>
        </w:rPr>
        <w:lastRenderedPageBreak/>
        <w:t xml:space="preserve">unbuffered electrolyte, the OER potential followed roughly the Nernstian expectation at pH levels below 5 and above 10, while it remained constant at pH values in between, due to the shift in the local pH to approximately 4. Upon introduction of a buffering species, the close-to-Nernstian </w:t>
      </w:r>
      <w:proofErr w:type="spellStart"/>
      <w:r w:rsidR="00D0065F">
        <w:rPr>
          <w:bCs/>
          <w:color w:val="000000" w:themeColor="text1"/>
          <w:lang w:val="en-GB"/>
        </w:rPr>
        <w:t>behavior</w:t>
      </w:r>
      <w:proofErr w:type="spellEnd"/>
      <w:r w:rsidRPr="00C87FF4">
        <w:rPr>
          <w:bCs/>
          <w:color w:val="000000" w:themeColor="text1"/>
          <w:lang w:val="en-GB"/>
        </w:rPr>
        <w:t xml:space="preserve"> was restored, though the overpotential varied ±0.1 V depending on the actual buffer solution and the </w:t>
      </w:r>
      <w:proofErr w:type="spellStart"/>
      <w:r w:rsidRPr="00C87FF4">
        <w:rPr>
          <w:bCs/>
          <w:color w:val="000000" w:themeColor="text1"/>
          <w:lang w:val="en-GB"/>
        </w:rPr>
        <w:t>pH.</w:t>
      </w:r>
      <w:proofErr w:type="spellEnd"/>
      <w:r w:rsidRPr="00C87FF4">
        <w:rPr>
          <w:bCs/>
          <w:color w:val="000000" w:themeColor="text1"/>
          <w:lang w:val="en-GB"/>
        </w:rPr>
        <w:t xml:space="preserve"> Under acidic conditions, noticeable isotope effects were observed, which the authors assigned to the O-O bond formation step being rate limiting. Under unbuffered near-neutral pH condition, the isotope effect was diminished and a sole electron-transfer step was proposed to be rate limiting. Temperature dependent OER experiments expressed in Tafel plots were used to back-extrapolate to the exchange current density and use its temperature dependence to calculate apparent activation energies at pH 7 and pH 1.0. The thus derived values were 36 and 6 kJ/mol, respectively. The value at pH = 1 seems quite unrealistic, which might be the result of the continuously bending Tafel lines at pH = 1, making the back-extrapolation to the exchange current density ambiguous. The Tafel slopes and the kinetic reaction orders were estimated for the phosphate buffered experiments, shown in </w:t>
      </w:r>
      <w:r w:rsidR="00854B25" w:rsidRPr="00C87FF4">
        <w:rPr>
          <w:bCs/>
          <w:color w:val="000000" w:themeColor="text1"/>
          <w:lang w:val="en-GB"/>
        </w:rPr>
        <w:fldChar w:fldCharType="begin"/>
      </w:r>
      <w:r w:rsidR="00854B25" w:rsidRPr="00C87FF4">
        <w:rPr>
          <w:bCs/>
          <w:color w:val="000000" w:themeColor="text1"/>
          <w:lang w:val="en-GB"/>
        </w:rPr>
        <w:instrText xml:space="preserve"> REF _Ref159526715 \h </w:instrText>
      </w:r>
      <w:r w:rsidR="00854B25" w:rsidRPr="00C87FF4">
        <w:rPr>
          <w:bCs/>
          <w:color w:val="000000" w:themeColor="text1"/>
          <w:lang w:val="en-GB"/>
        </w:rPr>
      </w:r>
      <w:r w:rsidR="00854B25" w:rsidRPr="00C87FF4">
        <w:rPr>
          <w:bCs/>
          <w:color w:val="000000" w:themeColor="text1"/>
          <w:lang w:val="en-GB"/>
        </w:rPr>
        <w:fldChar w:fldCharType="separate"/>
      </w:r>
      <w:r w:rsidR="00B52708" w:rsidRPr="00C87FF4">
        <w:rPr>
          <w:b/>
          <w:bCs/>
        </w:rPr>
        <w:t xml:space="preserve">Figure </w:t>
      </w:r>
      <w:r w:rsidR="00B52708">
        <w:rPr>
          <w:b/>
          <w:bCs/>
          <w:noProof/>
        </w:rPr>
        <w:t>38</w:t>
      </w:r>
      <w:r w:rsidR="00854B25" w:rsidRPr="00C87FF4">
        <w:rPr>
          <w:bCs/>
          <w:color w:val="000000" w:themeColor="text1"/>
          <w:lang w:val="en-GB"/>
        </w:rPr>
        <w:fldChar w:fldCharType="end"/>
      </w:r>
      <w:r w:rsidR="00144CFD">
        <w:rPr>
          <w:b/>
          <w:color w:val="000000" w:themeColor="text1"/>
          <w:lang w:val="en-GB"/>
        </w:rPr>
        <w:t>b</w:t>
      </w:r>
      <w:r w:rsidRPr="00C87FF4">
        <w:rPr>
          <w:bCs/>
          <w:color w:val="000000" w:themeColor="text1"/>
          <w:lang w:val="en-GB"/>
        </w:rPr>
        <w:t xml:space="preserve">. The Tafel slope varied substantially with the pH, starting at approximately 30 mV/dec at pH = 2, increasing to 70 mV/dec at pH = 5, followed by a decrease to 35 mV/dec. Increasing the pH then gave rise to a Tafel slope up to 90 and decreased back to 43 mV/dec at pH = 13. These changes were accompanied by changes in the </w:t>
      </w:r>
      <w:r w:rsidRPr="00C87FF4">
        <w:rPr>
          <w:bCs/>
          <w:color w:val="000000" w:themeColor="text1"/>
        </w:rPr>
        <w:t>[OH</w:t>
      </w:r>
      <w:r w:rsidRPr="00C87FF4">
        <w:rPr>
          <w:bCs/>
          <w:color w:val="000000" w:themeColor="text1"/>
          <w:vertAlign w:val="superscript"/>
        </w:rPr>
        <w:t>-</w:t>
      </w:r>
      <w:r w:rsidRPr="00C87FF4">
        <w:rPr>
          <w:bCs/>
          <w:color w:val="000000" w:themeColor="text1"/>
        </w:rPr>
        <w:t>] (or [H</w:t>
      </w:r>
      <w:r w:rsidRPr="00C87FF4">
        <w:rPr>
          <w:bCs/>
          <w:color w:val="000000" w:themeColor="text1"/>
          <w:vertAlign w:val="superscript"/>
        </w:rPr>
        <w:t>+</w:t>
      </w:r>
      <w:r w:rsidRPr="00C87FF4">
        <w:rPr>
          <w:bCs/>
          <w:color w:val="000000" w:themeColor="text1"/>
        </w:rPr>
        <w:t>])</w:t>
      </w:r>
      <w:r w:rsidRPr="00C87FF4">
        <w:rPr>
          <w:bCs/>
          <w:color w:val="000000" w:themeColor="text1"/>
          <w:lang w:val="en-GB"/>
        </w:rPr>
        <w:t xml:space="preserve"> reaction order. The reaction orders were, however, not measured directly but calculated from the partial derivatives of (</w:t>
      </w:r>
      <m:oMath>
        <m:r>
          <m:rPr>
            <m:sty m:val="p"/>
          </m:rPr>
          <w:rPr>
            <w:rFonts w:ascii="Cambria Math" w:hAnsi="Cambria Math"/>
            <w:color w:val="000000" w:themeColor="text1"/>
            <w:lang w:val="en-GB"/>
          </w:rPr>
          <m:t>∂</m:t>
        </m:r>
      </m:oMath>
      <w:r w:rsidRPr="00811C77">
        <w:rPr>
          <w:bCs/>
          <w:i/>
          <w:iCs/>
          <w:color w:val="000000" w:themeColor="text1"/>
          <w:lang w:val="en-GB"/>
        </w:rPr>
        <w:t>E</w:t>
      </w:r>
      <w:r w:rsidRPr="00C87FF4">
        <w:rPr>
          <w:bCs/>
          <w:color w:val="000000" w:themeColor="text1"/>
          <w:lang w:val="en-GB"/>
        </w:rPr>
        <w:t>/</w:t>
      </w:r>
      <m:oMath>
        <m:r>
          <m:rPr>
            <m:sty m:val="p"/>
          </m:rPr>
          <w:rPr>
            <w:rFonts w:ascii="Cambria Math" w:hAnsi="Cambria Math"/>
            <w:color w:val="000000" w:themeColor="text1"/>
            <w:lang w:val="en-GB"/>
          </w:rPr>
          <m:t>∂</m:t>
        </m:r>
      </m:oMath>
      <w:r w:rsidRPr="00C87FF4">
        <w:rPr>
          <w:bCs/>
          <w:color w:val="000000" w:themeColor="text1"/>
          <w:lang w:val="en-GB"/>
        </w:rPr>
        <w:t>log</w:t>
      </w:r>
      <w:r w:rsidR="00C90EBD">
        <w:rPr>
          <w:bCs/>
          <w:color w:val="000000" w:themeColor="text1"/>
          <w:lang w:val="en-GB"/>
        </w:rPr>
        <w:t xml:space="preserve"> </w:t>
      </w:r>
      <w:proofErr w:type="gramStart"/>
      <w:r w:rsidRPr="00C87FF4">
        <w:rPr>
          <w:bCs/>
          <w:color w:val="000000" w:themeColor="text1"/>
          <w:lang w:val="en-GB"/>
        </w:rPr>
        <w:t>j)</w:t>
      </w:r>
      <w:r w:rsidRPr="00C87FF4">
        <w:rPr>
          <w:bCs/>
          <w:color w:val="000000" w:themeColor="text1"/>
          <w:vertAlign w:val="subscript"/>
          <w:lang w:val="en-GB"/>
        </w:rPr>
        <w:t>pH</w:t>
      </w:r>
      <w:proofErr w:type="gramEnd"/>
      <w:r w:rsidRPr="00C87FF4">
        <w:rPr>
          <w:bCs/>
          <w:color w:val="000000" w:themeColor="text1"/>
          <w:lang w:val="en-GB"/>
        </w:rPr>
        <w:t xml:space="preserve"> (Tafel slop) and (</w:t>
      </w:r>
      <m:oMath>
        <m:r>
          <m:rPr>
            <m:sty m:val="p"/>
          </m:rPr>
          <w:rPr>
            <w:rFonts w:ascii="Cambria Math" w:hAnsi="Cambria Math"/>
            <w:color w:val="000000" w:themeColor="text1"/>
            <w:lang w:val="en-GB"/>
          </w:rPr>
          <m:t>∂</m:t>
        </m:r>
      </m:oMath>
      <w:r w:rsidRPr="00811C77">
        <w:rPr>
          <w:bCs/>
          <w:i/>
          <w:iCs/>
          <w:color w:val="000000" w:themeColor="text1"/>
          <w:lang w:val="en-GB"/>
        </w:rPr>
        <w:t>E</w:t>
      </w:r>
      <w:r w:rsidRPr="00C87FF4">
        <w:rPr>
          <w:bCs/>
          <w:color w:val="000000" w:themeColor="text1"/>
          <w:lang w:val="en-GB"/>
        </w:rPr>
        <w:t>/</w:t>
      </w:r>
      <m:oMath>
        <m:r>
          <m:rPr>
            <m:sty m:val="p"/>
          </m:rPr>
          <w:rPr>
            <w:rFonts w:ascii="Cambria Math" w:hAnsi="Cambria Math"/>
            <w:color w:val="000000" w:themeColor="text1"/>
            <w:lang w:val="en-GB"/>
          </w:rPr>
          <m:t>∂</m:t>
        </m:r>
      </m:oMath>
      <w:r w:rsidRPr="00C87FF4">
        <w:rPr>
          <w:bCs/>
          <w:color w:val="000000" w:themeColor="text1"/>
          <w:lang w:val="en-GB"/>
        </w:rPr>
        <w:t>pH)</w:t>
      </w:r>
      <w:r w:rsidRPr="00C87FF4">
        <w:rPr>
          <w:bCs/>
          <w:color w:val="000000" w:themeColor="text1"/>
          <w:vertAlign w:val="subscript"/>
          <w:lang w:val="en-GB"/>
        </w:rPr>
        <w:t>j</w:t>
      </w:r>
      <w:r w:rsidRPr="00C87FF4">
        <w:rPr>
          <w:bCs/>
          <w:color w:val="000000" w:themeColor="text1"/>
          <w:lang w:val="en-GB"/>
        </w:rPr>
        <w:t xml:space="preserve"> for which the average Nernstian pH dependence (60 mV/dec) was used. Based on this calculation, the </w:t>
      </w:r>
      <w:r w:rsidRPr="00C87FF4">
        <w:rPr>
          <w:bCs/>
          <w:color w:val="000000" w:themeColor="text1"/>
        </w:rPr>
        <w:t>[OH</w:t>
      </w:r>
      <w:r w:rsidRPr="00C87FF4">
        <w:rPr>
          <w:bCs/>
          <w:color w:val="000000" w:themeColor="text1"/>
          <w:vertAlign w:val="superscript"/>
        </w:rPr>
        <w:t>-</w:t>
      </w:r>
      <w:r w:rsidRPr="00C87FF4">
        <w:rPr>
          <w:bCs/>
          <w:color w:val="000000" w:themeColor="text1"/>
        </w:rPr>
        <w:t xml:space="preserve">] dependence ranges between approximately 0.7-2.1, inversely correlating with the variation in the Tafel slope. The authors relate these changes to the modulation of the prevailing buffer species as a function of </w:t>
      </w:r>
      <w:proofErr w:type="spellStart"/>
      <w:r w:rsidRPr="00C87FF4">
        <w:rPr>
          <w:bCs/>
          <w:color w:val="000000" w:themeColor="text1"/>
        </w:rPr>
        <w:t>pH.</w:t>
      </w:r>
      <w:proofErr w:type="spellEnd"/>
      <w:r w:rsidRPr="00C87FF4">
        <w:rPr>
          <w:bCs/>
          <w:color w:val="000000" w:themeColor="text1"/>
          <w:lang w:val="en-GB"/>
        </w:rPr>
        <w:t xml:space="preserve"> At this point we note that using the average Nernstian pH dependence might not be justified and instead the true (actual) derivative of (</w:t>
      </w:r>
      <m:oMath>
        <m:r>
          <m:rPr>
            <m:sty m:val="p"/>
          </m:rPr>
          <w:rPr>
            <w:rFonts w:ascii="Cambria Math" w:hAnsi="Cambria Math"/>
            <w:color w:val="000000" w:themeColor="text1"/>
            <w:lang w:val="en-GB"/>
          </w:rPr>
          <m:t>∂</m:t>
        </m:r>
      </m:oMath>
      <w:r w:rsidRPr="00811C77">
        <w:rPr>
          <w:bCs/>
          <w:i/>
          <w:iCs/>
          <w:color w:val="000000" w:themeColor="text1"/>
          <w:lang w:val="en-GB"/>
        </w:rPr>
        <w:t>E</w:t>
      </w:r>
      <w:r w:rsidRPr="00C87FF4">
        <w:rPr>
          <w:bCs/>
          <w:color w:val="000000" w:themeColor="text1"/>
          <w:lang w:val="en-GB"/>
        </w:rPr>
        <w:t>/</w:t>
      </w:r>
      <m:oMath>
        <m:r>
          <m:rPr>
            <m:sty m:val="p"/>
          </m:rPr>
          <w:rPr>
            <w:rFonts w:ascii="Cambria Math" w:hAnsi="Cambria Math"/>
            <w:color w:val="000000" w:themeColor="text1"/>
            <w:lang w:val="en-GB"/>
          </w:rPr>
          <m:t>∂</m:t>
        </m:r>
      </m:oMath>
      <w:proofErr w:type="gramStart"/>
      <w:r w:rsidRPr="00C87FF4">
        <w:rPr>
          <w:bCs/>
          <w:color w:val="000000" w:themeColor="text1"/>
          <w:lang w:val="en-GB"/>
        </w:rPr>
        <w:t>pH)</w:t>
      </w:r>
      <w:r w:rsidRPr="00C87FF4">
        <w:rPr>
          <w:bCs/>
          <w:color w:val="000000" w:themeColor="text1"/>
          <w:vertAlign w:val="subscript"/>
          <w:lang w:val="en-GB"/>
        </w:rPr>
        <w:t>j</w:t>
      </w:r>
      <w:proofErr w:type="gramEnd"/>
      <w:r w:rsidRPr="00C87FF4">
        <w:rPr>
          <w:bCs/>
          <w:color w:val="000000" w:themeColor="text1"/>
          <w:lang w:val="en-GB"/>
        </w:rPr>
        <w:t xml:space="preserve"> would be required for a proper estimation of the reaction orders.</w:t>
      </w:r>
    </w:p>
    <w:p w14:paraId="0DF64FB0" w14:textId="77777777" w:rsidR="00091697" w:rsidRPr="00C87FF4" w:rsidRDefault="00091697" w:rsidP="00091697">
      <w:pPr>
        <w:rPr>
          <w:bCs/>
          <w:color w:val="000000" w:themeColor="text1"/>
          <w:lang w:val="en-GB"/>
        </w:rPr>
      </w:pPr>
    </w:p>
    <w:p w14:paraId="3D5BC810" w14:textId="5F41832A" w:rsidR="00091697" w:rsidRPr="00C87FF4" w:rsidRDefault="00091697" w:rsidP="00091697">
      <w:pPr>
        <w:ind w:firstLine="720"/>
        <w:rPr>
          <w:bCs/>
          <w:color w:val="000000" w:themeColor="text1"/>
        </w:rPr>
      </w:pPr>
      <w:proofErr w:type="spellStart"/>
      <w:r w:rsidRPr="00C87FF4">
        <w:rPr>
          <w:bCs/>
          <w:color w:val="000000" w:themeColor="text1"/>
        </w:rPr>
        <w:t>Minguzzi</w:t>
      </w:r>
      <w:proofErr w:type="spellEnd"/>
      <w:r w:rsidRPr="00C87FF4">
        <w:rPr>
          <w:bCs/>
          <w:color w:val="000000" w:themeColor="text1"/>
        </w:rPr>
        <w:t xml:space="preserve"> et al.</w:t>
      </w:r>
      <w:r w:rsidRPr="00C87FF4">
        <w:rPr>
          <w:bCs/>
          <w:color w:val="000000" w:themeColor="text1"/>
        </w:rPr>
        <w:fldChar w:fldCharType="begin"/>
      </w:r>
      <w:r w:rsidR="00FC5BEB">
        <w:rPr>
          <w:bCs/>
          <w:color w:val="000000" w:themeColor="text1"/>
        </w:rPr>
        <w:instrText xml:space="preserve"> ADDIN EN.CITE &lt;EndNote&gt;&lt;Cite&gt;&lt;Author&gt;Minguzzi&lt;/Author&gt;&lt;Year&gt;2012&lt;/Year&gt;&lt;RecNum&gt;442&lt;/RecNum&gt;&lt;DisplayText&gt;&lt;style face="superscript"&gt;444&lt;/style&gt;&lt;/DisplayText&gt;&lt;record&gt;&lt;rec-number&gt;442&lt;/rec-number&gt;&lt;foreign-keys&gt;&lt;key app="EN" db-id="2xex0erf4eexr4e2dpbxpdd829xttesxxxdr" timestamp="1715075297"&gt;442&lt;/key&gt;&lt;/foreign-keys&gt;&lt;ref-type name="Journal Article"&gt;17&lt;/ref-type&gt;&lt;contributors&gt;&lt;authors&gt;&lt;author&gt;Minguzzi, Alessandro&lt;/author&gt;&lt;author&gt;Fan, Fu-Ren F.&lt;/author&gt;&lt;author&gt;Vertova, Alberto&lt;/author&gt;&lt;author&gt;Rondinini, Sandra&lt;/author&gt;&lt;author&gt;Bard, Allen J.&lt;/author&gt;&lt;/authors&gt;&lt;/contributors&gt;&lt;titles&gt;&lt;title&gt;Dynamic potential–pH diagrams application to electrocatalysts for water oxidation&lt;/title&gt;&lt;secondary-title&gt;Chem. Sci.&lt;/secondary-title&gt;&lt;/titles&gt;&lt;periodical&gt;&lt;full-title&gt;Chem. Sci.&lt;/full-title&gt;&lt;/periodical&gt;&lt;pages&gt;217-229&lt;/pages&gt;&lt;volume&gt;3&lt;/volume&gt;&lt;number&gt;1&lt;/number&gt;&lt;dates&gt;&lt;year&gt;2012&lt;/year&gt;&lt;/dates&gt;&lt;publisher&gt;The Royal Society of Chemistry&lt;/publisher&gt;&lt;isbn&gt;2041-6520&lt;/isbn&gt;&lt;work-type&gt;10.1039/C1SC00516B&lt;/work-type&gt;&lt;urls&gt;&lt;related-urls&gt;&lt;url&gt;http://dx.doi.org/10.1039/C1SC00516B&lt;/url&gt;&lt;/related-urls&gt;&lt;/urls&gt;&lt;electronic-resource-num&gt;10.1039/C1SC00516B&lt;/electronic-resource-num&gt;&lt;/record&gt;&lt;/Cite&gt;&lt;/EndNote&gt;</w:instrText>
      </w:r>
      <w:r w:rsidRPr="00C87FF4">
        <w:rPr>
          <w:bCs/>
          <w:color w:val="000000" w:themeColor="text1"/>
        </w:rPr>
        <w:fldChar w:fldCharType="separate"/>
      </w:r>
      <w:r w:rsidR="00FC5BEB" w:rsidRPr="00FC5BEB">
        <w:rPr>
          <w:bCs/>
          <w:noProof/>
          <w:color w:val="000000" w:themeColor="text1"/>
          <w:vertAlign w:val="superscript"/>
        </w:rPr>
        <w:t>444</w:t>
      </w:r>
      <w:r w:rsidRPr="00C87FF4">
        <w:rPr>
          <w:bCs/>
          <w:color w:val="000000" w:themeColor="text1"/>
        </w:rPr>
        <w:fldChar w:fldCharType="end"/>
      </w:r>
      <w:r w:rsidRPr="00C87FF4">
        <w:rPr>
          <w:bCs/>
          <w:color w:val="000000" w:themeColor="text1"/>
        </w:rPr>
        <w:t xml:space="preserve"> proposed the construction of “dynamic potential–pH diagrams” by combining thermodynamic </w:t>
      </w:r>
      <w:proofErr w:type="spellStart"/>
      <w:r w:rsidRPr="00C87FF4">
        <w:rPr>
          <w:bCs/>
          <w:color w:val="000000" w:themeColor="text1"/>
        </w:rPr>
        <w:t>Pourbaix</w:t>
      </w:r>
      <w:proofErr w:type="spellEnd"/>
      <w:r w:rsidRPr="00C87FF4">
        <w:rPr>
          <w:bCs/>
          <w:color w:val="000000" w:themeColor="text1"/>
        </w:rPr>
        <w:t xml:space="preserve"> diagrams with kinetic data on the example of OER. Among other catalysts, they used a thermally prepared IrO</w:t>
      </w:r>
      <w:r w:rsidRPr="00C87FF4">
        <w:rPr>
          <w:bCs/>
          <w:color w:val="000000" w:themeColor="text1"/>
          <w:vertAlign w:val="subscript"/>
        </w:rPr>
        <w:t>2</w:t>
      </w:r>
      <w:r w:rsidRPr="00C87FF4">
        <w:rPr>
          <w:bCs/>
          <w:color w:val="000000" w:themeColor="text1"/>
        </w:rPr>
        <w:t xml:space="preserve"> anode to demonstrate their approach. Somewhat similar to Nishimoto’s results, they found the activity higher at acidic (pH 0.1) or alkaline (pH 14.0) </w:t>
      </w:r>
      <w:proofErr w:type="spellStart"/>
      <w:r w:rsidRPr="00C87FF4">
        <w:rPr>
          <w:bCs/>
          <w:color w:val="000000" w:themeColor="text1"/>
        </w:rPr>
        <w:t>pHs</w:t>
      </w:r>
      <w:proofErr w:type="spellEnd"/>
      <w:r w:rsidRPr="00C87FF4">
        <w:rPr>
          <w:bCs/>
          <w:color w:val="000000" w:themeColor="text1"/>
        </w:rPr>
        <w:t xml:space="preserve">, whereas at neutral pH the behavior depended on the nature of the electrolyte. </w:t>
      </w:r>
      <w:r w:rsidRPr="00C87FF4">
        <w:rPr>
          <w:bCs/>
          <w:color w:val="000000" w:themeColor="text1"/>
          <w:lang w:val="en-GB"/>
        </w:rPr>
        <w:t>Tafel slopes for the OER were higher at neutral pH (80.6 mV/dec in 1 M phosphate buffer before it bends and 116 mV/dec in 1 M NaClO</w:t>
      </w:r>
      <w:r w:rsidRPr="00C87FF4">
        <w:rPr>
          <w:bCs/>
          <w:color w:val="000000" w:themeColor="text1"/>
          <w:vertAlign w:val="subscript"/>
          <w:lang w:val="en-GB"/>
        </w:rPr>
        <w:t>4</w:t>
      </w:r>
      <w:r w:rsidRPr="00C87FF4">
        <w:rPr>
          <w:bCs/>
          <w:color w:val="000000" w:themeColor="text1"/>
          <w:lang w:val="en-GB"/>
        </w:rPr>
        <w:t xml:space="preserve"> without buffer) than at the extreme pH values (48.8 mV/dec in 1 M NaOH, 58.9 mV/dec in 1 M HClO</w:t>
      </w:r>
      <w:r w:rsidRPr="00C87FF4">
        <w:rPr>
          <w:bCs/>
          <w:color w:val="000000" w:themeColor="text1"/>
          <w:vertAlign w:val="subscript"/>
          <w:lang w:val="en-GB"/>
        </w:rPr>
        <w:t>4</w:t>
      </w:r>
      <w:r w:rsidRPr="00C87FF4">
        <w:rPr>
          <w:bCs/>
          <w:color w:val="000000" w:themeColor="text1"/>
          <w:lang w:val="en-GB"/>
        </w:rPr>
        <w:t>). At neutral pH the effect of the nature of the buffer solution was strong; currents recorded in 1 M phosphate buffer solution were one-to-two orders of magnitude higher at a given potential than those obtained in 1 M NaClO</w:t>
      </w:r>
      <w:r w:rsidRPr="00C87FF4">
        <w:rPr>
          <w:bCs/>
          <w:color w:val="000000" w:themeColor="text1"/>
          <w:vertAlign w:val="subscript"/>
          <w:lang w:val="en-GB"/>
        </w:rPr>
        <w:t>4</w:t>
      </w:r>
      <w:r w:rsidRPr="00C87FF4">
        <w:rPr>
          <w:bCs/>
          <w:color w:val="000000" w:themeColor="text1"/>
          <w:lang w:val="en-GB"/>
        </w:rPr>
        <w:t xml:space="preserve">, without any buffer solution. However, at 2.0 V vs RHE, at the most positive potential investigated, currents recorded in the two cases were similar. This </w:t>
      </w:r>
      <w:proofErr w:type="spellStart"/>
      <w:r w:rsidR="00D0065F">
        <w:rPr>
          <w:bCs/>
          <w:color w:val="000000" w:themeColor="text1"/>
          <w:lang w:val="en-GB"/>
        </w:rPr>
        <w:t>behavior</w:t>
      </w:r>
      <w:proofErr w:type="spellEnd"/>
      <w:r w:rsidRPr="00C87FF4">
        <w:rPr>
          <w:bCs/>
          <w:color w:val="000000" w:themeColor="text1"/>
          <w:lang w:val="en-GB"/>
        </w:rPr>
        <w:t xml:space="preserve"> was caused by the limited buffer capacity of the 1 M phosphate buffer, which could not compensate for the decrease of the surface pH at the highest current densities, and hence the pH gradient at the electrode surface became similar in the two solutions. </w:t>
      </w:r>
    </w:p>
    <w:p w14:paraId="0516DF57" w14:textId="77777777" w:rsidR="00091697" w:rsidRPr="00C87FF4" w:rsidRDefault="00091697" w:rsidP="00091697">
      <w:pPr>
        <w:ind w:firstLine="720"/>
        <w:rPr>
          <w:bCs/>
          <w:color w:val="000000" w:themeColor="text1"/>
        </w:rPr>
      </w:pPr>
    </w:p>
    <w:p w14:paraId="5982B1B2" w14:textId="14722692" w:rsidR="00091697" w:rsidRPr="00C87FF4" w:rsidRDefault="00091697" w:rsidP="00091697">
      <w:pPr>
        <w:ind w:firstLine="720"/>
        <w:rPr>
          <w:bCs/>
          <w:color w:val="000000" w:themeColor="text1"/>
          <w:lang w:val="en-GB"/>
        </w:rPr>
      </w:pPr>
      <w:r w:rsidRPr="00C87FF4">
        <w:rPr>
          <w:bCs/>
          <w:color w:val="000000" w:themeColor="text1"/>
        </w:rPr>
        <w:t>Independent of the electrolyte pH, the nature of the cation can have a strong effect on the OER activity; but not always. Rao et al.</w:t>
      </w:r>
      <w:r w:rsidRPr="00C87FF4">
        <w:rPr>
          <w:bCs/>
          <w:color w:val="000000" w:themeColor="text1"/>
        </w:rPr>
        <w:fldChar w:fldCharType="begin"/>
      </w:r>
      <w:r w:rsidR="00FC5BEB">
        <w:rPr>
          <w:bCs/>
          <w:color w:val="000000" w:themeColor="text1"/>
        </w:rPr>
        <w:instrText xml:space="preserve"> ADDIN EN.CITE &lt;EndNote&gt;&lt;Cite&gt;&lt;Author&gt;Rao&lt;/Author&gt;&lt;Year&gt;2021&lt;/Year&gt;&lt;RecNum&gt;443&lt;/RecNum&gt;&lt;DisplayText&gt;&lt;style face="superscript"&gt;445&lt;/style&gt;&lt;/DisplayText&gt;&lt;record&gt;&lt;rec-number&gt;443&lt;/rec-number&gt;&lt;foreign-keys&gt;&lt;key app="EN" db-id="2xex0erf4eexr4e2dpbxpdd829xttesxxxdr" timestamp="1715075297"&gt;443&lt;/key&gt;&lt;/foreign-keys&gt;&lt;ref-type name="Journal Article"&gt;17&lt;/ref-type&gt;&lt;contributors&gt;&lt;authors&gt;&lt;author&gt;Rao, Reshma R.&lt;/author&gt;&lt;author&gt;Huang, Botao&lt;/author&gt;&lt;author&gt;Katayama, Yu&lt;/author&gt;&lt;author&gt;Hwang, Jonathan&lt;/author&gt;&lt;author&gt;Kawaguchi, Tomoya&lt;/author&gt;&lt;author&gt;Lunger, Jaclyn R.&lt;/author&gt;&lt;author&gt;Peng, Jiayu&lt;/author&gt;&lt;author&gt;Zhang, Yirui&lt;/author&gt;&lt;author&gt;Morinaga, Asuka&lt;/author&gt;&lt;author&gt;Zhou, Hua&lt;/author&gt;&lt;author&gt;You, Hoydoo&lt;/author&gt;&lt;author&gt;Shao-Horn, Yang&lt;/author&gt;&lt;/authors&gt;&lt;/contributors&gt;&lt;titles&gt;&lt;title&gt;pH- and Cation-Dependent Water Oxidation on Rutile RuO2(110)&lt;/title&gt;&lt;secondary-title&gt;Journal of Physical Chemistry C&lt;/secondary-title&gt;&lt;/titles&gt;&lt;periodical&gt;&lt;full-title&gt;Journal of Physical Chemistry C&lt;/full-title&gt;&lt;abbr-1&gt;J. Phys. Chem. C&lt;/abbr-1&gt;&lt;/periodical&gt;&lt;pages&gt;8195-8207&lt;/pages&gt;&lt;volume&gt;125&lt;/volume&gt;&lt;number&gt;15&lt;/number&gt;&lt;dates&gt;&lt;year&gt;2021&lt;/year&gt;&lt;/dates&gt;&lt;publisher&gt;American Chemical Society&lt;/publisher&gt;&lt;urls&gt;&lt;related-urls&gt;&lt;url&gt;https://doi.org/10.1021/acs.jpcc.1c00413&lt;/url&gt;&lt;/related-urls&gt;&lt;/urls&gt;&lt;electronic-resource-num&gt;10.1021/acs.jpcc.1c00413&lt;/electronic-resource-num&gt;&lt;/record&gt;&lt;/Cite&gt;&lt;/EndNote&gt;</w:instrText>
      </w:r>
      <w:r w:rsidRPr="00C87FF4">
        <w:rPr>
          <w:bCs/>
          <w:color w:val="000000" w:themeColor="text1"/>
        </w:rPr>
        <w:fldChar w:fldCharType="separate"/>
      </w:r>
      <w:r w:rsidR="00FC5BEB" w:rsidRPr="00FC5BEB">
        <w:rPr>
          <w:bCs/>
          <w:noProof/>
          <w:color w:val="000000" w:themeColor="text1"/>
          <w:vertAlign w:val="superscript"/>
        </w:rPr>
        <w:t>445</w:t>
      </w:r>
      <w:r w:rsidRPr="00C87FF4">
        <w:rPr>
          <w:bCs/>
          <w:color w:val="000000" w:themeColor="text1"/>
        </w:rPr>
        <w:fldChar w:fldCharType="end"/>
      </w:r>
      <w:r w:rsidRPr="00C87FF4">
        <w:rPr>
          <w:bCs/>
          <w:color w:val="000000" w:themeColor="text1"/>
        </w:rPr>
        <w:t xml:space="preserve"> investigated the cation (M = Li, Na and K) and pH dependence on the OER activity of RuO</w:t>
      </w:r>
      <w:r w:rsidRPr="00C87FF4">
        <w:rPr>
          <w:bCs/>
          <w:color w:val="000000" w:themeColor="text1"/>
          <w:vertAlign w:val="subscript"/>
        </w:rPr>
        <w:t>2</w:t>
      </w:r>
      <w:r w:rsidRPr="00C87FF4">
        <w:rPr>
          <w:bCs/>
          <w:color w:val="000000" w:themeColor="text1"/>
        </w:rPr>
        <w:t>(110). They find an alkali cation influence in alkaline (in 0.1 M MOH) conditions but not in acid (in 0.1 M HClO</w:t>
      </w:r>
      <w:r w:rsidRPr="00C87FF4">
        <w:rPr>
          <w:bCs/>
          <w:color w:val="000000" w:themeColor="text1"/>
          <w:vertAlign w:val="subscript"/>
        </w:rPr>
        <w:t>4</w:t>
      </w:r>
      <w:r w:rsidRPr="00C87FF4">
        <w:rPr>
          <w:bCs/>
          <w:color w:val="000000" w:themeColor="text1"/>
        </w:rPr>
        <w:t xml:space="preserve"> + 0.1 M MClO</w:t>
      </w:r>
      <w:r w:rsidRPr="00C87FF4">
        <w:rPr>
          <w:bCs/>
          <w:color w:val="000000" w:themeColor="text1"/>
          <w:vertAlign w:val="subscript"/>
        </w:rPr>
        <w:t>4</w:t>
      </w:r>
      <w:r w:rsidRPr="00C87FF4">
        <w:rPr>
          <w:bCs/>
          <w:color w:val="000000" w:themeColor="text1"/>
        </w:rPr>
        <w:t>). The position of the CV redox peaks was affected in alkaline and RuO</w:t>
      </w:r>
      <w:r w:rsidRPr="00C87FF4">
        <w:rPr>
          <w:bCs/>
          <w:color w:val="000000" w:themeColor="text1"/>
          <w:vertAlign w:val="subscript"/>
        </w:rPr>
        <w:t>2</w:t>
      </w:r>
      <w:r w:rsidRPr="00C87FF4">
        <w:rPr>
          <w:bCs/>
          <w:color w:val="000000" w:themeColor="text1"/>
        </w:rPr>
        <w:t xml:space="preserve">(110) was the most active in KOH with </w:t>
      </w:r>
      <w:proofErr w:type="spellStart"/>
      <w:r w:rsidRPr="00C87FF4">
        <w:rPr>
          <w:bCs/>
          <w:color w:val="000000" w:themeColor="text1"/>
        </w:rPr>
        <w:t>LiOH</w:t>
      </w:r>
      <w:proofErr w:type="spellEnd"/>
      <w:r w:rsidRPr="00C87FF4">
        <w:rPr>
          <w:bCs/>
          <w:color w:val="000000" w:themeColor="text1"/>
        </w:rPr>
        <w:t xml:space="preserve"> and NaOH lagging approximately 20 mV behind. Hence, the difference in activity was still minimal. Interestingly, the temperature dependence estimated at 320 mV overpotential revealed an apparent</w:t>
      </w:r>
      <w:r w:rsidRPr="00C87FF4">
        <w:rPr>
          <w:bCs/>
          <w:color w:val="000000" w:themeColor="text1"/>
          <w:lang w:val="en-GB"/>
        </w:rPr>
        <w:t xml:space="preserve"> activation energy of 0.53 eV in </w:t>
      </w:r>
      <w:proofErr w:type="spellStart"/>
      <w:r w:rsidRPr="00C87FF4">
        <w:rPr>
          <w:bCs/>
          <w:color w:val="000000" w:themeColor="text1"/>
          <w:lang w:val="en-GB"/>
        </w:rPr>
        <w:t>LiOH</w:t>
      </w:r>
      <w:proofErr w:type="spellEnd"/>
      <w:r w:rsidRPr="00C87FF4">
        <w:rPr>
          <w:bCs/>
          <w:color w:val="000000" w:themeColor="text1"/>
          <w:lang w:val="en-GB"/>
        </w:rPr>
        <w:t xml:space="preserve"> followed by 0.42 eV in KOH and 0.41 eV in NaOH. A stronger influence of the alkali cation was observed with amorphous IrO</w:t>
      </w:r>
      <w:r w:rsidRPr="00C87FF4">
        <w:rPr>
          <w:bCs/>
          <w:color w:val="000000" w:themeColor="text1"/>
          <w:vertAlign w:val="subscript"/>
          <w:lang w:val="en-GB"/>
        </w:rPr>
        <w:t>x</w:t>
      </w:r>
      <w:r w:rsidRPr="00C87FF4">
        <w:rPr>
          <w:bCs/>
          <w:color w:val="000000" w:themeColor="text1"/>
          <w:lang w:val="en-GB"/>
        </w:rPr>
        <w:t>.</w:t>
      </w:r>
      <w:r w:rsidRPr="00C87FF4">
        <w:rPr>
          <w:bCs/>
          <w:color w:val="000000" w:themeColor="text1"/>
          <w:lang w:val="en-GB"/>
        </w:rPr>
        <w:fldChar w:fldCharType="begin"/>
      </w:r>
      <w:r w:rsidR="00FC5BEB">
        <w:rPr>
          <w:bCs/>
          <w:color w:val="000000" w:themeColor="text1"/>
          <w:lang w:val="en-GB"/>
        </w:rPr>
        <w:instrText xml:space="preserve"> ADDIN EN.CITE &lt;EndNote&gt;&lt;Cite&gt;&lt;Author&gt;del Rosario&lt;/Author&gt;&lt;Year&gt;2021&lt;/Year&gt;&lt;RecNum&gt;444&lt;/RecNum&gt;&lt;DisplayText&gt;&lt;style face="superscript"&gt;446&lt;/style&gt;&lt;/DisplayText&gt;&lt;record&gt;&lt;rec-number&gt;444&lt;/rec-number&gt;&lt;foreign-keys&gt;&lt;key app="EN" db-id="2xex0erf4eexr4e2dpbxpdd829xttesxxxdr" timestamp="1715075297"&gt;444&lt;/key&gt;&lt;/foreign-keys&gt;&lt;ref-type name="Journal Article"&gt;17&lt;/ref-type&gt;&lt;contributors&gt;&lt;authors&gt;&lt;author&gt;del Rosario, Julie Anne D.&lt;/author&gt;&lt;author&gt;Li, Guangfu&lt;/author&gt;&lt;author&gt;Labata, Marc Francis M.&lt;/author&gt;&lt;author&gt;Ocon, Joey D.&lt;/author&gt;&lt;author&gt;Chuang, Po-Ya Abel&lt;/author&gt;&lt;/authors&gt;&lt;/contributors&gt;&lt;titles&gt;&lt;title&gt;Unravelling the roles of alkali-metal cations for the enhanced oxygen evolution reaction in alkaline media&lt;/title&gt;&lt;secondary-title&gt;Applied Catalysis B&lt;/secondary-title&gt;&lt;/titles&gt;&lt;periodical&gt;&lt;full-title&gt;Applied Catalysis B&lt;/full-title&gt;&lt;abbr-1&gt;Appl. Catal., B&lt;/abbr-1&gt;&lt;abbr-2&gt;Appl Catal, B&lt;/abbr-2&gt;&lt;/periodical&gt;&lt;pages&gt;119981&lt;/pages&gt;&lt;volume&gt;288&lt;/volume&gt;&lt;keywords&gt;&lt;keyword&gt;Oxygen evolution reaction&lt;/keyword&gt;&lt;keyword&gt;Electrical double layer&lt;/keyword&gt;&lt;keyword&gt;Alkali metal cation&lt;/keyword&gt;&lt;keyword&gt;Interfacial interaction&lt;/keyword&gt;&lt;keyword&gt;Ir-Co oxides&lt;/keyword&gt;&lt;/keywords&gt;&lt;dates&gt;&lt;year&gt;2021&lt;/year&gt;&lt;pub-dates&gt;&lt;date&gt;2021/07/05/&lt;/date&gt;&lt;/pub-dates&gt;&lt;/dates&gt;&lt;isbn&gt;0926-3373&lt;/isbn&gt;&lt;urls&gt;&lt;related-urls&gt;&lt;url&gt;https://www.sciencedirect.com/science/article/pii/S0926337321001077&lt;/url&gt;&lt;/related-urls&gt;&lt;/urls&gt;&lt;electronic-resource-num&gt;https://doi.org/10.1016/j.apcatb.2021.119981&lt;/electronic-resource-num&gt;&lt;/record&gt;&lt;/Cite&gt;&lt;/EndNote&gt;</w:instrText>
      </w:r>
      <w:r w:rsidRPr="00C87FF4">
        <w:rPr>
          <w:bCs/>
          <w:color w:val="000000" w:themeColor="text1"/>
          <w:lang w:val="en-GB"/>
        </w:rPr>
        <w:fldChar w:fldCharType="separate"/>
      </w:r>
      <w:r w:rsidR="00FC5BEB" w:rsidRPr="00FC5BEB">
        <w:rPr>
          <w:bCs/>
          <w:noProof/>
          <w:color w:val="000000" w:themeColor="text1"/>
          <w:vertAlign w:val="superscript"/>
          <w:lang w:val="en-GB"/>
        </w:rPr>
        <w:t>446</w:t>
      </w:r>
      <w:r w:rsidRPr="00C87FF4">
        <w:rPr>
          <w:bCs/>
          <w:color w:val="000000" w:themeColor="text1"/>
          <w:lang w:val="en-GB"/>
        </w:rPr>
        <w:fldChar w:fldCharType="end"/>
      </w:r>
      <w:r w:rsidRPr="00C87FF4">
        <w:rPr>
          <w:bCs/>
          <w:color w:val="000000" w:themeColor="text1"/>
          <w:lang w:val="en-GB"/>
        </w:rPr>
        <w:t xml:space="preserve"> The best electrolyte was again KOH and </w:t>
      </w:r>
      <w:proofErr w:type="spellStart"/>
      <w:r w:rsidRPr="00C87FF4">
        <w:rPr>
          <w:bCs/>
          <w:color w:val="000000" w:themeColor="text1"/>
          <w:lang w:val="en-GB"/>
        </w:rPr>
        <w:t>LiOH</w:t>
      </w:r>
      <w:proofErr w:type="spellEnd"/>
      <w:r w:rsidRPr="00C87FF4">
        <w:rPr>
          <w:bCs/>
          <w:color w:val="000000" w:themeColor="text1"/>
          <w:lang w:val="en-GB"/>
        </w:rPr>
        <w:t xml:space="preserve"> the </w:t>
      </w:r>
      <w:r w:rsidR="001F3191">
        <w:rPr>
          <w:bCs/>
          <w:color w:val="000000" w:themeColor="text1"/>
          <w:lang w:val="en-GB"/>
        </w:rPr>
        <w:t>worst</w:t>
      </w:r>
      <w:r w:rsidR="001F3191" w:rsidRPr="00C87FF4">
        <w:rPr>
          <w:bCs/>
          <w:color w:val="000000" w:themeColor="text1"/>
          <w:lang w:val="en-GB"/>
        </w:rPr>
        <w:t xml:space="preserve"> </w:t>
      </w:r>
      <w:r w:rsidRPr="00C87FF4">
        <w:rPr>
          <w:bCs/>
          <w:color w:val="000000" w:themeColor="text1"/>
          <w:lang w:val="en-GB"/>
        </w:rPr>
        <w:t>with approximately 80 mV difference at 10 mA cm</w:t>
      </w:r>
      <w:r w:rsidRPr="00C87FF4">
        <w:rPr>
          <w:bCs/>
          <w:color w:val="000000" w:themeColor="text1"/>
          <w:vertAlign w:val="superscript"/>
          <w:lang w:val="en-GB"/>
        </w:rPr>
        <w:t>2-</w:t>
      </w:r>
      <w:r w:rsidRPr="00C87FF4">
        <w:rPr>
          <w:bCs/>
          <w:color w:val="000000" w:themeColor="text1"/>
          <w:lang w:val="en-GB"/>
        </w:rPr>
        <w:t xml:space="preserve"> current density. The sample in </w:t>
      </w:r>
      <w:proofErr w:type="spellStart"/>
      <w:r w:rsidRPr="00C87FF4">
        <w:rPr>
          <w:bCs/>
          <w:color w:val="000000" w:themeColor="text1"/>
          <w:lang w:val="en-GB"/>
        </w:rPr>
        <w:t>LiOH</w:t>
      </w:r>
      <w:proofErr w:type="spellEnd"/>
      <w:r w:rsidRPr="00C87FF4">
        <w:rPr>
          <w:bCs/>
          <w:color w:val="000000" w:themeColor="text1"/>
          <w:lang w:val="en-GB"/>
        </w:rPr>
        <w:t xml:space="preserve"> had a larger Tafel slope, and therefore the difference between the two electrolytes further increased at higher potentials. The reduced activity in </w:t>
      </w:r>
      <w:proofErr w:type="spellStart"/>
      <w:r w:rsidRPr="00C87FF4">
        <w:rPr>
          <w:bCs/>
          <w:color w:val="000000" w:themeColor="text1"/>
          <w:lang w:val="en-GB"/>
        </w:rPr>
        <w:t>LiOH</w:t>
      </w:r>
      <w:proofErr w:type="spellEnd"/>
      <w:r w:rsidRPr="00C87FF4">
        <w:rPr>
          <w:bCs/>
          <w:color w:val="000000" w:themeColor="text1"/>
          <w:lang w:val="en-GB"/>
        </w:rPr>
        <w:t xml:space="preserve"> was accompanied by a roughly 3-fold reduction of the electrochemically accessible surface area, evaluated in the potential range of 0.8-1.0 V, suggesting a blockage of the surface deprotonation processes.  </w:t>
      </w:r>
    </w:p>
    <w:p w14:paraId="05E7D023" w14:textId="77777777" w:rsidR="00091697" w:rsidRPr="00C87FF4" w:rsidRDefault="00091697" w:rsidP="00091697">
      <w:pPr>
        <w:ind w:firstLine="720"/>
        <w:rPr>
          <w:bCs/>
          <w:color w:val="000000" w:themeColor="text1"/>
        </w:rPr>
      </w:pPr>
    </w:p>
    <w:p w14:paraId="2928735B" w14:textId="4876CF1C" w:rsidR="00091697" w:rsidRPr="00C87FF4" w:rsidRDefault="00091697" w:rsidP="00091697">
      <w:pPr>
        <w:ind w:firstLine="720"/>
        <w:rPr>
          <w:bCs/>
          <w:color w:val="000000" w:themeColor="text1"/>
        </w:rPr>
      </w:pPr>
      <w:r w:rsidRPr="00C87FF4">
        <w:rPr>
          <w:bCs/>
          <w:color w:val="000000" w:themeColor="text1"/>
        </w:rPr>
        <w:lastRenderedPageBreak/>
        <w:t>Even stronger cationic effects were found with perovskites and metal-oxyhydroxides. Duan et al.</w:t>
      </w:r>
      <w:r w:rsidRPr="00C87FF4">
        <w:rPr>
          <w:bCs/>
          <w:color w:val="000000" w:themeColor="text1"/>
        </w:rPr>
        <w:fldChar w:fldCharType="begin"/>
      </w:r>
      <w:r w:rsidR="00FC5BEB">
        <w:rPr>
          <w:bCs/>
          <w:color w:val="000000" w:themeColor="text1"/>
        </w:rPr>
        <w:instrText xml:space="preserve"> ADDIN EN.CITE &lt;EndNote&gt;&lt;Cite&gt;&lt;Author&gt;Duan&lt;/Author&gt;&lt;Year&gt;2020&lt;/Year&gt;&lt;RecNum&gt;438&lt;/RecNum&gt;&lt;DisplayText&gt;&lt;style face="superscript"&gt;440&lt;/style&gt;&lt;/DisplayText&gt;&lt;record&gt;&lt;rec-number&gt;438&lt;/rec-number&gt;&lt;foreign-keys&gt;&lt;key app="EN" db-id="2xex0erf4eexr4e2dpbxpdd829xttesxxxdr" timestamp="1715075297"&gt;438&lt;/key&gt;&lt;/foreign-keys&gt;&lt;ref-type name="Journal Article"&gt;17&lt;/ref-type&gt;&lt;contributors&gt;&lt;authors&gt;&lt;author&gt;Duan, Yan&lt;/author&gt;&lt;author&gt;Dubouis, Nicolas&lt;/author&gt;&lt;author&gt;Huang, Jiaqiang&lt;/author&gt;&lt;author&gt;Dalla Corte, Daniel Alves&lt;/author&gt;&lt;author&gt;Pimenta, Vanessa&lt;/author&gt;&lt;author&gt;Xu, Zhichuan J.&lt;/author&gt;&lt;author&gt;Grimaud, Alexis&lt;/author&gt;&lt;/authors&gt;&lt;/contributors&gt;&lt;titles&gt;&lt;title&gt;Revealing the Impact of Electrolyte Composition for Co-Based Water Oxidation Catalysts by the Study of Reaction Kinetics Parameters&lt;/title&gt;&lt;secondary-title&gt;ACS Catal.&lt;/secondary-title&gt;&lt;/titles&gt;&lt;periodical&gt;&lt;full-title&gt;ACS Catal.&lt;/full-title&gt;&lt;/periodical&gt;&lt;pages&gt;4160-4170&lt;/pages&gt;&lt;volume&gt;10&lt;/volume&gt;&lt;number&gt;7&lt;/number&gt;&lt;dates&gt;&lt;year&gt;2020&lt;/year&gt;&lt;pub-dates&gt;&lt;date&gt;2020/04/03&lt;/date&gt;&lt;/pub-dates&gt;&lt;/dates&gt;&lt;publisher&gt;American Chemical Society&lt;/publisher&gt;&lt;urls&gt;&lt;related-urls&gt;&lt;url&gt;https://doi.org/10.1021/acscatal.0c00490&lt;/url&gt;&lt;/related-urls&gt;&lt;/urls&gt;&lt;electronic-resource-num&gt;10.1021/acscatal.0c00490&lt;/electronic-resource-num&gt;&lt;/record&gt;&lt;/Cite&gt;&lt;/EndNote&gt;</w:instrText>
      </w:r>
      <w:r w:rsidRPr="00C87FF4">
        <w:rPr>
          <w:bCs/>
          <w:color w:val="000000" w:themeColor="text1"/>
        </w:rPr>
        <w:fldChar w:fldCharType="separate"/>
      </w:r>
      <w:r w:rsidR="00FC5BEB" w:rsidRPr="00FC5BEB">
        <w:rPr>
          <w:bCs/>
          <w:noProof/>
          <w:color w:val="000000" w:themeColor="text1"/>
          <w:vertAlign w:val="superscript"/>
        </w:rPr>
        <w:t>440</w:t>
      </w:r>
      <w:r w:rsidRPr="00C87FF4">
        <w:rPr>
          <w:bCs/>
          <w:color w:val="000000" w:themeColor="text1"/>
        </w:rPr>
        <w:fldChar w:fldCharType="end"/>
      </w:r>
      <w:r w:rsidRPr="00C87FF4">
        <w:rPr>
          <w:bCs/>
          <w:color w:val="000000" w:themeColor="text1"/>
        </w:rPr>
        <w:t xml:space="preserve"> studying the OER kinetics of La</w:t>
      </w:r>
      <w:r w:rsidRPr="00C87FF4">
        <w:rPr>
          <w:bCs/>
          <w:color w:val="000000" w:themeColor="text1"/>
          <w:vertAlign w:val="subscript"/>
        </w:rPr>
        <w:t>1−x</w:t>
      </w:r>
      <w:r w:rsidRPr="00C87FF4">
        <w:rPr>
          <w:bCs/>
          <w:color w:val="000000" w:themeColor="text1"/>
        </w:rPr>
        <w:t>Sr</w:t>
      </w:r>
      <w:r w:rsidRPr="00C87FF4">
        <w:rPr>
          <w:bCs/>
          <w:color w:val="000000" w:themeColor="text1"/>
          <w:vertAlign w:val="subscript"/>
        </w:rPr>
        <w:t>x</w:t>
      </w:r>
      <w:r w:rsidRPr="00C87FF4">
        <w:rPr>
          <w:bCs/>
          <w:color w:val="000000" w:themeColor="text1"/>
        </w:rPr>
        <w:t>CoO</w:t>
      </w:r>
      <w:r w:rsidRPr="00C87FF4">
        <w:rPr>
          <w:bCs/>
          <w:color w:val="000000" w:themeColor="text1"/>
          <w:vertAlign w:val="subscript"/>
        </w:rPr>
        <w:t>3−δ</w:t>
      </w:r>
      <w:r w:rsidRPr="00C87FF4">
        <w:rPr>
          <w:bCs/>
          <w:color w:val="000000" w:themeColor="text1"/>
        </w:rPr>
        <w:t xml:space="preserve"> perovskites and amorphous </w:t>
      </w:r>
      <w:proofErr w:type="spellStart"/>
      <w:r w:rsidRPr="00C87FF4">
        <w:rPr>
          <w:bCs/>
          <w:color w:val="000000" w:themeColor="text1"/>
        </w:rPr>
        <w:t>CoOOH</w:t>
      </w:r>
      <w:proofErr w:type="spellEnd"/>
      <w:r w:rsidRPr="00C87FF4">
        <w:rPr>
          <w:bCs/>
          <w:color w:val="000000" w:themeColor="text1"/>
        </w:rPr>
        <w:t xml:space="preserve"> and Fe</w:t>
      </w:r>
      <w:r w:rsidRPr="00C87FF4">
        <w:rPr>
          <w:bCs/>
          <w:color w:val="000000" w:themeColor="text1"/>
          <w:vertAlign w:val="subscript"/>
        </w:rPr>
        <w:t>0.5</w:t>
      </w:r>
      <w:r w:rsidRPr="00C87FF4">
        <w:rPr>
          <w:bCs/>
          <w:color w:val="000000" w:themeColor="text1"/>
        </w:rPr>
        <w:t>Co</w:t>
      </w:r>
      <w:r w:rsidRPr="00C87FF4">
        <w:rPr>
          <w:bCs/>
          <w:color w:val="000000" w:themeColor="text1"/>
          <w:vertAlign w:val="subscript"/>
        </w:rPr>
        <w:t>0.5</w:t>
      </w:r>
      <w:r w:rsidRPr="00C87FF4">
        <w:rPr>
          <w:bCs/>
          <w:color w:val="000000" w:themeColor="text1"/>
        </w:rPr>
        <w:t>OOH investigated the influence of alkali cation in MOH (M: Li, K, Na, Cs), the concentration of the electrolyte (0.1, 0.3 and 1 M) and the temperature. Apart from the electrolyte concentration we discussed above, the nature of alkali cation had a strong impact on the OER kinetics (</w:t>
      </w:r>
      <w:r w:rsidRPr="00C87FF4">
        <w:rPr>
          <w:bCs/>
          <w:color w:val="000000" w:themeColor="text1"/>
        </w:rPr>
        <w:fldChar w:fldCharType="begin"/>
      </w:r>
      <w:r w:rsidRPr="00C87FF4">
        <w:rPr>
          <w:bCs/>
          <w:color w:val="000000" w:themeColor="text1"/>
        </w:rPr>
        <w:instrText xml:space="preserve"> REF _Ref159524503 \h </w:instrText>
      </w:r>
      <w:r w:rsidRPr="00C87FF4">
        <w:rPr>
          <w:bCs/>
          <w:color w:val="000000" w:themeColor="text1"/>
        </w:rPr>
      </w:r>
      <w:r w:rsidRPr="00C87FF4">
        <w:rPr>
          <w:bCs/>
          <w:color w:val="000000" w:themeColor="text1"/>
        </w:rPr>
        <w:fldChar w:fldCharType="separate"/>
      </w:r>
      <w:r w:rsidR="00B52708" w:rsidRPr="00C87FF4">
        <w:rPr>
          <w:b/>
          <w:bCs/>
        </w:rPr>
        <w:t xml:space="preserve">Figure </w:t>
      </w:r>
      <w:r w:rsidR="00B52708">
        <w:rPr>
          <w:b/>
          <w:bCs/>
          <w:noProof/>
        </w:rPr>
        <w:t>34</w:t>
      </w:r>
      <w:r w:rsidRPr="00C87FF4">
        <w:rPr>
          <w:bCs/>
          <w:color w:val="000000" w:themeColor="text1"/>
        </w:rPr>
        <w:fldChar w:fldCharType="end"/>
      </w:r>
      <w:r w:rsidR="00144CFD">
        <w:rPr>
          <w:b/>
          <w:color w:val="000000" w:themeColor="text1"/>
        </w:rPr>
        <w:t>b</w:t>
      </w:r>
      <w:r w:rsidRPr="00C87FF4">
        <w:rPr>
          <w:bCs/>
          <w:color w:val="000000" w:themeColor="text1"/>
        </w:rPr>
        <w:t xml:space="preserve"> and </w:t>
      </w:r>
      <w:r w:rsidR="00144CFD">
        <w:rPr>
          <w:b/>
          <w:color w:val="000000" w:themeColor="text1"/>
        </w:rPr>
        <w:t>d</w:t>
      </w:r>
      <w:r w:rsidRPr="00C87FF4">
        <w:rPr>
          <w:bCs/>
          <w:color w:val="000000" w:themeColor="text1"/>
        </w:rPr>
        <w:t xml:space="preserve">), </w:t>
      </w:r>
      <w:r w:rsidRPr="00C87FF4">
        <w:rPr>
          <w:bCs/>
          <w:color w:val="000000" w:themeColor="text1"/>
          <w:lang w:val="en-GB"/>
        </w:rPr>
        <w:t>with Cs</w:t>
      </w:r>
      <w:r w:rsidRPr="00C87FF4">
        <w:rPr>
          <w:bCs/>
          <w:color w:val="000000" w:themeColor="text1"/>
          <w:vertAlign w:val="superscript"/>
          <w:lang w:val="en-GB"/>
        </w:rPr>
        <w:t>+</w:t>
      </w:r>
      <w:r w:rsidRPr="00C87FF4">
        <w:rPr>
          <w:bCs/>
          <w:color w:val="000000" w:themeColor="text1"/>
          <w:lang w:val="en-GB"/>
        </w:rPr>
        <w:t xml:space="preserve"> &gt; Na</w:t>
      </w:r>
      <w:r w:rsidRPr="00C87FF4">
        <w:rPr>
          <w:bCs/>
          <w:color w:val="000000" w:themeColor="text1"/>
          <w:vertAlign w:val="superscript"/>
          <w:lang w:val="en-GB"/>
        </w:rPr>
        <w:t>+</w:t>
      </w:r>
      <w:r w:rsidRPr="00C87FF4">
        <w:rPr>
          <w:bCs/>
          <w:color w:val="000000" w:themeColor="text1"/>
          <w:lang w:val="en-GB"/>
        </w:rPr>
        <w:t xml:space="preserve"> &gt; K</w:t>
      </w:r>
      <w:r w:rsidRPr="00C87FF4">
        <w:rPr>
          <w:bCs/>
          <w:color w:val="000000" w:themeColor="text1"/>
          <w:vertAlign w:val="superscript"/>
          <w:lang w:val="en-GB"/>
        </w:rPr>
        <w:t>+</w:t>
      </w:r>
      <w:r w:rsidRPr="00C87FF4">
        <w:rPr>
          <w:bCs/>
          <w:color w:val="000000" w:themeColor="text1"/>
          <w:lang w:val="en-GB"/>
        </w:rPr>
        <w:t xml:space="preserve"> &gt;&gt; Li</w:t>
      </w:r>
      <w:r w:rsidRPr="00C87FF4">
        <w:rPr>
          <w:bCs/>
          <w:color w:val="000000" w:themeColor="text1"/>
          <w:vertAlign w:val="superscript"/>
          <w:lang w:val="en-GB"/>
        </w:rPr>
        <w:t>+</w:t>
      </w:r>
      <w:r w:rsidRPr="00C87FF4">
        <w:rPr>
          <w:bCs/>
          <w:color w:val="000000" w:themeColor="text1"/>
          <w:lang w:val="en-GB"/>
        </w:rPr>
        <w:t xml:space="preserve"> for </w:t>
      </w:r>
      <w:proofErr w:type="spellStart"/>
      <w:r w:rsidRPr="00C87FF4">
        <w:rPr>
          <w:bCs/>
          <w:color w:val="000000" w:themeColor="text1"/>
          <w:lang w:val="en-GB"/>
        </w:rPr>
        <w:t>CoOOH</w:t>
      </w:r>
      <w:proofErr w:type="spellEnd"/>
      <w:r w:rsidRPr="00C87FF4">
        <w:rPr>
          <w:bCs/>
          <w:color w:val="000000" w:themeColor="text1"/>
          <w:lang w:val="en-GB"/>
        </w:rPr>
        <w:t xml:space="preserve"> and Cs</w:t>
      </w:r>
      <w:r w:rsidRPr="00C87FF4">
        <w:rPr>
          <w:bCs/>
          <w:color w:val="000000" w:themeColor="text1"/>
          <w:vertAlign w:val="superscript"/>
          <w:lang w:val="en-GB"/>
        </w:rPr>
        <w:t>+</w:t>
      </w:r>
      <w:r w:rsidRPr="00C87FF4">
        <w:rPr>
          <w:bCs/>
          <w:color w:val="000000" w:themeColor="text1"/>
          <w:lang w:val="en-GB"/>
        </w:rPr>
        <w:t xml:space="preserve"> &gt; K</w:t>
      </w:r>
      <w:r w:rsidRPr="00C87FF4">
        <w:rPr>
          <w:bCs/>
          <w:color w:val="000000" w:themeColor="text1"/>
          <w:vertAlign w:val="superscript"/>
          <w:lang w:val="en-GB"/>
        </w:rPr>
        <w:t>+</w:t>
      </w:r>
      <w:r w:rsidRPr="00C87FF4">
        <w:rPr>
          <w:bCs/>
          <w:color w:val="000000" w:themeColor="text1"/>
          <w:lang w:val="en-GB"/>
        </w:rPr>
        <w:t xml:space="preserve"> &gt; Na</w:t>
      </w:r>
      <w:r w:rsidRPr="00C87FF4">
        <w:rPr>
          <w:bCs/>
          <w:color w:val="000000" w:themeColor="text1"/>
          <w:vertAlign w:val="superscript"/>
          <w:lang w:val="en-GB"/>
        </w:rPr>
        <w:t>+</w:t>
      </w:r>
      <w:r w:rsidRPr="00C87FF4">
        <w:rPr>
          <w:bCs/>
          <w:color w:val="000000" w:themeColor="text1"/>
          <w:lang w:val="en-GB"/>
        </w:rPr>
        <w:t xml:space="preserve"> &gt; Li</w:t>
      </w:r>
      <w:r w:rsidRPr="00C87FF4">
        <w:rPr>
          <w:bCs/>
          <w:color w:val="000000" w:themeColor="text1"/>
          <w:vertAlign w:val="superscript"/>
          <w:lang w:val="en-GB"/>
        </w:rPr>
        <w:t>+</w:t>
      </w:r>
      <w:r w:rsidRPr="00C87FF4">
        <w:rPr>
          <w:bCs/>
          <w:color w:val="000000" w:themeColor="text1"/>
          <w:lang w:val="en-GB"/>
        </w:rPr>
        <w:t xml:space="preserve"> </w:t>
      </w:r>
      <w:r w:rsidRPr="00C87FF4">
        <w:rPr>
          <w:bCs/>
          <w:color w:val="000000" w:themeColor="text1"/>
        </w:rPr>
        <w:t>for Fe</w:t>
      </w:r>
      <w:r w:rsidRPr="00C87FF4">
        <w:rPr>
          <w:bCs/>
          <w:color w:val="000000" w:themeColor="text1"/>
          <w:vertAlign w:val="subscript"/>
        </w:rPr>
        <w:t>0.5</w:t>
      </w:r>
      <w:r w:rsidRPr="00C87FF4">
        <w:rPr>
          <w:bCs/>
          <w:color w:val="000000" w:themeColor="text1"/>
        </w:rPr>
        <w:t>Co</w:t>
      </w:r>
      <w:r w:rsidRPr="00C87FF4">
        <w:rPr>
          <w:bCs/>
          <w:color w:val="000000" w:themeColor="text1"/>
          <w:vertAlign w:val="subscript"/>
        </w:rPr>
        <w:t>0.5</w:t>
      </w:r>
      <w:r w:rsidRPr="00C87FF4">
        <w:rPr>
          <w:bCs/>
          <w:color w:val="000000" w:themeColor="text1"/>
        </w:rPr>
        <w:t>OOH. This is similar to the report by Garcia et al.</w:t>
      </w:r>
      <w:r w:rsidRPr="00C87FF4">
        <w:rPr>
          <w:bCs/>
          <w:color w:val="000000" w:themeColor="text1"/>
        </w:rPr>
        <w:fldChar w:fldCharType="begin"/>
      </w:r>
      <w:r w:rsidR="00FC5BEB">
        <w:rPr>
          <w:bCs/>
          <w:color w:val="000000" w:themeColor="text1"/>
        </w:rPr>
        <w:instrText xml:space="preserve"> ADDIN EN.CITE &lt;EndNote&gt;&lt;Cite&gt;&lt;Author&gt;Garcia&lt;/Author&gt;&lt;Year&gt;2019&lt;/Year&gt;&lt;RecNum&gt;445&lt;/RecNum&gt;&lt;DisplayText&gt;&lt;style face="superscript"&gt;447&lt;/style&gt;&lt;/DisplayText&gt;&lt;record&gt;&lt;rec-number&gt;445&lt;/rec-number&gt;&lt;foreign-keys&gt;&lt;key app="EN" db-id="2xex0erf4eexr4e2dpbxpdd829xttesxxxdr" timestamp="1715075297"&gt;445&lt;/key&gt;&lt;/foreign-keys&gt;&lt;ref-type name="Journal Article"&gt;17&lt;/ref-type&gt;&lt;contributors&gt;&lt;authors&gt;&lt;author&gt;Garcia, Amanda C.&lt;/author&gt;&lt;author&gt;Touzalin, Thomas&lt;/author&gt;&lt;author&gt;Nieuwland, Celine&lt;/author&gt;&lt;author&gt;Perini, Nickson&lt;/author&gt;&lt;author&gt;Koper, Marc T. M.&lt;/author&gt;&lt;/authors&gt;&lt;/contributors&gt;&lt;titles&gt;&lt;title&gt;Enhancement of Oxygen Evolution Activity of Nickel Oxyhydroxide by Electrolyte Alkali Cations&lt;/title&gt;&lt;secondary-title&gt;Angewandte Chemie International Edition&lt;/secondary-title&gt;&lt;/titles&gt;&lt;periodical&gt;&lt;full-title&gt;Angewandte Chemie International Edition&lt;/full-title&gt;&lt;abbr-1&gt;Angew. Chem. Int. Ed.&lt;/abbr-1&gt;&lt;abbr-2&gt;Angew Chem Int Ed&lt;/abbr-2&gt;&lt;/periodical&gt;&lt;pages&gt;12999-13003&lt;/pages&gt;&lt;volume&gt;58&lt;/volume&gt;&lt;number&gt;37&lt;/number&gt;&lt;dates&gt;&lt;year&gt;2019&lt;/year&gt;&lt;/dates&gt;&lt;isbn&gt;1433-7851&lt;/isbn&gt;&lt;urls&gt;&lt;related-urls&gt;&lt;url&gt;https://onlinelibrary.wiley.com/doi/abs/10.1002/anie.201905501&lt;/url&gt;&lt;/related-urls&gt;&lt;/urls&gt;&lt;electronic-resource-num&gt;https://doi.org/10.1002/anie.201905501&lt;/electronic-resource-num&gt;&lt;/record&gt;&lt;/Cite&gt;&lt;/EndNote&gt;</w:instrText>
      </w:r>
      <w:r w:rsidRPr="00C87FF4">
        <w:rPr>
          <w:bCs/>
          <w:color w:val="000000" w:themeColor="text1"/>
        </w:rPr>
        <w:fldChar w:fldCharType="separate"/>
      </w:r>
      <w:r w:rsidR="00FC5BEB" w:rsidRPr="00FC5BEB">
        <w:rPr>
          <w:bCs/>
          <w:noProof/>
          <w:color w:val="000000" w:themeColor="text1"/>
          <w:vertAlign w:val="superscript"/>
        </w:rPr>
        <w:t>447</w:t>
      </w:r>
      <w:r w:rsidRPr="00C87FF4">
        <w:rPr>
          <w:bCs/>
          <w:color w:val="000000" w:themeColor="text1"/>
        </w:rPr>
        <w:fldChar w:fldCharType="end"/>
      </w:r>
      <w:r w:rsidRPr="00C87FF4">
        <w:rPr>
          <w:bCs/>
          <w:color w:val="000000" w:themeColor="text1"/>
        </w:rPr>
        <w:t xml:space="preserve"> over </w:t>
      </w:r>
      <w:proofErr w:type="spellStart"/>
      <w:r w:rsidRPr="00C87FF4">
        <w:rPr>
          <w:bCs/>
          <w:color w:val="000000" w:themeColor="text1"/>
        </w:rPr>
        <w:t>NiOOH</w:t>
      </w:r>
      <w:proofErr w:type="spellEnd"/>
      <w:r w:rsidRPr="00C87FF4">
        <w:rPr>
          <w:bCs/>
          <w:color w:val="000000" w:themeColor="text1"/>
        </w:rPr>
        <w:t xml:space="preserve"> with/without Fe purified electrolytes. In studying the temperature dependence of OER (at constant 400 mV overpotential), the authors could extract the apparent activation energies and the pre-exponential factors. The concentration-independent OER kinetics of Fe</w:t>
      </w:r>
      <w:r w:rsidRPr="00C87FF4">
        <w:rPr>
          <w:bCs/>
          <w:color w:val="000000" w:themeColor="text1"/>
          <w:vertAlign w:val="subscript"/>
        </w:rPr>
        <w:t>0.5</w:t>
      </w:r>
      <w:r w:rsidRPr="00C87FF4">
        <w:rPr>
          <w:bCs/>
          <w:color w:val="000000" w:themeColor="text1"/>
        </w:rPr>
        <w:t>Co</w:t>
      </w:r>
      <w:r w:rsidRPr="00C87FF4">
        <w:rPr>
          <w:bCs/>
          <w:color w:val="000000" w:themeColor="text1"/>
          <w:vertAlign w:val="subscript"/>
        </w:rPr>
        <w:t>0.5</w:t>
      </w:r>
      <w:r w:rsidRPr="00C87FF4">
        <w:rPr>
          <w:bCs/>
          <w:color w:val="000000" w:themeColor="text1"/>
        </w:rPr>
        <w:t>OOH (</w:t>
      </w:r>
      <w:r w:rsidRPr="00C87FF4">
        <w:rPr>
          <w:bCs/>
          <w:color w:val="000000" w:themeColor="text1"/>
        </w:rPr>
        <w:fldChar w:fldCharType="begin"/>
      </w:r>
      <w:r w:rsidRPr="00C87FF4">
        <w:rPr>
          <w:bCs/>
          <w:color w:val="000000" w:themeColor="text1"/>
        </w:rPr>
        <w:instrText xml:space="preserve"> REF _Ref159524503 \h </w:instrText>
      </w:r>
      <w:r w:rsidRPr="00C87FF4">
        <w:rPr>
          <w:bCs/>
          <w:color w:val="000000" w:themeColor="text1"/>
        </w:rPr>
      </w:r>
      <w:r w:rsidRPr="00C87FF4">
        <w:rPr>
          <w:bCs/>
          <w:color w:val="000000" w:themeColor="text1"/>
        </w:rPr>
        <w:fldChar w:fldCharType="separate"/>
      </w:r>
      <w:r w:rsidR="00B52708" w:rsidRPr="00C87FF4">
        <w:rPr>
          <w:b/>
          <w:bCs/>
        </w:rPr>
        <w:t xml:space="preserve">Figure </w:t>
      </w:r>
      <w:r w:rsidR="00B52708">
        <w:rPr>
          <w:b/>
          <w:bCs/>
          <w:noProof/>
        </w:rPr>
        <w:t>34</w:t>
      </w:r>
      <w:r w:rsidRPr="00C87FF4">
        <w:rPr>
          <w:bCs/>
          <w:color w:val="000000" w:themeColor="text1"/>
        </w:rPr>
        <w:fldChar w:fldCharType="end"/>
      </w:r>
      <w:r w:rsidR="00144CFD">
        <w:rPr>
          <w:b/>
          <w:color w:val="000000" w:themeColor="text1"/>
        </w:rPr>
        <w:t>c</w:t>
      </w:r>
      <w:r w:rsidRPr="00C87FF4">
        <w:rPr>
          <w:bCs/>
          <w:color w:val="000000" w:themeColor="text1"/>
        </w:rPr>
        <w:t>) was found to be accompanied by an almost perfect compensation of the increase of the activation energy by an increase of the pre-exponential factor (</w:t>
      </w:r>
      <w:r w:rsidRPr="00C87FF4">
        <w:rPr>
          <w:bCs/>
          <w:color w:val="000000" w:themeColor="text1"/>
        </w:rPr>
        <w:fldChar w:fldCharType="begin"/>
      </w:r>
      <w:r w:rsidRPr="00C87FF4">
        <w:rPr>
          <w:bCs/>
          <w:color w:val="000000" w:themeColor="text1"/>
        </w:rPr>
        <w:instrText xml:space="preserve"> REF _Ref159524503 \h </w:instrText>
      </w:r>
      <w:r w:rsidRPr="00C87FF4">
        <w:rPr>
          <w:bCs/>
          <w:color w:val="000000" w:themeColor="text1"/>
        </w:rPr>
      </w:r>
      <w:r w:rsidRPr="00C87FF4">
        <w:rPr>
          <w:bCs/>
          <w:color w:val="000000" w:themeColor="text1"/>
        </w:rPr>
        <w:fldChar w:fldCharType="separate"/>
      </w:r>
      <w:r w:rsidR="00B52708" w:rsidRPr="00C87FF4">
        <w:rPr>
          <w:b/>
          <w:bCs/>
        </w:rPr>
        <w:t xml:space="preserve">Figure </w:t>
      </w:r>
      <w:r w:rsidR="00B52708">
        <w:rPr>
          <w:b/>
          <w:bCs/>
          <w:noProof/>
        </w:rPr>
        <w:t>34</w:t>
      </w:r>
      <w:r w:rsidRPr="00C87FF4">
        <w:rPr>
          <w:bCs/>
          <w:color w:val="000000" w:themeColor="text1"/>
        </w:rPr>
        <w:fldChar w:fldCharType="end"/>
      </w:r>
      <w:r w:rsidR="00144CFD">
        <w:rPr>
          <w:b/>
          <w:color w:val="000000" w:themeColor="text1"/>
        </w:rPr>
        <w:t>e</w:t>
      </w:r>
      <w:r w:rsidRPr="00C87FF4">
        <w:rPr>
          <w:bCs/>
          <w:color w:val="000000" w:themeColor="text1"/>
        </w:rPr>
        <w:t>). The dependence on the alkali cation (</w:t>
      </w:r>
      <w:r w:rsidRPr="00C87FF4">
        <w:rPr>
          <w:bCs/>
          <w:color w:val="000000" w:themeColor="text1"/>
        </w:rPr>
        <w:fldChar w:fldCharType="begin"/>
      </w:r>
      <w:r w:rsidRPr="00C87FF4">
        <w:rPr>
          <w:bCs/>
          <w:color w:val="000000" w:themeColor="text1"/>
        </w:rPr>
        <w:instrText xml:space="preserve"> REF _Ref159524503 \h </w:instrText>
      </w:r>
      <w:r w:rsidRPr="00C87FF4">
        <w:rPr>
          <w:bCs/>
          <w:color w:val="000000" w:themeColor="text1"/>
        </w:rPr>
      </w:r>
      <w:r w:rsidRPr="00C87FF4">
        <w:rPr>
          <w:bCs/>
          <w:color w:val="000000" w:themeColor="text1"/>
        </w:rPr>
        <w:fldChar w:fldCharType="separate"/>
      </w:r>
      <w:r w:rsidR="00B52708" w:rsidRPr="00C87FF4">
        <w:rPr>
          <w:b/>
          <w:bCs/>
        </w:rPr>
        <w:t xml:space="preserve">Figure </w:t>
      </w:r>
      <w:r w:rsidR="00B52708">
        <w:rPr>
          <w:b/>
          <w:bCs/>
          <w:noProof/>
        </w:rPr>
        <w:t>34</w:t>
      </w:r>
      <w:r w:rsidRPr="00C87FF4">
        <w:rPr>
          <w:bCs/>
          <w:color w:val="000000" w:themeColor="text1"/>
        </w:rPr>
        <w:fldChar w:fldCharType="end"/>
      </w:r>
      <w:r w:rsidR="00144CFD">
        <w:rPr>
          <w:b/>
          <w:color w:val="000000" w:themeColor="text1"/>
        </w:rPr>
        <w:t>d</w:t>
      </w:r>
      <w:r w:rsidRPr="00C87FF4">
        <w:rPr>
          <w:bCs/>
          <w:color w:val="000000" w:themeColor="text1"/>
        </w:rPr>
        <w:t>) was primarily driven by the decrease of the activation energy (</w:t>
      </w:r>
      <w:r w:rsidRPr="00C87FF4">
        <w:rPr>
          <w:bCs/>
          <w:color w:val="000000" w:themeColor="text1"/>
        </w:rPr>
        <w:fldChar w:fldCharType="begin"/>
      </w:r>
      <w:r w:rsidRPr="00C87FF4">
        <w:rPr>
          <w:bCs/>
          <w:color w:val="000000" w:themeColor="text1"/>
        </w:rPr>
        <w:instrText xml:space="preserve"> REF _Ref159524503 \h </w:instrText>
      </w:r>
      <w:r w:rsidRPr="00C87FF4">
        <w:rPr>
          <w:bCs/>
          <w:color w:val="000000" w:themeColor="text1"/>
        </w:rPr>
      </w:r>
      <w:r w:rsidRPr="00C87FF4">
        <w:rPr>
          <w:bCs/>
          <w:color w:val="000000" w:themeColor="text1"/>
        </w:rPr>
        <w:fldChar w:fldCharType="separate"/>
      </w:r>
      <w:r w:rsidR="00B52708" w:rsidRPr="00C87FF4">
        <w:rPr>
          <w:b/>
          <w:bCs/>
        </w:rPr>
        <w:t xml:space="preserve">Figure </w:t>
      </w:r>
      <w:r w:rsidR="00B52708">
        <w:rPr>
          <w:b/>
          <w:bCs/>
          <w:noProof/>
        </w:rPr>
        <w:t>34</w:t>
      </w:r>
      <w:r w:rsidRPr="00C87FF4">
        <w:rPr>
          <w:bCs/>
          <w:color w:val="000000" w:themeColor="text1"/>
        </w:rPr>
        <w:fldChar w:fldCharType="end"/>
      </w:r>
      <w:r w:rsidR="00144CFD">
        <w:rPr>
          <w:b/>
          <w:color w:val="000000" w:themeColor="text1"/>
        </w:rPr>
        <w:t>f</w:t>
      </w:r>
      <w:r w:rsidRPr="00C87FF4">
        <w:rPr>
          <w:bCs/>
          <w:color w:val="000000" w:themeColor="text1"/>
        </w:rPr>
        <w:t>) from ≈ 60 kJ mol</w:t>
      </w:r>
      <w:r w:rsidRPr="00C87FF4">
        <w:rPr>
          <w:bCs/>
          <w:color w:val="000000" w:themeColor="text1"/>
          <w:vertAlign w:val="superscript"/>
        </w:rPr>
        <w:t>−1</w:t>
      </w:r>
      <w:r w:rsidRPr="00C87FF4">
        <w:rPr>
          <w:bCs/>
          <w:color w:val="000000" w:themeColor="text1"/>
        </w:rPr>
        <w:t xml:space="preserve"> in 1 M </w:t>
      </w:r>
      <w:proofErr w:type="spellStart"/>
      <w:r w:rsidRPr="00C87FF4">
        <w:rPr>
          <w:bCs/>
          <w:color w:val="000000" w:themeColor="text1"/>
        </w:rPr>
        <w:t>LiOH</w:t>
      </w:r>
      <w:proofErr w:type="spellEnd"/>
      <w:r w:rsidRPr="00C87FF4">
        <w:rPr>
          <w:bCs/>
          <w:color w:val="000000" w:themeColor="text1"/>
        </w:rPr>
        <w:t xml:space="preserve"> to 20 kJ mol</w:t>
      </w:r>
      <w:r w:rsidRPr="00C87FF4">
        <w:rPr>
          <w:bCs/>
          <w:color w:val="000000" w:themeColor="text1"/>
          <w:vertAlign w:val="superscript"/>
        </w:rPr>
        <w:t>−1</w:t>
      </w:r>
      <w:r w:rsidRPr="00C87FF4">
        <w:rPr>
          <w:bCs/>
          <w:color w:val="000000" w:themeColor="text1"/>
        </w:rPr>
        <w:t xml:space="preserve"> in 1 M </w:t>
      </w:r>
      <w:proofErr w:type="spellStart"/>
      <w:r w:rsidRPr="00C87FF4">
        <w:rPr>
          <w:bCs/>
          <w:color w:val="000000" w:themeColor="text1"/>
        </w:rPr>
        <w:t>CsOH</w:t>
      </w:r>
      <w:proofErr w:type="spellEnd"/>
      <w:r w:rsidRPr="00C87FF4">
        <w:rPr>
          <w:bCs/>
          <w:color w:val="000000" w:themeColor="text1"/>
        </w:rPr>
        <w:t xml:space="preserve">, though the effect of concomitantly decreasing pre-exponential attenuated the influence of E(a). For the Fe-free </w:t>
      </w:r>
      <w:proofErr w:type="spellStart"/>
      <w:r w:rsidRPr="00C87FF4">
        <w:rPr>
          <w:bCs/>
          <w:color w:val="000000" w:themeColor="text1"/>
        </w:rPr>
        <w:t>CoOOH</w:t>
      </w:r>
      <w:proofErr w:type="spellEnd"/>
      <w:r w:rsidRPr="00C87FF4">
        <w:rPr>
          <w:bCs/>
          <w:color w:val="000000" w:themeColor="text1"/>
        </w:rPr>
        <w:t xml:space="preserve"> the concentration dependence of KOH appeared to arise from the increase of the apparent pre-exponential factor. This increase may be explained by the greater number of active </w:t>
      </w:r>
      <w:proofErr w:type="gramStart"/>
      <w:r w:rsidRPr="00C87FF4">
        <w:rPr>
          <w:bCs/>
          <w:color w:val="000000" w:themeColor="text1"/>
        </w:rPr>
        <w:t>sites/species</w:t>
      </w:r>
      <w:proofErr w:type="gramEnd"/>
      <w:r w:rsidRPr="00C87FF4">
        <w:rPr>
          <w:bCs/>
          <w:color w:val="000000" w:themeColor="text1"/>
        </w:rPr>
        <w:t xml:space="preserve"> at larger pH or by the change in the entropy of activation due to modification of the electrolyte structure surrounding the active sites. For the La</w:t>
      </w:r>
      <w:r w:rsidRPr="00C87FF4">
        <w:rPr>
          <w:bCs/>
          <w:color w:val="000000" w:themeColor="text1"/>
          <w:vertAlign w:val="subscript"/>
        </w:rPr>
        <w:t>1−x</w:t>
      </w:r>
      <w:r w:rsidRPr="00C87FF4">
        <w:rPr>
          <w:bCs/>
          <w:color w:val="000000" w:themeColor="text1"/>
        </w:rPr>
        <w:t>Sr</w:t>
      </w:r>
      <w:r w:rsidRPr="00C87FF4">
        <w:rPr>
          <w:bCs/>
          <w:color w:val="000000" w:themeColor="text1"/>
          <w:vertAlign w:val="subscript"/>
        </w:rPr>
        <w:t>x</w:t>
      </w:r>
      <w:r w:rsidRPr="00C87FF4">
        <w:rPr>
          <w:bCs/>
          <w:color w:val="000000" w:themeColor="text1"/>
        </w:rPr>
        <w:t>CoO</w:t>
      </w:r>
      <w:r w:rsidRPr="00C87FF4">
        <w:rPr>
          <w:bCs/>
          <w:color w:val="000000" w:themeColor="text1"/>
          <w:vertAlign w:val="subscript"/>
        </w:rPr>
        <w:t>3−δ</w:t>
      </w:r>
      <w:r w:rsidRPr="00C87FF4">
        <w:rPr>
          <w:bCs/>
          <w:color w:val="000000" w:themeColor="text1"/>
        </w:rPr>
        <w:t xml:space="preserve"> perovskite samples the authors find a decrease of the experimentally determined apparent activation energies with increasing OER activity at fix (0.1 M) KOH concentration, similar to </w:t>
      </w:r>
      <w:proofErr w:type="spellStart"/>
      <w:r w:rsidRPr="00C87FF4">
        <w:rPr>
          <w:bCs/>
          <w:color w:val="000000" w:themeColor="text1"/>
        </w:rPr>
        <w:t>Bockis</w:t>
      </w:r>
      <w:proofErr w:type="spellEnd"/>
      <w:r w:rsidRPr="00C87FF4">
        <w:rPr>
          <w:bCs/>
          <w:color w:val="000000" w:themeColor="text1"/>
        </w:rPr>
        <w:t xml:space="preserve"> and Otagawa,</w:t>
      </w:r>
      <w:r w:rsidRPr="00C87FF4">
        <w:rPr>
          <w:bCs/>
          <w:color w:val="000000" w:themeColor="text1"/>
        </w:rPr>
        <w:fldChar w:fldCharType="begin"/>
      </w:r>
      <w:r w:rsidR="00FC5BEB">
        <w:rPr>
          <w:bCs/>
          <w:color w:val="000000" w:themeColor="text1"/>
        </w:rPr>
        <w:instrText xml:space="preserve"> ADDIN EN.CITE &lt;EndNote&gt;&lt;Cite&gt;&lt;Author&gt;Bockris&lt;/Author&gt;&lt;Year&gt;1983&lt;/Year&gt;&lt;RecNum&gt;82&lt;/RecNum&gt;&lt;DisplayText&gt;&lt;style face="superscript"&gt;84&lt;/style&gt;&lt;/DisplayText&gt;&lt;record&gt;&lt;rec-number&gt;82&lt;/rec-number&gt;&lt;foreign-keys&gt;&lt;key app="EN" db-id="2xex0erf4eexr4e2dpbxpdd829xttesxxxdr" timestamp="1715075296"&gt;82&lt;/key&gt;&lt;/foreign-keys&gt;&lt;ref-type name="Journal Article"&gt;17&lt;/ref-type&gt;&lt;contributors&gt;&lt;authors&gt;&lt;author&gt;Bockris, John O&amp;apos;M&lt;/author&gt;&lt;author&gt;Otagawa, Takaaki&lt;/author&gt;&lt;/authors&gt;&lt;/contributors&gt;&lt;titles&gt;&lt;title&gt;Mechanism of oxygen evolution on perovskites&lt;/title&gt;&lt;secondary-title&gt;Journal of Physical Chemistry&lt;/secondary-title&gt;&lt;/titles&gt;&lt;periodical&gt;&lt;full-title&gt;Journal of Physical Chemistry&lt;/full-title&gt;&lt;abbr-1&gt;J. Phys. Chem.&lt;/abbr-1&gt;&lt;abbr-2&gt;J Phys Chem&lt;/abbr-2&gt;&lt;/periodical&gt;&lt;pages&gt;2960-2971&lt;/pages&gt;&lt;volume&gt;87&lt;/volume&gt;&lt;number&gt;15&lt;/number&gt;&lt;dates&gt;&lt;year&gt;1983&lt;/year&gt;&lt;pub-dates&gt;&lt;date&gt;1983/07/01&lt;/date&gt;&lt;/pub-dates&gt;&lt;/dates&gt;&lt;publisher&gt;American Chemical Society&lt;/publisher&gt;&lt;isbn&gt;0022-3654&lt;/isbn&gt;&lt;urls&gt;&lt;related-urls&gt;&lt;url&gt;https://doi.org/10.1021/j100238a048&lt;/url&gt;&lt;/related-urls&gt;&lt;/urls&gt;&lt;electronic-resource-num&gt;10.1021/j100238a048&lt;/electronic-resource-num&gt;&lt;/record&gt;&lt;/Cite&gt;&lt;/EndNote&gt;</w:instrText>
      </w:r>
      <w:r w:rsidRPr="00C87FF4">
        <w:rPr>
          <w:bCs/>
          <w:color w:val="000000" w:themeColor="text1"/>
        </w:rPr>
        <w:fldChar w:fldCharType="separate"/>
      </w:r>
      <w:r w:rsidR="00FC5BEB" w:rsidRPr="00FC5BEB">
        <w:rPr>
          <w:bCs/>
          <w:noProof/>
          <w:color w:val="000000" w:themeColor="text1"/>
          <w:vertAlign w:val="superscript"/>
        </w:rPr>
        <w:t>84</w:t>
      </w:r>
      <w:r w:rsidRPr="00C87FF4">
        <w:rPr>
          <w:bCs/>
          <w:color w:val="000000" w:themeColor="text1"/>
        </w:rPr>
        <w:fldChar w:fldCharType="end"/>
      </w:r>
      <w:r w:rsidRPr="00C87FF4">
        <w:rPr>
          <w:bCs/>
          <w:color w:val="000000" w:themeColor="text1"/>
        </w:rPr>
        <w:t xml:space="preserve"> but including all data at various KOH concentrations revealed a loose linear correlation between apparent activation energy and the pre-exponential factor, suggesting again a compensation effect. </w:t>
      </w:r>
    </w:p>
    <w:p w14:paraId="0FDE3D15" w14:textId="77777777" w:rsidR="00091697" w:rsidRPr="00C87FF4" w:rsidRDefault="00091697" w:rsidP="00091697">
      <w:pPr>
        <w:ind w:firstLine="720"/>
        <w:rPr>
          <w:bCs/>
          <w:color w:val="000000" w:themeColor="text1"/>
        </w:rPr>
      </w:pPr>
    </w:p>
    <w:p w14:paraId="5BDA0BFE" w14:textId="4E5DA92F" w:rsidR="00091697" w:rsidRPr="00C87FF4" w:rsidRDefault="00091697" w:rsidP="00091697">
      <w:pPr>
        <w:ind w:firstLine="720"/>
        <w:rPr>
          <w:bCs/>
          <w:color w:val="000000" w:themeColor="text1"/>
          <w:lang w:val="en-GB"/>
        </w:rPr>
      </w:pPr>
      <w:r w:rsidRPr="00C87FF4">
        <w:rPr>
          <w:bCs/>
          <w:color w:val="000000" w:themeColor="text1"/>
        </w:rPr>
        <w:t>The influence of anions on the OER is less studied and often overlooked, but there are a few interesting examples. Vos et al.</w:t>
      </w:r>
      <w:r w:rsidRPr="00C87FF4">
        <w:rPr>
          <w:bCs/>
          <w:color w:val="000000" w:themeColor="text1"/>
        </w:rPr>
        <w:fldChar w:fldCharType="begin"/>
      </w:r>
      <w:r w:rsidR="00FC5BEB">
        <w:rPr>
          <w:bCs/>
          <w:color w:val="000000" w:themeColor="text1"/>
        </w:rPr>
        <w:instrText xml:space="preserve"> ADDIN EN.CITE &lt;EndNote&gt;&lt;Cite&gt;&lt;Author&gt;Vos&lt;/Author&gt;&lt;Year&gt;2020&lt;/Year&gt;&lt;RecNum&gt;435&lt;/RecNum&gt;&lt;DisplayText&gt;&lt;style face="superscript"&gt;437&lt;/style&gt;&lt;/DisplayText&gt;&lt;record&gt;&lt;rec-number&gt;435&lt;/rec-number&gt;&lt;foreign-keys&gt;&lt;key app="EN" db-id="2xex0erf4eexr4e2dpbxpdd829xttesxxxdr" timestamp="1715075297"&gt;435&lt;/key&gt;&lt;/foreign-keys&gt;&lt;ref-type name="Journal Article"&gt;17&lt;/ref-type&gt;&lt;contributors&gt;&lt;authors&gt;&lt;author&gt;Vos, Johannes G.&lt;/author&gt;&lt;author&gt;Venugopal, Anirudh&lt;/author&gt;&lt;author&gt;Smith, Wilson A.&lt;/author&gt;&lt;author&gt;Koper, Marc T. M.&lt;/author&gt;&lt;/authors&gt;&lt;/contributors&gt;&lt;titles&gt;&lt;title&gt;Competition and selectivity during parallel evolution of bromine, chlorine and oxygen on IrOx electrodes&lt;/title&gt;&lt;secondary-title&gt;Journal of Catalysis&lt;/secondary-title&gt;&lt;/titles&gt;&lt;periodical&gt;&lt;full-title&gt;Journal of Catalysis&lt;/full-title&gt;&lt;abbr-1&gt;J. Catal.&lt;/abbr-1&gt;&lt;abbr-2&gt;J Catal&lt;/abbr-2&gt;&lt;/periodical&gt;&lt;pages&gt;99-110&lt;/pages&gt;&lt;volume&gt;389&lt;/volume&gt;&lt;dates&gt;&lt;year&gt;2020&lt;/year&gt;&lt;pub-dates&gt;&lt;date&gt;2020/09/01/&lt;/date&gt;&lt;/pub-dates&gt;&lt;/dates&gt;&lt;isbn&gt;0021-9517&lt;/isbn&gt;&lt;urls&gt;&lt;related-urls&gt;&lt;url&gt;https://www.sciencedirect.com/science/article/pii/S0021951720301962&lt;/url&gt;&lt;/related-urls&gt;&lt;/urls&gt;&lt;electronic-resource-num&gt;https://doi.org/10.1016/j.jcat.2020.05.024&lt;/electronic-resource-num&gt;&lt;/record&gt;&lt;/Cite&gt;&lt;/EndNote&gt;</w:instrText>
      </w:r>
      <w:r w:rsidRPr="00C87FF4">
        <w:rPr>
          <w:bCs/>
          <w:color w:val="000000" w:themeColor="text1"/>
        </w:rPr>
        <w:fldChar w:fldCharType="separate"/>
      </w:r>
      <w:r w:rsidR="00FC5BEB" w:rsidRPr="00FC5BEB">
        <w:rPr>
          <w:bCs/>
          <w:noProof/>
          <w:color w:val="000000" w:themeColor="text1"/>
          <w:vertAlign w:val="superscript"/>
        </w:rPr>
        <w:t>437</w:t>
      </w:r>
      <w:r w:rsidRPr="00C87FF4">
        <w:rPr>
          <w:bCs/>
          <w:color w:val="000000" w:themeColor="text1"/>
        </w:rPr>
        <w:fldChar w:fldCharType="end"/>
      </w:r>
      <w:r w:rsidRPr="00C87FF4">
        <w:rPr>
          <w:bCs/>
          <w:color w:val="000000" w:themeColor="text1"/>
        </w:rPr>
        <w:t xml:space="preserve"> </w:t>
      </w:r>
      <w:r w:rsidRPr="00C87FF4">
        <w:rPr>
          <w:bCs/>
          <w:color w:val="000000" w:themeColor="text1"/>
          <w:lang w:val="en-GB"/>
        </w:rPr>
        <w:t>investigated the parallel evolution of Br</w:t>
      </w:r>
      <w:r w:rsidRPr="00C87FF4">
        <w:rPr>
          <w:bCs/>
          <w:color w:val="000000" w:themeColor="text1"/>
          <w:vertAlign w:val="subscript"/>
          <w:lang w:val="en-GB"/>
        </w:rPr>
        <w:t>2</w:t>
      </w:r>
      <w:r w:rsidRPr="00C87FF4">
        <w:rPr>
          <w:bCs/>
          <w:color w:val="000000" w:themeColor="text1"/>
          <w:lang w:val="en-GB"/>
        </w:rPr>
        <w:t xml:space="preserve"> , Cl</w:t>
      </w:r>
      <w:r w:rsidRPr="00C87FF4">
        <w:rPr>
          <w:bCs/>
          <w:color w:val="000000" w:themeColor="text1"/>
          <w:vertAlign w:val="subscript"/>
          <w:lang w:val="en-GB"/>
        </w:rPr>
        <w:t>2</w:t>
      </w:r>
      <w:r w:rsidRPr="00C87FF4">
        <w:rPr>
          <w:bCs/>
          <w:color w:val="000000" w:themeColor="text1"/>
          <w:lang w:val="en-GB"/>
        </w:rPr>
        <w:t xml:space="preserve"> and O</w:t>
      </w:r>
      <w:r w:rsidRPr="00C87FF4">
        <w:rPr>
          <w:bCs/>
          <w:color w:val="000000" w:themeColor="text1"/>
          <w:vertAlign w:val="subscript"/>
          <w:lang w:val="en-GB"/>
        </w:rPr>
        <w:t>2</w:t>
      </w:r>
      <w:r w:rsidRPr="00C87FF4">
        <w:rPr>
          <w:bCs/>
          <w:color w:val="000000" w:themeColor="text1"/>
          <w:lang w:val="en-GB"/>
        </w:rPr>
        <w:t xml:space="preserve"> over </w:t>
      </w:r>
      <w:proofErr w:type="spellStart"/>
      <w:r w:rsidRPr="00C87FF4">
        <w:rPr>
          <w:bCs/>
          <w:color w:val="000000" w:themeColor="text1"/>
          <w:lang w:val="en-GB"/>
        </w:rPr>
        <w:t>IrO</w:t>
      </w:r>
      <w:r w:rsidRPr="00C87FF4">
        <w:rPr>
          <w:bCs/>
          <w:color w:val="000000" w:themeColor="text1"/>
          <w:vertAlign w:val="subscript"/>
          <w:lang w:val="en-GB"/>
        </w:rPr>
        <w:t>x</w:t>
      </w:r>
      <w:proofErr w:type="spellEnd"/>
      <w:r w:rsidRPr="00C87FF4">
        <w:rPr>
          <w:bCs/>
          <w:color w:val="000000" w:themeColor="text1"/>
          <w:lang w:val="en-GB"/>
        </w:rPr>
        <w:t xml:space="preserve">, their competition, with a special focus on the selectivity towards oxygen. Bromide and chloride </w:t>
      </w:r>
      <w:r w:rsidR="00AE4569">
        <w:rPr>
          <w:bCs/>
          <w:color w:val="000000" w:themeColor="text1"/>
          <w:lang w:val="en-GB"/>
        </w:rPr>
        <w:t xml:space="preserve">are </w:t>
      </w:r>
      <w:r w:rsidRPr="00C87FF4">
        <w:rPr>
          <w:bCs/>
          <w:color w:val="000000" w:themeColor="text1"/>
          <w:lang w:val="en-GB"/>
        </w:rPr>
        <w:t xml:space="preserve">competitively absorbed on </w:t>
      </w:r>
      <w:proofErr w:type="spellStart"/>
      <w:r w:rsidRPr="00C87FF4">
        <w:rPr>
          <w:bCs/>
          <w:color w:val="000000" w:themeColor="text1"/>
          <w:lang w:val="en-GB"/>
        </w:rPr>
        <w:t>IrO</w:t>
      </w:r>
      <w:r w:rsidRPr="00C87FF4">
        <w:rPr>
          <w:bCs/>
          <w:color w:val="000000" w:themeColor="text1"/>
          <w:vertAlign w:val="subscript"/>
          <w:lang w:val="en-GB"/>
        </w:rPr>
        <w:t>x</w:t>
      </w:r>
      <w:proofErr w:type="spellEnd"/>
      <w:r w:rsidRPr="00C87FF4">
        <w:rPr>
          <w:bCs/>
          <w:color w:val="000000" w:themeColor="text1"/>
          <w:lang w:val="en-GB"/>
        </w:rPr>
        <w:t>, and their adsorption significantly slow</w:t>
      </w:r>
      <w:r w:rsidR="00AE4569">
        <w:rPr>
          <w:bCs/>
          <w:color w:val="000000" w:themeColor="text1"/>
          <w:lang w:val="en-GB"/>
        </w:rPr>
        <w:t>s</w:t>
      </w:r>
      <w:r w:rsidRPr="00C87FF4">
        <w:rPr>
          <w:bCs/>
          <w:color w:val="000000" w:themeColor="text1"/>
          <w:lang w:val="en-GB"/>
        </w:rPr>
        <w:t xml:space="preserve"> down the OER. This effect was found </w:t>
      </w:r>
      <w:r w:rsidR="00AE4569">
        <w:rPr>
          <w:bCs/>
          <w:color w:val="000000" w:themeColor="text1"/>
          <w:lang w:val="en-GB"/>
        </w:rPr>
        <w:t xml:space="preserve">to be </w:t>
      </w:r>
      <w:r w:rsidRPr="00C87FF4">
        <w:rPr>
          <w:bCs/>
          <w:color w:val="000000" w:themeColor="text1"/>
          <w:lang w:val="en-GB"/>
        </w:rPr>
        <w:t xml:space="preserve">additive. Bromide had a particularly strong influence, even a relatively small amount of bromide highly affected the oxygen evolution selectivity. Another anion that is reported to poison the surface of </w:t>
      </w:r>
      <w:proofErr w:type="spellStart"/>
      <w:r w:rsidRPr="00C87FF4">
        <w:rPr>
          <w:bCs/>
          <w:color w:val="000000" w:themeColor="text1"/>
          <w:lang w:val="en-GB"/>
        </w:rPr>
        <w:t>IrO</w:t>
      </w:r>
      <w:r w:rsidRPr="00C87FF4">
        <w:rPr>
          <w:bCs/>
          <w:color w:val="000000" w:themeColor="text1"/>
          <w:vertAlign w:val="subscript"/>
          <w:lang w:val="en-GB"/>
        </w:rPr>
        <w:t>x</w:t>
      </w:r>
      <w:proofErr w:type="spellEnd"/>
      <w:r w:rsidRPr="00C87FF4">
        <w:rPr>
          <w:bCs/>
          <w:color w:val="000000" w:themeColor="text1"/>
          <w:lang w:val="en-GB"/>
        </w:rPr>
        <w:t xml:space="preserve"> is </w:t>
      </w:r>
      <w:proofErr w:type="spellStart"/>
      <w:r w:rsidRPr="00C87FF4">
        <w:rPr>
          <w:bCs/>
          <w:color w:val="000000" w:themeColor="text1"/>
          <w:lang w:val="en-GB"/>
        </w:rPr>
        <w:t>sulfate</w:t>
      </w:r>
      <w:proofErr w:type="spellEnd"/>
      <w:r w:rsidRPr="00C87FF4">
        <w:rPr>
          <w:bCs/>
          <w:color w:val="000000" w:themeColor="text1"/>
          <w:lang w:val="en-GB"/>
        </w:rPr>
        <w:t>. Arminio-</w:t>
      </w:r>
      <w:proofErr w:type="spellStart"/>
      <w:r w:rsidRPr="00C87FF4">
        <w:rPr>
          <w:bCs/>
          <w:color w:val="000000" w:themeColor="text1"/>
          <w:lang w:val="en-GB"/>
        </w:rPr>
        <w:t>Ravelo</w:t>
      </w:r>
      <w:proofErr w:type="spellEnd"/>
      <w:r w:rsidRPr="00C87FF4">
        <w:rPr>
          <w:bCs/>
          <w:color w:val="000000" w:themeColor="text1"/>
          <w:lang w:val="en-GB"/>
        </w:rPr>
        <w:t xml:space="preserve"> et al.</w:t>
      </w:r>
      <w:r w:rsidRPr="00C87FF4">
        <w:rPr>
          <w:bCs/>
          <w:color w:val="000000" w:themeColor="text1"/>
          <w:lang w:val="en-GB"/>
        </w:rPr>
        <w:fldChar w:fldCharType="begin"/>
      </w:r>
      <w:r w:rsidR="00FC5BEB">
        <w:rPr>
          <w:bCs/>
          <w:color w:val="000000" w:themeColor="text1"/>
          <w:lang w:val="en-GB"/>
        </w:rPr>
        <w:instrText xml:space="preserve"> ADDIN EN.CITE &lt;EndNote&gt;&lt;Cite&gt;&lt;Author&gt;Arminio-Ravelo&lt;/Author&gt;&lt;Year&gt;2019&lt;/Year&gt;&lt;RecNum&gt;446&lt;/RecNum&gt;&lt;DisplayText&gt;&lt;style face="superscript"&gt;448&lt;/style&gt;&lt;/DisplayText&gt;&lt;record&gt;&lt;rec-number&gt;446&lt;/rec-number&gt;&lt;foreign-keys&gt;&lt;key app="EN" db-id="2xex0erf4eexr4e2dpbxpdd829xttesxxxdr" timestamp="1715075297"&gt;446&lt;/key&gt;&lt;/foreign-keys&gt;&lt;ref-type name="Journal Article"&gt;17&lt;/ref-type&gt;&lt;contributors&gt;&lt;authors&gt;&lt;author&gt;Arminio-Ravelo, José Alejandro&lt;/author&gt;&lt;author&gt;Jensen, Anders W.&lt;/author&gt;&lt;author&gt;Jensen, Kim D.&lt;/author&gt;&lt;author&gt;Quinson, Jonathan&lt;/author&gt;&lt;author&gt;Escudero-Escribano, María&lt;/author&gt;&lt;/authors&gt;&lt;/contributors&gt;&lt;titles&gt;&lt;title&gt;Electrolyte Effects on the Electrocatalytic Performance of Iridium-Based Nanoparticles for Oxygen Evolution in Rotating Disc Electrodes&lt;/title&gt;&lt;secondary-title&gt;ChemPhysChem&lt;/secondary-title&gt;&lt;/titles&gt;&lt;pages&gt;2956-2963&lt;/pages&gt;&lt;volume&gt;20&lt;/volume&gt;&lt;number&gt;22&lt;/number&gt;&lt;keywords&gt;&lt;keyword&gt;benchmarking&lt;/keyword&gt;&lt;keyword&gt;electrolyte&lt;/keyword&gt;&lt;keyword&gt;iridium&lt;/keyword&gt;&lt;keyword&gt;nanoparticles&lt;/keyword&gt;&lt;keyword&gt;water splitting&lt;/keyword&gt;&lt;/keywords&gt;&lt;dates&gt;&lt;year&gt;2019&lt;/year&gt;&lt;/dates&gt;&lt;publisher&gt;John Wiley &amp;amp; Sons, Ltd&lt;/publisher&gt;&lt;urls&gt;&lt;related-urls&gt;&lt;url&gt;https://doi.org/10.1002/cphc.201900902&lt;/url&gt;&lt;/related-urls&gt;&lt;/urls&gt;&lt;electronic-resource-num&gt;https://doi.org/10.1002/cphc.201900902&lt;/electronic-resource-num&gt;&lt;/record&gt;&lt;/Cite&gt;&lt;/EndNote&gt;</w:instrText>
      </w:r>
      <w:r w:rsidRPr="00C87FF4">
        <w:rPr>
          <w:bCs/>
          <w:color w:val="000000" w:themeColor="text1"/>
          <w:lang w:val="en-GB"/>
        </w:rPr>
        <w:fldChar w:fldCharType="separate"/>
      </w:r>
      <w:r w:rsidR="00FC5BEB" w:rsidRPr="00FC5BEB">
        <w:rPr>
          <w:bCs/>
          <w:noProof/>
          <w:color w:val="000000" w:themeColor="text1"/>
          <w:vertAlign w:val="superscript"/>
          <w:lang w:val="en-GB"/>
        </w:rPr>
        <w:t>448</w:t>
      </w:r>
      <w:r w:rsidRPr="00C87FF4">
        <w:rPr>
          <w:bCs/>
          <w:color w:val="000000" w:themeColor="text1"/>
          <w:lang w:val="en-GB"/>
        </w:rPr>
        <w:fldChar w:fldCharType="end"/>
      </w:r>
      <w:r w:rsidRPr="00C87FF4">
        <w:rPr>
          <w:bCs/>
          <w:color w:val="000000" w:themeColor="text1"/>
          <w:lang w:val="en-GB"/>
        </w:rPr>
        <w:t xml:space="preserve"> compared the influence of sulphuric acid and perchloric acid on the OER activity of electrochemically prepared </w:t>
      </w:r>
      <w:proofErr w:type="spellStart"/>
      <w:r w:rsidRPr="00C87FF4">
        <w:rPr>
          <w:bCs/>
          <w:color w:val="000000" w:themeColor="text1"/>
          <w:lang w:val="en-GB"/>
        </w:rPr>
        <w:t>IrO</w:t>
      </w:r>
      <w:r w:rsidRPr="00C87FF4">
        <w:rPr>
          <w:bCs/>
          <w:color w:val="000000" w:themeColor="text1"/>
          <w:vertAlign w:val="subscript"/>
          <w:lang w:val="en-GB"/>
        </w:rPr>
        <w:t>x</w:t>
      </w:r>
      <w:proofErr w:type="spellEnd"/>
      <w:r w:rsidRPr="00C87FF4">
        <w:rPr>
          <w:bCs/>
          <w:color w:val="000000" w:themeColor="text1"/>
          <w:lang w:val="en-GB"/>
        </w:rPr>
        <w:t>, at three concentration levels (0.05 M, 0.1 M and 0.5M). While the concentration of H</w:t>
      </w:r>
      <w:r w:rsidRPr="00C87FF4">
        <w:rPr>
          <w:bCs/>
          <w:color w:val="000000" w:themeColor="text1"/>
          <w:vertAlign w:val="subscript"/>
          <w:lang w:val="en-GB"/>
        </w:rPr>
        <w:t>2</w:t>
      </w:r>
      <w:r w:rsidRPr="00C87FF4">
        <w:rPr>
          <w:bCs/>
          <w:color w:val="000000" w:themeColor="text1"/>
          <w:lang w:val="en-GB"/>
        </w:rPr>
        <w:t>SO</w:t>
      </w:r>
      <w:r w:rsidRPr="00C87FF4">
        <w:rPr>
          <w:bCs/>
          <w:color w:val="000000" w:themeColor="text1"/>
          <w:vertAlign w:val="subscript"/>
          <w:lang w:val="en-GB"/>
        </w:rPr>
        <w:t>4</w:t>
      </w:r>
      <w:r w:rsidRPr="00C87FF4">
        <w:rPr>
          <w:bCs/>
          <w:color w:val="000000" w:themeColor="text1"/>
          <w:lang w:val="en-GB"/>
        </w:rPr>
        <w:t xml:space="preserve"> interfered with the oxidation of </w:t>
      </w:r>
      <w:proofErr w:type="spellStart"/>
      <w:r w:rsidRPr="00C87FF4">
        <w:rPr>
          <w:bCs/>
          <w:color w:val="000000" w:themeColor="text1"/>
          <w:lang w:val="en-GB"/>
        </w:rPr>
        <w:t>IrO</w:t>
      </w:r>
      <w:r w:rsidRPr="00C87FF4">
        <w:rPr>
          <w:bCs/>
          <w:color w:val="000000" w:themeColor="text1"/>
          <w:vertAlign w:val="subscript"/>
          <w:lang w:val="en-GB"/>
        </w:rPr>
        <w:t>x</w:t>
      </w:r>
      <w:proofErr w:type="spellEnd"/>
      <w:r w:rsidRPr="00C87FF4">
        <w:rPr>
          <w:bCs/>
          <w:color w:val="000000" w:themeColor="text1"/>
          <w:lang w:val="en-GB"/>
        </w:rPr>
        <w:t xml:space="preserve"> and decreased its catalytic performance, HClO</w:t>
      </w:r>
      <w:r w:rsidRPr="00C87FF4">
        <w:rPr>
          <w:bCs/>
          <w:color w:val="000000" w:themeColor="text1"/>
          <w:vertAlign w:val="subscript"/>
          <w:lang w:val="en-GB"/>
        </w:rPr>
        <w:t>4</w:t>
      </w:r>
      <w:r w:rsidRPr="00C87FF4">
        <w:rPr>
          <w:bCs/>
          <w:color w:val="000000" w:themeColor="text1"/>
          <w:lang w:val="en-GB"/>
        </w:rPr>
        <w:t xml:space="preserve"> did not show strong interferences with the electrochemistry of </w:t>
      </w:r>
      <w:proofErr w:type="spellStart"/>
      <w:r w:rsidRPr="00C87FF4">
        <w:rPr>
          <w:bCs/>
          <w:color w:val="000000" w:themeColor="text1"/>
          <w:lang w:val="en-GB"/>
        </w:rPr>
        <w:t>IrO</w:t>
      </w:r>
      <w:r w:rsidRPr="00C87FF4">
        <w:rPr>
          <w:bCs/>
          <w:color w:val="000000" w:themeColor="text1"/>
          <w:vertAlign w:val="subscript"/>
          <w:lang w:val="en-GB"/>
        </w:rPr>
        <w:t>x</w:t>
      </w:r>
      <w:proofErr w:type="spellEnd"/>
      <w:r w:rsidRPr="00C87FF4">
        <w:rPr>
          <w:bCs/>
          <w:color w:val="000000" w:themeColor="text1"/>
          <w:lang w:val="en-GB"/>
        </w:rPr>
        <w:t>. With increasing concentration of H</w:t>
      </w:r>
      <w:r w:rsidRPr="00C87FF4">
        <w:rPr>
          <w:bCs/>
          <w:color w:val="000000" w:themeColor="text1"/>
          <w:vertAlign w:val="subscript"/>
          <w:lang w:val="en-GB"/>
        </w:rPr>
        <w:t>2</w:t>
      </w:r>
      <w:r w:rsidRPr="00C87FF4">
        <w:rPr>
          <w:bCs/>
          <w:color w:val="000000" w:themeColor="text1"/>
          <w:lang w:val="en-GB"/>
        </w:rPr>
        <w:t>SO</w:t>
      </w:r>
      <w:r w:rsidRPr="00C87FF4">
        <w:rPr>
          <w:bCs/>
          <w:color w:val="000000" w:themeColor="text1"/>
          <w:vertAlign w:val="subscript"/>
          <w:lang w:val="en-GB"/>
        </w:rPr>
        <w:t>4</w:t>
      </w:r>
      <w:r w:rsidRPr="00C87FF4">
        <w:rPr>
          <w:bCs/>
          <w:color w:val="000000" w:themeColor="text1"/>
          <w:lang w:val="en-GB"/>
        </w:rPr>
        <w:t>, (</w:t>
      </w:r>
      <w:proofErr w:type="spellStart"/>
      <w:r w:rsidRPr="00C87FF4">
        <w:rPr>
          <w:bCs/>
          <w:color w:val="000000" w:themeColor="text1"/>
          <w:lang w:val="en-GB"/>
        </w:rPr>
        <w:t>i</w:t>
      </w:r>
      <w:proofErr w:type="spellEnd"/>
      <w:r w:rsidRPr="00C87FF4">
        <w:rPr>
          <w:bCs/>
          <w:color w:val="000000" w:themeColor="text1"/>
          <w:lang w:val="en-GB"/>
        </w:rPr>
        <w:t>) the characteristic features corresponding to hydrogen adsorption and desorption disappeared as the number of cyclic voltammetry cycles increased, (ii) the oxidation wave at approximately 0.9-1.0 V has shifted to higher potentials and decreased in intensity, (iii) the OER activity and (iv) catalyst stability decreased. These observations suggest a stronger adsorption of HSO</w:t>
      </w:r>
      <w:r w:rsidRPr="00C87FF4">
        <w:rPr>
          <w:bCs/>
          <w:color w:val="000000" w:themeColor="text1"/>
          <w:vertAlign w:val="subscript"/>
          <w:lang w:val="en-GB"/>
        </w:rPr>
        <w:t>4</w:t>
      </w:r>
      <w:r w:rsidRPr="00C87FF4">
        <w:rPr>
          <w:bCs/>
          <w:color w:val="000000" w:themeColor="text1"/>
          <w:vertAlign w:val="superscript"/>
          <w:lang w:val="en-GB"/>
        </w:rPr>
        <w:t>-</w:t>
      </w:r>
      <w:r w:rsidRPr="00C87FF4">
        <w:rPr>
          <w:bCs/>
          <w:color w:val="000000" w:themeColor="text1"/>
          <w:lang w:val="en-GB"/>
        </w:rPr>
        <w:t xml:space="preserve"> and SO</w:t>
      </w:r>
      <w:r w:rsidRPr="00C87FF4">
        <w:rPr>
          <w:bCs/>
          <w:color w:val="000000" w:themeColor="text1"/>
          <w:vertAlign w:val="subscript"/>
          <w:lang w:val="en-GB"/>
        </w:rPr>
        <w:t>4</w:t>
      </w:r>
      <w:r w:rsidRPr="00C87FF4">
        <w:rPr>
          <w:bCs/>
          <w:color w:val="000000" w:themeColor="text1"/>
          <w:vertAlign w:val="superscript"/>
          <w:lang w:val="en-GB"/>
        </w:rPr>
        <w:t>2-</w:t>
      </w:r>
      <w:r w:rsidRPr="00C87FF4">
        <w:rPr>
          <w:bCs/>
          <w:color w:val="000000" w:themeColor="text1"/>
          <w:lang w:val="en-GB"/>
        </w:rPr>
        <w:t xml:space="preserve"> on the catalysts surface compared to ClO</w:t>
      </w:r>
      <w:r w:rsidRPr="00C87FF4">
        <w:rPr>
          <w:bCs/>
          <w:color w:val="000000" w:themeColor="text1"/>
          <w:vertAlign w:val="subscript"/>
          <w:lang w:val="en-GB"/>
        </w:rPr>
        <w:t>4</w:t>
      </w:r>
      <w:r w:rsidRPr="00C87FF4">
        <w:rPr>
          <w:bCs/>
          <w:color w:val="000000" w:themeColor="text1"/>
          <w:vertAlign w:val="superscript"/>
          <w:lang w:val="en-GB"/>
        </w:rPr>
        <w:t>-</w:t>
      </w:r>
      <w:r w:rsidRPr="00C87FF4">
        <w:rPr>
          <w:bCs/>
          <w:color w:val="000000" w:themeColor="text1"/>
          <w:lang w:val="en-GB"/>
        </w:rPr>
        <w:t xml:space="preserve">. Somewhat similar </w:t>
      </w:r>
      <w:proofErr w:type="spellStart"/>
      <w:r w:rsidRPr="00C87FF4">
        <w:rPr>
          <w:bCs/>
          <w:color w:val="000000" w:themeColor="text1"/>
          <w:lang w:val="en-GB"/>
        </w:rPr>
        <w:t>sulfate</w:t>
      </w:r>
      <w:proofErr w:type="spellEnd"/>
      <w:r w:rsidRPr="00C87FF4">
        <w:rPr>
          <w:bCs/>
          <w:color w:val="000000" w:themeColor="text1"/>
          <w:lang w:val="en-GB"/>
        </w:rPr>
        <w:t xml:space="preserve"> poisoning was observed by </w:t>
      </w:r>
      <w:proofErr w:type="spellStart"/>
      <w:r w:rsidRPr="00C87FF4">
        <w:rPr>
          <w:bCs/>
          <w:color w:val="000000" w:themeColor="text1"/>
          <w:lang w:val="en-GB"/>
        </w:rPr>
        <w:t>Seow</w:t>
      </w:r>
      <w:proofErr w:type="spellEnd"/>
      <w:r w:rsidRPr="00C87FF4">
        <w:rPr>
          <w:bCs/>
          <w:color w:val="000000" w:themeColor="text1"/>
          <w:lang w:val="en-GB"/>
        </w:rPr>
        <w:t xml:space="preserve"> et al.</w:t>
      </w:r>
      <w:r w:rsidRPr="00C87FF4">
        <w:rPr>
          <w:bCs/>
          <w:color w:val="000000" w:themeColor="text1"/>
          <w:lang w:val="en-GB"/>
        </w:rPr>
        <w:fldChar w:fldCharType="begin"/>
      </w:r>
      <w:r w:rsidR="00FC5BEB">
        <w:rPr>
          <w:bCs/>
          <w:color w:val="000000" w:themeColor="text1"/>
          <w:lang w:val="en-GB"/>
        </w:rPr>
        <w:instrText xml:space="preserve"> ADDIN EN.CITE &lt;EndNote&gt;&lt;Cite&gt;&lt;Author&gt;Seow&lt;/Author&gt;&lt;Year&gt;2023&lt;/Year&gt;&lt;RecNum&gt;447&lt;/RecNum&gt;&lt;DisplayText&gt;&lt;style face="superscript"&gt;449&lt;/style&gt;&lt;/DisplayText&gt;&lt;record&gt;&lt;rec-number&gt;447&lt;/rec-number&gt;&lt;foreign-keys&gt;&lt;key app="EN" db-id="2xex0erf4eexr4e2dpbxpdd829xttesxxxdr" timestamp="1715075297"&gt;447&lt;/key&gt;&lt;/foreign-keys&gt;&lt;ref-type name="Journal Article"&gt;17&lt;/ref-type&gt;&lt;contributors&gt;&lt;authors&gt;&lt;author&gt;Seow, Justin Zhu Yeow&lt;/author&gt;&lt;author&gt;Chen, Yubo&lt;/author&gt;&lt;author&gt;Ge, Jingjie&lt;/author&gt;&lt;author&gt;Fisher, Adrian C.&lt;/author&gt;&lt;author&gt;Xu, Zhichuan J.&lt;/author&gt;&lt;/authors&gt;&lt;/contributors&gt;&lt;titles&gt;&lt;title&gt;Deciphering the Poisoning Effect of Sulfate on a Perovskite-Derived IrOxHy Catalyst for Water Oxidation in Acid&lt;/title&gt;&lt;secondary-title&gt;Journal of The Electrochemical Society&lt;/secondary-title&gt;&lt;/titles&gt;&lt;periodical&gt;&lt;full-title&gt;Journal of the Electrochemical Society&lt;/full-title&gt;&lt;abbr-1&gt;J. Electrochem. Soc.&lt;/abbr-1&gt;&lt;abbr-2&gt;J Electrochem Soc&lt;/abbr-2&gt;&lt;/periodical&gt;&lt;pages&gt;044507&lt;/pages&gt;&lt;volume&gt;170&lt;/volume&gt;&lt;number&gt;4&lt;/number&gt;&lt;dates&gt;&lt;year&gt;2023&lt;/year&gt;&lt;pub-dates&gt;&lt;date&gt;2023/04/19&lt;/date&gt;&lt;/pub-dates&gt;&lt;/dates&gt;&lt;publisher&gt;IOP Publishing&lt;/publisher&gt;&lt;isbn&gt;1945-7111&amp;#xD;0013-4651&lt;/isbn&gt;&lt;urls&gt;&lt;related-urls&gt;&lt;url&gt;https://dx.doi.org/10.1149/1945-7111/accb70&lt;/url&gt;&lt;/related-urls&gt;&lt;/urls&gt;&lt;electronic-resource-num&gt;10.1149/1945-7111/accb70&lt;/electronic-resource-num&gt;&lt;/record&gt;&lt;/Cite&gt;&lt;/EndNote&gt;</w:instrText>
      </w:r>
      <w:r w:rsidRPr="00C87FF4">
        <w:rPr>
          <w:bCs/>
          <w:color w:val="000000" w:themeColor="text1"/>
          <w:lang w:val="en-GB"/>
        </w:rPr>
        <w:fldChar w:fldCharType="separate"/>
      </w:r>
      <w:r w:rsidR="00FC5BEB" w:rsidRPr="00FC5BEB">
        <w:rPr>
          <w:bCs/>
          <w:noProof/>
          <w:color w:val="000000" w:themeColor="text1"/>
          <w:vertAlign w:val="superscript"/>
          <w:lang w:val="en-GB"/>
        </w:rPr>
        <w:t>449</w:t>
      </w:r>
      <w:r w:rsidRPr="00C87FF4">
        <w:rPr>
          <w:bCs/>
          <w:color w:val="000000" w:themeColor="text1"/>
          <w:lang w:val="en-GB"/>
        </w:rPr>
        <w:fldChar w:fldCharType="end"/>
      </w:r>
      <w:r w:rsidRPr="00C87FF4">
        <w:rPr>
          <w:bCs/>
          <w:color w:val="000000" w:themeColor="text1"/>
          <w:lang w:val="en-GB"/>
        </w:rPr>
        <w:t xml:space="preserve"> They investigated SrCo</w:t>
      </w:r>
      <w:r w:rsidRPr="00C87FF4">
        <w:rPr>
          <w:bCs/>
          <w:color w:val="000000" w:themeColor="text1"/>
          <w:vertAlign w:val="subscript"/>
          <w:lang w:val="en-GB"/>
        </w:rPr>
        <w:t>0.9</w:t>
      </w:r>
      <w:r w:rsidRPr="00C87FF4">
        <w:rPr>
          <w:bCs/>
          <w:color w:val="000000" w:themeColor="text1"/>
          <w:lang w:val="en-GB"/>
        </w:rPr>
        <w:t>Ir</w:t>
      </w:r>
      <w:r w:rsidRPr="00C87FF4">
        <w:rPr>
          <w:bCs/>
          <w:color w:val="000000" w:themeColor="text1"/>
          <w:vertAlign w:val="subscript"/>
          <w:lang w:val="en-GB"/>
        </w:rPr>
        <w:t>0.1</w:t>
      </w:r>
      <w:r w:rsidRPr="00C87FF4">
        <w:rPr>
          <w:bCs/>
          <w:color w:val="000000" w:themeColor="text1"/>
          <w:lang w:val="en-GB"/>
        </w:rPr>
        <w:t>O</w:t>
      </w:r>
      <w:r w:rsidRPr="00C87FF4">
        <w:rPr>
          <w:bCs/>
          <w:color w:val="000000" w:themeColor="text1"/>
          <w:vertAlign w:val="subscript"/>
          <w:lang w:val="en-GB"/>
        </w:rPr>
        <w:t>3-δ</w:t>
      </w:r>
      <w:r w:rsidRPr="00C87FF4">
        <w:rPr>
          <w:bCs/>
          <w:color w:val="000000" w:themeColor="text1"/>
          <w:lang w:val="en-GB"/>
        </w:rPr>
        <w:t xml:space="preserve"> perovskite, which under acidic condition undergoes Sr and Co leaching and forms an amorphous </w:t>
      </w:r>
      <w:proofErr w:type="spellStart"/>
      <w:r w:rsidRPr="00C87FF4">
        <w:rPr>
          <w:bCs/>
          <w:color w:val="000000" w:themeColor="text1"/>
          <w:lang w:val="en-GB"/>
        </w:rPr>
        <w:t>IrO</w:t>
      </w:r>
      <w:r w:rsidRPr="00C87FF4">
        <w:rPr>
          <w:bCs/>
          <w:color w:val="000000" w:themeColor="text1"/>
          <w:vertAlign w:val="subscript"/>
          <w:lang w:val="en-GB"/>
        </w:rPr>
        <w:t>x</w:t>
      </w:r>
      <w:proofErr w:type="spellEnd"/>
      <w:r w:rsidRPr="00C87FF4">
        <w:rPr>
          <w:bCs/>
          <w:color w:val="000000" w:themeColor="text1"/>
          <w:lang w:val="en-GB"/>
        </w:rPr>
        <w:t xml:space="preserve"> at the surface. They find that besides a </w:t>
      </w:r>
      <w:proofErr w:type="spellStart"/>
      <w:r w:rsidRPr="00C87FF4">
        <w:rPr>
          <w:bCs/>
          <w:color w:val="000000" w:themeColor="text1"/>
          <w:lang w:val="en-GB"/>
        </w:rPr>
        <w:t>sulfate</w:t>
      </w:r>
      <w:proofErr w:type="spellEnd"/>
      <w:r w:rsidRPr="00C87FF4">
        <w:rPr>
          <w:bCs/>
          <w:color w:val="000000" w:themeColor="text1"/>
          <w:lang w:val="en-GB"/>
        </w:rPr>
        <w:t xml:space="preserve"> adsorption-induced performance decrease, SrSO</w:t>
      </w:r>
      <w:r w:rsidRPr="00C87FF4">
        <w:rPr>
          <w:bCs/>
          <w:color w:val="000000" w:themeColor="text1"/>
          <w:vertAlign w:val="subscript"/>
          <w:lang w:val="en-GB"/>
        </w:rPr>
        <w:t>4</w:t>
      </w:r>
      <w:r w:rsidRPr="00C87FF4">
        <w:rPr>
          <w:bCs/>
          <w:color w:val="000000" w:themeColor="text1"/>
          <w:lang w:val="en-GB"/>
        </w:rPr>
        <w:t xml:space="preserve"> has formed on the surface of the sample, which enhance</w:t>
      </w:r>
      <w:r w:rsidR="00FF0284">
        <w:rPr>
          <w:bCs/>
          <w:color w:val="000000" w:themeColor="text1"/>
          <w:lang w:val="en-GB"/>
        </w:rPr>
        <w:t>s</w:t>
      </w:r>
      <w:r w:rsidRPr="00C87FF4">
        <w:rPr>
          <w:bCs/>
          <w:color w:val="000000" w:themeColor="text1"/>
          <w:lang w:val="en-GB"/>
        </w:rPr>
        <w:t xml:space="preserve"> the OER degradation.</w:t>
      </w:r>
    </w:p>
    <w:p w14:paraId="570B0669" w14:textId="77777777" w:rsidR="00091697" w:rsidRPr="00C87FF4" w:rsidRDefault="00091697" w:rsidP="00091697">
      <w:pPr>
        <w:ind w:firstLine="720"/>
        <w:rPr>
          <w:bCs/>
          <w:color w:val="000000" w:themeColor="text1"/>
          <w:lang w:val="en-GB"/>
        </w:rPr>
      </w:pPr>
    </w:p>
    <w:p w14:paraId="5D01BCA4" w14:textId="064B5E08" w:rsidR="00091697" w:rsidRPr="00C87FF4" w:rsidRDefault="00091697" w:rsidP="00091697">
      <w:pPr>
        <w:ind w:firstLine="720"/>
        <w:rPr>
          <w:bCs/>
          <w:color w:val="000000" w:themeColor="text1"/>
        </w:rPr>
      </w:pPr>
      <w:r w:rsidRPr="00C87FF4">
        <w:rPr>
          <w:bCs/>
          <w:color w:val="000000" w:themeColor="text1"/>
          <w:lang w:val="en-GB"/>
        </w:rPr>
        <w:t xml:space="preserve">The above collection of experiments illustrates that the influence of the actual electrolyte, more often than not, cannot be </w:t>
      </w:r>
      <w:r w:rsidR="00840D5F">
        <w:rPr>
          <w:bCs/>
          <w:i/>
          <w:iCs/>
          <w:color w:val="000000" w:themeColor="text1"/>
          <w:lang w:val="en-GB"/>
        </w:rPr>
        <w:t>a priori</w:t>
      </w:r>
      <w:r w:rsidRPr="00C87FF4">
        <w:rPr>
          <w:bCs/>
          <w:color w:val="000000" w:themeColor="text1"/>
          <w:lang w:val="en-GB"/>
        </w:rPr>
        <w:t xml:space="preserve"> neglected. Both the pH and the dissolved ions can have a profound effect on the OER performance, which were neglected in the CHE approach. It is therefore crucial to increase the complexity of theory and account for non-Nernstian processes in the chemistry of OER catalysts. In the next segment we uncover how theory can incorporate electrolyte in its calculations and later how these results may be used in microkinetic </w:t>
      </w:r>
      <w:proofErr w:type="spellStart"/>
      <w:r w:rsidR="002A338C">
        <w:rPr>
          <w:bCs/>
          <w:color w:val="000000" w:themeColor="text1"/>
          <w:lang w:val="en-GB"/>
        </w:rPr>
        <w:t>modeling</w:t>
      </w:r>
      <w:proofErr w:type="spellEnd"/>
      <w:r w:rsidRPr="00C87FF4">
        <w:rPr>
          <w:bCs/>
          <w:color w:val="000000" w:themeColor="text1"/>
          <w:lang w:val="en-GB"/>
        </w:rPr>
        <w:t xml:space="preserve">.    </w:t>
      </w:r>
    </w:p>
    <w:p w14:paraId="275EED54" w14:textId="77777777" w:rsidR="00B47883" w:rsidRDefault="00B47883" w:rsidP="00282227">
      <w:pPr>
        <w:rPr>
          <w:color w:val="000000" w:themeColor="text1"/>
        </w:rPr>
      </w:pPr>
    </w:p>
    <w:p w14:paraId="7834D155" w14:textId="12E3C02B" w:rsidR="00591B2E" w:rsidRPr="00892F0B" w:rsidRDefault="00591B2E" w:rsidP="00577291">
      <w:pPr>
        <w:pStyle w:val="Heading1"/>
        <w:numPr>
          <w:ilvl w:val="0"/>
          <w:numId w:val="17"/>
        </w:numPr>
      </w:pPr>
      <w:bookmarkStart w:id="125" w:name="_Ref159882344"/>
      <w:bookmarkStart w:id="126" w:name="_Toc166441743"/>
      <w:r w:rsidRPr="00892F0B">
        <w:t>Modeling the electrified solid/liquid interface</w:t>
      </w:r>
      <w:bookmarkEnd w:id="125"/>
      <w:bookmarkEnd w:id="126"/>
    </w:p>
    <w:p w14:paraId="1D4FB2A0" w14:textId="77777777" w:rsidR="00591B2E" w:rsidRDefault="00591B2E" w:rsidP="00591B2E"/>
    <w:p w14:paraId="15846AA3" w14:textId="38DBC63D" w:rsidR="00591B2E" w:rsidRDefault="00591B2E" w:rsidP="00754C9E">
      <w:pPr>
        <w:ind w:firstLine="720"/>
      </w:pPr>
      <w:r>
        <w:lastRenderedPageBreak/>
        <w:t>T</w:t>
      </w:r>
      <w:r w:rsidRPr="008E6C69">
        <w:t>he interface between an electron conductor, the electrode, and an ion conductor, the electrolyte</w:t>
      </w:r>
      <w:r>
        <w:t>,</w:t>
      </w:r>
      <w:r w:rsidRPr="008E6C69">
        <w:t xml:space="preserve"> </w:t>
      </w:r>
      <w:r>
        <w:t>is defined</w:t>
      </w:r>
      <w:r w:rsidRPr="008E6C69">
        <w:t xml:space="preserve"> a</w:t>
      </w:r>
      <w:r>
        <w:t>s the</w:t>
      </w:r>
      <w:r w:rsidRPr="008E6C69">
        <w:t xml:space="preserve"> electric double layer (EDL)</w:t>
      </w:r>
      <w:r>
        <w:t>. When the potential of the electrode is altered by the application of an external bias, electrons flow into or out of the electrode and, correspondingly, the distribution of ions in the electrolyte will be altered to screen the electrode charge. Driven by electrostatics, the electronic and ionic charges in the EDL are therefore rearranged, ensuring its global charge neutrality. This leads to structural changes as well as to a polarization of the interface. Clearly these effects can have an impact on the thermodynamics and the kinetics of the elementary steps of an electrochemical process like the OER. This is because some of the intermediates, reactants or products involved in the OER elementary steps can be charged or have a strong dipole that can couple to changes in the interfacial electric filed; the intermediates can form hydrogen bonds with the water molecules at the interface, and structural changes in the EDL can therefore influence the stability of the intermediates. One of the assumptions of the CHE approach, however, is that the adsorption energy of the reaction intermediates is independent of the interfacial electric filed.</w:t>
      </w:r>
      <w:r>
        <w:fldChar w:fldCharType="begin"/>
      </w:r>
      <w:r w:rsidR="00FC5BEB">
        <w:instrText xml:space="preserve"> ADDIN EN.CITE &lt;EndNote&gt;&lt;Cite&gt;&lt;Author&gt;Bagger&lt;/Author&gt;&lt;Year&gt;2020&lt;/Year&gt;&lt;RecNum&gt;448&lt;/RecNum&gt;&lt;DisplayText&gt;&lt;style face="superscript"&gt;450&lt;/style&gt;&lt;/DisplayText&gt;&lt;record&gt;&lt;rec-number&gt;448&lt;/rec-number&gt;&lt;foreign-keys&gt;&lt;key app="EN" db-id="2xex0erf4eexr4e2dpbxpdd829xttesxxxdr" timestamp="1715075297"&gt;448&lt;/key&gt;&lt;/foreign-keys&gt;&lt;ref-type name="Book Section"&gt;5&lt;/ref-type&gt;&lt;contributors&gt;&lt;authors&gt;&lt;author&gt;Bagger, Alexander&lt;/author&gt;&lt;author&gt;Castelli, Ivano E.&lt;/author&gt;&lt;author&gt;Hansen, Martin Hangaard&lt;/author&gt;&lt;author&gt;Rossmeisl, Jan&lt;/author&gt;&lt;/authors&gt;&lt;secondary-authors&gt;&lt;author&gt;Andreoni, W., Yip, S.&lt;/author&gt;&lt;/secondary-authors&gt;&lt;/contributors&gt;&lt;titles&gt;&lt;title&gt;Fundamental Atomic Insight in Electrocatalysis&lt;/title&gt;&lt;secondary-title&gt;Handbook of Materials Modeling&lt;/secondary-title&gt;&lt;/titles&gt;&lt;pages&gt;1473-1503&lt;/pages&gt;&lt;dates&gt;&lt;year&gt;2020&lt;/year&gt;&lt;/dates&gt;&lt;publisher&gt;Springer, Cham.&lt;/publisher&gt;&lt;isbn&gt;9783319446806&lt;/isbn&gt;&lt;urls&gt;&lt;related-urls&gt;&lt;url&gt;https://link.springer.com/content/pdf/10.1007/978-3-319-44680-6_8.pdf&lt;/url&gt;&lt;/related-urls&gt;&lt;/urls&gt;&lt;electronic-resource-num&gt;10.1007/978-3-319-44680-6_8&lt;/electronic-resource-num&gt;&lt;/record&gt;&lt;/Cite&gt;&lt;/EndNote&gt;</w:instrText>
      </w:r>
      <w:r>
        <w:fldChar w:fldCharType="separate"/>
      </w:r>
      <w:r w:rsidR="00FC5BEB" w:rsidRPr="00FC5BEB">
        <w:rPr>
          <w:noProof/>
          <w:vertAlign w:val="superscript"/>
        </w:rPr>
        <w:t>450</w:t>
      </w:r>
      <w:r>
        <w:fldChar w:fldCharType="end"/>
      </w:r>
      <w:r>
        <w:t xml:space="preserve"> Moreover, some of the earliest applications of the CHE approach ignored even solvation effects, modeling the interface in vacuum. In this section we will discuss several attempts that have been made to model the effects of the EDL on the energetics of electrochemical reactions.  </w:t>
      </w:r>
    </w:p>
    <w:p w14:paraId="13FB9FC5" w14:textId="77777777" w:rsidR="00591B2E" w:rsidRDefault="00591B2E" w:rsidP="00591B2E"/>
    <w:p w14:paraId="372D1704" w14:textId="4A05D70B" w:rsidR="00591B2E" w:rsidRDefault="00591B2E" w:rsidP="00754C9E">
      <w:pPr>
        <w:ind w:firstLine="720"/>
      </w:pPr>
      <w:r>
        <w:t>Modeling computationally the elementary</w:t>
      </w:r>
      <w:r w:rsidRPr="00B10DBE">
        <w:t xml:space="preserve"> </w:t>
      </w:r>
      <w:r>
        <w:t>electrochemical steps taking place in EDL is a formidable challenge.</w:t>
      </w:r>
      <w:r>
        <w:fldChar w:fldCharType="begin"/>
      </w:r>
      <w:r w:rsidR="00FC5BEB">
        <w:instrText xml:space="preserve"> ADDIN EN.CITE &lt;EndNote&gt;&lt;Cite&gt;&lt;Author&gt;Groß&lt;/Author&gt;&lt;Year&gt;2018&lt;/Year&gt;&lt;RecNum&gt;449&lt;/RecNum&gt;&lt;DisplayText&gt;&lt;style face="superscript"&gt;451&lt;/style&gt;&lt;/DisplayText&gt;&lt;record&gt;&lt;rec-number&gt;449&lt;/rec-number&gt;&lt;foreign-keys&gt;&lt;key app="EN" db-id="2xex0erf4eexr4e2dpbxpdd829xttesxxxdr" timestamp="1715075297"&gt;449&lt;/key&gt;&lt;/foreign-keys&gt;&lt;ref-type name="Book Section"&gt;5&lt;/ref-type&gt;&lt;contributors&gt;&lt;authors&gt;&lt;author&gt;Groß, Axel&lt;/author&gt;&lt;/authors&gt;&lt;secondary-authors&gt;&lt;author&gt;Andreoni, Wanda&lt;/author&gt;&lt;author&gt;Yip, Sidney&lt;/author&gt;&lt;/secondary-authors&gt;&lt;/contributors&gt;&lt;titles&gt;&lt;title&gt;Structure of Electrode-Electrolyte Interfaces, Modeling of Double Layer and Electrode Potential&lt;/title&gt;&lt;secondary-title&gt;Handbook of Materials Modeling: Applications: Current and Emerging Materials&lt;/secondary-title&gt;&lt;/titles&gt;&lt;pages&gt;1-34&lt;/pages&gt;&lt;dates&gt;&lt;year&gt;2018&lt;/year&gt;&lt;pub-dates&gt;&lt;date&gt;2018//&lt;/date&gt;&lt;/pub-dates&gt;&lt;/dates&gt;&lt;pub-location&gt;Cham&lt;/pub-location&gt;&lt;publisher&gt;Springer International Publishing&lt;/publisher&gt;&lt;isbn&gt;978-3-319-50257-1&lt;/isbn&gt;&lt;urls&gt;&lt;related-urls&gt;&lt;url&gt;https://doi.org/10.1007/978-3-319-50257-1_7-1&lt;/url&gt;&lt;/related-urls&gt;&lt;/urls&gt;&lt;electronic-resource-num&gt;10.1007/978-3-319-50257-1_7-1&lt;/electronic-resource-num&gt;&lt;/record&gt;&lt;/Cite&gt;&lt;/EndNote&gt;</w:instrText>
      </w:r>
      <w:r>
        <w:fldChar w:fldCharType="separate"/>
      </w:r>
      <w:r w:rsidR="00FC5BEB" w:rsidRPr="00FC5BEB">
        <w:rPr>
          <w:noProof/>
          <w:vertAlign w:val="superscript"/>
        </w:rPr>
        <w:t>451</w:t>
      </w:r>
      <w:r>
        <w:fldChar w:fldCharType="end"/>
      </w:r>
      <w:r>
        <w:t xml:space="preserve"> The EDL typically extends for several nanometers, which requires exceedingly large computational cells. The liquid nature of the electrolyte requires accurate sampling </w:t>
      </w:r>
      <w:r w:rsidR="002437E6">
        <w:t xml:space="preserve">of </w:t>
      </w:r>
      <w:r>
        <w:t>the configurational degrees of freedom to obtain statistically meaningful thermodynamic properties, which translates in long MD simulations. The reorganization of water molecules at the interface with a metallic electrode, in particular, has a characteristic relaxation time of the order of 1 ns,</w:t>
      </w:r>
      <w:r>
        <w:fldChar w:fldCharType="begin"/>
      </w:r>
      <w:r w:rsidR="00FC5BEB">
        <w:instrText xml:space="preserve"> ADDIN EN.CITE &lt;EndNote&gt;&lt;Cite&gt;&lt;Author&gt;Limmer&lt;/Author&gt;&lt;Year&gt;2013&lt;/Year&gt;&lt;RecNum&gt;450&lt;/RecNum&gt;&lt;DisplayText&gt;&lt;style face="superscript"&gt;452&lt;/style&gt;&lt;/DisplayText&gt;&lt;record&gt;&lt;rec-number&gt;450&lt;/rec-number&gt;&lt;foreign-keys&gt;&lt;key app="EN" db-id="2xex0erf4eexr4e2dpbxpdd829xttesxxxdr" timestamp="1715075297"&gt;450&lt;/key&gt;&lt;/foreign-keys&gt;&lt;ref-type name="Journal Article"&gt;17&lt;/ref-type&gt;&lt;contributors&gt;&lt;authors&gt;&lt;author&gt;Limmer, David T.&lt;/author&gt;&lt;author&gt;Willard, Adam P.&lt;/author&gt;&lt;author&gt;Madden, Paul&lt;/author&gt;&lt;author&gt;Chandler, David&lt;/author&gt;&lt;/authors&gt;&lt;/contributors&gt;&lt;titles&gt;&lt;title&gt;Hydration of metal surfaces can be dynamically heterogeneous and hydrophobic&lt;/title&gt;&lt;secondary-title&gt;Proceedings of the National Academy of Sciences of the United States of America&lt;/secondary-title&gt;&lt;/titles&gt;&lt;periodical&gt;&lt;full-title&gt;Proceedings of the National Academy of Sciences of the United States of America&lt;/full-title&gt;&lt;abbr-1&gt;Proc. Natl. Acad. Sci. U.S.A.&lt;/abbr-1&gt;&lt;abbr-2&gt;Proc Natl Acad Sci USA&lt;/abbr-2&gt;&lt;/periodical&gt;&lt;pages&gt;4200-4205&lt;/pages&gt;&lt;volume&gt;110&lt;/volume&gt;&lt;number&gt;11&lt;/number&gt;&lt;dates&gt;&lt;year&gt;2013&lt;/year&gt;&lt;/dates&gt;&lt;urls&gt;&lt;related-urls&gt;&lt;url&gt;https://www.pnas.org/doi/pdf/10.1073/pnas.1301596110&lt;/url&gt;&lt;/related-urls&gt;&lt;pdf-urls&gt;&lt;url&gt;file://localhost/localhost/Users/piccinin/Literature/limmer-et-al-2013-hydration-of-metal-surfaces-can-be-dynamically-heterogeneous-and-hydrophobic.pdf&lt;/url&gt;&lt;/pdf-urls&gt;&lt;/urls&gt;&lt;electronic-resource-num&gt;10.1073/pnas.1301596110&lt;/electronic-resource-num&gt;&lt;/record&gt;&lt;/Cite&gt;&lt;/EndNote&gt;</w:instrText>
      </w:r>
      <w:r>
        <w:fldChar w:fldCharType="separate"/>
      </w:r>
      <w:r w:rsidR="00FC5BEB" w:rsidRPr="00FC5BEB">
        <w:rPr>
          <w:noProof/>
          <w:vertAlign w:val="superscript"/>
        </w:rPr>
        <w:t>452</w:t>
      </w:r>
      <w:r>
        <w:fldChar w:fldCharType="end"/>
      </w:r>
      <w:r>
        <w:t xml:space="preserve"> a timescale not suitable for first principles MD. Since the electrode in experiments is held at fixed potential, in an electrochemical elementary step the electronic charge of the electrode is not constant. The system being simulated is therefore an open system, requiring in principle a grand canonical simulation at fixed electron chemical potential rather than a traditional simulation at fixed charge. Accounting, at the same time, for all these aspects is a daunting task, but significant progress has been made in the last few years to address each of these challenges.        </w:t>
      </w:r>
    </w:p>
    <w:p w14:paraId="57D8D51C" w14:textId="77777777" w:rsidR="00591B2E" w:rsidRDefault="00591B2E" w:rsidP="00591B2E"/>
    <w:p w14:paraId="34747926" w14:textId="2CF90E06" w:rsidR="00591B2E" w:rsidRDefault="00591B2E" w:rsidP="00754C9E">
      <w:pPr>
        <w:ind w:firstLine="720"/>
      </w:pPr>
      <w:r>
        <w:t>The CHE approach</w:t>
      </w:r>
      <w:r>
        <w:fldChar w:fldCharType="begin"/>
      </w:r>
      <w:r w:rsidR="009F6662">
        <w:instrText xml:space="preserve"> ADDIN EN.CITE &lt;EndNote&gt;&lt;Cite&gt;&lt;Author&gt;Nørskov&lt;/Author&gt;&lt;Year&gt;2004&lt;/Year&gt;&lt;RecNum&gt;59&lt;/RecNum&gt;&lt;DisplayText&gt;&lt;style face="superscript"&gt;59&lt;/style&gt;&lt;/DisplayText&gt;&lt;record&gt;&lt;rec-number&gt;59&lt;/rec-number&gt;&lt;foreign-keys&gt;&lt;key app="EN" db-id="2xex0erf4eexr4e2dpbxpdd829xttesxxxdr" timestamp="1715075296"&gt;59&lt;/key&gt;&lt;/foreign-keys&gt;&lt;ref-type name="Journal Article"&gt;17&lt;/ref-type&gt;&lt;contributors&gt;&lt;authors&gt;&lt;author&gt;Nørskov, J. K.&lt;/author&gt;&lt;author&gt;Rossmeisl, J.&lt;/author&gt;&lt;author&gt;Logadottir, A.&lt;/author&gt;&lt;author&gt;Lindqvist, L.&lt;/author&gt;&lt;author&gt;Kitchin, J. R.&lt;/author&gt;&lt;author&gt;Bligaard, T.&lt;/author&gt;&lt;author&gt;Jónsson, H.&lt;/author&gt;&lt;/authors&gt;&lt;/contributors&gt;&lt;titles&gt;&lt;title&gt;Origin of the Overpotential for Oxygen Reduction at a Fuel-Cell Cathode&lt;/title&gt;&lt;secondary-title&gt;Journal of Physical Chemistry B&lt;/secondary-title&gt;&lt;/titles&gt;&lt;periodical&gt;&lt;full-title&gt;Journal of Physical Chemistry B&lt;/full-title&gt;&lt;abbr-1&gt;J. Phys. Chem. B&lt;/abbr-1&gt;&lt;abbr-2&gt;J Phys Chem B&lt;/abbr-2&gt;&lt;/periodical&gt;&lt;pages&gt;17886-17892&lt;/pages&gt;&lt;volume&gt;108&lt;/volume&gt;&lt;number&gt;46&lt;/number&gt;&lt;dates&gt;&lt;year&gt;2004&lt;/year&gt;&lt;pub-dates&gt;&lt;date&gt;2004/11/01&lt;/date&gt;&lt;/pub-dates&gt;&lt;/dates&gt;&lt;publisher&gt;American Chemical Society&lt;/publisher&gt;&lt;isbn&gt;1520-6106&lt;/isbn&gt;&lt;urls&gt;&lt;related-urls&gt;&lt;url&gt;https://doi.org/10.1021/jp047349j&lt;/url&gt;&lt;/related-urls&gt;&lt;/urls&gt;&lt;electronic-resource-num&gt;10.1021/jp047349j&lt;/electronic-resource-num&gt;&lt;/record&gt;&lt;/Cite&gt;&lt;/EndNote&gt;</w:instrText>
      </w:r>
      <w:r>
        <w:fldChar w:fldCharType="separate"/>
      </w:r>
      <w:r w:rsidR="009F6662" w:rsidRPr="009F6662">
        <w:rPr>
          <w:noProof/>
          <w:vertAlign w:val="superscript"/>
        </w:rPr>
        <w:t>59</w:t>
      </w:r>
      <w:r>
        <w:fldChar w:fldCharType="end"/>
      </w:r>
      <w:r>
        <w:t xml:space="preserve"> simplifies the problem modeling the system at constant charge rather than at constant potential. The only effect of the applied bias in this method is </w:t>
      </w:r>
      <w:r w:rsidRPr="007C7BBF">
        <w:t xml:space="preserve">through the chemical potential of the electrons in the electrode. </w:t>
      </w:r>
      <w:r>
        <w:t>This implies that during an elementary step the electrode potential changes as the reaction proceeds from the initial to final state, at variance with the experimental case, where the electrode potential is constant. Moreover, the electrolyte in the earliest applications of this approach was either ignored altogether, i.e. the simulations were performed in vacuum,</w:t>
      </w:r>
      <w:r>
        <w:fldChar w:fldCharType="begin"/>
      </w:r>
      <w:r w:rsidR="00FC5BEB">
        <w:instrText xml:space="preserve"> ADDIN EN.CITE &lt;EndNote&gt;&lt;Cite&gt;&lt;Author&gt;Rossmeisl&lt;/Author&gt;&lt;Year&gt;2007&lt;/Year&gt;&lt;RecNum&gt;86&lt;/RecNum&gt;&lt;DisplayText&gt;&lt;style face="superscript"&gt;88&lt;/style&gt;&lt;/DisplayText&gt;&lt;record&gt;&lt;rec-number&gt;86&lt;/rec-number&gt;&lt;foreign-keys&gt;&lt;key app="EN" db-id="2xex0erf4eexr4e2dpbxpdd829xttesxxxdr" timestamp="1715075296"&gt;86&lt;/key&gt;&lt;/foreign-keys&gt;&lt;ref-type name="Journal Article"&gt;17&lt;/ref-type&gt;&lt;contributors&gt;&lt;authors&gt;&lt;author&gt;Rossmeisl, J.&lt;/author&gt;&lt;author&gt;Qu, Z. W.&lt;/author&gt;&lt;author&gt;Zhu, H.&lt;/author&gt;&lt;author&gt;Kroes, G. J.&lt;/author&gt;&lt;author&gt;Nørskov, J. K.&lt;/author&gt;&lt;/authors&gt;&lt;/contributors&gt;&lt;titles&gt;&lt;title&gt;Electrolysis of water on oxide surfaces&lt;/title&gt;&lt;secondary-title&gt;Journal of Electroanalytical Chemistry&lt;/secondary-title&gt;&lt;/titles&gt;&lt;periodical&gt;&lt;full-title&gt;Journal of Electroanalytical Chemistry&lt;/full-title&gt;&lt;abbr-1&gt;J. Electroanal. Chem.&lt;/abbr-1&gt;&lt;abbr-2&gt;J Electroanal Chem&lt;/abbr-2&gt;&lt;/periodical&gt;&lt;pages&gt;83-89&lt;/pages&gt;&lt;volume&gt;607&lt;/volume&gt;&lt;number&gt;1&lt;/number&gt;&lt;keywords&gt;&lt;keyword&gt;Electrolysis&lt;/keyword&gt;&lt;keyword&gt;Oxide surfaces&lt;/keyword&gt;&lt;keyword&gt;Density functional theory&lt;/keyword&gt;&lt;keyword&gt;Linear relations&lt;/keyword&gt;&lt;/keywords&gt;&lt;dates&gt;&lt;year&gt;2007&lt;/year&gt;&lt;pub-dates&gt;&lt;date&gt;2007/09/01/&lt;/date&gt;&lt;/pub-dates&gt;&lt;/dates&gt;&lt;isbn&gt;1572-6657&lt;/isbn&gt;&lt;urls&gt;&lt;related-urls&gt;&lt;url&gt;https://www.sciencedirect.com/science/article/pii/S0022072806006371&lt;/url&gt;&lt;/related-urls&gt;&lt;/urls&gt;&lt;electronic-resource-num&gt;https://doi.org/10.1016/j.jelechem.2006.11.008&lt;/electronic-resource-num&gt;&lt;/record&gt;&lt;/Cite&gt;&lt;/EndNote&gt;</w:instrText>
      </w:r>
      <w:r>
        <w:fldChar w:fldCharType="separate"/>
      </w:r>
      <w:r w:rsidR="00FC5BEB" w:rsidRPr="00FC5BEB">
        <w:rPr>
          <w:noProof/>
          <w:vertAlign w:val="superscript"/>
        </w:rPr>
        <w:t>88</w:t>
      </w:r>
      <w:r>
        <w:fldChar w:fldCharType="end"/>
      </w:r>
      <w:r>
        <w:t xml:space="preserve"> or modeled explicitly via static water monolayers or bilayers.</w:t>
      </w:r>
      <w:r>
        <w:fldChar w:fldCharType="begin">
          <w:fldData xml:space="preserve">PEVuZE5vdGU+PENpdGU+PEF1dGhvcj5Ow7hyc2tvdjwvQXV0aG9yPjxZZWFyPjIwMDQ8L1llYXI+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==
</w:fldData>
        </w:fldChar>
      </w:r>
      <w:r w:rsidR="00FC5BEB">
        <w:instrText xml:space="preserve"> ADDIN EN.CITE </w:instrText>
      </w:r>
      <w:r w:rsidR="00FC5BEB">
        <w:fldChar w:fldCharType="begin">
          <w:fldData xml:space="preserve">PEVuZE5vdGU+PENpdGU+PEF1dGhvcj5Ow7hyc2tvdjwvQXV0aG9yPjxZZWFyPjIwMDQ8L1llYXI+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==
</w:fldData>
        </w:fldChar>
      </w:r>
      <w:r w:rsidR="00FC5BEB">
        <w:instrText xml:space="preserve"> ADDIN EN.CITE.DATA </w:instrText>
      </w:r>
      <w:r w:rsidR="00FC5BEB">
        <w:fldChar w:fldCharType="end"/>
      </w:r>
      <w:r>
        <w:fldChar w:fldCharType="separate"/>
      </w:r>
      <w:r w:rsidR="00FC5BEB" w:rsidRPr="00FC5BEB">
        <w:rPr>
          <w:noProof/>
          <w:vertAlign w:val="superscript"/>
        </w:rPr>
        <w:t>59, 87</w:t>
      </w:r>
      <w:r>
        <w:fldChar w:fldCharType="end"/>
      </w:r>
      <w:r>
        <w:t xml:space="preserve"> Here we will describe some of the most significant attempts at overcoming two of the main limitations of the earliest applications of the CHE approach, namely the fact that the charge rather than the potential was kept constant, and the crude approximation of the structure of the EDL. As we will see, the various approaches that have been proposed in the last two decades often address both aspects simultaneously. This is connected to the fact that the EDL is globally neutral, so that introducing an approach to treat a charged electrode entails treating the response of the electrolyte, therefore requiring a suitable model for the counterions in the electrolyte.</w:t>
      </w:r>
    </w:p>
    <w:p w14:paraId="735888CF" w14:textId="77777777" w:rsidR="00591B2E" w:rsidRDefault="00591B2E" w:rsidP="00591B2E">
      <w:r>
        <w:t xml:space="preserve">  </w:t>
      </w:r>
    </w:p>
    <w:p w14:paraId="65617594" w14:textId="71D470B9" w:rsidR="00591B2E" w:rsidRPr="00691887" w:rsidRDefault="00591B2E" w:rsidP="00BC7855">
      <w:pPr>
        <w:pStyle w:val="Heading2"/>
      </w:pPr>
      <w:bookmarkStart w:id="127" w:name="_Ref159882658"/>
      <w:bookmarkStart w:id="128" w:name="_Toc166441744"/>
      <w:r w:rsidRPr="0034221C">
        <w:t xml:space="preserve">Effects of the liquid environment on the </w:t>
      </w:r>
      <w:r>
        <w:t xml:space="preserve">relative stability of the OER </w:t>
      </w:r>
      <w:r w:rsidRPr="0034221C">
        <w:t>reaction intermediates</w:t>
      </w:r>
      <w:bookmarkEnd w:id="127"/>
      <w:bookmarkEnd w:id="128"/>
    </w:p>
    <w:p w14:paraId="0739D585" w14:textId="77777777" w:rsidR="00591B2E" w:rsidRDefault="00591B2E" w:rsidP="00591B2E"/>
    <w:p w14:paraId="50C106C3" w14:textId="0A13C380" w:rsidR="00591B2E" w:rsidRPr="00D02C4B" w:rsidRDefault="00591B2E" w:rsidP="00754C9E">
      <w:pPr>
        <w:ind w:firstLine="720"/>
        <w:rPr>
          <w:color w:val="000000" w:themeColor="text1"/>
        </w:rPr>
      </w:pPr>
      <w:r>
        <w:t xml:space="preserve">We first address how researchers modeled the interactions of the electrolyte with the reaction intermediates in the special case of a neutral surface in a globally neutral electrode/electrolyte system, which is representative of the potential of zero charge. We focus in particular on the case in which the electrolyte is pure water. The intermediates of the OER (*OH, *O, *OOH) interact with water electrolytes mostly through hydrogen bonds. </w:t>
      </w:r>
      <w:r w:rsidRPr="00D02C4B">
        <w:rPr>
          <w:color w:val="000000" w:themeColor="text1"/>
        </w:rPr>
        <w:t xml:space="preserve">The earliest works aiming at capturing these effects did so treating water explicitly and considering 1 to 3 water bilayers in contact with the catalyst </w:t>
      </w:r>
      <w:r w:rsidRPr="00D02C4B">
        <w:rPr>
          <w:color w:val="000000" w:themeColor="text1"/>
        </w:rPr>
        <w:lastRenderedPageBreak/>
        <w:t>surfaces.</w:t>
      </w:r>
      <w:r>
        <w:rPr>
          <w:color w:val="000000" w:themeColor="text1"/>
        </w:rPr>
        <w:fldChar w:fldCharType="begin">
          <w:fldData xml:space="preserve">PEVuZE5vdGU+PENpdGU+PEF1dGhvcj5Sb3NzbWVpc2w8L0F1dGhvcj48WWVhcj4yMDA3PC9ZZWFy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==
</w:fldData>
        </w:fldChar>
      </w:r>
      <w:r w:rsidR="00FC5BEB">
        <w:rPr>
          <w:color w:val="000000" w:themeColor="text1"/>
        </w:rPr>
        <w:instrText xml:space="preserve"> ADDIN EN.CITE </w:instrText>
      </w:r>
      <w:r w:rsidR="00FC5BEB">
        <w:rPr>
          <w:color w:val="000000" w:themeColor="text1"/>
        </w:rPr>
        <w:fldChar w:fldCharType="begin">
          <w:fldData xml:space="preserve">PEVuZE5vdGU+PENpdGU+PEF1dGhvcj5Sb3NzbWVpc2w8L0F1dGhvcj48WWVhcj4yMDA3PC9ZZWFy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==
</w:fldData>
        </w:fldChar>
      </w:r>
      <w:r w:rsidR="00FC5BEB">
        <w:rPr>
          <w:color w:val="000000" w:themeColor="text1"/>
        </w:rPr>
        <w:instrText xml:space="preserve"> ADDIN EN.CITE.DATA </w:instrText>
      </w:r>
      <w:r w:rsidR="00FC5BEB">
        <w:rPr>
          <w:color w:val="000000" w:themeColor="text1"/>
        </w:rPr>
      </w:r>
      <w:r w:rsidR="00FC5BEB">
        <w:rPr>
          <w:color w:val="000000" w:themeColor="text1"/>
        </w:rPr>
        <w:fldChar w:fldCharType="end"/>
      </w:r>
      <w:r>
        <w:rPr>
          <w:color w:val="000000" w:themeColor="text1"/>
        </w:rPr>
      </w:r>
      <w:r>
        <w:rPr>
          <w:color w:val="000000" w:themeColor="text1"/>
        </w:rPr>
        <w:fldChar w:fldCharType="separate"/>
      </w:r>
      <w:r w:rsidR="00FC5BEB" w:rsidRPr="00FC5BEB">
        <w:rPr>
          <w:noProof/>
          <w:color w:val="000000" w:themeColor="text1"/>
          <w:vertAlign w:val="superscript"/>
        </w:rPr>
        <w:t>87, 204, 453</w:t>
      </w:r>
      <w:r>
        <w:rPr>
          <w:color w:val="000000" w:themeColor="text1"/>
        </w:rPr>
        <w:fldChar w:fldCharType="end"/>
      </w:r>
      <w:r w:rsidRPr="00D02C4B">
        <w:rPr>
          <w:color w:val="000000" w:themeColor="text1"/>
        </w:rPr>
        <w:t xml:space="preserve"> The structure of water layers was locally optimized and the interaction was found to be significant for *OH and *OOH (around 0.3 eV) and negligibly small for *O. </w:t>
      </w:r>
    </w:p>
    <w:p w14:paraId="182D5091" w14:textId="77777777" w:rsidR="00591B2E" w:rsidRDefault="00591B2E" w:rsidP="00591B2E"/>
    <w:p w14:paraId="1D788978" w14:textId="366F8901" w:rsidR="00591B2E" w:rsidRDefault="00591B2E" w:rsidP="00754C9E">
      <w:pPr>
        <w:ind w:firstLine="720"/>
      </w:pPr>
      <w:r>
        <w:t>Using a similar approach, Gauthier et al.</w:t>
      </w:r>
      <w:r>
        <w:fldChar w:fldCharType="begin"/>
      </w:r>
      <w:r w:rsidR="00FC5BEB">
        <w:instrText xml:space="preserve"> ADDIN EN.CITE &lt;EndNote&gt;&lt;Cite&gt;&lt;Author&gt;Gauthier&lt;/Author&gt;&lt;Year&gt;2017&lt;/Year&gt;&lt;RecNum&gt;452&lt;/RecNum&gt;&lt;DisplayText&gt;&lt;style face="superscript"&gt;454&lt;/style&gt;&lt;/DisplayText&gt;&lt;record&gt;&lt;rec-number&gt;452&lt;/rec-number&gt;&lt;foreign-keys&gt;&lt;key app="EN" db-id="2xex0erf4eexr4e2dpbxpdd829xttesxxxdr" timestamp="1715075297"&gt;452&lt;/key&gt;&lt;/foreign-keys&gt;&lt;ref-type name="Journal Article"&gt;17&lt;/ref-type&gt;&lt;contributors&gt;&lt;authors&gt;&lt;author&gt;Gauthier, Joseph A.&lt;/author&gt;&lt;author&gt;Dickens, Colin F.&lt;/author&gt;&lt;author&gt;Chen, Leanne D.&lt;/author&gt;&lt;author&gt;Doyle, Andrew D.&lt;/author&gt;&lt;author&gt;Nørskov, Jens K.&lt;/author&gt;&lt;/authors&gt;&lt;/contributors&gt;&lt;titles&gt;&lt;title&gt;Solvation Effects for Oxygen Evolution Reaction Catalysis on IrO2(110)&lt;/title&gt;&lt;secondary-title&gt;Journal of Physical Chemistry C&lt;/secondary-title&gt;&lt;/titles&gt;&lt;periodical&gt;&lt;full-title&gt;Journal of Physical Chemistry C&lt;/full-title&gt;&lt;abbr-1&gt;J. Phys. Chem. C&lt;/abbr-1&gt;&lt;/periodical&gt;&lt;pages&gt;11455-11463&lt;/pages&gt;&lt;volume&gt;121&lt;/volume&gt;&lt;number&gt;21&lt;/number&gt;&lt;dates&gt;&lt;year&gt;2017&lt;/year&gt;&lt;pub-dates&gt;&lt;date&gt;2017/06/01&lt;/date&gt;&lt;/pub-dates&gt;&lt;/dates&gt;&lt;publisher&gt;American Chemical Society&lt;/publisher&gt;&lt;isbn&gt;1932-7447&lt;/isbn&gt;&lt;urls&gt;&lt;related-urls&gt;&lt;url&gt;https://doi.org/10.1021/acs.jpcc.7b02383&lt;/url&gt;&lt;/related-urls&gt;&lt;/urls&gt;&lt;electronic-resource-num&gt;10.1021/acs.jpcc.7b02383&lt;/electronic-resource-num&gt;&lt;/record&gt;&lt;/Cite&gt;&lt;/EndNote&gt;</w:instrText>
      </w:r>
      <w:r>
        <w:fldChar w:fldCharType="separate"/>
      </w:r>
      <w:r w:rsidR="00FC5BEB" w:rsidRPr="00FC5BEB">
        <w:rPr>
          <w:noProof/>
          <w:vertAlign w:val="superscript"/>
        </w:rPr>
        <w:t>454</w:t>
      </w:r>
      <w:r>
        <w:fldChar w:fldCharType="end"/>
      </w:r>
      <w:r>
        <w:t xml:space="preserve"> considered the OER on IrO</w:t>
      </w:r>
      <w:r w:rsidRPr="009F4600">
        <w:rPr>
          <w:vertAlign w:val="subscript"/>
        </w:rPr>
        <w:t>2</w:t>
      </w:r>
      <w:r>
        <w:t xml:space="preserve">(110), modeling water explicitly. They included from 1 to 3 water layers and obtained their structure </w:t>
      </w:r>
      <w:r w:rsidRPr="00D322AA">
        <w:t>via a</w:t>
      </w:r>
      <w:r>
        <w:t xml:space="preserve"> </w:t>
      </w:r>
      <w:r w:rsidRPr="00D322AA">
        <w:t>global optimization method</w:t>
      </w:r>
      <w:r>
        <w:t xml:space="preserve"> based on minima hopping. Their main finding is that the solvent stabilization is quite pronounced, up to 0.4 eV, for adsorbed *OH and *OOH, which are capable of donating hydrogen bonds, while the number of water layers included in the model does not play a very significant role, with 2 water layers being sufficient to obtain converged results. This seems to be in contradiction with the results of Liu </w:t>
      </w:r>
      <w:r w:rsidR="00D72296">
        <w:t>et al.</w:t>
      </w:r>
      <w:r>
        <w:t>,</w:t>
      </w:r>
      <w:r>
        <w:fldChar w:fldCharType="begin"/>
      </w:r>
      <w:r w:rsidR="00FC5BEB">
        <w:instrText xml:space="preserve"> ADDIN EN.CITE &lt;EndNote&gt;&lt;Cite&gt;&lt;Author&gt;Liu&lt;/Author&gt;&lt;Year&gt;2016&lt;/Year&gt;&lt;RecNum&gt;453&lt;/RecNum&gt;&lt;DisplayText&gt;&lt;style face="superscript"&gt;455&lt;/style&gt;&lt;/DisplayText&gt;&lt;record&gt;&lt;rec-number&gt;453&lt;/rec-number&gt;&lt;foreign-keys&gt;&lt;key app="EN" db-id="2xex0erf4eexr4e2dpbxpdd829xttesxxxdr" timestamp="1715075297"&gt;453&lt;/key&gt;&lt;/foreign-keys&gt;&lt;ref-type name="Journal Article"&gt;17&lt;/ref-type&gt;&lt;contributors&gt;&lt;authors&gt;&lt;author&gt;Liu, Shizhong&lt;/author&gt;&lt;author&gt;White, Michael G.&lt;/author&gt;&lt;author&gt;Liu, Ping&lt;/author&gt;&lt;/authors&gt;&lt;/contributors&gt;&lt;titles&gt;&lt;title&gt;Mechanism of Oxygen Reduction Reaction on Pt(111) in Alkaline Solution: Importance of Chemisorbed Water on Surface&lt;/title&gt;&lt;secondary-title&gt;Journal of Physical Chemistry C&lt;/secondary-title&gt;&lt;/titles&gt;&lt;periodical&gt;&lt;full-title&gt;Journal of Physical Chemistry C&lt;/full-title&gt;&lt;abbr-1&gt;J. Phys. Chem. C&lt;/abbr-1&gt;&lt;/periodical&gt;&lt;pages&gt;15288-15298&lt;/pages&gt;&lt;volume&gt;120&lt;/volume&gt;&lt;number&gt;28&lt;/number&gt;&lt;dates&gt;&lt;year&gt;2016&lt;/year&gt;&lt;/dates&gt;&lt;urls&gt;&lt;related-urls&gt;&lt;url&gt;https://pubs.acs.org/doi/pdf/10.1021/acs.jpcc.6b05126&lt;/url&gt;&lt;/related-urls&gt;&lt;pdf-urls&gt;&lt;url&gt;file://localhost/localhost/Users/piccinin/Literature/liu-et-al-2016-mechanism-of-oxygen-reduction-reaction-on-pt(111)-in-alkaline-solution-importance-of-chemisorbed-water.pdf&lt;/url&gt;&lt;/pdf-urls&gt;&lt;/urls&gt;&lt;electronic-resource-num&gt;10.1021/acs.jpcc.6b05126&lt;/electronic-resource-num&gt;&lt;/record&gt;&lt;/Cite&gt;&lt;/EndNote&gt;</w:instrText>
      </w:r>
      <w:r>
        <w:fldChar w:fldCharType="separate"/>
      </w:r>
      <w:r w:rsidR="00FC5BEB" w:rsidRPr="00FC5BEB">
        <w:rPr>
          <w:noProof/>
          <w:vertAlign w:val="superscript"/>
        </w:rPr>
        <w:t>455</w:t>
      </w:r>
      <w:r>
        <w:fldChar w:fldCharType="end"/>
      </w:r>
      <w:r>
        <w:t xml:space="preserve"> who found the number of layers </w:t>
      </w:r>
      <w:r w:rsidR="00D23E0D">
        <w:t xml:space="preserve">can </w:t>
      </w:r>
      <w:r>
        <w:t>play a significant role, especially for the *OOH intermediate: the solvation energy changes from -0.54 eV using 1 water bilayer to -0.79 eV when using 3 bilayers.</w:t>
      </w:r>
    </w:p>
    <w:p w14:paraId="343E7C50" w14:textId="77777777" w:rsidR="00591B2E" w:rsidRDefault="00591B2E" w:rsidP="00591B2E"/>
    <w:p w14:paraId="5C33D9FC" w14:textId="351922ED" w:rsidR="00591B2E" w:rsidRDefault="00591B2E" w:rsidP="00754C9E">
      <w:pPr>
        <w:ind w:firstLine="720"/>
      </w:pPr>
      <w:r>
        <w:t xml:space="preserve">Rather than optimizing the structure of the electrolyte, </w:t>
      </w:r>
      <w:proofErr w:type="spellStart"/>
      <w:r>
        <w:t>Heenen</w:t>
      </w:r>
      <w:proofErr w:type="spellEnd"/>
      <w:r>
        <w:t xml:space="preserve"> et al.</w:t>
      </w:r>
      <w:r>
        <w:fldChar w:fldCharType="begin">
          <w:fldData xml:space="preserve">PEVuZE5vdGU+PENpdGU+PEF1dGhvcj5IZWVuZW48L0F1dGhvcj48WWVhcj4yMDIwPC9ZZWFyPjxS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=
</w:fldData>
        </w:fldChar>
      </w:r>
      <w:r w:rsidR="009F6662">
        <w:instrText xml:space="preserve"> ADDIN EN.CITE </w:instrText>
      </w:r>
      <w:r w:rsidR="009F6662">
        <w:fldChar w:fldCharType="begin">
          <w:fldData xml:space="preserve">PEVuZE5vdGU+PENpdGU+PEF1dGhvcj5IZWVuZW48L0F1dGhvcj48WWVhcj4yMDIwPC9ZZWFyPjxS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=
</w:fldData>
        </w:fldChar>
      </w:r>
      <w:r w:rsidR="009F6662">
        <w:instrText xml:space="preserve"> ADDIN EN.CITE.DATA </w:instrText>
      </w:r>
      <w:r w:rsidR="009F6662">
        <w:fldChar w:fldCharType="end"/>
      </w:r>
      <w:r>
        <w:fldChar w:fldCharType="separate"/>
      </w:r>
      <w:r w:rsidR="009F6662" w:rsidRPr="009F6662">
        <w:rPr>
          <w:noProof/>
          <w:vertAlign w:val="superscript"/>
        </w:rPr>
        <w:t>61</w:t>
      </w:r>
      <w:r>
        <w:fldChar w:fldCharType="end"/>
      </w:r>
      <w:r>
        <w:t xml:space="preserve"> used first-principles molecular dynamics (FPMD) to explicitly model the electrolyte in an effort to compute the stabilization effect on several adsorbates relevant for the OER</w:t>
      </w:r>
      <w:r w:rsidR="00366CEB">
        <w:t xml:space="preserve">, </w:t>
      </w:r>
      <w:r>
        <w:t>and</w:t>
      </w:r>
      <w:r w:rsidR="00366CEB">
        <w:t xml:space="preserve"> also</w:t>
      </w:r>
      <w:r>
        <w:t xml:space="preserve"> CO</w:t>
      </w:r>
      <w:r w:rsidRPr="00032D54">
        <w:rPr>
          <w:vertAlign w:val="subscript"/>
        </w:rPr>
        <w:t>2</w:t>
      </w:r>
      <w:r>
        <w:t xml:space="preserve"> reduction.</w:t>
      </w:r>
      <w:r w:rsidR="00366CEB">
        <w:t xml:space="preserve"> We will include both classes of intermediate as doing so highlights the generality of the findings.</w:t>
      </w:r>
      <w:r>
        <w:t xml:space="preserve"> </w:t>
      </w:r>
      <w:r w:rsidRPr="00104EF5">
        <w:t xml:space="preserve">In particular, they considered </w:t>
      </w:r>
      <w:r>
        <w:t>*</w:t>
      </w:r>
      <w:r w:rsidRPr="00104EF5">
        <w:t xml:space="preserve">CO, </w:t>
      </w:r>
      <w:r>
        <w:t>*</w:t>
      </w:r>
      <w:r w:rsidRPr="00104EF5">
        <w:t xml:space="preserve">CHO, </w:t>
      </w:r>
      <w:r>
        <w:t>*</w:t>
      </w:r>
      <w:r w:rsidRPr="00104EF5">
        <w:t xml:space="preserve">COH, </w:t>
      </w:r>
      <w:r>
        <w:t>*</w:t>
      </w:r>
      <w:r w:rsidRPr="00104EF5">
        <w:t xml:space="preserve">OCCHO, </w:t>
      </w:r>
      <w:r>
        <w:t>*</w:t>
      </w:r>
      <w:r w:rsidRPr="00104EF5">
        <w:t xml:space="preserve">OH, and </w:t>
      </w:r>
      <w:r>
        <w:t>*</w:t>
      </w:r>
      <w:r w:rsidRPr="00104EF5">
        <w:t xml:space="preserve">OOH adsorbates on Cu, Au, and Pt facets solvated by water. </w:t>
      </w:r>
      <w:r>
        <w:t>*</w:t>
      </w:r>
      <w:r w:rsidRPr="00104EF5">
        <w:t xml:space="preserve">OH and </w:t>
      </w:r>
      <w:r>
        <w:t>*</w:t>
      </w:r>
      <w:r w:rsidRPr="00104EF5">
        <w:t>OOH interact</w:t>
      </w:r>
      <w:r>
        <w:t xml:space="preserve"> strongly with the solvent, with solvation energies up to 0.7 eV.</w:t>
      </w:r>
      <w:r w:rsidRPr="00104EF5">
        <w:t xml:space="preserve"> The authors showed that the two main contributions </w:t>
      </w:r>
      <w:r>
        <w:t>of the solvent to the adsorption properties of these intermediates</w:t>
      </w:r>
      <w:r w:rsidRPr="00104EF5">
        <w:t xml:space="preserve"> are hydrogen bonds and the</w:t>
      </w:r>
      <w:r>
        <w:t xml:space="preserve"> fact that water competes with the adsorbates for adsorption on the surface. They were also able to derive quantitative correlations between these two contributions and solvation energies. In particular, they established that adsorbates like *OH and *COH are stabilized via H-bonds, while *CO and *COH are destabilized by competitive water adsorption. </w:t>
      </w:r>
    </w:p>
    <w:p w14:paraId="4C3E78FB" w14:textId="77777777" w:rsidR="00591B2E" w:rsidRDefault="00591B2E" w:rsidP="00591B2E"/>
    <w:p w14:paraId="13B40642" w14:textId="710A6E23" w:rsidR="00591B2E" w:rsidRDefault="00591B2E" w:rsidP="00754C9E">
      <w:pPr>
        <w:ind w:firstLine="720"/>
      </w:pPr>
      <w:r>
        <w:t>Wang et al.</w:t>
      </w:r>
      <w:r>
        <w:fldChar w:fldCharType="begin"/>
      </w:r>
      <w:r w:rsidR="00FC5BEB">
        <w:instrText xml:space="preserve"> ADDIN EN.CITE &lt;EndNote&gt;&lt;Cite&gt;&lt;Author&gt;Wang&lt;/Author&gt;&lt;Year&gt;2018&lt;/Year&gt;&lt;RecNum&gt;454&lt;/RecNum&gt;&lt;DisplayText&gt;&lt;style face="superscript"&gt;456&lt;/style&gt;&lt;/DisplayText&gt;&lt;record&gt;&lt;rec-number&gt;454&lt;/rec-number&gt;&lt;foreign-keys&gt;&lt;key app="EN" db-id="2xex0erf4eexr4e2dpbxpdd829xttesxxxdr" timestamp="1715075297"&gt;454&lt;/key&gt;&lt;/foreign-keys&gt;&lt;ref-type name="Journal Article"&gt;17&lt;/ref-type&gt;&lt;contributors&gt;&lt;authors&gt;&lt;author&gt;Wang, Dong&lt;/author&gt;&lt;author&gt;Sheng, Tian&lt;/author&gt;&lt;author&gt;Chen, Jianfu&lt;/author&gt;&lt;author&gt;Wang, Hai Feng&lt;/author&gt;&lt;author&gt;Hu, P.&lt;/author&gt;&lt;/authors&gt;&lt;/contributors&gt;&lt;titles&gt;&lt;title&gt;Identifying the key obstacle in photocatalytic oxygen evolution on rutile TiO2&lt;/title&gt;&lt;secondary-title&gt;Nat. Catal.&lt;/secondary-title&gt;&lt;/titles&gt;&lt;periodical&gt;&lt;full-title&gt;Nat. Catal.&lt;/full-title&gt;&lt;abbr-1&gt;Nat. Catal.&lt;/abbr-1&gt;&lt;/periodical&gt;&lt;pages&gt;291-299&lt;/pages&gt;&lt;volume&gt;1&lt;/volume&gt;&lt;number&gt;4&lt;/number&gt;&lt;dates&gt;&lt;year&gt;2018&lt;/year&gt;&lt;/dates&gt;&lt;urls&gt;&lt;related-urls&gt;&lt;url&gt;https://www.nature.com/articles/s41929-018-0055-z.pdf&lt;/url&gt;&lt;/related-urls&gt;&lt;pdf-urls&gt;&lt;url&gt;file://localhost/localhost/localhost/Users/piccinin/Literature/Nature%252520Catalysis%252520Volume%2525201%252520issue%2525204%2525202018%252520%25255Bdoi%25252010.1038%252525252Fs41929-018-0055-z%25255D%252520Wang,%252520Dong&lt;/url&gt;&lt;/pdf-urls&gt;&lt;/urls&gt;&lt;electronic-resource-num&gt;10.1038/s41929-018-0055-z&lt;/electronic-resource-num&gt;&lt;/record&gt;&lt;/Cite&gt;&lt;/EndNote&gt;</w:instrText>
      </w:r>
      <w:r>
        <w:fldChar w:fldCharType="separate"/>
      </w:r>
      <w:r w:rsidR="00FC5BEB" w:rsidRPr="00FC5BEB">
        <w:rPr>
          <w:noProof/>
          <w:vertAlign w:val="superscript"/>
        </w:rPr>
        <w:t>456</w:t>
      </w:r>
      <w:r>
        <w:fldChar w:fldCharType="end"/>
      </w:r>
      <w:r>
        <w:t xml:space="preserve"> modeled the OER on rutile TiO</w:t>
      </w:r>
      <w:r w:rsidRPr="00E365F7">
        <w:rPr>
          <w:vertAlign w:val="subscript"/>
        </w:rPr>
        <w:t>2</w:t>
      </w:r>
      <w:r>
        <w:t xml:space="preserve">(110) using FPMD with an explicit description of the water solvent. They evaluated the solvation effects on the stability of the OER intermediates by extracting snapshots from the MD and optimizing them. The solvation effects </w:t>
      </w:r>
      <m:oMath>
        <m:sSubSup>
          <m:sSubSupPr>
            <m:ctrlPr>
              <w:rPr>
                <w:rFonts w:ascii="Cambria Math" w:hAnsi="Cambria Math"/>
                <w:i/>
              </w:rPr>
            </m:ctrlPr>
          </m:sSubSupPr>
          <m:e>
            <m:r>
              <w:rPr>
                <w:rFonts w:ascii="Cambria Math" w:hAnsi="Cambria Math"/>
              </w:rPr>
              <m:t>E</m:t>
            </m:r>
          </m:e>
          <m:sub>
            <m:r>
              <w:rPr>
                <w:rFonts w:ascii="Cambria Math" w:hAnsi="Cambria Math"/>
              </w:rPr>
              <m:t>int</m:t>
            </m:r>
          </m:sub>
          <m:sup>
            <m:r>
              <w:rPr>
                <w:rFonts w:ascii="Cambria Math" w:hAnsi="Cambria Math"/>
              </w:rPr>
              <m:t>i,j</m:t>
            </m:r>
          </m:sup>
        </m:sSubSup>
      </m:oMath>
      <w:r>
        <w:t xml:space="preserve"> for intermediate </w:t>
      </w:r>
      <w:proofErr w:type="spellStart"/>
      <w:r w:rsidRPr="00E53EDC">
        <w:rPr>
          <w:i/>
        </w:rPr>
        <w:t>i</w:t>
      </w:r>
      <w:proofErr w:type="spellEnd"/>
      <w:r>
        <w:t xml:space="preserve"> and snapshot </w:t>
      </w:r>
      <w:r w:rsidRPr="00E53EDC">
        <w:rPr>
          <w:i/>
        </w:rPr>
        <w:t>j</w:t>
      </w:r>
      <w:r>
        <w:t xml:space="preserve"> were estimated writing the total energy between the full system </w:t>
      </w:r>
      <m:oMath>
        <m:sSubSup>
          <m:sSubSupPr>
            <m:ctrlPr>
              <w:rPr>
                <w:rFonts w:ascii="Cambria Math" w:hAnsi="Cambria Math"/>
                <w:i/>
              </w:rPr>
            </m:ctrlPr>
          </m:sSubSupPr>
          <m:e>
            <m:r>
              <w:rPr>
                <w:rFonts w:ascii="Cambria Math" w:hAnsi="Cambria Math"/>
              </w:rPr>
              <m:t>E</m:t>
            </m:r>
          </m:e>
          <m:sub>
            <m:r>
              <w:rPr>
                <w:rFonts w:ascii="Cambria Math" w:hAnsi="Cambria Math"/>
              </w:rPr>
              <m:t>tot</m:t>
            </m:r>
          </m:sub>
          <m:sup>
            <m:r>
              <w:rPr>
                <w:rFonts w:ascii="Cambria Math" w:hAnsi="Cambria Math"/>
              </w:rPr>
              <m:t>i,j</m:t>
            </m:r>
          </m:sup>
        </m:sSubSup>
      </m:oMath>
      <w:r>
        <w:t xml:space="preserve"> as a sum of the total energies of the catalyst surface </w:t>
      </w:r>
      <m:oMath>
        <m:sSubSup>
          <m:sSubSupPr>
            <m:ctrlPr>
              <w:rPr>
                <w:rFonts w:ascii="Cambria Math" w:hAnsi="Cambria Math"/>
                <w:i/>
              </w:rPr>
            </m:ctrlPr>
          </m:sSubSupPr>
          <m:e>
            <m:r>
              <w:rPr>
                <w:rFonts w:ascii="Cambria Math" w:hAnsi="Cambria Math"/>
              </w:rPr>
              <m:t>E</m:t>
            </m:r>
          </m:e>
          <m:sub>
            <m:r>
              <w:rPr>
                <w:rFonts w:ascii="Cambria Math" w:hAnsi="Cambria Math"/>
              </w:rPr>
              <m:t>catal</m:t>
            </m:r>
          </m:sub>
          <m:sup>
            <m:r>
              <w:rPr>
                <w:rFonts w:ascii="Cambria Math" w:hAnsi="Cambria Math"/>
              </w:rPr>
              <m:t>i,j</m:t>
            </m:r>
          </m:sup>
        </m:sSubSup>
      </m:oMath>
      <w:r>
        <w:t xml:space="preserve">, the water </w:t>
      </w:r>
      <m:oMath>
        <m:sSubSup>
          <m:sSubSupPr>
            <m:ctrlPr>
              <w:rPr>
                <w:rFonts w:ascii="Cambria Math" w:hAnsi="Cambria Math"/>
                <w:i/>
              </w:rPr>
            </m:ctrlPr>
          </m:sSubSupPr>
          <m:e>
            <m:r>
              <w:rPr>
                <w:rFonts w:ascii="Cambria Math" w:hAnsi="Cambria Math"/>
              </w:rPr>
              <m:t>E</m:t>
            </m:r>
          </m:e>
          <m:sub>
            <m:r>
              <w:rPr>
                <w:rFonts w:ascii="Cambria Math" w:hAnsi="Cambria Math"/>
              </w:rPr>
              <m:t>water</m:t>
            </m:r>
          </m:sub>
          <m:sup>
            <m:r>
              <w:rPr>
                <w:rFonts w:ascii="Cambria Math" w:hAnsi="Cambria Math"/>
              </w:rPr>
              <m:t>i,j</m:t>
            </m:r>
          </m:sup>
        </m:sSubSup>
        <m:r>
          <w:rPr>
            <w:rFonts w:ascii="Cambria Math" w:hAnsi="Cambria Math"/>
          </w:rPr>
          <m:t xml:space="preserve"> </m:t>
        </m:r>
      </m:oMath>
      <w:r>
        <w:t xml:space="preserve">subsystems and their interaction, at fixed ionic positions: </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E2020B" w:rsidRPr="00E2020B" w14:paraId="74D70646" w14:textId="77777777" w:rsidTr="00E2020B">
        <w:tc>
          <w:tcPr>
            <w:tcW w:w="7938" w:type="dxa"/>
            <w:tcMar>
              <w:left w:w="28" w:type="dxa"/>
              <w:right w:w="28" w:type="dxa"/>
            </w:tcMar>
            <w:vAlign w:val="center"/>
          </w:tcPr>
          <w:p w14:paraId="3C53C2BA" w14:textId="18063021" w:rsidR="00E2020B" w:rsidRPr="00E2020B" w:rsidRDefault="00000000" w:rsidP="00E2020B">
            <w:pPr>
              <w:jc w:val="center"/>
              <w:rPr>
                <w:sz w:val="20"/>
                <w:szCs w:val="20"/>
              </w:rPr>
            </w:pPr>
            <m:oMathPara>
              <m:oMathParaPr>
                <m:jc m:val="center"/>
              </m:oMathParaPr>
              <m:oMath>
                <m:sSubSup>
                  <m:sSubSupPr>
                    <m:ctrlPr>
                      <w:rPr>
                        <w:rFonts w:ascii="Cambria Math" w:hAnsi="Cambria Math"/>
                        <w:i/>
                        <w:sz w:val="20"/>
                        <w:szCs w:val="20"/>
                      </w:rPr>
                    </m:ctrlPr>
                  </m:sSubSupPr>
                  <m:e>
                    <m:r>
                      <w:rPr>
                        <w:rFonts w:ascii="Cambria Math" w:hAnsi="Cambria Math"/>
                        <w:sz w:val="20"/>
                        <w:szCs w:val="20"/>
                      </w:rPr>
                      <m:t>E</m:t>
                    </m:r>
                  </m:e>
                  <m:sub>
                    <m:r>
                      <w:rPr>
                        <w:rFonts w:ascii="Cambria Math" w:hAnsi="Cambria Math"/>
                        <w:sz w:val="20"/>
                        <w:szCs w:val="20"/>
                      </w:rPr>
                      <m:t>tot</m:t>
                    </m:r>
                  </m:sub>
                  <m:sup>
                    <m:r>
                      <w:rPr>
                        <w:rFonts w:ascii="Cambria Math" w:hAnsi="Cambria Math"/>
                        <w:sz w:val="20"/>
                        <w:szCs w:val="20"/>
                      </w:rPr>
                      <m:t>i,j</m:t>
                    </m:r>
                  </m:sup>
                </m:sSubSup>
                <m:r>
                  <w:rPr>
                    <w:rFonts w:ascii="Cambria Math" w:hAnsi="Cambria Math"/>
                    <w:sz w:val="20"/>
                    <w:szCs w:val="20"/>
                  </w:rPr>
                  <m:t xml:space="preserve">= </m:t>
                </m:r>
                <m:sSubSup>
                  <m:sSubSupPr>
                    <m:ctrlPr>
                      <w:rPr>
                        <w:rFonts w:ascii="Cambria Math" w:hAnsi="Cambria Math"/>
                        <w:i/>
                        <w:sz w:val="20"/>
                        <w:szCs w:val="20"/>
                      </w:rPr>
                    </m:ctrlPr>
                  </m:sSubSupPr>
                  <m:e>
                    <m:r>
                      <w:rPr>
                        <w:rFonts w:ascii="Cambria Math" w:hAnsi="Cambria Math"/>
                        <w:sz w:val="20"/>
                        <w:szCs w:val="20"/>
                      </w:rPr>
                      <m:t>E</m:t>
                    </m:r>
                  </m:e>
                  <m:sub>
                    <m:r>
                      <w:rPr>
                        <w:rFonts w:ascii="Cambria Math" w:hAnsi="Cambria Math"/>
                        <w:sz w:val="20"/>
                        <w:szCs w:val="20"/>
                      </w:rPr>
                      <m:t>water</m:t>
                    </m:r>
                  </m:sub>
                  <m:sup>
                    <m:r>
                      <w:rPr>
                        <w:rFonts w:ascii="Cambria Math" w:hAnsi="Cambria Math"/>
                        <w:sz w:val="20"/>
                        <w:szCs w:val="20"/>
                      </w:rPr>
                      <m:t>i,j</m:t>
                    </m:r>
                  </m:sup>
                </m:sSubSup>
                <m:r>
                  <w:rPr>
                    <w:rFonts w:ascii="Cambria Math" w:hAnsi="Cambria Math"/>
                    <w:sz w:val="20"/>
                    <w:szCs w:val="20"/>
                  </w:rPr>
                  <m:t>+</m:t>
                </m:r>
                <m:sSubSup>
                  <m:sSubSupPr>
                    <m:ctrlPr>
                      <w:rPr>
                        <w:rFonts w:ascii="Cambria Math" w:hAnsi="Cambria Math"/>
                        <w:i/>
                        <w:sz w:val="20"/>
                        <w:szCs w:val="20"/>
                      </w:rPr>
                    </m:ctrlPr>
                  </m:sSubSupPr>
                  <m:e>
                    <m:r>
                      <w:rPr>
                        <w:rFonts w:ascii="Cambria Math" w:hAnsi="Cambria Math"/>
                        <w:sz w:val="20"/>
                        <w:szCs w:val="20"/>
                      </w:rPr>
                      <m:t>E</m:t>
                    </m:r>
                  </m:e>
                  <m:sub>
                    <m:r>
                      <w:rPr>
                        <w:rFonts w:ascii="Cambria Math" w:hAnsi="Cambria Math"/>
                        <w:sz w:val="20"/>
                        <w:szCs w:val="20"/>
                      </w:rPr>
                      <m:t>catal</m:t>
                    </m:r>
                  </m:sub>
                  <m:sup>
                    <m:r>
                      <w:rPr>
                        <w:rFonts w:ascii="Cambria Math" w:hAnsi="Cambria Math"/>
                        <w:sz w:val="20"/>
                        <w:szCs w:val="20"/>
                      </w:rPr>
                      <m:t>i,j</m:t>
                    </m:r>
                  </m:sup>
                </m:sSubSup>
                <m:r>
                  <w:rPr>
                    <w:rFonts w:ascii="Cambria Math" w:hAnsi="Cambria Math"/>
                    <w:sz w:val="20"/>
                    <w:szCs w:val="20"/>
                  </w:rPr>
                  <m:t>+</m:t>
                </m:r>
                <m:sSubSup>
                  <m:sSubSupPr>
                    <m:ctrlPr>
                      <w:rPr>
                        <w:rFonts w:ascii="Cambria Math" w:hAnsi="Cambria Math"/>
                        <w:i/>
                        <w:sz w:val="20"/>
                        <w:szCs w:val="20"/>
                      </w:rPr>
                    </m:ctrlPr>
                  </m:sSubSupPr>
                  <m:e>
                    <m:r>
                      <w:rPr>
                        <w:rFonts w:ascii="Cambria Math" w:hAnsi="Cambria Math"/>
                        <w:sz w:val="20"/>
                        <w:szCs w:val="20"/>
                      </w:rPr>
                      <m:t>E</m:t>
                    </m:r>
                  </m:e>
                  <m:sub>
                    <m:r>
                      <w:rPr>
                        <w:rFonts w:ascii="Cambria Math" w:hAnsi="Cambria Math"/>
                        <w:sz w:val="20"/>
                        <w:szCs w:val="20"/>
                      </w:rPr>
                      <m:t>int</m:t>
                    </m:r>
                  </m:sub>
                  <m:sup>
                    <m:r>
                      <w:rPr>
                        <w:rFonts w:ascii="Cambria Math" w:hAnsi="Cambria Math"/>
                        <w:sz w:val="20"/>
                        <w:szCs w:val="20"/>
                      </w:rPr>
                      <m:t>i,j</m:t>
                    </m:r>
                  </m:sup>
                </m:sSubSup>
              </m:oMath>
            </m:oMathPara>
          </w:p>
        </w:tc>
        <w:tc>
          <w:tcPr>
            <w:tcW w:w="1134" w:type="dxa"/>
            <w:tcMar>
              <w:left w:w="28" w:type="dxa"/>
              <w:right w:w="28" w:type="dxa"/>
            </w:tcMar>
            <w:vAlign w:val="center"/>
          </w:tcPr>
          <w:p w14:paraId="7462294B" w14:textId="61FD2A3C" w:rsidR="00E2020B" w:rsidRPr="00E2020B" w:rsidRDefault="00E2020B" w:rsidP="00E2020B">
            <w:pPr>
              <w:keepNext/>
              <w:jc w:val="center"/>
              <w:rPr>
                <w:bCs/>
                <w:sz w:val="20"/>
                <w:szCs w:val="20"/>
              </w:rPr>
            </w:pPr>
            <w:r w:rsidRPr="00E2020B">
              <w:rPr>
                <w:sz w:val="20"/>
                <w:szCs w:val="20"/>
              </w:rPr>
              <w:t xml:space="preserve">Equation </w:t>
            </w:r>
            <w:r w:rsidRPr="00E2020B">
              <w:rPr>
                <w:sz w:val="20"/>
                <w:szCs w:val="20"/>
              </w:rPr>
              <w:fldChar w:fldCharType="begin"/>
            </w:r>
            <w:r w:rsidRPr="00E2020B">
              <w:rPr>
                <w:sz w:val="20"/>
                <w:szCs w:val="20"/>
              </w:rPr>
              <w:instrText xml:space="preserve"> SEQ Equation \* ARABIC </w:instrText>
            </w:r>
            <w:r w:rsidRPr="00E2020B">
              <w:rPr>
                <w:sz w:val="20"/>
                <w:szCs w:val="20"/>
              </w:rPr>
              <w:fldChar w:fldCharType="separate"/>
            </w:r>
            <w:r w:rsidR="00B7319C">
              <w:rPr>
                <w:noProof/>
                <w:sz w:val="20"/>
                <w:szCs w:val="20"/>
              </w:rPr>
              <w:t>71</w:t>
            </w:r>
            <w:r w:rsidRPr="00E2020B">
              <w:rPr>
                <w:sz w:val="20"/>
                <w:szCs w:val="20"/>
              </w:rPr>
              <w:fldChar w:fldCharType="end"/>
            </w:r>
          </w:p>
        </w:tc>
      </w:tr>
    </w:tbl>
    <w:p w14:paraId="149D8E6D" w14:textId="7A9D95FB" w:rsidR="00591B2E" w:rsidRDefault="00591B2E" w:rsidP="00591B2E">
      <w:r>
        <w:t>These interaction energies were then averaged over the snapshots to yield the solvation energies on various surface structures and adsorbates. The very same approach was used also by Nong et al.</w:t>
      </w:r>
      <w:r w:rsidR="0045303C">
        <w:fldChar w:fldCharType="begin"/>
      </w:r>
      <w:r w:rsidR="0045303C">
        <w:instrText xml:space="preserve"> ADDIN EN.CITE &lt;EndNote&gt;&lt;Cite&gt;&lt;Author&gt;Nong&lt;/Author&gt;&lt;Year&gt;2020&lt;/Year&gt;&lt;RecNum&gt;63&lt;/RecNum&gt;&lt;DisplayText&gt;&lt;style face="superscript"&gt;63&lt;/style&gt;&lt;/DisplayText&gt;&lt;record&gt;&lt;rec-number&gt;63&lt;/rec-number&gt;&lt;foreign-keys&gt;&lt;key app="EN" db-id="2xex0erf4eexr4e2dpbxpdd829xttesxxxdr" timestamp="1715075296"&gt;63&lt;/key&gt;&lt;/foreign-keys&gt;&lt;ref-type name="Journal Article"&gt;17&lt;/ref-type&gt;&lt;contributors&gt;&lt;authors&gt;&lt;author&gt;Nong, Hong Nhan&lt;/author&gt;&lt;author&gt;Falling, Lorenz J.&lt;/author&gt;&lt;author&gt;Bergmann, Arno&lt;/author&gt;&lt;author&gt;Klingenhof, Malte&lt;/author&gt;&lt;author&gt;Tran, Hoang Phi&lt;/author&gt;&lt;author&gt;Spöri, Camillo&lt;/author&gt;&lt;author&gt;Mom, Rik&lt;/author&gt;&lt;author&gt;Timoshenko, Janis&lt;/author&gt;&lt;author&gt;Zichittella, Guido&lt;/author&gt;&lt;author&gt;Knop-Gericke, Axel&lt;/author&gt;&lt;author&gt;Piccinin, Simone&lt;/author&gt;&lt;author&gt;Pérez-Ramírez, Javier&lt;/author&gt;&lt;author&gt;Cuenya, Beatriz Roldan&lt;/author&gt;&lt;author&gt;Schlögl, Robert&lt;/author&gt;&lt;author&gt;Strasser, Peter&lt;/author&gt;&lt;author&gt;Teschner, Detre&lt;/author&gt;&lt;author&gt;Jones, Travis E.&lt;/author&gt;&lt;/authors&gt;&lt;/contributors&gt;&lt;titles&gt;&lt;title&gt;Key role of chemistry versus bias in electrocatalytic oxygen evolution&lt;/title&gt;&lt;secondary-title&gt;Nature&lt;/secondary-title&gt;&lt;/titles&gt;&lt;pages&gt;408-413&lt;/pages&gt;&lt;volume&gt;587&lt;/volume&gt;&lt;number&gt;7834&lt;/number&gt;&lt;dates&gt;&lt;year&gt;2020&lt;/year&gt;&lt;pub-dates&gt;&lt;date&gt;2020/11/01&lt;/date&gt;&lt;/pub-dates&gt;&lt;/dates&gt;&lt;isbn&gt;1476-4687&lt;/isbn&gt;&lt;urls&gt;&lt;related-urls&gt;&lt;url&gt;https://doi.org/10.1038/s41586-020-2908-2&lt;/url&gt;&lt;/related-urls&gt;&lt;/urls&gt;&lt;electronic-resource-num&gt;10.1038/s41586-020-2908-2&lt;/electronic-resource-num&gt;&lt;/record&gt;&lt;/Cite&gt;&lt;/EndNote&gt;</w:instrText>
      </w:r>
      <w:r w:rsidR="0045303C">
        <w:fldChar w:fldCharType="separate"/>
      </w:r>
      <w:r w:rsidR="0045303C" w:rsidRPr="0045303C">
        <w:rPr>
          <w:noProof/>
          <w:vertAlign w:val="superscript"/>
        </w:rPr>
        <w:t>63</w:t>
      </w:r>
      <w:r w:rsidR="0045303C">
        <w:fldChar w:fldCharType="end"/>
      </w:r>
      <w:r>
        <w:t xml:space="preserve"> to model the OER on IrO</w:t>
      </w:r>
      <w:r w:rsidRPr="000407FC">
        <w:rPr>
          <w:vertAlign w:val="subscript"/>
        </w:rPr>
        <w:t>2</w:t>
      </w:r>
      <w:r>
        <w:t>(110).</w:t>
      </w:r>
    </w:p>
    <w:p w14:paraId="7B6DB181" w14:textId="77777777" w:rsidR="00591B2E" w:rsidRDefault="00591B2E" w:rsidP="00591B2E"/>
    <w:p w14:paraId="3A3F8DC3" w14:textId="082FDDE6" w:rsidR="00591B2E" w:rsidRPr="00D02C4B" w:rsidRDefault="00591B2E" w:rsidP="005C7322">
      <w:pPr>
        <w:ind w:firstLine="720"/>
        <w:rPr>
          <w:color w:val="000000" w:themeColor="text1"/>
        </w:rPr>
      </w:pPr>
      <w:r w:rsidRPr="00D02C4B">
        <w:rPr>
          <w:color w:val="000000" w:themeColor="text1"/>
        </w:rPr>
        <w:t>Similarly to the work of Wang et al.</w:t>
      </w:r>
      <w:r>
        <w:rPr>
          <w:color w:val="000000" w:themeColor="text1"/>
        </w:rPr>
        <w:fldChar w:fldCharType="begin"/>
      </w:r>
      <w:r w:rsidR="00FC5BEB">
        <w:rPr>
          <w:color w:val="000000" w:themeColor="text1"/>
        </w:rPr>
        <w:instrText xml:space="preserve"> ADDIN EN.CITE &lt;EndNote&gt;&lt;Cite&gt;&lt;Author&gt;Wang&lt;/Author&gt;&lt;Year&gt;2018&lt;/Year&gt;&lt;RecNum&gt;454&lt;/RecNum&gt;&lt;DisplayText&gt;&lt;style face="superscript"&gt;456&lt;/style&gt;&lt;/DisplayText&gt;&lt;record&gt;&lt;rec-number&gt;454&lt;/rec-number&gt;&lt;foreign-keys&gt;&lt;key app="EN" db-id="2xex0erf4eexr4e2dpbxpdd829xttesxxxdr" timestamp="1715075297"&gt;454&lt;/key&gt;&lt;/foreign-keys&gt;&lt;ref-type name="Journal Article"&gt;17&lt;/ref-type&gt;&lt;contributors&gt;&lt;authors&gt;&lt;author&gt;Wang, Dong&lt;/author&gt;&lt;author&gt;Sheng, Tian&lt;/author&gt;&lt;author&gt;Chen, Jianfu&lt;/author&gt;&lt;author&gt;Wang, Hai Feng&lt;/author&gt;&lt;author&gt;Hu, P.&lt;/author&gt;&lt;/authors&gt;&lt;/contributors&gt;&lt;titles&gt;&lt;title&gt;Identifying the key obstacle in photocatalytic oxygen evolution on rutile TiO2&lt;/title&gt;&lt;secondary-title&gt;Nat. Catal.&lt;/secondary-title&gt;&lt;/titles&gt;&lt;periodical&gt;&lt;full-title&gt;Nat. Catal.&lt;/full-title&gt;&lt;abbr-1&gt;Nat. Catal.&lt;/abbr-1&gt;&lt;/periodical&gt;&lt;pages&gt;291-299&lt;/pages&gt;&lt;volume&gt;1&lt;/volume&gt;&lt;number&gt;4&lt;/number&gt;&lt;dates&gt;&lt;year&gt;2018&lt;/year&gt;&lt;/dates&gt;&lt;urls&gt;&lt;related-urls&gt;&lt;url&gt;https://www.nature.com/articles/s41929-018-0055-z.pdf&lt;/url&gt;&lt;/related-urls&gt;&lt;pdf-urls&gt;&lt;url&gt;file://localhost/localhost/localhost/Users/piccinin/Literature/Nature%252520Catalysis%252520Volume%2525201%252520issue%2525204%2525202018%252520%25255Bdoi%25252010.1038%252525252Fs41929-018-0055-z%25255D%252520Wang,%252520Dong&lt;/url&gt;&lt;/pdf-urls&gt;&lt;/urls&gt;&lt;electronic-resource-num&gt;10.1038/s41929-018-0055-z&lt;/electronic-resource-num&gt;&lt;/record&gt;&lt;/Cite&gt;&lt;/EndNote&gt;</w:instrText>
      </w:r>
      <w:r>
        <w:rPr>
          <w:color w:val="000000" w:themeColor="text1"/>
        </w:rPr>
        <w:fldChar w:fldCharType="separate"/>
      </w:r>
      <w:r w:rsidR="00FC5BEB" w:rsidRPr="00FC5BEB">
        <w:rPr>
          <w:noProof/>
          <w:color w:val="000000" w:themeColor="text1"/>
          <w:vertAlign w:val="superscript"/>
        </w:rPr>
        <w:t>456</w:t>
      </w:r>
      <w:r>
        <w:rPr>
          <w:color w:val="000000" w:themeColor="text1"/>
        </w:rPr>
        <w:fldChar w:fldCharType="end"/>
      </w:r>
      <w:r w:rsidRPr="00D02C4B">
        <w:rPr>
          <w:color w:val="000000" w:themeColor="text1"/>
        </w:rPr>
        <w:t>, the strategy adopted by Chun et al. in their very recent work</w:t>
      </w:r>
      <w:r>
        <w:rPr>
          <w:color w:val="000000" w:themeColor="text1"/>
        </w:rPr>
        <w:fldChar w:fldCharType="begin"/>
      </w:r>
      <w:r w:rsidR="00FC5BEB">
        <w:rPr>
          <w:color w:val="000000" w:themeColor="text1"/>
        </w:rPr>
        <w:instrText xml:space="preserve"> ADDIN EN.CITE &lt;EndNote&gt;&lt;Cite&gt;&lt;Author&gt;Chun&lt;/Author&gt;&lt;Year&gt;2024&lt;/Year&gt;&lt;RecNum&gt;455&lt;/RecNum&gt;&lt;DisplayText&gt;&lt;style face="superscript"&gt;457&lt;/style&gt;&lt;/DisplayText&gt;&lt;record&gt;&lt;rec-number&gt;455&lt;/rec-number&gt;&lt;foreign-keys&gt;&lt;key app="EN" db-id="2xex0erf4eexr4e2dpbxpdd829xttesxxxdr" timestamp="1715075297"&gt;455&lt;/key&gt;&lt;/foreign-keys&gt;&lt;ref-type name="Journal Article"&gt;17&lt;/ref-type&gt;&lt;contributors&gt;&lt;authors&gt;&lt;author&gt;Chun, Hee Joon&lt;/author&gt;&lt;author&gt;Morankar, Ankita&lt;/author&gt;&lt;author&gt;Zeng, Zhenhua&lt;/author&gt;&lt;author&gt;Greeley, Jeffrey&lt;/author&gt;&lt;/authors&gt;&lt;/contributors&gt;&lt;titles&gt;&lt;title&gt;Solvation Enthalpy Determination for Aqueous-Phase Reaction Adsorbates Using Ab Initio Molecular Dynamics-Based Structure Sampling&lt;/title&gt;&lt;secondary-title&gt;J. Phys. Chem. C&lt;/secondary-title&gt;&lt;/titles&gt;&lt;periodical&gt;&lt;full-title&gt;J. Phys. Chem. C&lt;/full-title&gt;&lt;/periodical&gt;&lt;pages&gt;1621-1632&lt;/pages&gt;&lt;volume&gt;128&lt;/volume&gt;&lt;dates&gt;&lt;year&gt;2024&lt;/year&gt;&lt;/dates&gt;&lt;urls&gt;&lt;related-urls&gt;&lt;url&gt;https://pubs.acs.org/doi/pdf/10.1021/acs.jpcc.3c06870&lt;/url&gt;&lt;/related-urls&gt;&lt;pdf-urls&gt;&lt;url&gt;file://localhost/localhost/localhost/Users/piccinin/Literature/solvation-enthalpy-determination-for-aqueous-phase-reaction-adsorbates-from-first-principles-ab-initio-molecular-dynamics.pdf&lt;/url&gt;&lt;/pdf-urls&gt;&lt;/urls&gt;&lt;electronic-resource-num&gt;10.1021/acs.jpcc.3c06870&lt;/electronic-resource-num&gt;&lt;/record&gt;&lt;/Cite&gt;&lt;/EndNote&gt;</w:instrText>
      </w:r>
      <w:r>
        <w:rPr>
          <w:color w:val="000000" w:themeColor="text1"/>
        </w:rPr>
        <w:fldChar w:fldCharType="separate"/>
      </w:r>
      <w:r w:rsidR="00FC5BEB" w:rsidRPr="00FC5BEB">
        <w:rPr>
          <w:noProof/>
          <w:color w:val="000000" w:themeColor="text1"/>
          <w:vertAlign w:val="superscript"/>
        </w:rPr>
        <w:t>457</w:t>
      </w:r>
      <w:r>
        <w:rPr>
          <w:color w:val="000000" w:themeColor="text1"/>
        </w:rPr>
        <w:fldChar w:fldCharType="end"/>
      </w:r>
      <w:r w:rsidRPr="00D02C4B">
        <w:rPr>
          <w:color w:val="000000" w:themeColor="text1"/>
        </w:rPr>
        <w:t xml:space="preserve"> is also based on the structural optimization of several snapshots extracted from FPMD simulations of various reaction intermediates with an explicit description of the water solvent. Focusing on the ORR on </w:t>
      </w:r>
      <w:proofErr w:type="gramStart"/>
      <w:r w:rsidRPr="00D02C4B">
        <w:rPr>
          <w:color w:val="000000" w:themeColor="text1"/>
        </w:rPr>
        <w:t>Pt(</w:t>
      </w:r>
      <w:proofErr w:type="gramEnd"/>
      <w:r w:rsidRPr="00D02C4B">
        <w:rPr>
          <w:color w:val="000000" w:themeColor="text1"/>
        </w:rPr>
        <w:t>111), the authors estimated the solvation energy for the *OH  and *OOH intermediates to be -0.56 eV and -0.27 eV, respectively. A 0.3 eV difference in the solvation energy between these two intermediates is clearly non-negligible. Furthermore, the authors showed that static water bilayers (1 to 3 bilayers were considered) often adopted</w:t>
      </w:r>
      <w:r>
        <w:rPr>
          <w:color w:val="000000" w:themeColor="text1"/>
        </w:rPr>
        <w:fldChar w:fldCharType="begin">
          <w:fldData xml:space="preserve">PEVuZE5vdGU+PENpdGU+PEF1dGhvcj5Sb3NzbWVpc2w8L0F1dGhvcj48WWVhcj4yMDA1PC9ZZWFy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</w:fldData>
        </w:fldChar>
      </w:r>
      <w:r w:rsidR="00FC5BEB">
        <w:rPr>
          <w:color w:val="000000" w:themeColor="text1"/>
        </w:rPr>
        <w:instrText xml:space="preserve"> ADDIN EN.CITE </w:instrText>
      </w:r>
      <w:r w:rsidR="00FC5BEB">
        <w:rPr>
          <w:color w:val="000000" w:themeColor="text1"/>
        </w:rPr>
        <w:fldChar w:fldCharType="begin">
          <w:fldData xml:space="preserve">PEVuZE5vdGU+PENpdGU+PEF1dGhvcj5Sb3NzbWVpc2w8L0F1dGhvcj48WWVhcj4yMDA1PC9ZZWFy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</w:fldData>
        </w:fldChar>
      </w:r>
      <w:r w:rsidR="00FC5BEB">
        <w:rPr>
          <w:color w:val="000000" w:themeColor="text1"/>
        </w:rPr>
        <w:instrText xml:space="preserve"> ADDIN EN.CITE.DATA </w:instrText>
      </w:r>
      <w:r w:rsidR="00FC5BEB">
        <w:rPr>
          <w:color w:val="000000" w:themeColor="text1"/>
        </w:rPr>
      </w:r>
      <w:r w:rsidR="00FC5BEB">
        <w:rPr>
          <w:color w:val="000000" w:themeColor="text1"/>
        </w:rPr>
        <w:fldChar w:fldCharType="end"/>
      </w:r>
      <w:r>
        <w:rPr>
          <w:color w:val="000000" w:themeColor="text1"/>
        </w:rPr>
      </w:r>
      <w:r>
        <w:rPr>
          <w:color w:val="000000" w:themeColor="text1"/>
        </w:rPr>
        <w:fldChar w:fldCharType="separate"/>
      </w:r>
      <w:r w:rsidR="00FC5BEB" w:rsidRPr="00FC5BEB">
        <w:rPr>
          <w:noProof/>
          <w:color w:val="000000" w:themeColor="text1"/>
          <w:vertAlign w:val="superscript"/>
        </w:rPr>
        <w:t>87, 453, 458</w:t>
      </w:r>
      <w:r>
        <w:rPr>
          <w:color w:val="000000" w:themeColor="text1"/>
        </w:rPr>
        <w:fldChar w:fldCharType="end"/>
      </w:r>
      <w:r w:rsidRPr="00D02C4B">
        <w:rPr>
          <w:color w:val="000000" w:themeColor="text1"/>
        </w:rPr>
        <w:t xml:space="preserve"> to model solvation effects in electrocatalysis capture reasonably well the solvation energy of *OH (with errors below 0.1 eV) while the errors on the *OOH intermediate can be as large as 0.5 eV. </w:t>
      </w:r>
    </w:p>
    <w:p w14:paraId="332E3AE5" w14:textId="77777777" w:rsidR="00591B2E" w:rsidRDefault="00591B2E" w:rsidP="00591B2E"/>
    <w:p w14:paraId="0F9640DB" w14:textId="43E98E7E" w:rsidR="00591B2E" w:rsidRDefault="00591B2E" w:rsidP="005C7322">
      <w:pPr>
        <w:ind w:firstLine="720"/>
      </w:pPr>
      <w:r>
        <w:t>Another approach to quantify the effects of the water solvent on the stability of the OER intermediates was proposed by Gono et al.</w:t>
      </w:r>
      <w:r>
        <w:fldChar w:fldCharType="begin"/>
      </w:r>
      <w:r w:rsidR="009F6662">
        <w:instrText xml:space="preserve"> ADDIN EN.CITE &lt;EndNote&gt;&lt;Cite&gt;&lt;Author&gt;Gono&lt;/Author&gt;&lt;Year&gt;2019&lt;/Year&gt;&lt;RecNum&gt;60&lt;/RecNum&gt;&lt;DisplayText&gt;&lt;style face="superscript"&gt;60&lt;/style&gt;&lt;/DisplayText&gt;&lt;record&gt;&lt;rec-number&gt;60&lt;/rec-number&gt;&lt;foreign-keys&gt;&lt;key app="EN" db-id="2xex0erf4eexr4e2dpbxpdd829xttesxxxdr" timestamp="1715075296"&gt;60&lt;/key&gt;&lt;/foreign-keys&gt;&lt;ref-type name="Journal Article"&gt;17&lt;/ref-type&gt;&lt;contributors&gt;&lt;authors&gt;&lt;author&gt;Gono, Patrick&lt;/author&gt;&lt;author&gt;Ambrosio, Francesco&lt;/author&gt;&lt;author&gt;Pasquarello, Alfredo&lt;/author&gt;&lt;/authors&gt;&lt;/contributors&gt;&lt;titles&gt;&lt;title&gt;Effect of the Solvent on the Oxygen Evolution Reaction at the TiO2–Water Interface&lt;/title&gt;&lt;secondary-title&gt;Journal of Physical Chemistry C&lt;/secondary-title&gt;&lt;/titles&gt;&lt;periodical&gt;&lt;full-title&gt;Journal of Physical Chemistry C&lt;/full-title&gt;&lt;abbr-1&gt;J. Phys. Chem. C&lt;/abbr-1&gt;&lt;/periodical&gt;&lt;pages&gt;18467-18474&lt;/pages&gt;&lt;volume&gt;123&lt;/volume&gt;&lt;number&gt;30&lt;/number&gt;&lt;dates&gt;&lt;year&gt;2019&lt;/year&gt;&lt;pub-dates&gt;&lt;date&gt;2019/08/01&lt;/date&gt;&lt;/pub-dates&gt;&lt;/dates&gt;&lt;publisher&gt;American Chemical Society&lt;/publisher&gt;&lt;isbn&gt;1932-7447&lt;/isbn&gt;&lt;urls&gt;&lt;related-urls&gt;&lt;url&gt;https://doi.org/10.1021/acs.jpcc.9b05015&lt;/url&gt;&lt;/related-urls&gt;&lt;/urls&gt;&lt;electronic-resource-num&gt;10.1021/acs.jpcc.9b05015&lt;/electronic-resource-num&gt;&lt;/record&gt;&lt;/Cite&gt;&lt;/EndNote&gt;</w:instrText>
      </w:r>
      <w:r>
        <w:fldChar w:fldCharType="separate"/>
      </w:r>
      <w:r w:rsidR="009F6662" w:rsidRPr="009F6662">
        <w:rPr>
          <w:noProof/>
          <w:vertAlign w:val="superscript"/>
        </w:rPr>
        <w:t>60</w:t>
      </w:r>
      <w:r>
        <w:fldChar w:fldCharType="end"/>
      </w:r>
      <w:r>
        <w:t>, who modeled the interface between the rutile TiO</w:t>
      </w:r>
      <w:r w:rsidRPr="00491206">
        <w:rPr>
          <w:vertAlign w:val="subscript"/>
        </w:rPr>
        <w:t>2</w:t>
      </w:r>
      <w:r>
        <w:t xml:space="preserve">(110) surface and explicit water. The authors used the thermodynamic integration approach of </w:t>
      </w:r>
      <w:proofErr w:type="spellStart"/>
      <w:r>
        <w:t>Sprik</w:t>
      </w:r>
      <w:proofErr w:type="spellEnd"/>
      <w:r>
        <w:t xml:space="preserve"> and coworkers</w:t>
      </w:r>
      <w:r>
        <w:fldChar w:fldCharType="begin">
          <w:fldData xml:space="preserve">PEVuZE5vdGU+PENpdGU+PEF1dGhvcj5Db3N0YW56bzwvQXV0aG9yPjxZZWFyPjIwMTE8L1llYXI+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</w:fldData>
        </w:fldChar>
      </w:r>
      <w:r w:rsidR="00FC5BEB">
        <w:instrText xml:space="preserve"> ADDIN EN.CITE </w:instrText>
      </w:r>
      <w:r w:rsidR="00FC5BEB">
        <w:fldChar w:fldCharType="begin">
          <w:fldData xml:space="preserve">PEVuZE5vdGU+PENpdGU+PEF1dGhvcj5Db3N0YW56bzwvQXV0aG9yPjxZZWFyPjIwMTE8L1llYXI+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</w:fldData>
        </w:fldChar>
      </w:r>
      <w:r w:rsidR="00FC5BEB">
        <w:instrText xml:space="preserve"> ADDIN EN.CITE.DATA </w:instrText>
      </w:r>
      <w:r w:rsidR="00FC5BEB">
        <w:fldChar w:fldCharType="end"/>
      </w:r>
      <w:r>
        <w:fldChar w:fldCharType="separate"/>
      </w:r>
      <w:r w:rsidR="00FC5BEB" w:rsidRPr="00FC5BEB">
        <w:rPr>
          <w:noProof/>
          <w:vertAlign w:val="superscript"/>
        </w:rPr>
        <w:t>459</w:t>
      </w:r>
      <w:r>
        <w:fldChar w:fldCharType="end"/>
      </w:r>
      <w:r>
        <w:t xml:space="preserve"> to compute the free energy cost of a dehydrogenation step: </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E2020B" w:rsidRPr="00E2020B" w14:paraId="112E063D" w14:textId="77777777" w:rsidTr="00DE0988">
        <w:tc>
          <w:tcPr>
            <w:tcW w:w="7938" w:type="dxa"/>
            <w:tcMar>
              <w:left w:w="28" w:type="dxa"/>
              <w:right w:w="28" w:type="dxa"/>
            </w:tcMar>
            <w:vAlign w:val="center"/>
          </w:tcPr>
          <w:p w14:paraId="31E5ECA6" w14:textId="79EFF88C" w:rsidR="00E2020B" w:rsidRPr="00E2020B" w:rsidRDefault="00E2020B" w:rsidP="00E45E28">
            <w:pPr>
              <w:spacing w:before="60" w:after="60"/>
              <w:rPr>
                <w:bCs/>
                <w:sz w:val="20"/>
                <w:szCs w:val="20"/>
              </w:rPr>
            </w:pPr>
            <m:oMathPara>
              <m:oMath>
                <m:r>
                  <w:rPr>
                    <w:rFonts w:ascii="Cambria Math" w:hAnsi="Cambria Math"/>
                    <w:sz w:val="20"/>
                    <w:szCs w:val="20"/>
                  </w:rPr>
                  <m:t>G(P)-G(R) = ∆</m:t>
                </m:r>
                <m:sSub>
                  <m:sSubPr>
                    <m:ctrlPr>
                      <w:rPr>
                        <w:rFonts w:ascii="Cambria Math" w:hAnsi="Cambria Math"/>
                        <w:i/>
                        <w:sz w:val="20"/>
                        <w:szCs w:val="20"/>
                      </w:rPr>
                    </m:ctrlPr>
                  </m:sSubPr>
                  <m:e>
                    <m:r>
                      <w:rPr>
                        <w:rFonts w:ascii="Cambria Math" w:hAnsi="Cambria Math"/>
                        <w:sz w:val="20"/>
                        <w:szCs w:val="20"/>
                      </w:rPr>
                      <m:t>G</m:t>
                    </m:r>
                  </m:e>
                  <m:sub>
                    <m:r>
                      <w:rPr>
                        <w:rFonts w:ascii="Cambria Math" w:hAnsi="Cambria Math"/>
                        <w:sz w:val="20"/>
                        <w:szCs w:val="20"/>
                      </w:rPr>
                      <m:t>dh</m:t>
                    </m:r>
                  </m:sub>
                </m:sSub>
                <m:r>
                  <w:rPr>
                    <w:rFonts w:ascii="Cambria Math" w:eastAsiaTheme="minorEastAsia" w:hAnsi="Cambria Math"/>
                    <w:sz w:val="20"/>
                    <w:szCs w:val="20"/>
                  </w:rPr>
                  <m:t xml:space="preserve"> = </m:t>
                </m:r>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A</m:t>
                    </m:r>
                  </m:e>
                  <m:sub>
                    <m:r>
                      <w:rPr>
                        <w:rFonts w:ascii="Cambria Math" w:hAnsi="Cambria Math"/>
                        <w:sz w:val="20"/>
                        <w:szCs w:val="20"/>
                      </w:rPr>
                      <m:t>dh</m:t>
                    </m:r>
                  </m:sub>
                </m:sSub>
                <m:r>
                  <w:rPr>
                    <w:rFonts w:ascii="Cambria Math" w:eastAsiaTheme="minorEastAsia" w:hAnsi="Cambria Math"/>
                    <w:sz w:val="20"/>
                    <w:szCs w:val="20"/>
                  </w:rPr>
                  <m:t xml:space="preserve"> + </m:t>
                </m:r>
                <m:sSub>
                  <m:sSubPr>
                    <m:ctrlPr>
                      <w:rPr>
                        <w:rFonts w:ascii="Cambria Math" w:hAnsi="Cambria Math"/>
                        <w:i/>
                        <w:sz w:val="20"/>
                        <w:szCs w:val="20"/>
                      </w:rPr>
                    </m:ctrlPr>
                  </m:sSubPr>
                  <m:e>
                    <m:r>
                      <w:rPr>
                        <w:rFonts w:ascii="Cambria Math" w:hAnsi="Cambria Math"/>
                        <w:sz w:val="20"/>
                        <w:szCs w:val="20"/>
                      </w:rPr>
                      <m:t>∆</m:t>
                    </m:r>
                  </m:e>
                  <m:sub>
                    <m:r>
                      <w:rPr>
                        <w:rFonts w:ascii="Cambria Math" w:hAnsi="Cambria Math"/>
                        <w:sz w:val="20"/>
                        <w:szCs w:val="20"/>
                      </w:rPr>
                      <m:t>zp</m:t>
                    </m:r>
                  </m:sub>
                </m:sSub>
                <m:r>
                  <w:rPr>
                    <w:rFonts w:ascii="Cambria Math" w:hAnsi="Cambria Math"/>
                    <w:sz w:val="20"/>
                    <w:szCs w:val="20"/>
                  </w:rPr>
                  <m:t xml:space="preserve">E = </m:t>
                </m:r>
                <m:nary>
                  <m:naryPr>
                    <m:limLoc m:val="subSup"/>
                    <m:ctrlPr>
                      <w:rPr>
                        <w:rFonts w:ascii="Cambria Math" w:hAnsi="Cambria Math"/>
                        <w:i/>
                        <w:sz w:val="20"/>
                        <w:szCs w:val="20"/>
                      </w:rPr>
                    </m:ctrlPr>
                  </m:naryPr>
                  <m:sub>
                    <m:r>
                      <w:rPr>
                        <w:rFonts w:ascii="Cambria Math" w:hAnsi="Cambria Math"/>
                        <w:sz w:val="20"/>
                        <w:szCs w:val="20"/>
                      </w:rPr>
                      <m:t>0</m:t>
                    </m:r>
                  </m:sub>
                  <m:sup>
                    <m:r>
                      <w:rPr>
                        <w:rFonts w:ascii="Cambria Math" w:hAnsi="Cambria Math"/>
                        <w:sz w:val="20"/>
                        <w:szCs w:val="20"/>
                      </w:rPr>
                      <m:t>1</m:t>
                    </m:r>
                  </m:sup>
                  <m:e>
                    <m:sSub>
                      <m:sSubPr>
                        <m:ctrlPr>
                          <w:rPr>
                            <w:rFonts w:ascii="Cambria Math" w:hAnsi="Cambria Math"/>
                            <w:i/>
                            <w:sz w:val="20"/>
                            <w:szCs w:val="20"/>
                          </w:rPr>
                        </m:ctrlPr>
                      </m:sSubPr>
                      <m:e>
                        <m:d>
                          <m:dPr>
                            <m:begChr m:val="〈"/>
                            <m:endChr m:val="〉"/>
                            <m:ctrlPr>
                              <w:rPr>
                                <w:rFonts w:ascii="Cambria Math" w:hAnsi="Cambria Math"/>
                                <w:i/>
                                <w:sz w:val="20"/>
                                <w:szCs w:val="20"/>
                              </w:rPr>
                            </m:ctrlPr>
                          </m:dPr>
                          <m:e>
                            <m:sSub>
                              <m:sSubPr>
                                <m:ctrlPr>
                                  <w:rPr>
                                    <w:rFonts w:ascii="Cambria Math" w:hAnsi="Cambria Math"/>
                                    <w:i/>
                                    <w:sz w:val="20"/>
                                    <w:szCs w:val="20"/>
                                  </w:rPr>
                                </m:ctrlPr>
                              </m:sSubPr>
                              <m:e>
                                <m:r>
                                  <w:rPr>
                                    <w:rFonts w:ascii="Cambria Math" w:hAnsi="Cambria Math"/>
                                    <w:sz w:val="20"/>
                                    <w:szCs w:val="20"/>
                                  </w:rPr>
                                  <m:t>∆</m:t>
                                </m:r>
                              </m:e>
                              <m:sub>
                                <m:r>
                                  <w:rPr>
                                    <w:rFonts w:ascii="Cambria Math" w:hAnsi="Cambria Math"/>
                                    <w:sz w:val="20"/>
                                    <w:szCs w:val="20"/>
                                  </w:rPr>
                                  <m:t>dh</m:t>
                                </m:r>
                              </m:sub>
                            </m:sSub>
                            <m:r>
                              <w:rPr>
                                <w:rFonts w:ascii="Cambria Math" w:hAnsi="Cambria Math"/>
                                <w:sz w:val="20"/>
                                <w:szCs w:val="20"/>
                              </w:rPr>
                              <m:t>E</m:t>
                            </m:r>
                          </m:e>
                        </m:d>
                      </m:e>
                      <m:sub>
                        <m:r>
                          <w:rPr>
                            <w:rFonts w:ascii="Cambria Math" w:hAnsi="Cambria Math"/>
                            <w:sz w:val="20"/>
                            <w:szCs w:val="20"/>
                          </w:rPr>
                          <m:t>λ</m:t>
                        </m:r>
                      </m:sub>
                    </m:sSub>
                    <m:r>
                      <m:rPr>
                        <m:sty m:val="p"/>
                      </m:rPr>
                      <w:rPr>
                        <w:rFonts w:ascii="Cambria Math" w:hAnsi="Cambria Math"/>
                        <w:sz w:val="20"/>
                        <w:szCs w:val="20"/>
                      </w:rPr>
                      <m:t>d</m:t>
                    </m:r>
                    <m:r>
                      <w:rPr>
                        <w:rFonts w:ascii="Cambria Math" w:hAnsi="Cambria Math"/>
                        <w:sz w:val="20"/>
                        <w:szCs w:val="20"/>
                      </w:rPr>
                      <m:t>λ</m:t>
                    </m:r>
                  </m:e>
                </m:nary>
                <m:r>
                  <w:rPr>
                    <w:rFonts w:ascii="Cambria Math" w:hAnsi="Cambria Math"/>
                    <w:sz w:val="20"/>
                    <w:szCs w:val="20"/>
                  </w:rPr>
                  <m:t xml:space="preserve"> + </m:t>
                </m:r>
                <m:sSub>
                  <m:sSubPr>
                    <m:ctrlPr>
                      <w:rPr>
                        <w:rFonts w:ascii="Cambria Math" w:hAnsi="Cambria Math"/>
                        <w:i/>
                        <w:sz w:val="20"/>
                        <w:szCs w:val="20"/>
                      </w:rPr>
                    </m:ctrlPr>
                  </m:sSubPr>
                  <m:e>
                    <m:r>
                      <w:rPr>
                        <w:rFonts w:ascii="Cambria Math" w:hAnsi="Cambria Math"/>
                        <w:sz w:val="20"/>
                        <w:szCs w:val="20"/>
                      </w:rPr>
                      <m:t>∆</m:t>
                    </m:r>
                  </m:e>
                  <m:sub>
                    <m:r>
                      <w:rPr>
                        <w:rFonts w:ascii="Cambria Math" w:hAnsi="Cambria Math"/>
                        <w:sz w:val="20"/>
                        <w:szCs w:val="20"/>
                      </w:rPr>
                      <m:t>zp</m:t>
                    </m:r>
                  </m:sub>
                </m:sSub>
                <m:r>
                  <w:rPr>
                    <w:rFonts w:ascii="Cambria Math" w:hAnsi="Cambria Math"/>
                    <w:sz w:val="20"/>
                    <w:szCs w:val="20"/>
                  </w:rPr>
                  <m:t>E</m:t>
                </m:r>
              </m:oMath>
            </m:oMathPara>
          </w:p>
        </w:tc>
        <w:tc>
          <w:tcPr>
            <w:tcW w:w="1134" w:type="dxa"/>
            <w:tcMar>
              <w:left w:w="28" w:type="dxa"/>
              <w:right w:w="28" w:type="dxa"/>
            </w:tcMar>
            <w:vAlign w:val="center"/>
          </w:tcPr>
          <w:p w14:paraId="5CB46FB3" w14:textId="6C962A91" w:rsidR="00E2020B" w:rsidRPr="00E2020B" w:rsidRDefault="00E2020B" w:rsidP="00E45E28">
            <w:pPr>
              <w:keepNext/>
              <w:jc w:val="right"/>
              <w:rPr>
                <w:bCs/>
                <w:sz w:val="20"/>
                <w:szCs w:val="20"/>
              </w:rPr>
            </w:pPr>
            <w:r w:rsidRPr="00E2020B">
              <w:rPr>
                <w:sz w:val="20"/>
                <w:szCs w:val="20"/>
              </w:rPr>
              <w:t xml:space="preserve">Equation </w:t>
            </w:r>
            <w:r w:rsidRPr="00E2020B">
              <w:rPr>
                <w:sz w:val="20"/>
                <w:szCs w:val="20"/>
              </w:rPr>
              <w:fldChar w:fldCharType="begin"/>
            </w:r>
            <w:r w:rsidRPr="00E2020B">
              <w:rPr>
                <w:sz w:val="20"/>
                <w:szCs w:val="20"/>
              </w:rPr>
              <w:instrText xml:space="preserve"> SEQ Equation \* ARABIC </w:instrText>
            </w:r>
            <w:r w:rsidRPr="00E2020B">
              <w:rPr>
                <w:sz w:val="20"/>
                <w:szCs w:val="20"/>
              </w:rPr>
              <w:fldChar w:fldCharType="separate"/>
            </w:r>
            <w:r w:rsidR="00B7319C">
              <w:rPr>
                <w:noProof/>
                <w:sz w:val="20"/>
                <w:szCs w:val="20"/>
              </w:rPr>
              <w:t>72</w:t>
            </w:r>
            <w:r w:rsidRPr="00E2020B">
              <w:rPr>
                <w:sz w:val="20"/>
                <w:szCs w:val="20"/>
              </w:rPr>
              <w:fldChar w:fldCharType="end"/>
            </w:r>
          </w:p>
        </w:tc>
      </w:tr>
    </w:tbl>
    <w:p w14:paraId="0395420D" w14:textId="25C9D823" w:rsidR="00591B2E" w:rsidRDefault="00591B2E" w:rsidP="00591B2E">
      <w:r>
        <w:lastRenderedPageBreak/>
        <w:t xml:space="preserve">where </w:t>
      </w:r>
      <m:oMath>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dh</m:t>
            </m:r>
          </m:sub>
        </m:sSub>
        <m:r>
          <w:rPr>
            <w:rFonts w:ascii="Cambria Math" w:eastAsiaTheme="minorEastAsia" w:hAnsi="Cambria Math"/>
          </w:rPr>
          <m:t xml:space="preserve"> </m:t>
        </m:r>
      </m:oMath>
      <w:r>
        <w:rPr>
          <w:rFonts w:eastAsiaTheme="minorEastAsia"/>
        </w:rPr>
        <w:t xml:space="preserve">is the </w:t>
      </w:r>
      <w:r w:rsidRPr="003259B2">
        <w:t>dehydrogenation free energy integral</w:t>
      </w:r>
      <w:r>
        <w:t xml:space="preserve"> and</w:t>
      </w:r>
      <w:r>
        <w:rPr>
          <w:rFonts w:eastAsiaTheme="minorEastAsia"/>
        </w:rPr>
        <w:t xml:space="preserve"> </w:t>
      </w:r>
      <m:oMath>
        <m:sSub>
          <m:sSubPr>
            <m:ctrlPr>
              <w:rPr>
                <w:rFonts w:ascii="Cambria Math" w:hAnsi="Cambria Math"/>
                <w:i/>
              </w:rPr>
            </m:ctrlPr>
          </m:sSubPr>
          <m:e>
            <m:r>
              <w:rPr>
                <w:rFonts w:ascii="Cambria Math" w:hAnsi="Cambria Math"/>
              </w:rPr>
              <m:t>∆</m:t>
            </m:r>
          </m:e>
          <m:sub>
            <m:r>
              <w:rPr>
                <w:rFonts w:ascii="Cambria Math" w:hAnsi="Cambria Math"/>
              </w:rPr>
              <m:t>zp</m:t>
            </m:r>
          </m:sub>
        </m:sSub>
        <m:r>
          <w:rPr>
            <w:rFonts w:ascii="Cambria Math" w:hAnsi="Cambria Math"/>
          </w:rPr>
          <m:t>E</m:t>
        </m:r>
      </m:oMath>
      <w:r>
        <w:t xml:space="preserve"> is the zero-point energy difference between reactants (R) and products (P). The term </w:t>
      </w:r>
      <m:oMath>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dh</m:t>
            </m:r>
          </m:sub>
        </m:sSub>
      </m:oMath>
      <w:r>
        <w:rPr>
          <w:rFonts w:eastAsiaTheme="minorEastAsia"/>
        </w:rPr>
        <w:t xml:space="preserve"> is evaluated</w:t>
      </w:r>
      <w:r w:rsidRPr="00965882">
        <w:rPr>
          <w:rFonts w:eastAsiaTheme="minorEastAsia"/>
        </w:rPr>
        <w:t xml:space="preserve"> </w:t>
      </w:r>
      <w:r>
        <w:rPr>
          <w:rFonts w:eastAsiaTheme="minorEastAsia"/>
        </w:rPr>
        <w:t xml:space="preserve">by </w:t>
      </w:r>
      <w:r w:rsidRPr="00491206">
        <w:rPr>
          <w:rFonts w:eastAsiaTheme="minorEastAsia"/>
        </w:rPr>
        <w:t>time</w:t>
      </w:r>
      <w:r>
        <w:rPr>
          <w:rFonts w:eastAsiaTheme="minorEastAsia"/>
        </w:rPr>
        <w:t xml:space="preserve">-averaging the </w:t>
      </w:r>
      <w:r w:rsidRPr="00491206">
        <w:rPr>
          <w:rFonts w:eastAsiaTheme="minorEastAsia"/>
        </w:rPr>
        <w:t>vertical dehydrogenation energies</w:t>
      </w:r>
      <w:r>
        <w:rPr>
          <w:rFonts w:eastAsiaTheme="minorEastAsia"/>
        </w:rPr>
        <w:t xml:space="preserve"> </w:t>
      </w:r>
      <m:oMath>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m:t>
                    </m:r>
                  </m:e>
                  <m:sub>
                    <m:r>
                      <w:rPr>
                        <w:rFonts w:ascii="Cambria Math" w:hAnsi="Cambria Math"/>
                      </w:rPr>
                      <m:t>dh</m:t>
                    </m:r>
                  </m:sub>
                </m:sSub>
                <m:r>
                  <w:rPr>
                    <w:rFonts w:ascii="Cambria Math" w:hAnsi="Cambria Math"/>
                  </w:rPr>
                  <m:t>E</m:t>
                </m:r>
              </m:e>
            </m:d>
          </m:e>
          <m:sub>
            <m:r>
              <w:rPr>
                <w:rFonts w:ascii="Cambria Math" w:hAnsi="Cambria Math"/>
              </w:rPr>
              <m:t>λ</m:t>
            </m:r>
          </m:sub>
        </m:sSub>
      </m:oMath>
      <w:r w:rsidRPr="00491206">
        <w:rPr>
          <w:rFonts w:eastAsiaTheme="minorEastAsia"/>
        </w:rPr>
        <w:t xml:space="preserve"> </w:t>
      </w:r>
      <w:r>
        <w:rPr>
          <w:rFonts w:eastAsiaTheme="minorEastAsia"/>
        </w:rPr>
        <w:t xml:space="preserve">, computed along a FPMD simulation performed </w:t>
      </w:r>
      <w:r>
        <w:t xml:space="preserve">at fixed values of the Kirkwood coupling parameter </w:t>
      </w:r>
      <w:r>
        <w:rPr>
          <w:i/>
          <w:iCs/>
        </w:rPr>
        <w:sym w:font="Symbol" w:char="F06C"/>
      </w:r>
      <w:r>
        <w:t xml:space="preserve">. In practice, the forces acting on atoms are obtained by linearly interpolating the forces computed on the potential energy surface of the reactant and products at various values of </w:t>
      </w:r>
      <w:r>
        <w:rPr>
          <w:i/>
          <w:iCs/>
        </w:rPr>
        <w:sym w:font="Symbol" w:char="F06C"/>
      </w:r>
      <w:r>
        <w:t>, and the integral is performed on a very limited number of points usually 3-5. These simulations are far from trivial and are computationally very demanding, and Gono et al.</w:t>
      </w:r>
      <w:r>
        <w:fldChar w:fldCharType="begin"/>
      </w:r>
      <w:r w:rsidR="009F6662">
        <w:instrText xml:space="preserve"> ADDIN EN.CITE &lt;EndNote&gt;&lt;Cite&gt;&lt;Author&gt;Gono&lt;/Author&gt;&lt;Year&gt;2019&lt;/Year&gt;&lt;RecNum&gt;60&lt;/RecNum&gt;&lt;DisplayText&gt;&lt;style face="superscript"&gt;60&lt;/style&gt;&lt;/DisplayText&gt;&lt;record&gt;&lt;rec-number&gt;60&lt;/rec-number&gt;&lt;foreign-keys&gt;&lt;key app="EN" db-id="2xex0erf4eexr4e2dpbxpdd829xttesxxxdr" timestamp="1715075296"&gt;60&lt;/key&gt;&lt;/foreign-keys&gt;&lt;ref-type name="Journal Article"&gt;17&lt;/ref-type&gt;&lt;contributors&gt;&lt;authors&gt;&lt;author&gt;Gono, Patrick&lt;/author&gt;&lt;author&gt;Ambrosio, Francesco&lt;/author&gt;&lt;author&gt;Pasquarello, Alfredo&lt;/author&gt;&lt;/authors&gt;&lt;/contributors&gt;&lt;titles&gt;&lt;title&gt;Effect of the Solvent on the Oxygen Evolution Reaction at the TiO2–Water Interface&lt;/title&gt;&lt;secondary-title&gt;Journal of Physical Chemistry C&lt;/secondary-title&gt;&lt;/titles&gt;&lt;periodical&gt;&lt;full-title&gt;Journal of Physical Chemistry C&lt;/full-title&gt;&lt;abbr-1&gt;J. Phys. Chem. C&lt;/abbr-1&gt;&lt;/periodical&gt;&lt;pages&gt;18467-18474&lt;/pages&gt;&lt;volume&gt;123&lt;/volume&gt;&lt;number&gt;30&lt;/number&gt;&lt;dates&gt;&lt;year&gt;2019&lt;/year&gt;&lt;pub-dates&gt;&lt;date&gt;2019/08/01&lt;/date&gt;&lt;/pub-dates&gt;&lt;/dates&gt;&lt;publisher&gt;American Chemical Society&lt;/publisher&gt;&lt;isbn&gt;1932-7447&lt;/isbn&gt;&lt;urls&gt;&lt;related-urls&gt;&lt;url&gt;https://doi.org/10.1021/acs.jpcc.9b05015&lt;/url&gt;&lt;/related-urls&gt;&lt;/urls&gt;&lt;electronic-resource-num&gt;10.1021/acs.jpcc.9b05015&lt;/electronic-resource-num&gt;&lt;/record&gt;&lt;/Cite&gt;&lt;/EndNote&gt;</w:instrText>
      </w:r>
      <w:r>
        <w:fldChar w:fldCharType="separate"/>
      </w:r>
      <w:r w:rsidR="009F6662" w:rsidRPr="009F6662">
        <w:rPr>
          <w:noProof/>
          <w:vertAlign w:val="superscript"/>
        </w:rPr>
        <w:t>60</w:t>
      </w:r>
      <w:r>
        <w:fldChar w:fldCharType="end"/>
      </w:r>
      <w:r>
        <w:t xml:space="preserve"> compared the values of </w:t>
      </w:r>
      <m:oMath>
        <m:r>
          <w:rPr>
            <w:rFonts w:ascii="Cambria Math" w:hAnsi="Cambria Math"/>
          </w:rPr>
          <m:t>∆</m:t>
        </m:r>
        <m:sSub>
          <m:sSubPr>
            <m:ctrlPr>
              <w:rPr>
                <w:rFonts w:ascii="Cambria Math" w:hAnsi="Cambria Math"/>
                <w:i/>
              </w:rPr>
            </m:ctrlPr>
          </m:sSubPr>
          <m:e>
            <m:r>
              <w:rPr>
                <w:rFonts w:ascii="Cambria Math" w:hAnsi="Cambria Math"/>
              </w:rPr>
              <m:t>G</m:t>
            </m:r>
          </m:e>
          <m:sub>
            <m:r>
              <w:rPr>
                <w:rFonts w:ascii="Cambria Math" w:hAnsi="Cambria Math"/>
              </w:rPr>
              <m:t>dh</m:t>
            </m:r>
          </m:sub>
        </m:sSub>
        <m:r>
          <w:rPr>
            <w:rFonts w:ascii="Cambria Math" w:eastAsiaTheme="minorEastAsia" w:hAnsi="Cambria Math"/>
          </w:rPr>
          <m:t xml:space="preserve"> </m:t>
        </m:r>
      </m:oMath>
      <w:r>
        <w:t>obtained with and without explicit water to infer the effects of solvation. They found that water can have a significant impact on the reaction energy of some of the OER elementary steps, in particular the cost of dehydrogenating the *OH intermediate to *O is lowered by 0.54 eV compared to vacuum (from 2.36 eV to 1.82 eV), while the effect on the other elementary steps is below 0.1 eV.</w:t>
      </w:r>
    </w:p>
    <w:p w14:paraId="1013A9A5" w14:textId="77777777" w:rsidR="00591B2E" w:rsidRDefault="00591B2E" w:rsidP="00591B2E"/>
    <w:p w14:paraId="5D5FC5E7" w14:textId="1CCBDC00" w:rsidR="00591B2E" w:rsidRDefault="00591B2E" w:rsidP="005C7322">
      <w:pPr>
        <w:ind w:firstLine="720"/>
      </w:pPr>
      <w:r>
        <w:t xml:space="preserve">Describing water-based electrolytes explicitly, as done in the approaches described above, has distinct advantages and drawbacks. On the one hand, it allows an accurate description of the structure of water at the solid/liquid interface, of the H-bond network around reaction intermediates, of the partial solvation of counterions close to the surface; on the other hand, sampling the thermal fluctuations of liquids requires long </w:t>
      </w:r>
      <w:r w:rsidR="00D40731">
        <w:t>M</w:t>
      </w:r>
      <w:r w:rsidR="00CE6CAF">
        <w:t>D</w:t>
      </w:r>
      <w:r>
        <w:t xml:space="preserve"> simulations, and varying semi-continuously the charge of the counterions require large simulation cells. In fact, referring to full </w:t>
      </w:r>
      <w:r w:rsidRPr="00691887">
        <w:rPr>
          <w:i/>
          <w:iCs/>
        </w:rPr>
        <w:t>ab initio</w:t>
      </w:r>
      <w:r>
        <w:t xml:space="preserve"> </w:t>
      </w:r>
      <w:r w:rsidR="00D40731">
        <w:t>MD</w:t>
      </w:r>
      <w:r>
        <w:t xml:space="preserve"> simulations of electrochemical systems, </w:t>
      </w:r>
      <w:proofErr w:type="spellStart"/>
      <w:r w:rsidRPr="00EE7076">
        <w:t>Letchworth</w:t>
      </w:r>
      <w:proofErr w:type="spellEnd"/>
      <w:r w:rsidRPr="00EE7076">
        <w:t xml:space="preserve">-Weaver </w:t>
      </w:r>
      <w:r>
        <w:t xml:space="preserve">and </w:t>
      </w:r>
      <w:r w:rsidRPr="00EE7076">
        <w:t>Arias</w:t>
      </w:r>
      <w:r>
        <w:t xml:space="preserve"> wrote in 2012 that "</w:t>
      </w:r>
      <w:r w:rsidRPr="009C2383">
        <w:rPr>
          <w:i/>
        </w:rPr>
        <w:t>such calculations are necessarily of the heroic type</w:t>
      </w:r>
      <w:r>
        <w:t>", given their tremendous computational cost.</w:t>
      </w:r>
      <w:r>
        <w:fldChar w:fldCharType="begin"/>
      </w:r>
      <w:r w:rsidR="00FC5BEB">
        <w:instrText xml:space="preserve"> ADDIN EN.CITE &lt;EndNote&gt;&lt;Cite&gt;&lt;Author&gt;Letchworth-Weaver&lt;/Author&gt;&lt;Year&gt;2012&lt;/Year&gt;&lt;RecNum&gt;458&lt;/RecNum&gt;&lt;DisplayText&gt;&lt;style face="superscript"&gt;460&lt;/style&gt;&lt;/DisplayText&gt;&lt;record&gt;&lt;rec-number&gt;458&lt;/rec-number&gt;&lt;foreign-keys&gt;&lt;key app="EN" db-id="2xex0erf4eexr4e2dpbxpdd829xttesxxxdr" timestamp="1715075297"&gt;458&lt;/key&gt;&lt;/foreign-keys&gt;&lt;ref-type name="Journal Article"&gt;17&lt;/ref-type&gt;&lt;contributors&gt;&lt;authors&gt;&lt;author&gt;Letchworth-Weaver, Kendra&lt;/author&gt;&lt;author&gt;Arias, T. A.&lt;/author&gt;&lt;/authors&gt;&lt;/contributors&gt;&lt;titles&gt;&lt;title&gt;Joint density functional theory of the electrode-electrolyte interface: Application to fixed electrode potentials, interfacial capacitances, and potentials of zero charge&lt;/title&gt;&lt;secondary-title&gt;Physical Review B&lt;/secondary-title&gt;&lt;/titles&gt;&lt;periodical&gt;&lt;full-title&gt;Physical Review B&lt;/full-title&gt;&lt;abbr-1&gt;Phys. Rev. B&lt;/abbr-1&gt;&lt;abbr-2&gt;Phys Rev B&lt;/abbr-2&gt;&lt;/periodical&gt;&lt;pages&gt;075140&lt;/pages&gt;&lt;volume&gt;86&lt;/volume&gt;&lt;dates&gt;&lt;year&gt;2012&lt;/year&gt;&lt;/dates&gt;&lt;publisher&gt;American Physical Society&lt;/publisher&gt;&lt;label&gt;OER_Review&lt;/label&gt;&lt;urls&gt;&lt;/urls&gt;&lt;electronic-resource-num&gt;10.1103/PhysRevB.86.075140&lt;/electronic-resource-num&gt;&lt;/record&gt;&lt;/Cite&gt;&lt;/EndNote&gt;</w:instrText>
      </w:r>
      <w:r>
        <w:fldChar w:fldCharType="separate"/>
      </w:r>
      <w:r w:rsidR="00FC5BEB" w:rsidRPr="00FC5BEB">
        <w:rPr>
          <w:noProof/>
          <w:vertAlign w:val="superscript"/>
        </w:rPr>
        <w:t>460</w:t>
      </w:r>
      <w:r>
        <w:fldChar w:fldCharType="end"/>
      </w:r>
      <w:r>
        <w:t xml:space="preserve"> Nowadays, with the increased computational resources at our disposal, these calculations are becoming more accessible but remain nonetheless very time consuming.</w:t>
      </w:r>
    </w:p>
    <w:p w14:paraId="3E381A24" w14:textId="77777777" w:rsidR="00591B2E" w:rsidRDefault="00591B2E" w:rsidP="00591B2E"/>
    <w:p w14:paraId="094FAE26" w14:textId="57D814EB" w:rsidR="00591B2E" w:rsidRDefault="00591B2E" w:rsidP="005C7322">
      <w:pPr>
        <w:ind w:firstLine="720"/>
      </w:pPr>
      <w:r>
        <w:t>Implicit solvent models, where the solvent is described via a polarizable continuum, represent an alternative approach, allowing one to accurately capture the dielectric properties of the electrolytes and the electrostatic effects of the counterions, but typically failing in describing directional H-bonds and the modified properties of water close to an interface, where the partial quenching of translational and rotational degrees of freedom of water molecules results in reduced screening and a stiffer H-bond network, which significantly impacts the transport of reactants and products in proximity of the reaction sites.</w:t>
      </w:r>
      <w:r>
        <w:fldChar w:fldCharType="begin">
          <w:fldData xml:space="preserve">PEVuZE5vdGU+PENpdGU+PEF1dGhvcj5MaTwvQXV0aG9yPjxZZWFyPjIwMjI8L1llYXI+PFJlY051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</w:fldData>
        </w:fldChar>
      </w:r>
      <w:r w:rsidR="00FC5BEB">
        <w:instrText xml:space="preserve"> ADDIN EN.CITE </w:instrText>
      </w:r>
      <w:r w:rsidR="00FC5BEB">
        <w:fldChar w:fldCharType="begin">
          <w:fldData xml:space="preserve">PEVuZE5vdGU+PENpdGU+PEF1dGhvcj5MaTwvQXV0aG9yPjxZZWFyPjIwMjI8L1llYXI+PFJlY051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</w:fldData>
        </w:fldChar>
      </w:r>
      <w:r w:rsidR="00FC5BEB">
        <w:instrText xml:space="preserve"> ADDIN EN.CITE.DATA </w:instrText>
      </w:r>
      <w:r w:rsidR="00FC5BEB">
        <w:fldChar w:fldCharType="end"/>
      </w:r>
      <w:r>
        <w:fldChar w:fldCharType="separate"/>
      </w:r>
      <w:r w:rsidR="00FC5BEB" w:rsidRPr="00FC5BEB">
        <w:rPr>
          <w:noProof/>
          <w:vertAlign w:val="superscript"/>
        </w:rPr>
        <w:t>461, 462</w:t>
      </w:r>
      <w:r>
        <w:fldChar w:fldCharType="end"/>
      </w:r>
      <w:r>
        <w:t xml:space="preserve"> The use of implicit solvents in electrocatalysis is the subject of an excellent recent review by </w:t>
      </w:r>
      <w:proofErr w:type="spellStart"/>
      <w:r>
        <w:t>Ringe</w:t>
      </w:r>
      <w:proofErr w:type="spellEnd"/>
      <w:r>
        <w:t xml:space="preserve"> et al</w:t>
      </w:r>
      <w:r>
        <w:fldChar w:fldCharType="begin"/>
      </w:r>
      <w:r w:rsidR="009F6662">
        <w:instrText xml:space="preserve"> ADDIN EN.CITE &lt;EndNote&gt;&lt;Cite&gt;&lt;Author&gt;Ringe&lt;/Author&gt;&lt;Year&gt;2022&lt;/Year&gt;&lt;RecNum&gt;62&lt;/RecNum&gt;&lt;DisplayText&gt;&lt;style face="superscript"&gt;62&lt;/style&gt;&lt;/DisplayText&gt;&lt;record&gt;&lt;rec-number&gt;62&lt;/rec-number&gt;&lt;foreign-keys&gt;&lt;key app="EN" db-id="2xex0erf4eexr4e2dpbxpdd829xttesxxxdr" timestamp="1715075296"&gt;62&lt;/key&gt;&lt;/foreign-keys&gt;&lt;ref-type name="Journal Article"&gt;17&lt;/ref-type&gt;&lt;contributors&gt;&lt;authors&gt;&lt;author&gt;Ringe, Stefan&lt;/author&gt;&lt;author&gt;Hörmann, Nicolas G.&lt;/author&gt;&lt;author&gt;Oberhofer, Harald&lt;/author&gt;&lt;author&gt;Reuter, Karsten&lt;/author&gt;&lt;/authors&gt;&lt;/contributors&gt;&lt;titles&gt;&lt;title&gt;Implicit Solvation Methods for Catalysis at Electrified Interfaces&lt;/title&gt;&lt;secondary-title&gt;Chemical Reviews&lt;/secondary-title&gt;&lt;/titles&gt;&lt;periodical&gt;&lt;full-title&gt;Chemical Reviews&lt;/full-title&gt;&lt;abbr-1&gt;Chem. Rev.&lt;/abbr-1&gt;&lt;abbr-2&gt;Chem Rev&lt;/abbr-2&gt;&lt;/periodical&gt;&lt;pages&gt;10777-10820&lt;/pages&gt;&lt;volume&gt;122&lt;/volume&gt;&lt;number&gt;12&lt;/number&gt;&lt;dates&gt;&lt;year&gt;2022&lt;/year&gt;&lt;pub-dates&gt;&lt;date&gt;2022/06/22&lt;/date&gt;&lt;/pub-dates&gt;&lt;/dates&gt;&lt;publisher&gt;American Chemical Society&lt;/publisher&gt;&lt;isbn&gt;0009-2665&lt;/isbn&gt;&lt;urls&gt;&lt;related-urls&gt;&lt;url&gt;https://doi.org/10.1021/acs.chemrev.1c00675&lt;/url&gt;&lt;/related-urls&gt;&lt;/urls&gt;&lt;electronic-resource-num&gt;10.1021/acs.chemrev.1c00675&lt;/electronic-resource-num&gt;&lt;/record&gt;&lt;/Cite&gt;&lt;/EndNote&gt;</w:instrText>
      </w:r>
      <w:r>
        <w:fldChar w:fldCharType="separate"/>
      </w:r>
      <w:r w:rsidR="009F6662" w:rsidRPr="009F6662">
        <w:rPr>
          <w:noProof/>
          <w:vertAlign w:val="superscript"/>
        </w:rPr>
        <w:t>62</w:t>
      </w:r>
      <w:r>
        <w:fldChar w:fldCharType="end"/>
      </w:r>
      <w:r>
        <w:t xml:space="preserve">, while for a general overview of implicit solvent models we refer the readers to the review by </w:t>
      </w:r>
      <w:proofErr w:type="spellStart"/>
      <w:r>
        <w:t>Tomasi</w:t>
      </w:r>
      <w:proofErr w:type="spellEnd"/>
      <w:r>
        <w:t xml:space="preserve"> et al.</w:t>
      </w:r>
      <w:r>
        <w:fldChar w:fldCharType="begin"/>
      </w:r>
      <w:r w:rsidR="00FC5BEB">
        <w:instrText xml:space="preserve"> ADDIN EN.CITE &lt;EndNote&gt;&lt;Cite&gt;&lt;Author&gt;Tomasi&lt;/Author&gt;&lt;Year&gt;2005&lt;/Year&gt;&lt;RecNum&gt;461&lt;/RecNum&gt;&lt;DisplayText&gt;&lt;style face="superscript"&gt;463&lt;/style&gt;&lt;/DisplayText&gt;&lt;record&gt;&lt;rec-number&gt;461&lt;/rec-number&gt;&lt;foreign-keys&gt;&lt;key app="EN" db-id="2xex0erf4eexr4e2dpbxpdd829xttesxxxdr" timestamp="1715075297"&gt;461&lt;/key&gt;&lt;/foreign-keys&gt;&lt;ref-type name="Journal Article"&gt;17&lt;/ref-type&gt;&lt;contributors&gt;&lt;authors&gt;&lt;author&gt;Tomasi, Jacopo&lt;/author&gt;&lt;author&gt;Mennucci, Benedetta&lt;/author&gt;&lt;author&gt;Cammi, Roberto&lt;/author&gt;&lt;/authors&gt;&lt;/contributors&gt;&lt;titles&gt;&lt;title&gt;Quantum Mechanical Continuum Solvation Models&lt;/title&gt;&lt;secondary-title&gt;Chemical Reviews&lt;/secondary-title&gt;&lt;/titles&gt;&lt;periodical&gt;&lt;full-title&gt;Chemical Reviews&lt;/full-title&gt;&lt;abbr-1&gt;Chem. Rev.&lt;/abbr-1&gt;&lt;abbr-2&gt;Chem Rev&lt;/abbr-2&gt;&lt;/periodical&gt;&lt;pages&gt;2999-3094&lt;/pages&gt;&lt;volume&gt;105&lt;/volume&gt;&lt;number&gt;8&lt;/number&gt;&lt;dates&gt;&lt;year&gt;2005&lt;/year&gt;&lt;pub-dates&gt;&lt;date&gt;2005/08/01&lt;/date&gt;&lt;/pub-dates&gt;&lt;/dates&gt;&lt;publisher&gt;American Chemical Society&lt;/publisher&gt;&lt;isbn&gt;0009-2665&lt;/isbn&gt;&lt;urls&gt;&lt;related-urls&gt;&lt;url&gt;https://doi.org/10.1021/cr9904009&lt;/url&gt;&lt;/related-urls&gt;&lt;/urls&gt;&lt;electronic-resource-num&gt;10.1021/cr9904009&lt;/electronic-resource-num&gt;&lt;/record&gt;&lt;/Cite&gt;&lt;/EndNote&gt;</w:instrText>
      </w:r>
      <w:r>
        <w:fldChar w:fldCharType="separate"/>
      </w:r>
      <w:r w:rsidR="00FC5BEB" w:rsidRPr="00FC5BEB">
        <w:rPr>
          <w:noProof/>
          <w:vertAlign w:val="superscript"/>
        </w:rPr>
        <w:t>463</w:t>
      </w:r>
      <w:r>
        <w:fldChar w:fldCharType="end"/>
      </w:r>
      <w:r>
        <w:t xml:space="preserve">. </w:t>
      </w:r>
    </w:p>
    <w:p w14:paraId="50D89DD4" w14:textId="77777777" w:rsidR="00591B2E" w:rsidRDefault="00591B2E" w:rsidP="00591B2E"/>
    <w:p w14:paraId="212BA66F" w14:textId="308CF595" w:rsidR="00591B2E" w:rsidRPr="00451F39" w:rsidRDefault="00591B2E" w:rsidP="00E670A3">
      <w:pPr>
        <w:ind w:firstLine="720"/>
      </w:pPr>
      <w:proofErr w:type="spellStart"/>
      <w:r w:rsidRPr="00451F39">
        <w:t>Heenen</w:t>
      </w:r>
      <w:proofErr w:type="spellEnd"/>
      <w:r w:rsidRPr="00451F39">
        <w:t xml:space="preserve"> et al.</w:t>
      </w:r>
      <w:r>
        <w:fldChar w:fldCharType="begin">
          <w:fldData xml:space="preserve">PEVuZE5vdGU+PENpdGU+PEF1dGhvcj5IZWVuZW48L0F1dGhvcj48WWVhcj4yMDIwPC9ZZWFyPjxS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=
</w:fldData>
        </w:fldChar>
      </w:r>
      <w:r w:rsidR="009F6662">
        <w:instrText xml:space="preserve"> ADDIN EN.CITE </w:instrText>
      </w:r>
      <w:r w:rsidR="009F6662">
        <w:fldChar w:fldCharType="begin">
          <w:fldData xml:space="preserve">PEVuZE5vdGU+PENpdGU+PEF1dGhvcj5IZWVuZW48L0F1dGhvcj48WWVhcj4yMDIwPC9ZZWFyPjxS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=
</w:fldData>
        </w:fldChar>
      </w:r>
      <w:r w:rsidR="009F6662">
        <w:instrText xml:space="preserve"> ADDIN EN.CITE.DATA </w:instrText>
      </w:r>
      <w:r w:rsidR="009F6662">
        <w:fldChar w:fldCharType="end"/>
      </w:r>
      <w:r>
        <w:fldChar w:fldCharType="separate"/>
      </w:r>
      <w:r w:rsidR="009F6662" w:rsidRPr="009F6662">
        <w:rPr>
          <w:noProof/>
          <w:vertAlign w:val="superscript"/>
        </w:rPr>
        <w:t>61</w:t>
      </w:r>
      <w:r>
        <w:fldChar w:fldCharType="end"/>
      </w:r>
      <w:r w:rsidRPr="00451F39">
        <w:t xml:space="preserve"> used two popular continuum solvation models to compute the interactions of water with </w:t>
      </w:r>
      <w:r>
        <w:t xml:space="preserve">the </w:t>
      </w:r>
      <w:r w:rsidRPr="00451F39">
        <w:t>OER</w:t>
      </w:r>
      <w:r w:rsidR="00E670A3">
        <w:t>—</w:t>
      </w:r>
      <w:r w:rsidRPr="00451F39">
        <w:t>and CO</w:t>
      </w:r>
      <w:r w:rsidRPr="00451F39">
        <w:rPr>
          <w:vertAlign w:val="subscript"/>
        </w:rPr>
        <w:t>2</w:t>
      </w:r>
      <w:r w:rsidRPr="00451F39">
        <w:t xml:space="preserve"> reduction intermediates</w:t>
      </w:r>
      <w:r w:rsidR="00E670A3">
        <w:t>, which we will include for generality.</w:t>
      </w:r>
      <w:r w:rsidRPr="00451F39">
        <w:t xml:space="preserve"> </w:t>
      </w:r>
      <w:r w:rsidR="00E670A3">
        <w:t>They</w:t>
      </w:r>
      <w:r w:rsidR="00E670A3" w:rsidRPr="00451F39">
        <w:t xml:space="preserve"> </w:t>
      </w:r>
      <w:r w:rsidRPr="00451F39">
        <w:t xml:space="preserve">compared their findings to </w:t>
      </w:r>
      <w:r w:rsidR="00D40731">
        <w:t>FPMD</w:t>
      </w:r>
      <w:r w:rsidRPr="00451F39">
        <w:t xml:space="preserve"> simulations.</w:t>
      </w:r>
      <w:r>
        <w:t xml:space="preserve"> The solvation models tested were</w:t>
      </w:r>
      <w:r w:rsidRPr="00451F39">
        <w:t xml:space="preserve"> </w:t>
      </w:r>
      <w:r>
        <w:t xml:space="preserve">the </w:t>
      </w:r>
      <w:proofErr w:type="spellStart"/>
      <w:r w:rsidRPr="00451F39">
        <w:t>VaspSol</w:t>
      </w:r>
      <w:proofErr w:type="spellEnd"/>
      <w:r w:rsidRPr="00451F39">
        <w:t xml:space="preserve"> continuum solvation </w:t>
      </w:r>
      <w:r>
        <w:t xml:space="preserve">in VASP </w:t>
      </w:r>
      <w:r w:rsidRPr="00451F39">
        <w:t xml:space="preserve">and the self-consistent continuum solvation (SCCS) model </w:t>
      </w:r>
      <w:r>
        <w:t>of the Environ module</w:t>
      </w:r>
      <w:r>
        <w:fldChar w:fldCharType="begin"/>
      </w:r>
      <w:r w:rsidR="00FC5BEB">
        <w:instrText xml:space="preserve"> ADDIN EN.CITE &lt;EndNote&gt;&lt;Cite&gt;&lt;Author&gt;Andreussi&lt;/Author&gt;&lt;Year&gt;2012&lt;/Year&gt;&lt;RecNum&gt;462&lt;/RecNum&gt;&lt;DisplayText&gt;&lt;style face="superscript"&gt;464&lt;/style&gt;&lt;/DisplayText&gt;&lt;record&gt;&lt;rec-number&gt;462&lt;/rec-number&gt;&lt;foreign-keys&gt;&lt;key app="EN" db-id="2xex0erf4eexr4e2dpbxpdd829xttesxxxdr" timestamp="1715075297"&gt;462&lt;/key&gt;&lt;/foreign-keys&gt;&lt;ref-type name="Journal Article"&gt;17&lt;/ref-type&gt;&lt;contributors&gt;&lt;authors&gt;&lt;author&gt;Andreussi, Oliviero&lt;/author&gt;&lt;author&gt;Dabo, Ismaila&lt;/author&gt;&lt;author&gt;Marzari, Nicola&lt;/author&gt;&lt;/authors&gt;&lt;/contributors&gt;&lt;titles&gt;&lt;title&gt;Revised self-consistent continuum solvation in electronic-structure calculations&lt;/title&gt;&lt;secondary-title&gt;Journal of Chemical Physics&lt;/secondary-title&gt;&lt;/titles&gt;&lt;periodical&gt;&lt;full-title&gt;Journal of Chemical Physics&lt;/full-title&gt;&lt;abbr-1&gt;J. Chem. Phys.&lt;/abbr-1&gt;&lt;abbr-2&gt;J Chem Phys&lt;/abbr-2&gt;&lt;/periodical&gt;&lt;pages&gt;064102&lt;/pages&gt;&lt;volume&gt;136&lt;/volume&gt;&lt;number&gt;6&lt;/number&gt;&lt;dates&gt;&lt;year&gt;2012&lt;/year&gt;&lt;/dates&gt;&lt;isbn&gt;0021-9606&lt;/isbn&gt;&lt;urls&gt;&lt;related-urls&gt;&lt;url&gt;https://doi.org/10.1063/1.3676407&lt;/url&gt;&lt;/related-urls&gt;&lt;/urls&gt;&lt;custom1&gt;064102&lt;/custom1&gt;&lt;electronic-resource-num&gt;10.1063/1.3676407&lt;/electronic-resource-num&gt;&lt;access-date&gt;10/30/2023&lt;/access-date&gt;&lt;/record&gt;&lt;/Cite&gt;&lt;/EndNote&gt;</w:instrText>
      </w:r>
      <w:r>
        <w:fldChar w:fldCharType="separate"/>
      </w:r>
      <w:r w:rsidR="00FC5BEB" w:rsidRPr="00FC5BEB">
        <w:rPr>
          <w:noProof/>
          <w:vertAlign w:val="superscript"/>
        </w:rPr>
        <w:t>464</w:t>
      </w:r>
      <w:r>
        <w:fldChar w:fldCharType="end"/>
      </w:r>
      <w:r>
        <w:t xml:space="preserve"> </w:t>
      </w:r>
      <w:r w:rsidRPr="00451F39">
        <w:t>in Quantum ESPRESSO</w:t>
      </w:r>
      <w:r>
        <w:fldChar w:fldCharType="begin">
          <w:fldData xml:space="preserve">PEVuZE5vdGU+PENpdGU+PEF1dGhvcj5HaWFubm96emk8L0F1dGhvcj48WWVhcj4yMDA5PC9ZZWFy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</w:fldData>
        </w:fldChar>
      </w:r>
      <w:r w:rsidR="00FC5BEB">
        <w:instrText xml:space="preserve"> ADDIN EN.CITE </w:instrText>
      </w:r>
      <w:r w:rsidR="00FC5BEB">
        <w:fldChar w:fldCharType="begin">
          <w:fldData xml:space="preserve">PEVuZE5vdGU+PENpdGU+PEF1dGhvcj5HaWFubm96emk8L0F1dGhvcj48WWVhcj4yMDA5PC9ZZWFy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</w:fldData>
        </w:fldChar>
      </w:r>
      <w:r w:rsidR="00FC5BEB">
        <w:instrText xml:space="preserve"> ADDIN EN.CITE.DATA </w:instrText>
      </w:r>
      <w:r w:rsidR="00FC5BEB">
        <w:fldChar w:fldCharType="end"/>
      </w:r>
      <w:r>
        <w:fldChar w:fldCharType="separate"/>
      </w:r>
      <w:r w:rsidR="00FC5BEB" w:rsidRPr="00FC5BEB">
        <w:rPr>
          <w:noProof/>
          <w:vertAlign w:val="superscript"/>
        </w:rPr>
        <w:t>465</w:t>
      </w:r>
      <w:r>
        <w:fldChar w:fldCharType="end"/>
      </w:r>
      <w:r>
        <w:t xml:space="preserve">. The authors found the two models yield almost identical results, both of which however deviate substantially from the reference </w:t>
      </w:r>
      <w:r w:rsidRPr="00691887">
        <w:rPr>
          <w:i/>
          <w:iCs/>
        </w:rPr>
        <w:t>ab initio</w:t>
      </w:r>
      <w:r>
        <w:t xml:space="preserve"> </w:t>
      </w:r>
      <w:r w:rsidR="00D40731">
        <w:t>MD</w:t>
      </w:r>
      <w:r>
        <w:t xml:space="preserve"> simulations,</w:t>
      </w:r>
      <w:r w:rsidRPr="00451F39">
        <w:t xml:space="preserve"> especially for adsorbates </w:t>
      </w:r>
      <w:r>
        <w:t>like</w:t>
      </w:r>
      <w:r w:rsidRPr="00451F39">
        <w:t xml:space="preserve"> </w:t>
      </w:r>
      <w:r w:rsidRPr="00451F39">
        <w:rPr>
          <w:rFonts w:ascii="Cambria Math" w:hAnsi="Cambria Math" w:cs="Cambria Math"/>
        </w:rPr>
        <w:t>∗</w:t>
      </w:r>
      <w:r w:rsidRPr="00451F39">
        <w:t xml:space="preserve">OH and </w:t>
      </w:r>
      <w:r w:rsidRPr="00451F39">
        <w:rPr>
          <w:rFonts w:ascii="Cambria Math" w:hAnsi="Cambria Math" w:cs="Cambria Math"/>
        </w:rPr>
        <w:t>∗</w:t>
      </w:r>
      <w:r w:rsidRPr="00451F39">
        <w:t>OOH</w:t>
      </w:r>
      <w:r>
        <w:t xml:space="preserve"> where the interaction with the solvent is strong</w:t>
      </w:r>
      <w:r w:rsidRPr="00451F39">
        <w:t xml:space="preserve">. </w:t>
      </w:r>
      <w:r>
        <w:t xml:space="preserve">Implicit solvation in fact overestimates the binding strength of all adsorbates on </w:t>
      </w:r>
      <w:proofErr w:type="gramStart"/>
      <w:r>
        <w:t>Cu(</w:t>
      </w:r>
      <w:proofErr w:type="gramEnd"/>
      <w:r>
        <w:t xml:space="preserve">211) by 0.2–0.3 eV, while </w:t>
      </w:r>
      <w:r w:rsidRPr="005217F8">
        <w:t xml:space="preserve">for (111) </w:t>
      </w:r>
      <w:r>
        <w:t>surfaces</w:t>
      </w:r>
      <w:r w:rsidRPr="005217F8">
        <w:t xml:space="preserve"> </w:t>
      </w:r>
      <w:r>
        <w:t>it</w:t>
      </w:r>
      <w:r w:rsidRPr="005217F8">
        <w:t xml:space="preserve"> underestimates the </w:t>
      </w:r>
      <w:r>
        <w:t>*O</w:t>
      </w:r>
      <w:r w:rsidRPr="005217F8">
        <w:t xml:space="preserve">H binding strength by 0.3–0.6 eV and the </w:t>
      </w:r>
      <w:r>
        <w:t>*O</w:t>
      </w:r>
      <w:r w:rsidRPr="005217F8">
        <w:t>OH binding strength on Au(111) by 0.2 eV</w:t>
      </w:r>
      <w:r>
        <w:t xml:space="preserve">. </w:t>
      </w:r>
      <w:r>
        <w:fldChar w:fldCharType="begin"/>
      </w:r>
      <w:r>
        <w:instrText xml:space="preserve"> REF _Ref149813835 \h </w:instrText>
      </w:r>
      <w:r>
        <w:fldChar w:fldCharType="separate"/>
      </w:r>
      <w:r w:rsidR="00B7319C" w:rsidRPr="00E2020B">
        <w:rPr>
          <w:b/>
        </w:rPr>
        <w:t xml:space="preserve">Figure </w:t>
      </w:r>
      <w:r w:rsidR="00B7319C">
        <w:rPr>
          <w:b/>
          <w:bCs/>
          <w:noProof/>
        </w:rPr>
        <w:t>39</w:t>
      </w:r>
      <w:r>
        <w:fldChar w:fldCharType="end"/>
      </w:r>
      <w:r>
        <w:t xml:space="preserve"> shows the adsorption energy and the solvation energy of various adsorbates in four different surfaces. T</w:t>
      </w:r>
      <w:r w:rsidRPr="00104EF5">
        <w:t xml:space="preserve">he mean average error (MAE) in </w:t>
      </w:r>
      <w:r>
        <w:t xml:space="preserve">the </w:t>
      </w:r>
      <w:r w:rsidRPr="00104EF5">
        <w:t xml:space="preserve">adsorption </w:t>
      </w:r>
      <w:r>
        <w:t>energy relative to FPMD computed with implicit solvents is 0.24 eV, which originates almost entirely from the MAE in the solvation energy, 0.22 eV</w:t>
      </w:r>
      <w:r w:rsidRPr="00104EF5">
        <w:t xml:space="preserve">. </w:t>
      </w:r>
      <w:r>
        <w:t xml:space="preserve">The MAE </w:t>
      </w:r>
      <w:r w:rsidRPr="00104EF5">
        <w:t xml:space="preserve">in </w:t>
      </w:r>
      <w:r>
        <w:t xml:space="preserve">the </w:t>
      </w:r>
      <w:r w:rsidRPr="00104EF5">
        <w:t xml:space="preserve">adsorption </w:t>
      </w:r>
      <w:r>
        <w:t>energy computed in vacuum is 0.24 eV. The authors therefore concluded that they</w:t>
      </w:r>
      <w:r w:rsidRPr="00451F39">
        <w:t xml:space="preserve"> </w:t>
      </w:r>
      <w:r>
        <w:t>“</w:t>
      </w:r>
      <w:r w:rsidRPr="00E9162C">
        <w:rPr>
          <w:i/>
        </w:rPr>
        <w:t>find no apparent advantage in applying continuum solvation in comparison to a basic solid/vacuum calculation to determine adsorption energies at the metal/water interface</w:t>
      </w:r>
      <w:r>
        <w:t>”</w:t>
      </w:r>
      <w:r w:rsidRPr="00451F39">
        <w:t>.</w:t>
      </w:r>
      <w:r>
        <w:t xml:space="preserve"> The failure of the two implicit solvation models considered in this work is attributed to their inability to describe directional hydrogen bonds, implying that more sophisticated solvation models like</w:t>
      </w:r>
      <w:r w:rsidR="00F35F51">
        <w:t xml:space="preserve"> the </w:t>
      </w:r>
      <w:r w:rsidR="00F35F51" w:rsidRPr="00F35F51">
        <w:t>charge-asymmetric nonlocally-determined local-electric</w:t>
      </w:r>
      <w:r w:rsidR="00F35F51">
        <w:t xml:space="preserve"> model</w:t>
      </w:r>
      <w:r>
        <w:t xml:space="preserve"> </w:t>
      </w:r>
      <w:r w:rsidR="00F35F51">
        <w:t>(</w:t>
      </w:r>
      <w:r>
        <w:t>CANDLE</w:t>
      </w:r>
      <w:r w:rsidR="00F35F51">
        <w:t>)</w:t>
      </w:r>
      <w:r>
        <w:fldChar w:fldCharType="begin"/>
      </w:r>
      <w:r w:rsidR="00FC5BEB">
        <w:instrText xml:space="preserve"> ADDIN EN.CITE &lt;EndNote&gt;&lt;Cite&gt;&lt;Author&gt;Sundararaman&lt;/Author&gt;&lt;Year&gt;2015&lt;/Year&gt;&lt;RecNum&gt;464&lt;/RecNum&gt;&lt;DisplayText&gt;&lt;style face="superscript"&gt;466&lt;/style&gt;&lt;/DisplayText&gt;&lt;record&gt;&lt;rec-number&gt;464&lt;/rec-number&gt;&lt;foreign-keys&gt;&lt;key app="EN" db-id="2xex0erf4eexr4e2dpbxpdd829xttesxxxdr" timestamp="1715075297"&gt;464&lt;/key&gt;&lt;/foreign-keys&gt;&lt;ref-type name="Journal Article"&gt;17&lt;/ref-type&gt;&lt;contributors&gt;&lt;authors&gt;&lt;author&gt;Sundararaman, Ravishankar&lt;/author&gt;&lt;author&gt;Goddard, William A., III&lt;/author&gt;&lt;/authors&gt;&lt;/contributors&gt;&lt;titles&gt;&lt;title&gt;The charge-asymmetric nonlocally determined local-electric (CANDLE) solvation model&lt;/title&gt;&lt;secondary-title&gt;Journal of Chemical Physics&lt;/secondary-title&gt;&lt;/titles&gt;&lt;periodical&gt;&lt;full-title&gt;Journal of Chemical Physics&lt;/full-title&gt;&lt;abbr-1&gt;J. Chem. Phys.&lt;/abbr-1&gt;&lt;abbr-2&gt;J Chem Phys&lt;/abbr-2&gt;&lt;/periodical&gt;&lt;pages&gt;064107&lt;/pages&gt;&lt;volume&gt;142&lt;/volume&gt;&lt;number&gt;6&lt;/number&gt;&lt;dates&gt;&lt;year&gt;2015&lt;/year&gt;&lt;/dates&gt;&lt;isbn&gt;0021-9606&lt;/isbn&gt;&lt;urls&gt;&lt;related-urls&gt;&lt;url&gt;https://doi.org/10.1063/1.4907731&lt;/url&gt;&lt;/related-urls&gt;&lt;/urls&gt;&lt;custom1&gt;064107&lt;/custom1&gt;&lt;electronic-resource-num&gt;10.1063/1.4907731&lt;/electronic-resource-num&gt;&lt;access-date&gt;10/30/2023&lt;/access-date&gt;&lt;/record&gt;&lt;/Cite&gt;&lt;/EndNote&gt;</w:instrText>
      </w:r>
      <w:r>
        <w:fldChar w:fldCharType="separate"/>
      </w:r>
      <w:r w:rsidR="00FC5BEB" w:rsidRPr="00FC5BEB">
        <w:rPr>
          <w:noProof/>
          <w:vertAlign w:val="superscript"/>
        </w:rPr>
        <w:t>466</w:t>
      </w:r>
      <w:r>
        <w:fldChar w:fldCharType="end"/>
      </w:r>
      <w:r>
        <w:t xml:space="preserve"> or</w:t>
      </w:r>
      <w:r w:rsidR="00F35F51">
        <w:t xml:space="preserve"> the reference interaction site model</w:t>
      </w:r>
      <w:r>
        <w:t xml:space="preserve"> </w:t>
      </w:r>
      <w:r w:rsidR="00F35F51">
        <w:t>(</w:t>
      </w:r>
      <w:r>
        <w:t>RISM</w:t>
      </w:r>
      <w:r w:rsidR="00F35F51">
        <w:t>)</w:t>
      </w:r>
      <w:r>
        <w:fldChar w:fldCharType="begin"/>
      </w:r>
      <w:r w:rsidR="00FC5BEB">
        <w:instrText xml:space="preserve"> ADDIN EN.CITE &lt;EndNote&gt;&lt;Cite&gt;&lt;Author&gt;Beglov&lt;/Author&gt;&lt;Year&gt;1997&lt;/Year&gt;&lt;RecNum&gt;465&lt;/RecNum&gt;&lt;DisplayText&gt;&lt;style face="superscript"&gt;467&lt;/style&gt;&lt;/DisplayText&gt;&lt;record&gt;&lt;rec-number&gt;465&lt;/rec-number&gt;&lt;foreign-keys&gt;&lt;key app="EN" db-id="2xex0erf4eexr4e2dpbxpdd829xttesxxxdr" timestamp="1715075297"&gt;465&lt;/key&gt;&lt;/foreign-keys&gt;&lt;ref-type name="Journal Article"&gt;17&lt;/ref-type&gt;&lt;contributors&gt;&lt;authors&gt;&lt;author&gt;Beglov, Dmitrii&lt;/author&gt;&lt;author&gt;Roux, Benoît&lt;/author&gt;&lt;/authors&gt;&lt;/contributors&gt;&lt;titles&gt;&lt;title&gt;An integral equation to describe the solvation of polar molecules in liquid water&lt;/title&gt;&lt;secondary-title&gt;Journal of Physical Chemistry B&lt;/secondary-title&gt;&lt;/titles&gt;&lt;periodical&gt;&lt;full-title&gt;Journal of Physical Chemistry B&lt;/full-title&gt;&lt;abbr-1&gt;J. Phys. Chem. B&lt;/abbr-1&gt;&lt;abbr-2&gt;J Phys Chem B&lt;/abbr-2&gt;&lt;/periodical&gt;&lt;pages&gt;7821-7826&lt;/pages&gt;&lt;volume&gt;101&lt;/volume&gt;&lt;number&gt;39&lt;/number&gt;&lt;dates&gt;&lt;year&gt;1997&lt;/year&gt;&lt;/dates&gt;&lt;urls&gt;&lt;related-urls&gt;&lt;url&gt;https://pubs.acs.org/doi/pdf/10.1021/jp971083h&lt;/url&gt;&lt;/related-urls&gt;&lt;/urls&gt;&lt;electronic-resource-num&gt;10.1021/jp971083h&lt;/electronic-resource-num&gt;&lt;/record&gt;&lt;/Cite&gt;&lt;/EndNote&gt;</w:instrText>
      </w:r>
      <w:r>
        <w:fldChar w:fldCharType="separate"/>
      </w:r>
      <w:r w:rsidR="00FC5BEB" w:rsidRPr="00FC5BEB">
        <w:rPr>
          <w:noProof/>
          <w:vertAlign w:val="superscript"/>
        </w:rPr>
        <w:t>467</w:t>
      </w:r>
      <w:r>
        <w:fldChar w:fldCharType="end"/>
      </w:r>
      <w:r>
        <w:t xml:space="preserve"> might not suffer from this problem.</w:t>
      </w:r>
    </w:p>
    <w:p w14:paraId="7D105FB6" w14:textId="77777777" w:rsidR="00591B2E" w:rsidRPr="00282227" w:rsidRDefault="00591B2E" w:rsidP="00282227">
      <w:pPr>
        <w:rPr>
          <w:color w:val="000000" w:themeColor="text1"/>
        </w:rPr>
      </w:pPr>
    </w:p>
    <w:p w14:paraId="6D0D5434" w14:textId="77777777" w:rsidR="00C87FF4" w:rsidRDefault="00C87FF4" w:rsidP="001C1AC5">
      <w:pPr>
        <w:keepNext/>
        <w:jc w:val="center"/>
      </w:pPr>
      <w:r>
        <w:rPr>
          <w:noProof/>
        </w:rPr>
        <w:drawing>
          <wp:inline distT="0" distB="0" distL="0" distR="0" wp14:anchorId="77F2CC8E" wp14:editId="7890047F">
            <wp:extent cx="3423396" cy="2160000"/>
            <wp:effectExtent l="0" t="0" r="571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Heenen_Fig8.jpe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3423396" cy="2160000"/>
                    </a:xfrm>
                    <a:prstGeom prst="rect">
                      <a:avLst/>
                    </a:prstGeom>
                  </pic:spPr>
                </pic:pic>
              </a:graphicData>
            </a:graphic>
          </wp:inline>
        </w:drawing>
      </w:r>
    </w:p>
    <w:p w14:paraId="41FB6896" w14:textId="53ABE486" w:rsidR="009E1477" w:rsidRPr="009E1477" w:rsidRDefault="00C87FF4" w:rsidP="009E1477">
      <w:pPr>
        <w:pStyle w:val="Caption"/>
        <w:rPr>
          <w:lang w:val="en-US"/>
        </w:rPr>
      </w:pPr>
      <w:bookmarkStart w:id="129" w:name="_Ref149813835"/>
      <w:r w:rsidRPr="00E2020B">
        <w:rPr>
          <w:b/>
          <w:bCs w:val="0"/>
          <w:sz w:val="22"/>
        </w:rPr>
        <w:t xml:space="preserve">Figure </w:t>
      </w:r>
      <w:r w:rsidRPr="00E2020B">
        <w:rPr>
          <w:b/>
          <w:bCs w:val="0"/>
          <w:sz w:val="22"/>
        </w:rPr>
        <w:fldChar w:fldCharType="begin"/>
      </w:r>
      <w:r w:rsidRPr="00E2020B">
        <w:rPr>
          <w:b/>
          <w:bCs w:val="0"/>
          <w:sz w:val="22"/>
        </w:rPr>
        <w:instrText xml:space="preserve"> SEQ Figure \* ARABIC </w:instrText>
      </w:r>
      <w:r w:rsidRPr="00E2020B">
        <w:rPr>
          <w:b/>
          <w:bCs w:val="0"/>
          <w:sz w:val="22"/>
        </w:rPr>
        <w:fldChar w:fldCharType="separate"/>
      </w:r>
      <w:r w:rsidR="00B7319C">
        <w:rPr>
          <w:b/>
          <w:bCs w:val="0"/>
          <w:noProof/>
          <w:sz w:val="22"/>
        </w:rPr>
        <w:t>39</w:t>
      </w:r>
      <w:r w:rsidRPr="00E2020B">
        <w:rPr>
          <w:b/>
          <w:bCs w:val="0"/>
          <w:noProof/>
          <w:sz w:val="22"/>
        </w:rPr>
        <w:fldChar w:fldCharType="end"/>
      </w:r>
      <w:bookmarkEnd w:id="129"/>
      <w:r>
        <w:t xml:space="preserve"> </w:t>
      </w:r>
      <w:r w:rsidRPr="004A065F">
        <w:t xml:space="preserve">Adsorption </w:t>
      </w:r>
      <w:proofErr w:type="spellStart"/>
      <w:r w:rsidRPr="004A065F">
        <w:t>Δ</w:t>
      </w:r>
      <w:r w:rsidRPr="00691887">
        <w:rPr>
          <w:i/>
          <w:iCs/>
        </w:rPr>
        <w:t>E</w:t>
      </w:r>
      <w:r w:rsidRPr="00104EF5">
        <w:rPr>
          <w:vertAlign w:val="subscript"/>
        </w:rPr>
        <w:t>ad</w:t>
      </w:r>
      <w:proofErr w:type="spellEnd"/>
      <w:r w:rsidRPr="004A065F">
        <w:t xml:space="preserve"> (top) and solvation energies </w:t>
      </w:r>
      <w:proofErr w:type="spellStart"/>
      <w:r w:rsidRPr="004A065F">
        <w:t>Δ</w:t>
      </w:r>
      <w:r w:rsidRPr="00691887">
        <w:rPr>
          <w:i/>
          <w:iCs/>
        </w:rPr>
        <w:t>E</w:t>
      </w:r>
      <w:r w:rsidRPr="00104EF5">
        <w:rPr>
          <w:vertAlign w:val="subscript"/>
        </w:rPr>
        <w:t>solv</w:t>
      </w:r>
      <w:proofErr w:type="spellEnd"/>
      <w:r w:rsidRPr="004A065F">
        <w:t xml:space="preserve"> (bottom) for the adsorbates sampled on </w:t>
      </w:r>
      <w:proofErr w:type="gramStart"/>
      <w:r w:rsidRPr="004A065F">
        <w:t>Cu(</w:t>
      </w:r>
      <w:proofErr w:type="gramEnd"/>
      <w:r w:rsidRPr="004A065F">
        <w:t xml:space="preserve">211) (left) and Cu(111), Au(111), and Pt(111) (right). Black symbols with error bars present the AIMD data; red and blue symbols present data obtained </w:t>
      </w:r>
      <w:r w:rsidRPr="005217F8">
        <w:t>through geometry optimizations with and without implicit solvent. × symbols represent the time or site averaged data, and + symbols represent the most stable configuration obtained from geometry optimizations.</w:t>
      </w:r>
      <w:r>
        <w:t xml:space="preserve"> Reproduced</w:t>
      </w:r>
      <w:r w:rsidR="00F51995">
        <w:t xml:space="preserve"> with permission</w:t>
      </w:r>
      <w:r>
        <w:t xml:space="preserve"> from Ref.</w:t>
      </w:r>
      <w:r>
        <w:fldChar w:fldCharType="begin">
          <w:fldData xml:space="preserve">PEVuZE5vdGU+PENpdGU+PEF1dGhvcj5IZWVuZW48L0F1dGhvcj48WWVhcj4yMDIwPC9ZZWFyPjxS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=
</w:fldData>
        </w:fldChar>
      </w:r>
      <w:r w:rsidR="009F6662">
        <w:instrText xml:space="preserve"> ADDIN EN.CITE </w:instrText>
      </w:r>
      <w:r w:rsidR="009F6662">
        <w:fldChar w:fldCharType="begin">
          <w:fldData xml:space="preserve">PEVuZE5vdGU+PENpdGU+PEF1dGhvcj5IZWVuZW48L0F1dGhvcj48WWVhcj4yMDIwPC9ZZWFyPjxS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=
</w:fldData>
        </w:fldChar>
      </w:r>
      <w:r w:rsidR="009F6662">
        <w:instrText xml:space="preserve"> ADDIN EN.CITE.DATA </w:instrText>
      </w:r>
      <w:r w:rsidR="009F6662">
        <w:fldChar w:fldCharType="end"/>
      </w:r>
      <w:r>
        <w:fldChar w:fldCharType="separate"/>
      </w:r>
      <w:r w:rsidR="009F6662" w:rsidRPr="009F6662">
        <w:rPr>
          <w:noProof/>
          <w:vertAlign w:val="superscript"/>
        </w:rPr>
        <w:t>61</w:t>
      </w:r>
      <w:r>
        <w:fldChar w:fldCharType="end"/>
      </w:r>
      <w:r w:rsidR="009E1477">
        <w:t xml:space="preserve"> </w:t>
      </w:r>
      <w:r w:rsidR="009E1477" w:rsidRPr="009E1477">
        <w:rPr>
          <w:lang w:val="en-US"/>
        </w:rPr>
        <w:t>Copyright 2020 AIP Publishing</w:t>
      </w:r>
      <w:r w:rsidR="00CC00E0">
        <w:rPr>
          <w:lang w:val="en-US"/>
        </w:rPr>
        <w:t>.</w:t>
      </w:r>
    </w:p>
    <w:p w14:paraId="33644DBF" w14:textId="5035680C" w:rsidR="00C87FF4" w:rsidRDefault="00C87FF4" w:rsidP="00C87FF4">
      <w:pPr>
        <w:pStyle w:val="Caption"/>
      </w:pPr>
    </w:p>
    <w:p w14:paraId="2A075FCC" w14:textId="5205A36D" w:rsidR="00C87FF4" w:rsidRDefault="00C87FF4" w:rsidP="00E2020B">
      <w:pPr>
        <w:ind w:firstLine="720"/>
      </w:pPr>
      <w:proofErr w:type="spellStart"/>
      <w:r w:rsidRPr="00283E33">
        <w:t>Rajan</w:t>
      </w:r>
      <w:proofErr w:type="spellEnd"/>
      <w:r w:rsidRPr="00283E33">
        <w:t xml:space="preserve"> et al.</w:t>
      </w:r>
      <w:r>
        <w:fldChar w:fldCharType="begin"/>
      </w:r>
      <w:r w:rsidR="00FC5BEB">
        <w:instrText xml:space="preserve"> ADDIN EN.CITE &lt;EndNote&gt;&lt;Cite&gt;&lt;Author&gt;Govind Rajan&lt;/Author&gt;&lt;Year&gt;2020&lt;/Year&gt;&lt;RecNum&gt;230&lt;/RecNum&gt;&lt;DisplayText&gt;&lt;style face="superscript"&gt;232&lt;/style&gt;&lt;/DisplayText&gt;&lt;record&gt;&lt;rec-number&gt;230&lt;/rec-number&gt;&lt;foreign-keys&gt;&lt;key app="EN" db-id="2xex0erf4eexr4e2dpbxpdd829xttesxxxdr" timestamp="1715075296"&gt;230&lt;/key&gt;&lt;/foreign-keys&gt;&lt;ref-type name="Journal Article"&gt;17&lt;/ref-type&gt;&lt;contributors&gt;&lt;authors&gt;&lt;author&gt;Govind Rajan, Ananth&lt;/author&gt;&lt;author&gt;Martirez, John Mark P.&lt;/author&gt;&lt;author&gt;Carter, Emily A.&lt;/author&gt;&lt;/authors&gt;&lt;/contributors&gt;&lt;titles&gt;&lt;title&gt;Facet-Independent Oxygen Evolution Activity of Pure β-NiOOH: Different Chemistries Leading to Similar Overpotentials&lt;/title&gt;&lt;secondary-title&gt;Journal of the American Chemical Society&lt;/secondary-title&gt;&lt;/titles&gt;&lt;periodical&gt;&lt;full-title&gt;Journal of the American Chemical Society&lt;/full-title&gt;&lt;abbr-1&gt;J. Am. Chem. Soc.&lt;/abbr-1&gt;&lt;abbr-2&gt;J Am Chem Soc&lt;/abbr-2&gt;&lt;/periodical&gt;&lt;pages&gt;3600-3612&lt;/pages&gt;&lt;volume&gt;142&lt;/volume&gt;&lt;number&gt;7&lt;/number&gt;&lt;dates&gt;&lt;year&gt;2020&lt;/year&gt;&lt;/dates&gt;&lt;publisher&gt;American Chemical Society&lt;/publisher&gt;&lt;urls&gt;&lt;related-urls&gt;&lt;url&gt;https://doi.org/10.1021/jacs.9b13708&lt;/url&gt;&lt;/related-urls&gt;&lt;/urls&gt;&lt;electronic-resource-num&gt;10.1021/jacs.9b13708&lt;/electronic-resource-num&gt;&lt;/record&gt;&lt;/Cite&gt;&lt;/EndNote&gt;</w:instrText>
      </w:r>
      <w:r>
        <w:fldChar w:fldCharType="separate"/>
      </w:r>
      <w:r w:rsidR="00FC5BEB" w:rsidRPr="00FC5BEB">
        <w:rPr>
          <w:noProof/>
          <w:vertAlign w:val="superscript"/>
        </w:rPr>
        <w:t>232</w:t>
      </w:r>
      <w:r>
        <w:fldChar w:fldCharType="end"/>
      </w:r>
      <w:r w:rsidRPr="00283E33">
        <w:t xml:space="preserve"> modeled </w:t>
      </w:r>
      <w:r>
        <w:t xml:space="preserve">the </w:t>
      </w:r>
      <w:r w:rsidRPr="00283E33">
        <w:t xml:space="preserve">OER on </w:t>
      </w:r>
      <w:r w:rsidRPr="00140CD0">
        <w:rPr>
          <w:rFonts w:ascii="Symbol" w:hAnsi="Symbol"/>
        </w:rPr>
        <w:t></w:t>
      </w:r>
      <w:r w:rsidRPr="00283E33">
        <w:t>-</w:t>
      </w:r>
      <w:proofErr w:type="spellStart"/>
      <w:r w:rsidRPr="00283E33">
        <w:t>NiOOH</w:t>
      </w:r>
      <w:proofErr w:type="spellEnd"/>
      <w:r w:rsidRPr="00283E33">
        <w:t xml:space="preserve">, considering two facets and various active sites using hybrid functional calculations. </w:t>
      </w:r>
      <w:r>
        <w:t xml:space="preserve">They found that different facets and active sites can promote the OER via different mechanisms, but that the lowest overpotential on the two facets are remarkably similar, around 0.4 eV. They performed the calculations in vacuum using the CHE approach and they also evaluated the effects of solvation via an implicit PCM solvent model. They found that the effects of solvation on the energetics of the elementary steps are at most 0.09 eV. This is fully consistent with the results of </w:t>
      </w:r>
      <w:proofErr w:type="spellStart"/>
      <w:r w:rsidRPr="00451F39">
        <w:t>Heenen</w:t>
      </w:r>
      <w:proofErr w:type="spellEnd"/>
      <w:r w:rsidRPr="00451F39">
        <w:t xml:space="preserve"> et al.</w:t>
      </w:r>
      <w:r>
        <w:t>'s work</w:t>
      </w:r>
      <w:r>
        <w:fldChar w:fldCharType="begin">
          <w:fldData xml:space="preserve">PEVuZE5vdGU+PENpdGU+PEF1dGhvcj5IZWVuZW48L0F1dGhvcj48WWVhcj4yMDIwPC9ZZWFyPjxS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=
</w:fldData>
        </w:fldChar>
      </w:r>
      <w:r w:rsidR="009F6662">
        <w:instrText xml:space="preserve"> ADDIN EN.CITE </w:instrText>
      </w:r>
      <w:r w:rsidR="009F6662">
        <w:fldChar w:fldCharType="begin">
          <w:fldData xml:space="preserve">PEVuZE5vdGU+PENpdGU+PEF1dGhvcj5IZWVuZW48L0F1dGhvcj48WWVhcj4yMDIwPC9ZZWFyPjxS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=
</w:fldData>
        </w:fldChar>
      </w:r>
      <w:r w:rsidR="009F6662">
        <w:instrText xml:space="preserve"> ADDIN EN.CITE.DATA </w:instrText>
      </w:r>
      <w:r w:rsidR="009F6662">
        <w:fldChar w:fldCharType="end"/>
      </w:r>
      <w:r>
        <w:fldChar w:fldCharType="separate"/>
      </w:r>
      <w:r w:rsidR="009F6662" w:rsidRPr="009F6662">
        <w:rPr>
          <w:noProof/>
          <w:vertAlign w:val="superscript"/>
        </w:rPr>
        <w:t>61</w:t>
      </w:r>
      <w:r>
        <w:fldChar w:fldCharType="end"/>
      </w:r>
      <w:r w:rsidRPr="00451F39">
        <w:t xml:space="preserve"> </w:t>
      </w:r>
      <w:r>
        <w:t>discussed above, but warrants some caution since the effects of explicit treatment of water can be as large as the overpotential determined for this system.</w:t>
      </w:r>
    </w:p>
    <w:p w14:paraId="4E9F0BD7" w14:textId="77777777" w:rsidR="00714B48" w:rsidRPr="00C87FF4" w:rsidRDefault="00714B48" w:rsidP="00FF5CE0">
      <w:pPr>
        <w:rPr>
          <w:color w:val="000000" w:themeColor="text1"/>
        </w:rPr>
      </w:pPr>
    </w:p>
    <w:p w14:paraId="1D628D8F" w14:textId="516A3086" w:rsidR="00723BD4" w:rsidRPr="006836D3" w:rsidRDefault="00723BD4" w:rsidP="00BC7855">
      <w:pPr>
        <w:pStyle w:val="Heading2"/>
      </w:pPr>
      <w:bookmarkStart w:id="130" w:name="_Ref159838967"/>
      <w:bookmarkStart w:id="131" w:name="_Ref159838974"/>
      <w:bookmarkStart w:id="132" w:name="_Ref159838982"/>
      <w:bookmarkStart w:id="133" w:name="_Toc166441745"/>
      <w:r w:rsidRPr="006836D3">
        <w:t xml:space="preserve">Modeling </w:t>
      </w:r>
      <w:r>
        <w:t>electrochemical systems at fixed potential</w:t>
      </w:r>
      <w:bookmarkEnd w:id="130"/>
      <w:bookmarkEnd w:id="131"/>
      <w:bookmarkEnd w:id="132"/>
      <w:bookmarkEnd w:id="133"/>
      <w:r>
        <w:t xml:space="preserve"> </w:t>
      </w:r>
    </w:p>
    <w:p w14:paraId="68DD6E81" w14:textId="77777777" w:rsidR="00723BD4" w:rsidRDefault="00723BD4" w:rsidP="00723BD4"/>
    <w:p w14:paraId="11E5369D" w14:textId="1B0A5A5C" w:rsidR="00723BD4" w:rsidRPr="00A81A22" w:rsidRDefault="00723BD4" w:rsidP="00E2020B">
      <w:pPr>
        <w:tabs>
          <w:tab w:val="left" w:pos="4111"/>
        </w:tabs>
        <w:ind w:firstLine="720"/>
      </w:pPr>
      <w:r>
        <w:t>One key assumption of the CHE approach is that the adsorption energy of the reaction intermediates is independent of the electrostatic field present at the electrode/electrolyte interface.</w:t>
      </w:r>
      <w:r>
        <w:fldChar w:fldCharType="begin"/>
      </w:r>
      <w:r w:rsidR="00FC5BEB">
        <w:instrText xml:space="preserve"> ADDIN EN.CITE &lt;EndNote&gt;&lt;Cite&gt;&lt;Author&gt;Bagger&lt;/Author&gt;&lt;Year&gt;2020&lt;/Year&gt;&lt;RecNum&gt;448&lt;/RecNum&gt;&lt;DisplayText&gt;&lt;style face="superscript"&gt;450&lt;/style&gt;&lt;/DisplayText&gt;&lt;record&gt;&lt;rec-number&gt;448&lt;/rec-number&gt;&lt;foreign-keys&gt;&lt;key app="EN" db-id="2xex0erf4eexr4e2dpbxpdd829xttesxxxdr" timestamp="1715075297"&gt;448&lt;/key&gt;&lt;/foreign-keys&gt;&lt;ref-type name="Book Section"&gt;5&lt;/ref-type&gt;&lt;contributors&gt;&lt;authors&gt;&lt;author&gt;Bagger, Alexander&lt;/author&gt;&lt;author&gt;Castelli, Ivano E.&lt;/author&gt;&lt;author&gt;Hansen, Martin Hangaard&lt;/author&gt;&lt;author&gt;Rossmeisl, Jan&lt;/author&gt;&lt;/authors&gt;&lt;secondary-authors&gt;&lt;author&gt;Andreoni, W., Yip, S.&lt;/author&gt;&lt;/secondary-authors&gt;&lt;/contributors&gt;&lt;titles&gt;&lt;title&gt;Fundamental Atomic Insight in Electrocatalysis&lt;/title&gt;&lt;secondary-title&gt;Handbook of Materials Modeling&lt;/secondary-title&gt;&lt;/titles&gt;&lt;pages&gt;1473-1503&lt;/pages&gt;&lt;dates&gt;&lt;year&gt;2020&lt;/year&gt;&lt;/dates&gt;&lt;publisher&gt;Springer, Cham.&lt;/publisher&gt;&lt;isbn&gt;9783319446806&lt;/isbn&gt;&lt;urls&gt;&lt;related-urls&gt;&lt;url&gt;https://link.springer.com/content/pdf/10.1007/978-3-319-44680-6_8.pdf&lt;/url&gt;&lt;/related-urls&gt;&lt;/urls&gt;&lt;electronic-resource-num&gt;10.1007/978-3-319-44680-6_8&lt;/electronic-resource-num&gt;&lt;/record&gt;&lt;/Cite&gt;&lt;/EndNote&gt;</w:instrText>
      </w:r>
      <w:r>
        <w:fldChar w:fldCharType="separate"/>
      </w:r>
      <w:r w:rsidR="00FC5BEB" w:rsidRPr="00FC5BEB">
        <w:rPr>
          <w:noProof/>
          <w:vertAlign w:val="superscript"/>
        </w:rPr>
        <w:t>450</w:t>
      </w:r>
      <w:r>
        <w:fldChar w:fldCharType="end"/>
      </w:r>
      <w:r>
        <w:t xml:space="preserve"> Using a Pt(111) surface model, </w:t>
      </w:r>
      <w:r w:rsidRPr="00A81A22">
        <w:t>Karlberg</w:t>
      </w:r>
      <w:r>
        <w:t xml:space="preserve"> et al.</w:t>
      </w:r>
      <w:r>
        <w:fldChar w:fldCharType="begin"/>
      </w:r>
      <w:r w:rsidR="00FC5BEB">
        <w:instrText xml:space="preserve"> ADDIN EN.CITE &lt;EndNote&gt;&lt;Cite&gt;&lt;Author&gt;Karlberg&lt;/Author&gt;&lt;Year&gt;2007&lt;/Year&gt;&lt;RecNum&gt;126&lt;/RecNum&gt;&lt;DisplayText&gt;&lt;style face="superscript"&gt;128&lt;/style&gt;&lt;/DisplayText&gt;&lt;record&gt;&lt;rec-number&gt;126&lt;/rec-number&gt;&lt;foreign-keys&gt;&lt;key app="EN" db-id="2xex0erf4eexr4e2dpbxpdd829xttesxxxdr" timestamp="1715075296"&gt;126&lt;/key&gt;&lt;/foreign-keys&gt;&lt;ref-type name="Journal Article"&gt;17&lt;/ref-type&gt;&lt;contributors&gt;&lt;authors&gt;&lt;author&gt;Karlberg, G. S.&lt;/author&gt;&lt;author&gt;Rossmeisl, J.&lt;/author&gt;&lt;author&gt;Nørskov, J. K.&lt;/author&gt;&lt;/authors&gt;&lt;/contributors&gt;&lt;titles&gt;&lt;title&gt;Estimations of electric field effects on the oxygen reduction reaction based on the density functional theory&lt;/title&gt;&lt;secondary-title&gt;Physical Chemistry Chemical Physics&lt;/secondary-title&gt;&lt;/titles&gt;&lt;periodical&gt;&lt;full-title&gt;Physical Chemistry Chemical Physics&lt;/full-title&gt;&lt;abbr-1&gt;Phys. Chem. Chem. Phys.&lt;/abbr-1&gt;&lt;abbr-2&gt;Phys Chem Chem Phys&lt;/abbr-2&gt;&lt;/periodical&gt;&lt;pages&gt;5158-5161&lt;/pages&gt;&lt;volume&gt;9&lt;/volume&gt;&lt;number&gt;37&lt;/number&gt;&lt;dates&gt;&lt;year&gt;2007&lt;/year&gt;&lt;/dates&gt;&lt;publisher&gt;The Royal Society of Chemistry&lt;/publisher&gt;&lt;isbn&gt;1463-9076&lt;/isbn&gt;&lt;work-type&gt;10.1039/B705938H&lt;/work-type&gt;&lt;urls&gt;&lt;related-urls&gt;&lt;url&gt;http://dx.doi.org/10.1039/B705938H&lt;/url&gt;&lt;/related-urls&gt;&lt;/urls&gt;&lt;electronic-resource-num&gt;10.1039/B705938H&lt;/electronic-resource-num&gt;&lt;/record&gt;&lt;/Cite&gt;&lt;/EndNote&gt;</w:instrText>
      </w:r>
      <w:r>
        <w:fldChar w:fldCharType="separate"/>
      </w:r>
      <w:r w:rsidR="00FC5BEB" w:rsidRPr="00FC5BEB">
        <w:rPr>
          <w:noProof/>
          <w:vertAlign w:val="superscript"/>
        </w:rPr>
        <w:t>128</w:t>
      </w:r>
      <w:r>
        <w:fldChar w:fldCharType="end"/>
      </w:r>
      <w:r>
        <w:t xml:space="preserve"> computed how the adsorption energy of the intermediates of the ORR/OER (*O, *OH, *OOH) depend</w:t>
      </w:r>
      <w:r w:rsidR="003B2106">
        <w:t>s</w:t>
      </w:r>
      <w:r>
        <w:t xml:space="preserve"> on the strength of an external electric field. To model the water solvent, the authors included a water bilayer in the case of *O, while for *OH and *OOH the authors included one water molecule per *OH and *OOH molecule. Assuming a voltage of 1.23 V and a double layer thickness of 3 Å, the authors argue that the interesting interval of electric field strength is the -0.5 and +0.5 V Å</w:t>
      </w:r>
      <w:r w:rsidRPr="00A81A22">
        <w:rPr>
          <w:vertAlign w:val="superscript"/>
        </w:rPr>
        <w:t>-1</w:t>
      </w:r>
      <w:r>
        <w:t xml:space="preserve"> range. </w:t>
      </w:r>
      <w:r w:rsidR="00DC4DA8">
        <w:t xml:space="preserve">They show that </w:t>
      </w:r>
      <w:r>
        <w:t>the changes in adsorption energies are at most 0.1 eV, a value sufficiently small not to invalidate the predictions based on the CHE, where this effect is ignored, but sufficiently large to warrant caution when seeking for accurate predictions close to the top of the activity volcano. In general, one can expect adsorbates with large dipole moments to be more strongly affected by the interface electric field</w:t>
      </w:r>
      <w:r>
        <w:fldChar w:fldCharType="begin"/>
      </w:r>
      <w:r w:rsidR="00FC5BEB">
        <w:instrText xml:space="preserve"> ADDIN EN.CITE &lt;EndNote&gt;&lt;Cite&gt;&lt;Author&gt;Bagger&lt;/Author&gt;&lt;Year&gt;2020&lt;/Year&gt;&lt;RecNum&gt;448&lt;/RecNum&gt;&lt;DisplayText&gt;&lt;style face="superscript"&gt;450&lt;/style&gt;&lt;/DisplayText&gt;&lt;record&gt;&lt;rec-number&gt;448&lt;/rec-number&gt;&lt;foreign-keys&gt;&lt;key app="EN" db-id="2xex0erf4eexr4e2dpbxpdd829xttesxxxdr" timestamp="1715075297"&gt;448&lt;/key&gt;&lt;/foreign-keys&gt;&lt;ref-type name="Book Section"&gt;5&lt;/ref-type&gt;&lt;contributors&gt;&lt;authors&gt;&lt;author&gt;Bagger, Alexander&lt;/author&gt;&lt;author&gt;Castelli, Ivano E.&lt;/author&gt;&lt;author&gt;Hansen, Martin Hangaard&lt;/author&gt;&lt;author&gt;Rossmeisl, Jan&lt;/author&gt;&lt;/authors&gt;&lt;secondary-authors&gt;&lt;author&gt;Andreoni, W., Yip, S.&lt;/author&gt;&lt;/secondary-authors&gt;&lt;/contributors&gt;&lt;titles&gt;&lt;title&gt;Fundamental Atomic Insight in Electrocatalysis&lt;/title&gt;&lt;secondary-title&gt;Handbook of Materials Modeling&lt;/secondary-title&gt;&lt;/titles&gt;&lt;pages&gt;1473-1503&lt;/pages&gt;&lt;dates&gt;&lt;year&gt;2020&lt;/year&gt;&lt;/dates&gt;&lt;publisher&gt;Springer, Cham.&lt;/publisher&gt;&lt;isbn&gt;9783319446806&lt;/isbn&gt;&lt;urls&gt;&lt;related-urls&gt;&lt;url&gt;https://link.springer.com/content/pdf/10.1007/978-3-319-44680-6_8.pdf&lt;/url&gt;&lt;/related-urls&gt;&lt;/urls&gt;&lt;electronic-resource-num&gt;10.1007/978-3-319-44680-6_8&lt;/electronic-resource-num&gt;&lt;/record&gt;&lt;/Cite&gt;&lt;/EndNote&gt;</w:instrText>
      </w:r>
      <w:r>
        <w:fldChar w:fldCharType="separate"/>
      </w:r>
      <w:r w:rsidR="00FC5BEB" w:rsidRPr="00FC5BEB">
        <w:rPr>
          <w:noProof/>
          <w:vertAlign w:val="superscript"/>
        </w:rPr>
        <w:t>450</w:t>
      </w:r>
      <w:r>
        <w:fldChar w:fldCharType="end"/>
      </w:r>
      <w:r>
        <w:t xml:space="preserve">, so in these cases including explicitly this effect can be necessary.  </w:t>
      </w:r>
    </w:p>
    <w:p w14:paraId="3A046EC7" w14:textId="77777777" w:rsidR="00DC4DA8" w:rsidRDefault="00DC4DA8" w:rsidP="005C7322">
      <w:pPr>
        <w:ind w:firstLine="720"/>
      </w:pPr>
    </w:p>
    <w:p w14:paraId="78EE7393" w14:textId="4F197DE8" w:rsidR="00723BD4" w:rsidRDefault="00723BD4" w:rsidP="005C7322">
      <w:pPr>
        <w:ind w:firstLine="720"/>
      </w:pPr>
      <w:r>
        <w:t>The interface electric field discussed above is intimately related to the electrode surface charge and to the response of the electrolyte that screens that excess charge with an equal and opposite charge provided by the counterions in the EDL. If we wish to model electrochemical reactions at an electrified solid/liquid interface, we need an approach that is able to treat charged interfaces. In this task, we are faced with the problem that simulations are normally performed at constant charge conditions, while experiments are performed at constant potential. To circumvent this problem, one strategy is to devise ways to obtain constant potential conditions from constant charge simulations. To this end, in 2008</w:t>
      </w:r>
      <w:r w:rsidRPr="00451F39">
        <w:t xml:space="preserve"> </w:t>
      </w:r>
      <w:proofErr w:type="spellStart"/>
      <w:r w:rsidRPr="00451F39">
        <w:t>Rossmeisl</w:t>
      </w:r>
      <w:proofErr w:type="spellEnd"/>
      <w:r w:rsidRPr="00451F39">
        <w:t xml:space="preserve"> et al</w:t>
      </w:r>
      <w:r>
        <w:t>.</w:t>
      </w:r>
      <w:r>
        <w:fldChar w:fldCharType="begin"/>
      </w:r>
      <w:r w:rsidR="00FC5BEB">
        <w:instrText xml:space="preserve"> ADDIN EN.CITE &lt;EndNote&gt;&lt;Cite&gt;&lt;Author&gt;Rossmeisl&lt;/Author&gt;&lt;Year&gt;2008&lt;/Year&gt;&lt;RecNum&gt;466&lt;/RecNum&gt;&lt;DisplayText&gt;&lt;style face="superscript"&gt;468&lt;/style&gt;&lt;/DisplayText&gt;&lt;record&gt;&lt;rec-number&gt;466&lt;/rec-number&gt;&lt;foreign-keys&gt;&lt;key app="EN" db-id="2xex0erf4eexr4e2dpbxpdd829xttesxxxdr" timestamp="1715075297"&gt;466&lt;/key&gt;&lt;/foreign-keys&gt;&lt;ref-type name="Journal Article"&gt;17&lt;/ref-type&gt;&lt;contributors&gt;&lt;authors&gt;&lt;author&gt;Rossmeisl, Jan&lt;/author&gt;&lt;author&gt;Skúlason, Egill&lt;/author&gt;&lt;author&gt;Björketun, Marten E.&lt;/author&gt;&lt;author&gt;Tripkovic, Vladimir&lt;/author&gt;&lt;author&gt;Nørskov, Jens K.&lt;/author&gt;&lt;/authors&gt;&lt;/contributors&gt;&lt;titles&gt;&lt;title&gt;Modeling the electrified solid-liquid interface&lt;/title&gt;&lt;secondary-title&gt;Chemical Physics Letters&lt;/secondary-title&gt;&lt;/titles&gt;&lt;periodical&gt;&lt;full-title&gt;Chemical Physics Letters&lt;/full-title&gt;&lt;abbr-1&gt;Chem. Phys. Lett.&lt;/abbr-1&gt;&lt;abbr-2&gt;Chem Phys Lett&lt;/abbr-2&gt;&lt;/periodical&gt;&lt;pages&gt;68-71&lt;/pages&gt;&lt;volume&gt;466&lt;/volume&gt;&lt;dates&gt;&lt;year&gt;2008&lt;/year&gt;&lt;/dates&gt;&lt;publisher&gt;Elsevier B.V.&lt;/publisher&gt;&lt;isbn&gt;0009-2614&lt;/isbn&gt;&lt;label&gt;OER_Review&lt;/label&gt;&lt;urls&gt;&lt;/urls&gt;&lt;electronic-resource-num&gt;10.1016/j.cplett.2008.10.024&lt;/electronic-resource-num&gt;&lt;/record&gt;&lt;/Cite&gt;&lt;/EndNote&gt;</w:instrText>
      </w:r>
      <w:r>
        <w:fldChar w:fldCharType="separate"/>
      </w:r>
      <w:r w:rsidR="00FC5BEB" w:rsidRPr="00FC5BEB">
        <w:rPr>
          <w:noProof/>
          <w:vertAlign w:val="superscript"/>
        </w:rPr>
        <w:t>468</w:t>
      </w:r>
      <w:r>
        <w:fldChar w:fldCharType="end"/>
      </w:r>
      <w:r>
        <w:t xml:space="preserve"> considered a periodic system made of a Pt(111) </w:t>
      </w:r>
      <w:r>
        <w:lastRenderedPageBreak/>
        <w:t>electrode surface, modeled via a slab geometry, in contact with up to three water layers, optimized and static, and separated from periodic replicas via a vacuum region. They computed the work function of the system, therefore obtaining</w:t>
      </w:r>
      <w:r w:rsidRPr="00660D44">
        <w:t xml:space="preserve"> an internal definition of the absolute potential scale. </w:t>
      </w:r>
      <w:r>
        <w:t>Inserting hydrogen atoms in the water layers leads to charging of EDL</w:t>
      </w:r>
      <w:r w:rsidRPr="00660D44">
        <w:t>,</w:t>
      </w:r>
      <w:r>
        <w:t xml:space="preserve"> namely the electrons of the hydrogen atoms are spontaneously transferred to the electrode, while protons are added to the ice-like water layers (see </w:t>
      </w:r>
      <w:r>
        <w:fldChar w:fldCharType="begin"/>
      </w:r>
      <w:r>
        <w:instrText xml:space="preserve"> REF _Ref149574664 \h </w:instrText>
      </w:r>
      <w:r>
        <w:fldChar w:fldCharType="separate"/>
      </w:r>
      <w:r w:rsidR="00B7319C" w:rsidRPr="00E2020B">
        <w:rPr>
          <w:b/>
        </w:rPr>
        <w:t xml:space="preserve">Figure </w:t>
      </w:r>
      <w:r w:rsidR="00B7319C">
        <w:rPr>
          <w:b/>
          <w:bCs/>
          <w:noProof/>
        </w:rPr>
        <w:t>40</w:t>
      </w:r>
      <w:r>
        <w:fldChar w:fldCharType="end"/>
      </w:r>
      <w:r>
        <w:t xml:space="preserve">). Performing simulations varying both the unit cell and the number of hydrogen atoms inserted in the double layer, </w:t>
      </w:r>
      <w:proofErr w:type="spellStart"/>
      <w:r>
        <w:t>Rossmeisl</w:t>
      </w:r>
      <w:proofErr w:type="spellEnd"/>
      <w:r>
        <w:t xml:space="preserve"> et al. essentially modeled the EDL as a capacitor. Monitoring the change in electrode potential via the work function, the authors obtained the vacuum potential relative to SHE, i.e. absolute level of SHE, 5.17 V, in reasonable agreement with </w:t>
      </w:r>
      <w:proofErr w:type="spellStart"/>
      <w:r>
        <w:t>Trasatti's</w:t>
      </w:r>
      <w:proofErr w:type="spellEnd"/>
      <w:r>
        <w:t xml:space="preserve"> experimental estimate, 4.44 V.</w:t>
      </w:r>
      <w:r>
        <w:fldChar w:fldCharType="begin"/>
      </w:r>
      <w:r w:rsidR="00FC5BEB">
        <w:instrText xml:space="preserve"> ADDIN EN.CITE &lt;EndNote&gt;&lt;Cite&gt;&lt;Author&gt;Trasatti&lt;/Author&gt;&lt;Year&gt;1986&lt;/Year&gt;&lt;RecNum&gt;467&lt;/RecNum&gt;&lt;DisplayText&gt;&lt;style face="superscript"&gt;469&lt;/style&gt;&lt;/DisplayText&gt;&lt;record&gt;&lt;rec-number&gt;467&lt;/rec-number&gt;&lt;foreign-keys&gt;&lt;key app="EN" db-id="2xex0erf4eexr4e2dpbxpdd829xttesxxxdr" timestamp="1715075297"&gt;467&lt;/key&gt;&lt;/foreign-keys&gt;&lt;ref-type name="Journal Article"&gt;17&lt;/ref-type&gt;&lt;contributors&gt;&lt;authors&gt;&lt;author&gt;Trasatti, Sergio&lt;/author&gt;&lt;/authors&gt;&lt;/contributors&gt;&lt;titles&gt;&lt;title&gt;The absolute electrode potential: An explanatory note&lt;/title&gt;&lt;secondary-title&gt;J. Electroanal. Chem.&lt;/secondary-title&gt;&lt;/titles&gt;&lt;periodical&gt;&lt;full-title&gt;Journal of Electroanalytical Chemistry&lt;/full-title&gt;&lt;abbr-1&gt;J. Electroanal. Chem.&lt;/abbr-1&gt;&lt;abbr-2&gt;J Electroanal Chem&lt;/abbr-2&gt;&lt;/periodical&gt;&lt;pages&gt;417-428&lt;/pages&gt;&lt;volume&gt;209&lt;/volume&gt;&lt;dates&gt;&lt;year&gt;1986&lt;/year&gt;&lt;/dates&gt;&lt;urls&gt;&lt;pdf-urls&gt;&lt;url&gt;file://localhost/Users/piccinin/Literature/1-s2.0-0022072886805708-main.pdf&lt;/url&gt;&lt;/pdf-urls&gt;&lt;/urls&gt;&lt;/record&gt;&lt;/Cite&gt;&lt;/EndNote&gt;</w:instrText>
      </w:r>
      <w:r>
        <w:fldChar w:fldCharType="separate"/>
      </w:r>
      <w:r w:rsidR="00FC5BEB" w:rsidRPr="00FC5BEB">
        <w:rPr>
          <w:noProof/>
          <w:vertAlign w:val="superscript"/>
        </w:rPr>
        <w:t>469</w:t>
      </w:r>
      <w:r>
        <w:fldChar w:fldCharType="end"/>
      </w:r>
      <w:r>
        <w:t xml:space="preserve"> Next, the authors showed how to use this information to obtain reaction energies and activation energies at constant potential rather than at constant charge. They considered the elementary steps of an electrochemical process, the hydrogen evolution reaction, and computed how the electrode potential changes during an elementary step. The fact that the change in the electrode potential </w:t>
      </w:r>
      <w:r w:rsidRPr="00CC3A24">
        <w:rPr>
          <w:rFonts w:ascii="Symbol" w:hAnsi="Symbol"/>
        </w:rPr>
        <w:t></w:t>
      </w:r>
      <w:r w:rsidRPr="006A2141">
        <w:rPr>
          <w:i/>
          <w:iCs/>
        </w:rPr>
        <w:t>U</w:t>
      </w:r>
      <w:r>
        <w:t xml:space="preserve"> is non-zero is obviously an artifact due to the simulation being performed at constant charge rather than at constant potential. Keeping the EDL charge density constant and increasing the simulation size, however, the variation of the potential reduces linearly, so that it can be extrapolated to the infinite cell limit, where </w:t>
      </w:r>
      <w:r w:rsidRPr="00CC3A24">
        <w:rPr>
          <w:rFonts w:ascii="Symbol" w:hAnsi="Symbol"/>
        </w:rPr>
        <w:t></w:t>
      </w:r>
      <w:r w:rsidRPr="006A2141">
        <w:rPr>
          <w:i/>
          <w:iCs/>
        </w:rPr>
        <w:t>U</w:t>
      </w:r>
      <w:r>
        <w:t xml:space="preserve"> is zero. In this manner, the authors obtained an estimate of the reaction energies at constant potential (</w:t>
      </w:r>
      <w:r w:rsidRPr="00CC3A24">
        <w:rPr>
          <w:rFonts w:ascii="Symbol" w:hAnsi="Symbol"/>
        </w:rPr>
        <w:t></w:t>
      </w:r>
      <w:r w:rsidRPr="006A2141">
        <w:rPr>
          <w:i/>
          <w:iCs/>
        </w:rPr>
        <w:t>U</w:t>
      </w:r>
      <w:r>
        <w:t xml:space="preserve">=0) as </w:t>
      </w:r>
      <w:r w:rsidR="007C6BBE">
        <w:t xml:space="preserve">a </w:t>
      </w:r>
      <w:r>
        <w:t xml:space="preserve">function of the charge of the EDL, which is a function of the electrode potential </w:t>
      </w:r>
      <w:r w:rsidRPr="006A2141">
        <w:rPr>
          <w:i/>
          <w:iCs/>
        </w:rPr>
        <w:t>U</w:t>
      </w:r>
      <w:r>
        <w:t xml:space="preserve"> (see </w:t>
      </w:r>
      <w:r>
        <w:fldChar w:fldCharType="begin"/>
      </w:r>
      <w:r>
        <w:instrText xml:space="preserve"> REF _Ref149574664 \h </w:instrText>
      </w:r>
      <w:r>
        <w:fldChar w:fldCharType="separate"/>
      </w:r>
      <w:r w:rsidR="00B7319C" w:rsidRPr="00E2020B">
        <w:rPr>
          <w:b/>
        </w:rPr>
        <w:t xml:space="preserve">Figure </w:t>
      </w:r>
      <w:r w:rsidR="00B7319C">
        <w:rPr>
          <w:b/>
          <w:bCs/>
          <w:noProof/>
        </w:rPr>
        <w:t>40</w:t>
      </w:r>
      <w:r>
        <w:fldChar w:fldCharType="end"/>
      </w:r>
      <w:r>
        <w:t xml:space="preserve">). </w:t>
      </w:r>
    </w:p>
    <w:p w14:paraId="6ED4C2D7" w14:textId="4A549DDF" w:rsidR="00723BD4" w:rsidRDefault="00E22072" w:rsidP="00723BD4">
      <w:r>
        <w:rPr>
          <w:noProof/>
          <w14:ligatures w14:val="standardContextual"/>
        </w:rPr>
        <w:drawing>
          <wp:inline distT="0" distB="0" distL="0" distR="0" wp14:anchorId="01A84AB8" wp14:editId="5E83B6CD">
            <wp:extent cx="5731510" cy="2360930"/>
            <wp:effectExtent l="0" t="0" r="0" b="1270"/>
            <wp:docPr id="1964241477" name="Picture 1" descr="A diagram of a graph and a diagram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4241477" name="Picture 1" descr="A diagram of a graph and a diagram of a graph&#10;&#10;Description automatically generated"/>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731510" cy="2360930"/>
                    </a:xfrm>
                    <a:prstGeom prst="rect">
                      <a:avLst/>
                    </a:prstGeom>
                  </pic:spPr>
                </pic:pic>
              </a:graphicData>
            </a:graphic>
          </wp:inline>
        </w:drawing>
      </w:r>
    </w:p>
    <w:p w14:paraId="73439648" w14:textId="2BE57EE9" w:rsidR="00723BD4" w:rsidRDefault="00723BD4" w:rsidP="00723BD4">
      <w:pPr>
        <w:pStyle w:val="Caption"/>
      </w:pPr>
      <w:bookmarkStart w:id="134" w:name="_Ref149574664"/>
      <w:r w:rsidRPr="00E2020B">
        <w:rPr>
          <w:b/>
          <w:bCs w:val="0"/>
          <w:sz w:val="22"/>
        </w:rPr>
        <w:t xml:space="preserve">Figure </w:t>
      </w:r>
      <w:r w:rsidRPr="00E2020B">
        <w:rPr>
          <w:b/>
          <w:bCs w:val="0"/>
          <w:sz w:val="22"/>
        </w:rPr>
        <w:fldChar w:fldCharType="begin"/>
      </w:r>
      <w:r w:rsidRPr="00E2020B">
        <w:rPr>
          <w:b/>
          <w:bCs w:val="0"/>
          <w:sz w:val="22"/>
        </w:rPr>
        <w:instrText xml:space="preserve"> SEQ Figure \* ARABIC </w:instrText>
      </w:r>
      <w:r w:rsidRPr="00E2020B">
        <w:rPr>
          <w:b/>
          <w:bCs w:val="0"/>
          <w:sz w:val="22"/>
        </w:rPr>
        <w:fldChar w:fldCharType="separate"/>
      </w:r>
      <w:r w:rsidR="00B7319C">
        <w:rPr>
          <w:b/>
          <w:bCs w:val="0"/>
          <w:noProof/>
          <w:sz w:val="22"/>
        </w:rPr>
        <w:t>40</w:t>
      </w:r>
      <w:r w:rsidRPr="00E2020B">
        <w:rPr>
          <w:b/>
          <w:bCs w:val="0"/>
          <w:noProof/>
          <w:sz w:val="22"/>
        </w:rPr>
        <w:fldChar w:fldCharType="end"/>
      </w:r>
      <w:bookmarkEnd w:id="134"/>
      <w:r>
        <w:t xml:space="preserve"> (a) </w:t>
      </w:r>
      <w:r w:rsidRPr="006C0362">
        <w:t xml:space="preserve">A charged </w:t>
      </w:r>
      <w:proofErr w:type="gramStart"/>
      <w:r w:rsidRPr="006C0362">
        <w:t>Pt(</w:t>
      </w:r>
      <w:proofErr w:type="gramEnd"/>
      <w:r w:rsidRPr="006C0362">
        <w:t>1 1 1) slab with 3 water layers outside and one solvated hydronium ion (yellow) per unit cell. The electrode potential, due to the charged interface, averaged parallel to the surface is shown for systems with 1, 2 and 3 relaxed</w:t>
      </w:r>
      <w:r>
        <w:t xml:space="preserve"> </w:t>
      </w:r>
      <w:r w:rsidRPr="00616F09">
        <w:t xml:space="preserve">water layers along with results from a DFT </w:t>
      </w:r>
      <w:r w:rsidR="00D40731">
        <w:t>MD</w:t>
      </w:r>
      <w:r w:rsidRPr="00616F09">
        <w:t xml:space="preserve"> simulation of a proton solvated in 3 water layers. The latter potential profile is an average over 30 frames, picked randomly along a 3 </w:t>
      </w:r>
      <w:proofErr w:type="spellStart"/>
      <w:r w:rsidRPr="00616F09">
        <w:t>ps</w:t>
      </w:r>
      <w:proofErr w:type="spellEnd"/>
      <w:r w:rsidRPr="00616F09">
        <w:t xml:space="preserve"> trajectory, obtained after equilibration of the system at room temperature.</w:t>
      </w:r>
      <w:r>
        <w:t xml:space="preserve"> (b) </w:t>
      </w:r>
      <w:r w:rsidRPr="00616F09">
        <w:t>The reaction free energy of the Heyrovsky reaction: H</w:t>
      </w:r>
      <w:r w:rsidRPr="006A2141">
        <w:rPr>
          <w:vertAlign w:val="subscript"/>
        </w:rPr>
        <w:t>2</w:t>
      </w:r>
      <w:r w:rsidRPr="00616F09">
        <w:t xml:space="preserve"> → H</w:t>
      </w:r>
      <w:r w:rsidRPr="006A2141">
        <w:rPr>
          <w:vertAlign w:val="superscript"/>
        </w:rPr>
        <w:t>+</w:t>
      </w:r>
      <w:r w:rsidRPr="00616F09">
        <w:t xml:space="preserve"> + </w:t>
      </w:r>
      <w:r w:rsidRPr="00E45E28">
        <w:rPr>
          <w:i/>
          <w:iCs/>
        </w:rPr>
        <w:t>e</w:t>
      </w:r>
      <w:r w:rsidRPr="006A2141">
        <w:rPr>
          <w:vertAlign w:val="superscript"/>
        </w:rPr>
        <w:t>−</w:t>
      </w:r>
      <w:r w:rsidRPr="00616F09">
        <w:t xml:space="preserve"> + H</w:t>
      </w:r>
      <w:r w:rsidRPr="006A2141">
        <w:rPr>
          <w:rFonts w:ascii="Cambria Math" w:hAnsi="Cambria Math" w:cs="Cambria Math"/>
          <w:vertAlign w:val="superscript"/>
        </w:rPr>
        <w:t>∗</w:t>
      </w:r>
      <w:r w:rsidRPr="00616F09">
        <w:t xml:space="preserve"> as a function of the electrode potential change during the reaction, shown for different potentials. The extrapolation to Δ</w:t>
      </w:r>
      <w:r w:rsidRPr="00691887">
        <w:rPr>
          <w:i/>
          <w:iCs/>
        </w:rPr>
        <w:t>U</w:t>
      </w:r>
      <w:r w:rsidRPr="00616F09">
        <w:t xml:space="preserve"> = 0 gives the free energy values at given potential (or proton coverage) in the limit when the potential does not change during the electron-transfer reaction. The slope of the extrapolation is fixed to the theoretical value of 1/2.</w:t>
      </w:r>
      <w:r>
        <w:t xml:space="preserve"> Reproduced </w:t>
      </w:r>
      <w:r w:rsidR="00F22BEB">
        <w:t xml:space="preserve">with permission </w:t>
      </w:r>
      <w:r>
        <w:t>from Ref.</w:t>
      </w:r>
      <w:r>
        <w:fldChar w:fldCharType="begin"/>
      </w:r>
      <w:r w:rsidR="00FC5BEB">
        <w:instrText xml:space="preserve"> ADDIN EN.CITE &lt;EndNote&gt;&lt;Cite&gt;&lt;Author&gt;Rossmeisl&lt;/Author&gt;&lt;Year&gt;2008&lt;/Year&gt;&lt;RecNum&gt;466&lt;/RecNum&gt;&lt;DisplayText&gt;&lt;style face="superscript"&gt;468&lt;/style&gt;&lt;/DisplayText&gt;&lt;record&gt;&lt;rec-number&gt;466&lt;/rec-number&gt;&lt;foreign-keys&gt;&lt;key app="EN" db-id="2xex0erf4eexr4e2dpbxpdd829xttesxxxdr" timestamp="1715075297"&gt;466&lt;/key&gt;&lt;/foreign-keys&gt;&lt;ref-type name="Journal Article"&gt;17&lt;/ref-type&gt;&lt;contributors&gt;&lt;authors&gt;&lt;author&gt;Rossmeisl, Jan&lt;/author&gt;&lt;author&gt;Skúlason, Egill&lt;/author&gt;&lt;author&gt;Björketun, Marten E.&lt;/author&gt;&lt;author&gt;Tripkovic, Vladimir&lt;/author&gt;&lt;author&gt;Nørskov, Jens K.&lt;/author&gt;&lt;/authors&gt;&lt;/contributors&gt;&lt;titles&gt;&lt;title&gt;Modeling the electrified solid-liquid interface&lt;/title&gt;&lt;secondary-title&gt;Chemical Physics Letters&lt;/secondary-title&gt;&lt;/titles&gt;&lt;periodical&gt;&lt;full-title&gt;Chemical Physics Letters&lt;/full-title&gt;&lt;abbr-1&gt;Chem. Phys. Lett.&lt;/abbr-1&gt;&lt;abbr-2&gt;Chem Phys Lett&lt;/abbr-2&gt;&lt;/periodical&gt;&lt;pages&gt;68-71&lt;/pages&gt;&lt;volume&gt;466&lt;/volume&gt;&lt;dates&gt;&lt;year&gt;2008&lt;/year&gt;&lt;/dates&gt;&lt;publisher&gt;Elsevier B.V.&lt;/publisher&gt;&lt;isbn&gt;0009-2614&lt;/isbn&gt;&lt;label&gt;OER_Review&lt;/label&gt;&lt;urls&gt;&lt;/urls&gt;&lt;electronic-resource-num&gt;10.1016/j.cplett.2008.10.024&lt;/electronic-resource-num&gt;&lt;/record&gt;&lt;/Cite&gt;&lt;/EndNote&gt;</w:instrText>
      </w:r>
      <w:r>
        <w:fldChar w:fldCharType="separate"/>
      </w:r>
      <w:r w:rsidR="00FC5BEB" w:rsidRPr="00FC5BEB">
        <w:rPr>
          <w:noProof/>
          <w:vertAlign w:val="superscript"/>
        </w:rPr>
        <w:t>468</w:t>
      </w:r>
      <w:r>
        <w:fldChar w:fldCharType="end"/>
      </w:r>
      <w:r w:rsidR="00453F92">
        <w:t xml:space="preserve"> Copyright 2008 Elsevier.</w:t>
      </w:r>
    </w:p>
    <w:p w14:paraId="02E942D1" w14:textId="75FAA629" w:rsidR="00723BD4" w:rsidRDefault="00723BD4" w:rsidP="005C7322">
      <w:pPr>
        <w:ind w:firstLine="720"/>
      </w:pPr>
      <w:r>
        <w:t xml:space="preserve">Another early attempt at modeling the electrified electrode/electrolyte interface is the work by </w:t>
      </w:r>
      <w:proofErr w:type="spellStart"/>
      <w:r>
        <w:t>Filhol</w:t>
      </w:r>
      <w:proofErr w:type="spellEnd"/>
      <w:r>
        <w:t xml:space="preserve"> and Neurock,</w:t>
      </w:r>
      <w:r>
        <w:fldChar w:fldCharType="begin">
          <w:fldData xml:space="preserve">PEVuZE5vdGU+PENpdGU+PEF1dGhvcj5GaWxob2w8L0F1dGhvcj48WWVhcj4yMDA2PC9ZZWFyPjxS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</w:fldData>
        </w:fldChar>
      </w:r>
      <w:r w:rsidR="00FC5BEB">
        <w:instrText xml:space="preserve"> ADDIN EN.CITE </w:instrText>
      </w:r>
      <w:r w:rsidR="00FC5BEB">
        <w:fldChar w:fldCharType="begin">
          <w:fldData xml:space="preserve">PEVuZE5vdGU+PENpdGU+PEF1dGhvcj5GaWxob2w8L0F1dGhvcj48WWVhcj4yMDA2PC9ZZWFyPjxS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</w:fldData>
        </w:fldChar>
      </w:r>
      <w:r w:rsidR="00FC5BEB">
        <w:instrText xml:space="preserve"> ADDIN EN.CITE.DATA </w:instrText>
      </w:r>
      <w:r w:rsidR="00FC5BEB">
        <w:fldChar w:fldCharType="end"/>
      </w:r>
      <w:r>
        <w:fldChar w:fldCharType="separate"/>
      </w:r>
      <w:r w:rsidR="00FC5BEB" w:rsidRPr="00FC5BEB">
        <w:rPr>
          <w:noProof/>
          <w:vertAlign w:val="superscript"/>
        </w:rPr>
        <w:t>470, 471</w:t>
      </w:r>
      <w:r>
        <w:fldChar w:fldCharType="end"/>
      </w:r>
      <w:r>
        <w:t xml:space="preserve"> who</w:t>
      </w:r>
      <w:r w:rsidR="003D5B36">
        <w:t>,</w:t>
      </w:r>
      <w:r>
        <w:t xml:space="preserve"> in 2006</w:t>
      </w:r>
      <w:r w:rsidR="003D5B36">
        <w:t>,</w:t>
      </w:r>
      <w:r>
        <w:t xml:space="preserve"> </w:t>
      </w:r>
      <w:r w:rsidR="003D5B36">
        <w:t xml:space="preserve">introduced </w:t>
      </w:r>
      <w:r>
        <w:t xml:space="preserve">the "double reference" method. The authors modeled a metallic slab in contact with explicit water and performed calculations varying the number of electrons in the system. Charge neutrality was ensured by the uniform background charge applied in periodic calculations to avoid the divergence of the total energy in non-neutral systems. While in real systems the charging of the electrode would be compensated by a change in the concentration of the counterions in the EDL, here the role of the counterions is played by the uniform background charge. Inserting a vacuum layer inside the liquid region, the authors obtained a reference level to measure the potential in various region of the systems. By assuming that the potential inside the electrode is not influenced by the presence or absence of the vacuum region, the authors obtained a second reference potential, used to monitor the changes induced by the variation of the electronic </w:t>
      </w:r>
      <w:r>
        <w:lastRenderedPageBreak/>
        <w:t xml:space="preserve">charge of the system. With this approach, </w:t>
      </w:r>
      <w:proofErr w:type="spellStart"/>
      <w:r>
        <w:t>Filhol</w:t>
      </w:r>
      <w:proofErr w:type="spellEnd"/>
      <w:r>
        <w:t xml:space="preserve"> and </w:t>
      </w:r>
      <w:proofErr w:type="spellStart"/>
      <w:r>
        <w:t>Neurock</w:t>
      </w:r>
      <w:proofErr w:type="spellEnd"/>
      <w:r>
        <w:t xml:space="preserve"> modeled the activation of water at the Pd(111) surface, obtaining the phase diagram of the system as a function of the applied bias,</w:t>
      </w:r>
      <w:r>
        <w:fldChar w:fldCharType="begin"/>
      </w:r>
      <w:r w:rsidR="00FC5BEB">
        <w:instrText xml:space="preserve"> ADDIN EN.CITE &lt;EndNote&gt;&lt;Cite&gt;&lt;Author&gt;Filhol&lt;/Author&gt;&lt;Year&gt;2006&lt;/Year&gt;&lt;RecNum&gt;468&lt;/RecNum&gt;&lt;DisplayText&gt;&lt;style face="superscript"&gt;470&lt;/style&gt;&lt;/DisplayText&gt;&lt;record&gt;&lt;rec-number&gt;468&lt;/rec-number&gt;&lt;foreign-keys&gt;&lt;key app="EN" db-id="2xex0erf4eexr4e2dpbxpdd829xttesxxxdr" timestamp="1715075297"&gt;468&lt;/key&gt;&lt;/foreign-keys&gt;&lt;ref-type name="Journal Article"&gt;17&lt;/ref-type&gt;&lt;contributors&gt;&lt;authors&gt;&lt;author&gt;Filhol, Jean-Sebastien&lt;/author&gt;&lt;author&gt;Neurock, Matthew&lt;/author&gt;&lt;/authors&gt;&lt;/contributors&gt;&lt;titles&gt;&lt;title&gt;Elucidation of the Electrochemical Activation of Water over Pd by First Principles&lt;/title&gt;&lt;secondary-title&gt;Angewandte Chemie International Edition&lt;/secondary-title&gt;&lt;/titles&gt;&lt;periodical&gt;&lt;full-title&gt;Angewandte Chemie International Edition&lt;/full-title&gt;&lt;abbr-1&gt;Angew. Chem. Int. Ed.&lt;/abbr-1&gt;&lt;abbr-2&gt;Angew Chem Int Ed&lt;/abbr-2&gt;&lt;/periodical&gt;&lt;pages&gt;403-406&lt;/pages&gt;&lt;dates&gt;&lt;year&gt;2006&lt;/year&gt;&lt;/dates&gt;&lt;isbn&gt;4349822658&lt;/isbn&gt;&lt;label&gt;OER_Review&lt;/label&gt;&lt;urls&gt;&lt;/urls&gt;&lt;electronic-resource-num&gt;10.1002/anie.200502540&lt;/electronic-resource-num&gt;&lt;/record&gt;&lt;/Cite&gt;&lt;/EndNote&gt;</w:instrText>
      </w:r>
      <w:r>
        <w:fldChar w:fldCharType="separate"/>
      </w:r>
      <w:r w:rsidR="00FC5BEB" w:rsidRPr="00FC5BEB">
        <w:rPr>
          <w:noProof/>
          <w:vertAlign w:val="superscript"/>
        </w:rPr>
        <w:t>470</w:t>
      </w:r>
      <w:r>
        <w:fldChar w:fldCharType="end"/>
      </w:r>
      <w:r>
        <w:t xml:space="preserve"> monitoring the following two equilibria: </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797"/>
        <w:gridCol w:w="141"/>
        <w:gridCol w:w="1134"/>
      </w:tblGrid>
      <w:tr w:rsidR="00E2020B" w:rsidRPr="007C7CBE" w14:paraId="50A6BDF1" w14:textId="77777777" w:rsidTr="00E2020B">
        <w:tc>
          <w:tcPr>
            <w:tcW w:w="7797" w:type="dxa"/>
            <w:tcMar>
              <w:left w:w="28" w:type="dxa"/>
              <w:right w:w="28" w:type="dxa"/>
            </w:tcMar>
            <w:vAlign w:val="center"/>
          </w:tcPr>
          <w:p w14:paraId="2ACE8413" w14:textId="27FA4BFE" w:rsidR="00E2020B" w:rsidRPr="00BF3A65" w:rsidRDefault="00BF3A65" w:rsidP="00E2020B">
            <w:pPr>
              <w:spacing w:before="60" w:after="60"/>
              <w:jc w:val="right"/>
              <w:rPr>
                <w:bCs/>
                <w:iCs/>
                <w:sz w:val="20"/>
                <w:szCs w:val="20"/>
              </w:rPr>
            </w:pPr>
            <m:oMathPara>
              <m:oMath>
                <m:r>
                  <m:rPr>
                    <m:sty m:val="p"/>
                  </m:rPr>
                  <w:rPr>
                    <w:rFonts w:ascii="Cambria Math" w:hAnsi="Cambria Math"/>
                    <w:sz w:val="20"/>
                    <w:szCs w:val="20"/>
                  </w:rPr>
                  <m:t>Pd-</m:t>
                </m:r>
                <m:sSub>
                  <m:sSubPr>
                    <m:ctrlPr>
                      <w:rPr>
                        <w:rFonts w:ascii="Cambria Math" w:hAnsi="Cambria Math"/>
                        <w:iCs/>
                        <w:sz w:val="20"/>
                        <w:szCs w:val="20"/>
                      </w:rPr>
                    </m:ctrlPr>
                  </m:sSubPr>
                  <m:e>
                    <m:r>
                      <m:rPr>
                        <m:sty m:val="p"/>
                      </m:rPr>
                      <w:rPr>
                        <w:rFonts w:ascii="Cambria Math" w:hAnsi="Cambria Math"/>
                        <w:sz w:val="20"/>
                        <w:szCs w:val="20"/>
                      </w:rPr>
                      <m:t>H</m:t>
                    </m:r>
                  </m:e>
                  <m:sub>
                    <m:r>
                      <m:rPr>
                        <m:sty m:val="p"/>
                      </m:rPr>
                      <w:rPr>
                        <w:rFonts w:ascii="Cambria Math" w:hAnsi="Cambria Math"/>
                        <w:sz w:val="20"/>
                        <w:szCs w:val="20"/>
                      </w:rPr>
                      <m:t>2</m:t>
                    </m:r>
                  </m:sub>
                </m:sSub>
                <m:r>
                  <m:rPr>
                    <m:sty m:val="p"/>
                  </m:rPr>
                  <w:rPr>
                    <w:rFonts w:ascii="Cambria Math" w:hAnsi="Cambria Math"/>
                    <w:sz w:val="20"/>
                    <w:szCs w:val="20"/>
                  </w:rPr>
                  <m:t xml:space="preserve">O + </m:t>
                </m:r>
                <m:sSup>
                  <m:sSupPr>
                    <m:ctrlPr>
                      <w:rPr>
                        <w:rFonts w:ascii="Cambria Math" w:hAnsi="Cambria Math"/>
                        <w:sz w:val="20"/>
                        <w:szCs w:val="20"/>
                      </w:rPr>
                    </m:ctrlPr>
                  </m:sSupPr>
                  <m:e>
                    <m:r>
                      <w:rPr>
                        <w:rFonts w:ascii="Cambria Math" w:hAnsi="Cambria Math"/>
                        <w:sz w:val="20"/>
                        <w:szCs w:val="20"/>
                      </w:rPr>
                      <m:t>e</m:t>
                    </m:r>
                  </m:e>
                  <m:sup>
                    <m:r>
                      <w:rPr>
                        <w:rFonts w:ascii="Cambria Math" w:hAnsi="Cambria Math"/>
                        <w:sz w:val="20"/>
                        <w:szCs w:val="20"/>
                      </w:rPr>
                      <m:t>-</m:t>
                    </m:r>
                  </m:sup>
                </m:sSup>
                <m:r>
                  <m:rPr>
                    <m:sty m:val="p"/>
                  </m:rPr>
                  <w:rPr>
                    <w:rFonts w:ascii="Cambria Math" w:hAnsi="Cambria Math"/>
                    <w:sz w:val="20"/>
                    <w:szCs w:val="20"/>
                  </w:rPr>
                  <m:t xml:space="preserve"> ⇄Pd-H + O</m:t>
                </m:r>
                <m:sSup>
                  <m:sSupPr>
                    <m:ctrlPr>
                      <w:rPr>
                        <w:rFonts w:ascii="Cambria Math" w:hAnsi="Cambria Math"/>
                        <w:iCs/>
                        <w:sz w:val="20"/>
                        <w:szCs w:val="20"/>
                      </w:rPr>
                    </m:ctrlPr>
                  </m:sSupPr>
                  <m:e>
                    <m:r>
                      <m:rPr>
                        <m:sty m:val="p"/>
                      </m:rPr>
                      <w:rPr>
                        <w:rFonts w:ascii="Cambria Math" w:hAnsi="Cambria Math"/>
                        <w:sz w:val="20"/>
                        <w:szCs w:val="20"/>
                      </w:rPr>
                      <m:t>H</m:t>
                    </m:r>
                  </m:e>
                  <m:sup>
                    <m:r>
                      <m:rPr>
                        <m:sty m:val="p"/>
                      </m:rPr>
                      <w:rPr>
                        <w:rFonts w:ascii="Cambria Math" w:hAnsi="Cambria Math"/>
                        <w:sz w:val="20"/>
                        <w:szCs w:val="20"/>
                      </w:rPr>
                      <m:t>-</m:t>
                    </m:r>
                  </m:sup>
                </m:sSup>
              </m:oMath>
            </m:oMathPara>
          </w:p>
        </w:tc>
        <w:tc>
          <w:tcPr>
            <w:tcW w:w="1275" w:type="dxa"/>
            <w:gridSpan w:val="2"/>
            <w:tcMar>
              <w:left w:w="28" w:type="dxa"/>
              <w:right w:w="28" w:type="dxa"/>
            </w:tcMar>
            <w:vAlign w:val="center"/>
          </w:tcPr>
          <w:p w14:paraId="4FAD9129" w14:textId="0162A0B1" w:rsidR="00E2020B" w:rsidRPr="007C7CBE" w:rsidRDefault="00E2020B" w:rsidP="00E2020B">
            <w:pPr>
              <w:keepNext/>
              <w:jc w:val="right"/>
              <w:rPr>
                <w:bCs/>
                <w:sz w:val="20"/>
                <w:szCs w:val="20"/>
              </w:rPr>
            </w:pPr>
            <w:r w:rsidRPr="007C7CBE">
              <w:rPr>
                <w:sz w:val="20"/>
                <w:szCs w:val="20"/>
              </w:rPr>
              <w:t xml:space="preserve">Equation </w:t>
            </w:r>
            <w:r w:rsidRPr="007C7CBE">
              <w:rPr>
                <w:sz w:val="20"/>
                <w:szCs w:val="20"/>
              </w:rPr>
              <w:fldChar w:fldCharType="begin"/>
            </w:r>
            <w:r w:rsidRPr="007C7CBE">
              <w:rPr>
                <w:sz w:val="20"/>
                <w:szCs w:val="20"/>
              </w:rPr>
              <w:instrText xml:space="preserve"> SEQ Equation \* ARABIC </w:instrText>
            </w:r>
            <w:r w:rsidRPr="007C7CBE">
              <w:rPr>
                <w:sz w:val="20"/>
                <w:szCs w:val="20"/>
              </w:rPr>
              <w:fldChar w:fldCharType="separate"/>
            </w:r>
            <w:r w:rsidR="00B7319C">
              <w:rPr>
                <w:noProof/>
                <w:sz w:val="20"/>
                <w:szCs w:val="20"/>
              </w:rPr>
              <w:t>73</w:t>
            </w:r>
            <w:r w:rsidRPr="007C7CBE">
              <w:rPr>
                <w:sz w:val="20"/>
                <w:szCs w:val="20"/>
              </w:rPr>
              <w:fldChar w:fldCharType="end"/>
            </w:r>
          </w:p>
        </w:tc>
      </w:tr>
      <w:tr w:rsidR="007C7CBE" w:rsidRPr="007C7CBE" w14:paraId="4635C5BD" w14:textId="77777777" w:rsidTr="00DE0988">
        <w:tc>
          <w:tcPr>
            <w:tcW w:w="7938" w:type="dxa"/>
            <w:gridSpan w:val="2"/>
            <w:tcMar>
              <w:left w:w="28" w:type="dxa"/>
              <w:right w:w="28" w:type="dxa"/>
            </w:tcMar>
            <w:vAlign w:val="center"/>
          </w:tcPr>
          <w:p w14:paraId="07515EDF" w14:textId="4842242B" w:rsidR="007C7CBE" w:rsidRPr="00BF3A65" w:rsidRDefault="00BF3A65" w:rsidP="00E45E28">
            <w:pPr>
              <w:spacing w:before="60" w:after="60"/>
              <w:rPr>
                <w:bCs/>
                <w:iCs/>
                <w:sz w:val="20"/>
                <w:szCs w:val="20"/>
              </w:rPr>
            </w:pPr>
            <m:oMathPara>
              <m:oMath>
                <m:r>
                  <m:rPr>
                    <m:sty m:val="p"/>
                  </m:rPr>
                  <w:rPr>
                    <w:rFonts w:ascii="Cambria Math" w:hAnsi="Cambria Math"/>
                    <w:sz w:val="20"/>
                    <w:szCs w:val="20"/>
                  </w:rPr>
                  <m:t xml:space="preserve">Pd-OH + </m:t>
                </m:r>
                <m:sSup>
                  <m:sSupPr>
                    <m:ctrlPr>
                      <w:rPr>
                        <w:rFonts w:ascii="Cambria Math" w:hAnsi="Cambria Math"/>
                        <w:iCs/>
                        <w:sz w:val="20"/>
                        <w:szCs w:val="20"/>
                      </w:rPr>
                    </m:ctrlPr>
                  </m:sSupPr>
                  <m:e>
                    <m:r>
                      <m:rPr>
                        <m:sty m:val="p"/>
                      </m:rPr>
                      <w:rPr>
                        <w:rFonts w:ascii="Cambria Math" w:hAnsi="Cambria Math"/>
                        <w:sz w:val="20"/>
                        <w:szCs w:val="20"/>
                      </w:rPr>
                      <m:t>H</m:t>
                    </m:r>
                  </m:e>
                  <m:sup>
                    <m:r>
                      <m:rPr>
                        <m:sty m:val="p"/>
                      </m:rPr>
                      <w:rPr>
                        <w:rFonts w:ascii="Cambria Math" w:hAnsi="Cambria Math"/>
                        <w:sz w:val="20"/>
                        <w:szCs w:val="20"/>
                      </w:rPr>
                      <m:t>+</m:t>
                    </m:r>
                  </m:sup>
                </m:sSup>
                <m:r>
                  <m:rPr>
                    <m:sty m:val="p"/>
                  </m:rPr>
                  <w:rPr>
                    <w:rFonts w:ascii="Cambria Math" w:hAnsi="Cambria Math"/>
                    <w:sz w:val="20"/>
                    <w:szCs w:val="20"/>
                  </w:rPr>
                  <m:t>+</m:t>
                </m:r>
                <m:sSup>
                  <m:sSupPr>
                    <m:ctrlPr>
                      <w:rPr>
                        <w:rFonts w:ascii="Cambria Math" w:hAnsi="Cambria Math"/>
                        <w:sz w:val="20"/>
                        <w:szCs w:val="20"/>
                      </w:rPr>
                    </m:ctrlPr>
                  </m:sSupPr>
                  <m:e>
                    <m:r>
                      <w:rPr>
                        <w:rFonts w:ascii="Cambria Math" w:hAnsi="Cambria Math"/>
                        <w:sz w:val="20"/>
                        <w:szCs w:val="20"/>
                      </w:rPr>
                      <m:t>e</m:t>
                    </m:r>
                  </m:e>
                  <m:sup>
                    <m:r>
                      <w:rPr>
                        <w:rFonts w:ascii="Cambria Math" w:hAnsi="Cambria Math"/>
                        <w:sz w:val="20"/>
                        <w:szCs w:val="20"/>
                      </w:rPr>
                      <m:t>-</m:t>
                    </m:r>
                  </m:sup>
                </m:sSup>
                <m:r>
                  <m:rPr>
                    <m:sty m:val="p"/>
                  </m:rPr>
                  <w:rPr>
                    <w:rFonts w:ascii="Cambria Math" w:hAnsi="Cambria Math"/>
                    <w:sz w:val="20"/>
                    <w:szCs w:val="20"/>
                  </w:rPr>
                  <m:t xml:space="preserve"> ⇄Pd-</m:t>
                </m:r>
                <m:sSub>
                  <m:sSubPr>
                    <m:ctrlPr>
                      <w:rPr>
                        <w:rFonts w:ascii="Cambria Math" w:hAnsi="Cambria Math"/>
                        <w:iCs/>
                        <w:sz w:val="20"/>
                        <w:szCs w:val="20"/>
                      </w:rPr>
                    </m:ctrlPr>
                  </m:sSubPr>
                  <m:e>
                    <m:r>
                      <m:rPr>
                        <m:sty m:val="p"/>
                      </m:rPr>
                      <w:rPr>
                        <w:rFonts w:ascii="Cambria Math" w:hAnsi="Cambria Math"/>
                        <w:sz w:val="20"/>
                        <w:szCs w:val="20"/>
                      </w:rPr>
                      <m:t>H</m:t>
                    </m:r>
                  </m:e>
                  <m:sub>
                    <m:r>
                      <m:rPr>
                        <m:sty m:val="p"/>
                      </m:rPr>
                      <w:rPr>
                        <w:rFonts w:ascii="Cambria Math" w:hAnsi="Cambria Math"/>
                        <w:sz w:val="20"/>
                        <w:szCs w:val="20"/>
                      </w:rPr>
                      <m:t>2</m:t>
                    </m:r>
                  </m:sub>
                </m:sSub>
                <m:r>
                  <m:rPr>
                    <m:sty m:val="p"/>
                  </m:rPr>
                  <w:rPr>
                    <w:rFonts w:ascii="Cambria Math" w:hAnsi="Cambria Math"/>
                    <w:sz w:val="20"/>
                    <w:szCs w:val="20"/>
                  </w:rPr>
                  <m:t>O</m:t>
                </m:r>
              </m:oMath>
            </m:oMathPara>
          </w:p>
        </w:tc>
        <w:tc>
          <w:tcPr>
            <w:tcW w:w="1134" w:type="dxa"/>
            <w:tcMar>
              <w:left w:w="28" w:type="dxa"/>
              <w:right w:w="28" w:type="dxa"/>
            </w:tcMar>
            <w:vAlign w:val="center"/>
          </w:tcPr>
          <w:p w14:paraId="57B141CA" w14:textId="0067CC0F" w:rsidR="007C7CBE" w:rsidRPr="007C7CBE" w:rsidRDefault="007C7CBE" w:rsidP="00E45E28">
            <w:pPr>
              <w:keepNext/>
              <w:jc w:val="right"/>
              <w:rPr>
                <w:bCs/>
                <w:sz w:val="20"/>
                <w:szCs w:val="20"/>
              </w:rPr>
            </w:pPr>
            <w:r w:rsidRPr="007C7CBE">
              <w:rPr>
                <w:sz w:val="20"/>
                <w:szCs w:val="20"/>
              </w:rPr>
              <w:t xml:space="preserve">Equation </w:t>
            </w:r>
            <w:r w:rsidRPr="007C7CBE">
              <w:rPr>
                <w:sz w:val="20"/>
                <w:szCs w:val="20"/>
              </w:rPr>
              <w:fldChar w:fldCharType="begin"/>
            </w:r>
            <w:r w:rsidRPr="007C7CBE">
              <w:rPr>
                <w:sz w:val="20"/>
                <w:szCs w:val="20"/>
              </w:rPr>
              <w:instrText xml:space="preserve"> SEQ Equation \* ARABIC </w:instrText>
            </w:r>
            <w:r w:rsidRPr="007C7CBE">
              <w:rPr>
                <w:sz w:val="20"/>
                <w:szCs w:val="20"/>
              </w:rPr>
              <w:fldChar w:fldCharType="separate"/>
            </w:r>
            <w:r w:rsidR="00B7319C">
              <w:rPr>
                <w:noProof/>
                <w:sz w:val="20"/>
                <w:szCs w:val="20"/>
              </w:rPr>
              <w:t>74</w:t>
            </w:r>
            <w:r w:rsidRPr="007C7CBE">
              <w:rPr>
                <w:sz w:val="20"/>
                <w:szCs w:val="20"/>
              </w:rPr>
              <w:fldChar w:fldCharType="end"/>
            </w:r>
          </w:p>
        </w:tc>
      </w:tr>
    </w:tbl>
    <w:p w14:paraId="4281FEE7" w14:textId="11A82B05" w:rsidR="00723BD4" w:rsidRDefault="00723BD4" w:rsidP="00723BD4">
      <w:r>
        <w:t>The authors considered a static model of the EDL, i.e. no attempt was made at sampling the structure of the liquid phase. In spite of these limitations, this is one of the first periodic DFT calculations aimed at modeling the effects of an applied potential, obtained by varying the charge of the system, on the energetics of an electrochemical process.</w:t>
      </w:r>
    </w:p>
    <w:p w14:paraId="101CBEF6" w14:textId="77777777" w:rsidR="00723BD4" w:rsidRDefault="00723BD4" w:rsidP="00723BD4"/>
    <w:p w14:paraId="39D68B14" w14:textId="4A14FB68" w:rsidR="00723BD4" w:rsidRDefault="00723BD4" w:rsidP="005C7322">
      <w:pPr>
        <w:ind w:firstLine="720"/>
      </w:pPr>
      <w:r>
        <w:t xml:space="preserve">An alternative approach to model the electrified solid/liquid interface was proposed in 2006 by Otani and </w:t>
      </w:r>
      <w:proofErr w:type="spellStart"/>
      <w:r>
        <w:t>Sugino</w:t>
      </w:r>
      <w:proofErr w:type="spellEnd"/>
      <w:r>
        <w:t>, who introduced the effective screening medium (ESM) approach</w:t>
      </w:r>
      <w:r>
        <w:fldChar w:fldCharType="begin"/>
      </w:r>
      <w:r w:rsidR="00FC5BEB">
        <w:instrText xml:space="preserve"> ADDIN EN.CITE &lt;EndNote&gt;&lt;Cite&gt;&lt;Author&gt;Otani&lt;/Author&gt;&lt;Year&gt;2006&lt;/Year&gt;&lt;RecNum&gt;470&lt;/RecNum&gt;&lt;DisplayText&gt;&lt;style face="superscript"&gt;472&lt;/style&gt;&lt;/DisplayText&gt;&lt;record&gt;&lt;rec-number&gt;470&lt;/rec-number&gt;&lt;foreign-keys&gt;&lt;key app="EN" db-id="2xex0erf4eexr4e2dpbxpdd829xttesxxxdr" timestamp="1715075297"&gt;470&lt;/key&gt;&lt;/foreign-keys&gt;&lt;ref-type name="Journal Article"&gt;17&lt;/ref-type&gt;&lt;contributors&gt;&lt;authors&gt;&lt;author&gt;Otani, M.&lt;/author&gt;&lt;author&gt;Sugino, O.&lt;/author&gt;&lt;/authors&gt;&lt;/contributors&gt;&lt;titles&gt;&lt;title&gt;First-principles calculations of charged surfaces and interfaces: A plane-wave nonrepeated slab approach&lt;/title&gt;&lt;secondary-title&gt;Physical Review B&lt;/secondary-title&gt;&lt;/titles&gt;&lt;periodical&gt;&lt;full-title&gt;Physical Review B&lt;/full-title&gt;&lt;abbr-1&gt;Phys. Rev. B&lt;/abbr-1&gt;&lt;abbr-2&gt;Phys Rev B&lt;/abbr-2&gt;&lt;/periodical&gt;&lt;pages&gt;115407&lt;/pages&gt;&lt;volume&gt;73&lt;/volume&gt;&lt;dates&gt;&lt;year&gt;2006&lt;/year&gt;&lt;/dates&gt;&lt;isbn&gt;1098-0121&lt;/isbn&gt;&lt;accession-num&gt;236467300127&lt;/accession-num&gt;&lt;label&gt;OER_Review&lt;/label&gt;&lt;urls&gt;&lt;/urls&gt;&lt;electronic-resource-num&gt;10.1103/PhysRevB.73.115407&lt;/electronic-resource-num&gt;&lt;/record&gt;&lt;/Cite&gt;&lt;/EndNote&gt;</w:instrText>
      </w:r>
      <w:r>
        <w:fldChar w:fldCharType="separate"/>
      </w:r>
      <w:r w:rsidR="00FC5BEB" w:rsidRPr="00FC5BEB">
        <w:rPr>
          <w:noProof/>
          <w:vertAlign w:val="superscript"/>
        </w:rPr>
        <w:t>472</w:t>
      </w:r>
      <w:r>
        <w:fldChar w:fldCharType="end"/>
      </w:r>
      <w:r>
        <w:t xml:space="preserve"> to model charged surfaces in contact with a dielectric. The authors solved the Poisson equation to determine the electrostatic potential retaining the periodicity only in the plane parallel to </w:t>
      </w:r>
      <w:r w:rsidR="00CF1234">
        <w:t xml:space="preserve">the </w:t>
      </w:r>
      <w:r>
        <w:t xml:space="preserve">surface, while imposing different boundary conditions in the normal direction, via the use </w:t>
      </w:r>
      <w:r w:rsidR="005A62EF">
        <w:t xml:space="preserve">of </w:t>
      </w:r>
      <w:r>
        <w:t xml:space="preserve">the Green's function technique. The electrolyte was modeled via the modified </w:t>
      </w:r>
      <w:r w:rsidRPr="00FB7B2A">
        <w:t>Poisson-Boltzmann</w:t>
      </w:r>
      <w:r>
        <w:t xml:space="preserve"> </w:t>
      </w:r>
      <w:r w:rsidRPr="00FB7B2A">
        <w:t>model</w:t>
      </w:r>
      <w:r>
        <w:t xml:space="preserve">. This approach allows to impose a bias by fixing the electron chemical potential </w:t>
      </w:r>
      <w:r w:rsidRPr="006A2141">
        <w:rPr>
          <w:rFonts w:ascii="Symbol" w:hAnsi="Symbol"/>
          <w:i/>
          <w:iCs/>
        </w:rPr>
        <w:t></w:t>
      </w:r>
      <w:r w:rsidR="00BE00EB" w:rsidRPr="00EF55AE">
        <w:rPr>
          <w:vertAlign w:val="subscript"/>
        </w:rPr>
        <w:t>e</w:t>
      </w:r>
      <w:r w:rsidR="00C05100">
        <w:rPr>
          <w:i/>
          <w:iCs/>
          <w:vertAlign w:val="subscript"/>
        </w:rPr>
        <w:t>-</w:t>
      </w:r>
      <w:r>
        <w:t xml:space="preserve">, obtaining the number of the electrons self-consistently, similarly to </w:t>
      </w:r>
      <w:proofErr w:type="spellStart"/>
      <w:r>
        <w:t>Lozovoi</w:t>
      </w:r>
      <w:proofErr w:type="spellEnd"/>
      <w:r>
        <w:t xml:space="preserve"> </w:t>
      </w:r>
      <w:r w:rsidRPr="00596181">
        <w:rPr>
          <w:i/>
        </w:rPr>
        <w:t>et al</w:t>
      </w:r>
      <w:r>
        <w:t>.'s scheme to treat charged slabs.</w:t>
      </w:r>
      <w:r>
        <w:fldChar w:fldCharType="begin">
          <w:fldData xml:space="preserve">PEVuZE5vdGU+PENpdGU+PEF1dGhvcj5Mb3pvdm9pPC9BdXRob3I+PFllYXI+MjAwMTwvWWVhcj48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</w:fldData>
        </w:fldChar>
      </w:r>
      <w:r w:rsidR="00FC5BEB">
        <w:instrText xml:space="preserve"> ADDIN EN.CITE </w:instrText>
      </w:r>
      <w:r w:rsidR="00FC5BEB">
        <w:fldChar w:fldCharType="begin">
          <w:fldData xml:space="preserve">PEVuZE5vdGU+PENpdGU+PEF1dGhvcj5Mb3pvdm9pPC9BdXRob3I+PFllYXI+MjAwMTwvWWVhcj48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</w:fldData>
        </w:fldChar>
      </w:r>
      <w:r w:rsidR="00FC5BEB">
        <w:instrText xml:space="preserve"> ADDIN EN.CITE.DATA </w:instrText>
      </w:r>
      <w:r w:rsidR="00FC5BEB">
        <w:fldChar w:fldCharType="end"/>
      </w:r>
      <w:r>
        <w:fldChar w:fldCharType="separate"/>
      </w:r>
      <w:r w:rsidR="00FC5BEB" w:rsidRPr="00FC5BEB">
        <w:rPr>
          <w:noProof/>
          <w:vertAlign w:val="superscript"/>
        </w:rPr>
        <w:t>473</w:t>
      </w:r>
      <w:r>
        <w:fldChar w:fldCharType="end"/>
      </w:r>
      <w:r>
        <w:t xml:space="preserve"> This approach gives the grand potential as a function of </w:t>
      </w:r>
      <w:r w:rsidRPr="006A2141">
        <w:rPr>
          <w:rFonts w:ascii="Symbol" w:hAnsi="Symbol"/>
          <w:i/>
          <w:iCs/>
        </w:rPr>
        <w:t></w:t>
      </w:r>
      <w:r w:rsidR="00BE00EB" w:rsidRPr="00EF55AE">
        <w:rPr>
          <w:vertAlign w:val="subscript"/>
        </w:rPr>
        <w:t>e</w:t>
      </w:r>
      <w:r w:rsidR="00C05100">
        <w:rPr>
          <w:i/>
          <w:iCs/>
          <w:vertAlign w:val="subscript"/>
        </w:rPr>
        <w:t>-</w:t>
      </w:r>
      <w:r>
        <w:t xml:space="preserve"> and allows one to discuss the stability of different surface structures as a function of the applied bias. </w:t>
      </w:r>
      <w:r w:rsidRPr="00F47023">
        <w:t>Nong et al. used these scheme</w:t>
      </w:r>
      <w:r w:rsidR="0045303C">
        <w:t>s</w:t>
      </w:r>
      <w:r w:rsidRPr="00F47023">
        <w:t xml:space="preserve"> to model the kinetics of the OER on the IrO</w:t>
      </w:r>
      <w:r w:rsidRPr="00F47023">
        <w:rPr>
          <w:vertAlign w:val="subscript"/>
        </w:rPr>
        <w:t>2</w:t>
      </w:r>
      <w:r w:rsidRPr="00F47023">
        <w:t>(110) surface at constant potential</w:t>
      </w:r>
      <w:r>
        <w:t>.</w:t>
      </w:r>
      <w:r w:rsidR="0045303C">
        <w:fldChar w:fldCharType="begin"/>
      </w:r>
      <w:r w:rsidR="0045303C">
        <w:instrText xml:space="preserve"> ADDIN EN.CITE &lt;EndNote&gt;&lt;Cite&gt;&lt;Author&gt;Nong&lt;/Author&gt;&lt;Year&gt;2020&lt;/Year&gt;&lt;RecNum&gt;63&lt;/RecNum&gt;&lt;DisplayText&gt;&lt;style face="superscript"&gt;63&lt;/style&gt;&lt;/DisplayText&gt;&lt;record&gt;&lt;rec-number&gt;63&lt;/rec-number&gt;&lt;foreign-keys&gt;&lt;key app="EN" db-id="2xex0erf4eexr4e2dpbxpdd829xttesxxxdr" timestamp="1715075296"&gt;63&lt;/key&gt;&lt;/foreign-keys&gt;&lt;ref-type name="Journal Article"&gt;17&lt;/ref-type&gt;&lt;contributors&gt;&lt;authors&gt;&lt;author&gt;Nong, Hong Nhan&lt;/author&gt;&lt;author&gt;Falling, Lorenz J.&lt;/author&gt;&lt;author&gt;Bergmann, Arno&lt;/author&gt;&lt;author&gt;Klingenhof, Malte&lt;/author&gt;&lt;author&gt;Tran, Hoang Phi&lt;/author&gt;&lt;author&gt;Spöri, Camillo&lt;/author&gt;&lt;author&gt;Mom, Rik&lt;/author&gt;&lt;author&gt;Timoshenko, Janis&lt;/author&gt;&lt;author&gt;Zichittella, Guido&lt;/author&gt;&lt;author&gt;Knop-Gericke, Axel&lt;/author&gt;&lt;author&gt;Piccinin, Simone&lt;/author&gt;&lt;author&gt;Pérez-Ramírez, Javier&lt;/author&gt;&lt;author&gt;Cuenya, Beatriz Roldan&lt;/author&gt;&lt;author&gt;Schlögl, Robert&lt;/author&gt;&lt;author&gt;Strasser, Peter&lt;/author&gt;&lt;author&gt;Teschner, Detre&lt;/author&gt;&lt;author&gt;Jones, Travis E.&lt;/author&gt;&lt;/authors&gt;&lt;/contributors&gt;&lt;titles&gt;&lt;title&gt;Key role of chemistry versus bias in electrocatalytic oxygen evolution&lt;/title&gt;&lt;secondary-title&gt;Nature&lt;/secondary-title&gt;&lt;/titles&gt;&lt;pages&gt;408-413&lt;/pages&gt;&lt;volume&gt;587&lt;/volume&gt;&lt;number&gt;7834&lt;/number&gt;&lt;dates&gt;&lt;year&gt;2020&lt;/year&gt;&lt;pub-dates&gt;&lt;date&gt;2020/11/01&lt;/date&gt;&lt;/pub-dates&gt;&lt;/dates&gt;&lt;isbn&gt;1476-4687&lt;/isbn&gt;&lt;urls&gt;&lt;related-urls&gt;&lt;url&gt;https://doi.org/10.1038/s41586-020-2908-2&lt;/url&gt;&lt;/related-urls&gt;&lt;/urls&gt;&lt;electronic-resource-num&gt;10.1038/s41586-020-2908-2&lt;/electronic-resource-num&gt;&lt;/record&gt;&lt;/Cite&gt;&lt;/EndNote&gt;</w:instrText>
      </w:r>
      <w:r w:rsidR="0045303C">
        <w:fldChar w:fldCharType="separate"/>
      </w:r>
      <w:r w:rsidR="0045303C" w:rsidRPr="0045303C">
        <w:rPr>
          <w:noProof/>
          <w:vertAlign w:val="superscript"/>
        </w:rPr>
        <w:t>63</w:t>
      </w:r>
      <w:r w:rsidR="0045303C">
        <w:fldChar w:fldCharType="end"/>
      </w:r>
    </w:p>
    <w:p w14:paraId="76A26271" w14:textId="77777777" w:rsidR="00723BD4" w:rsidRDefault="00723BD4" w:rsidP="00723BD4"/>
    <w:p w14:paraId="4EA783A2" w14:textId="1B91ECEB" w:rsidR="00723BD4" w:rsidRDefault="00723BD4" w:rsidP="005C7322">
      <w:pPr>
        <w:ind w:firstLine="720"/>
      </w:pPr>
      <w:r>
        <w:t xml:space="preserve">The original ESM scheme was then coupled to </w:t>
      </w:r>
      <w:r w:rsidR="00320274">
        <w:t>FPMD</w:t>
      </w:r>
      <w:r>
        <w:t xml:space="preserve"> to perform simulations at constant electrode potential</w:t>
      </w:r>
      <w:r>
        <w:fldChar w:fldCharType="begin"/>
      </w:r>
      <w:r w:rsidR="00FC5BEB">
        <w:instrText xml:space="preserve"> ADDIN EN.CITE &lt;EndNote&gt;&lt;Cite&gt;&lt;Author&gt;Bonnet&lt;/Author&gt;&lt;Year&gt;2012&lt;/Year&gt;&lt;RecNum&gt;472&lt;/RecNum&gt;&lt;DisplayText&gt;&lt;style face="superscript"&gt;474&lt;/style&gt;&lt;/DisplayText&gt;&lt;record&gt;&lt;rec-number&gt;472&lt;/rec-number&gt;&lt;foreign-keys&gt;&lt;key app="EN" db-id="2xex0erf4eexr4e2dpbxpdd829xttesxxxdr" timestamp="1715075297"&gt;472&lt;/key&gt;&lt;/foreign-keys&gt;&lt;ref-type name="Journal Article"&gt;17&lt;/ref-type&gt;&lt;contributors&gt;&lt;authors&gt;&lt;author&gt;Bonnet, Nicephore&lt;/author&gt;&lt;author&gt;Morishita, Tetsuya&lt;/author&gt;&lt;author&gt;Sugino, Osamu&lt;/author&gt;&lt;author&gt;Otani, Minoru&lt;/author&gt;&lt;/authors&gt;&lt;/contributors&gt;&lt;titles&gt;&lt;title&gt;First-principles molecular dynamics at a constant electrode potential&lt;/title&gt;&lt;secondary-title&gt;Physical Review Letters&lt;/secondary-title&gt;&lt;/titles&gt;&lt;periodical&gt;&lt;full-title&gt;Physical Review Letters&lt;/full-title&gt;&lt;abbr-1&gt;Phys. Rev. Lett.&lt;/abbr-1&gt;&lt;abbr-2&gt;Phys Rev Lett&lt;/abbr-2&gt;&lt;/periodical&gt;&lt;pages&gt;1-5&lt;/pages&gt;&lt;volume&gt;109&lt;/volume&gt;&lt;dates&gt;&lt;year&gt;2012&lt;/year&gt;&lt;/dates&gt;&lt;accession-num&gt;23368585&lt;/accession-num&gt;&lt;label&gt;OER_Review&lt;/label&gt;&lt;urls&gt;&lt;/urls&gt;&lt;electronic-resource-num&gt;10.1103/PhysRevLett.109.266101&lt;/electronic-resource-num&gt;&lt;/record&gt;&lt;/Cite&gt;&lt;/EndNote&gt;</w:instrText>
      </w:r>
      <w:r>
        <w:fldChar w:fldCharType="separate"/>
      </w:r>
      <w:r w:rsidR="00FC5BEB" w:rsidRPr="00FC5BEB">
        <w:rPr>
          <w:noProof/>
          <w:vertAlign w:val="superscript"/>
        </w:rPr>
        <w:t>474</w:t>
      </w:r>
      <w:r>
        <w:fldChar w:fldCharType="end"/>
      </w:r>
      <w:r>
        <w:t xml:space="preserve">, via the use of a second order dynamics for the number of electrons, where the force acting on the electronic degree of freedom is the deviation of the instantaneous electrode potential from the target value. The working electrode, </w:t>
      </w:r>
      <w:r w:rsidR="00AE4CDE">
        <w:t>modeled</w:t>
      </w:r>
      <w:r>
        <w:t xml:space="preserve"> with a periodic slab geometry, was in contact with a counter electrode, </w:t>
      </w:r>
      <w:r w:rsidR="00AE4CDE">
        <w:t>modeled</w:t>
      </w:r>
      <w:r>
        <w:t xml:space="preserve"> with the ESM scheme, providing the countercharge and the reference potential. This kind of grand canonical simulation therefore realizes a numerical </w:t>
      </w:r>
      <w:proofErr w:type="spellStart"/>
      <w:r>
        <w:t>potentiostat</w:t>
      </w:r>
      <w:proofErr w:type="spellEnd"/>
      <w:r>
        <w:t xml:space="preserve">. </w:t>
      </w:r>
    </w:p>
    <w:p w14:paraId="0B71BDFD" w14:textId="77777777" w:rsidR="00723BD4" w:rsidRDefault="00723BD4" w:rsidP="00723BD4"/>
    <w:p w14:paraId="2592481C" w14:textId="746B3664" w:rsidR="00723BD4" w:rsidRDefault="00723BD4" w:rsidP="005C7322">
      <w:pPr>
        <w:ind w:firstLine="720"/>
      </w:pPr>
      <w:r>
        <w:t xml:space="preserve">A significant extension of the ESM method was achieved when Nishihara and Otani coupled it with the 3D version of </w:t>
      </w:r>
      <w:r w:rsidRPr="00596181">
        <w:t>RISM</w:t>
      </w:r>
      <w:r>
        <w:t>,</w:t>
      </w:r>
      <w:r>
        <w:fldChar w:fldCharType="begin">
          <w:fldData xml:space="preserve">PEVuZE5vdGU+PENpdGU+PEF1dGhvcj5IYWdpd2FyYTwvQXV0aG9yPjxZZWFyPjIwMjI8L1llYXI+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</w:fldData>
        </w:fldChar>
      </w:r>
      <w:r w:rsidR="00FC5BEB">
        <w:instrText xml:space="preserve"> ADDIN EN.CITE </w:instrText>
      </w:r>
      <w:r w:rsidR="00FC5BEB">
        <w:fldChar w:fldCharType="begin">
          <w:fldData xml:space="preserve">PEVuZE5vdGU+PENpdGU+PEF1dGhvcj5IYWdpd2FyYTwvQXV0aG9yPjxZZWFyPjIwMjI8L1llYXI+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</w:fldData>
        </w:fldChar>
      </w:r>
      <w:r w:rsidR="00FC5BEB">
        <w:instrText xml:space="preserve"> ADDIN EN.CITE.DATA </w:instrText>
      </w:r>
      <w:r w:rsidR="00FC5BEB">
        <w:fldChar w:fldCharType="end"/>
      </w:r>
      <w:r>
        <w:fldChar w:fldCharType="separate"/>
      </w:r>
      <w:r w:rsidR="00FC5BEB" w:rsidRPr="00FC5BEB">
        <w:rPr>
          <w:noProof/>
          <w:vertAlign w:val="superscript"/>
        </w:rPr>
        <w:t>475, 476</w:t>
      </w:r>
      <w:r>
        <w:fldChar w:fldCharType="end"/>
      </w:r>
      <w:r>
        <w:t xml:space="preserve"> an implicit solvent model that allows one </w:t>
      </w:r>
      <w:r w:rsidRPr="00572E06">
        <w:t>to describe specific interactions between the solute and solvent</w:t>
      </w:r>
      <w:r>
        <w:t xml:space="preserve">, using a classical force field modeled via a Lennard-Jones potential and point charges. This solvent model computes the </w:t>
      </w:r>
      <w:r w:rsidRPr="00B32A4B">
        <w:t>equilibrium radial correlation functions of each pair of species</w:t>
      </w:r>
      <w:r>
        <w:t xml:space="preserve"> present in the electrolyte, yielding the </w:t>
      </w:r>
      <w:r w:rsidRPr="00B32A4B">
        <w:t xml:space="preserve">solvent structure </w:t>
      </w:r>
      <w:r>
        <w:t>around the solute, i.e. the solid/liquid interface. The authors developed a self-consistent method where the point charges of the system described explicitly are replaced by the DFT charge density, using the mixed boundary conditions (2D-periodic parallel to the surface and open in the normal direction) of the ESM approach. The authors modeled an Al(111) slab in contact with a NaCl (</w:t>
      </w:r>
      <w:proofErr w:type="spellStart"/>
      <w:r>
        <w:t>aq</w:t>
      </w:r>
      <w:proofErr w:type="spellEnd"/>
      <w:r>
        <w:t xml:space="preserve">) solvent, varying the applied bias, and obtaining the solvent distribution under grand canonical conditions, therefore describing the variations of the structure of the EDL as the charge of the electrode changes with a varying bias (see </w:t>
      </w:r>
      <w:r>
        <w:fldChar w:fldCharType="begin"/>
      </w:r>
      <w:r>
        <w:instrText xml:space="preserve"> REF _Ref149037429 \h </w:instrText>
      </w:r>
      <w:r>
        <w:fldChar w:fldCharType="separate"/>
      </w:r>
      <w:r w:rsidR="00296758" w:rsidRPr="007C7CBE">
        <w:rPr>
          <w:b/>
        </w:rPr>
        <w:t xml:space="preserve">Figure </w:t>
      </w:r>
      <w:r w:rsidR="00296758">
        <w:rPr>
          <w:b/>
          <w:bCs/>
          <w:noProof/>
        </w:rPr>
        <w:t>41</w:t>
      </w:r>
      <w:r>
        <w:fldChar w:fldCharType="end"/>
      </w:r>
      <w:r>
        <w:t>). This approach has been applied to model a variety of electrocatalytic reactions, including the HER</w:t>
      </w:r>
      <w:r>
        <w:fldChar w:fldCharType="begin"/>
      </w:r>
      <w:r w:rsidR="00FC5BEB">
        <w:instrText xml:space="preserve"> ADDIN EN.CITE &lt;EndNote&gt;&lt;Cite&gt;&lt;Author&gt;Haruyama&lt;/Author&gt;&lt;Year&gt;2018&lt;/Year&gt;&lt;RecNum&gt;475&lt;/RecNum&gt;&lt;DisplayText&gt;&lt;style face="superscript"&gt;477&lt;/style&gt;&lt;/DisplayText&gt;&lt;record&gt;&lt;rec-number&gt;475&lt;/rec-number&gt;&lt;foreign-keys&gt;&lt;key app="EN" db-id="2xex0erf4eexr4e2dpbxpdd829xttesxxxdr" timestamp="1715075297"&gt;475&lt;/key&gt;&lt;/foreign-keys&gt;&lt;ref-type name="Journal Article"&gt;17&lt;/ref-type&gt;&lt;contributors&gt;&lt;authors&gt;&lt;author&gt;Haruyama, Jun&lt;/author&gt;&lt;author&gt;Ikeshoji, Tamio&lt;/author&gt;&lt;author&gt;Otani, Minoru&lt;/author&gt;&lt;/authors&gt;&lt;/contributors&gt;&lt;titles&gt;&lt;title&gt;Electrode potential from density functional theory calculations combined with implicit solvation theory&lt;/title&gt;&lt;secondary-title&gt;Phys. Rev. Mater.&lt;/secondary-title&gt;&lt;/titles&gt;&lt;periodical&gt;&lt;full-title&gt;Phys. Rev. Mater.&lt;/full-title&gt;&lt;/periodical&gt;&lt;pages&gt;095801&lt;/pages&gt;&lt;volume&gt;2&lt;/volume&gt;&lt;number&gt;9&lt;/number&gt;&lt;dates&gt;&lt;year&gt;2018&lt;/year&gt;&lt;pub-dates&gt;&lt;date&gt;09/13/&lt;/date&gt;&lt;/pub-dates&gt;&lt;/dates&gt;&lt;publisher&gt;American Physical Society&lt;/publisher&gt;&lt;urls&gt;&lt;related-urls&gt;&lt;url&gt;https://link.aps.org/doi/10.1103/PhysRevMaterials.2.095801&lt;/url&gt;&lt;/related-urls&gt;&lt;/urls&gt;&lt;electronic-resource-num&gt;10.1103/PhysRevMaterials.2.095801&lt;/electronic-resource-num&gt;&lt;/record&gt;&lt;/Cite&gt;&lt;/EndNote&gt;</w:instrText>
      </w:r>
      <w:r>
        <w:fldChar w:fldCharType="separate"/>
      </w:r>
      <w:r w:rsidR="00FC5BEB" w:rsidRPr="00FC5BEB">
        <w:rPr>
          <w:noProof/>
          <w:vertAlign w:val="superscript"/>
        </w:rPr>
        <w:t>477</w:t>
      </w:r>
      <w:r>
        <w:fldChar w:fldCharType="end"/>
      </w:r>
      <w:r>
        <w:t>, CO</w:t>
      </w:r>
      <w:r w:rsidRPr="00BD1B77">
        <w:rPr>
          <w:vertAlign w:val="subscript"/>
        </w:rPr>
        <w:t>2</w:t>
      </w:r>
      <w:r>
        <w:t xml:space="preserve"> reduction</w:t>
      </w:r>
      <w:r>
        <w:fldChar w:fldCharType="begin"/>
      </w:r>
      <w:r w:rsidR="00FC5BEB">
        <w:instrText xml:space="preserve"> ADDIN EN.CITE &lt;EndNote&gt;&lt;Cite&gt;&lt;Author&gt;Weitzner&lt;/Author&gt;&lt;Year&gt;2020&lt;/Year&gt;&lt;RecNum&gt;476&lt;/RecNum&gt;&lt;DisplayText&gt;&lt;style face="superscript"&gt;478&lt;/style&gt;&lt;/DisplayText&gt;&lt;record&gt;&lt;rec-number&gt;476&lt;/rec-number&gt;&lt;foreign-keys&gt;&lt;key app="EN" db-id="2xex0erf4eexr4e2dpbxpdd829xttesxxxdr" timestamp="1715075297"&gt;476&lt;/key&gt;&lt;/foreign-keys&gt;&lt;ref-type name="Journal Article"&gt;17&lt;/ref-type&gt;&lt;contributors&gt;&lt;authors&gt;&lt;author&gt;Weitzner, Stephen E.&lt;/author&gt;&lt;author&gt;Akhade, Sneha A.&lt;/author&gt;&lt;author&gt;Varley, Joel B.&lt;/author&gt;&lt;author&gt;Wood, Brandon C.&lt;/author&gt;&lt;author&gt;Otani, Minoru&lt;/author&gt;&lt;author&gt;Baker, Sarah E.&lt;/author&gt;&lt;author&gt;Duoss, Eric B.&lt;/author&gt;&lt;/authors&gt;&lt;/contributors&gt;&lt;titles&gt;&lt;title&gt;Toward Engineering of Solution Microenvironments for the CO2 Reduction Reaction: Unraveling pH and Voltage Effects from a Combined Density-Functional-Continuum Theory&lt;/title&gt;&lt;secondary-title&gt;J. Phys. Chem. Lett.&lt;/secondary-title&gt;&lt;/titles&gt;&lt;periodical&gt;&lt;full-title&gt;J. Phys. Chem. Lett.&lt;/full-title&gt;&lt;/periodical&gt;&lt;pages&gt;4113-4118&lt;/pages&gt;&lt;volume&gt;11&lt;/volume&gt;&lt;number&gt;10&lt;/number&gt;&lt;dates&gt;&lt;year&gt;2020&lt;/year&gt;&lt;/dates&gt;&lt;urls&gt;&lt;related-urls&gt;&lt;url&gt;https://pubs.acs.org/doi/pdf/10.1021/acs.jpclett.0c00957&lt;/url&gt;&lt;/related-urls&gt;&lt;pdf-urls&gt;&lt;url&gt;file://localhost/localhost/localhost/localhost/Users/piccinin/Literature/acs.jpclett.0c00957.pdf&lt;/url&gt;&lt;/pdf-urls&gt;&lt;/urls&gt;&lt;electronic-resource-num&gt;10.1021/acs.jpclett.0c00957&lt;/electronic-resource-num&gt;&lt;/record&gt;&lt;/Cite&gt;&lt;/EndNote&gt;</w:instrText>
      </w:r>
      <w:r>
        <w:fldChar w:fldCharType="separate"/>
      </w:r>
      <w:r w:rsidR="00FC5BEB" w:rsidRPr="00FC5BEB">
        <w:rPr>
          <w:noProof/>
          <w:vertAlign w:val="superscript"/>
        </w:rPr>
        <w:t>478</w:t>
      </w:r>
      <w:r>
        <w:fldChar w:fldCharType="end"/>
      </w:r>
      <w:r>
        <w:t xml:space="preserve"> and very recently the OER</w:t>
      </w:r>
      <w:r>
        <w:fldChar w:fldCharType="begin"/>
      </w:r>
      <w:r w:rsidR="00FC5BEB">
        <w:instrText xml:space="preserve"> ADDIN EN.CITE &lt;EndNote&gt;&lt;Cite&gt;&lt;Author&gt;Hagiwara&lt;/Author&gt;&lt;Year&gt;2023&lt;/Year&gt;&lt;RecNum&gt;477&lt;/RecNum&gt;&lt;DisplayText&gt;&lt;style face="superscript"&gt;479&lt;/style&gt;&lt;/DisplayText&gt;&lt;record&gt;&lt;rec-number&gt;477&lt;/rec-number&gt;&lt;foreign-keys&gt;&lt;key app="EN" db-id="2xex0erf4eexr4e2dpbxpdd829xttesxxxdr" timestamp="1715075297"&gt;477&lt;/key&gt;&lt;/foreign-keys&gt;&lt;ref-type name="Journal Article"&gt;17&lt;/ref-type&gt;&lt;contributors&gt;&lt;authors&gt;&lt;author&gt;Hagiwara, Satoshi&lt;/author&gt;&lt;author&gt;Kuroda, Fumiaki&lt;/author&gt;&lt;author&gt;Kondo, Takahiro&lt;/author&gt;&lt;author&gt;Otani, Minoru&lt;/author&gt;&lt;/authors&gt;&lt;/contributors&gt;&lt;titles&gt;&lt;title&gt;Electrocatalytic Mechanisms for an Oxygen Evolution Reaction at a Rhombohedral Boron Monosulfide Electrode/Alkaline Medium Interface&lt;/title&gt;&lt;secondary-title&gt;ACS Appl. Mater. Interfaces&lt;/secondary-title&gt;&lt;/titles&gt;&lt;periodical&gt;&lt;full-title&gt;ACS Appl. Mater. Interfaces&lt;/full-title&gt;&lt;/periodical&gt;&lt;pages&gt;50174-50184&lt;/pages&gt;&lt;volume&gt;15&lt;/volume&gt;&lt;dates&gt;&lt;year&gt;2023&lt;/year&gt;&lt;/dates&gt;&lt;publisher&gt;American Chemical Society&lt;/publisher&gt;&lt;urls&gt;&lt;related-urls&gt;&lt;url&gt;https://doi.org/10.1021/acsami.3c10548&lt;/url&gt;&lt;/related-urls&gt;&lt;/urls&gt;&lt;electronic-resource-num&gt;10.1021/acsami.3c10548&lt;/electronic-resource-num&gt;&lt;/record&gt;&lt;/Cite&gt;&lt;/EndNote&gt;</w:instrText>
      </w:r>
      <w:r>
        <w:fldChar w:fldCharType="separate"/>
      </w:r>
      <w:r w:rsidR="00FC5BEB" w:rsidRPr="00FC5BEB">
        <w:rPr>
          <w:noProof/>
          <w:vertAlign w:val="superscript"/>
        </w:rPr>
        <w:t>479</w:t>
      </w:r>
      <w:r>
        <w:fldChar w:fldCharType="end"/>
      </w:r>
      <w:r>
        <w:t xml:space="preserve"> as well.</w:t>
      </w:r>
    </w:p>
    <w:p w14:paraId="77E532A9" w14:textId="333EF797" w:rsidR="00723BD4" w:rsidRDefault="00296E17" w:rsidP="001C1AC5">
      <w:pPr>
        <w:keepNext/>
        <w:jc w:val="center"/>
      </w:pPr>
      <w:r>
        <w:rPr>
          <w:noProof/>
          <w14:ligatures w14:val="standardContextual"/>
        </w:rPr>
        <w:lastRenderedPageBreak/>
        <w:drawing>
          <wp:inline distT="0" distB="0" distL="0" distR="0" wp14:anchorId="3C593A83" wp14:editId="7D631E06">
            <wp:extent cx="2521642" cy="2880360"/>
            <wp:effectExtent l="0" t="0" r="5715" b="2540"/>
            <wp:docPr id="1836930773" name="Picture 3" descr="A diagram of a chemical reac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6930773" name="Picture 3" descr="A diagram of a chemical reaction&#10;&#10;Description automatically generated"/>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521642" cy="2880360"/>
                    </a:xfrm>
                    <a:prstGeom prst="rect">
                      <a:avLst/>
                    </a:prstGeom>
                  </pic:spPr>
                </pic:pic>
              </a:graphicData>
            </a:graphic>
          </wp:inline>
        </w:drawing>
      </w:r>
    </w:p>
    <w:p w14:paraId="2ED56B17" w14:textId="75B6F788" w:rsidR="00723BD4" w:rsidRPr="00405C8D" w:rsidRDefault="00723BD4" w:rsidP="00723BD4">
      <w:pPr>
        <w:pStyle w:val="Caption"/>
        <w:rPr>
          <w:sz w:val="24"/>
          <w:szCs w:val="24"/>
        </w:rPr>
      </w:pPr>
      <w:bookmarkStart w:id="135" w:name="_Ref149037429"/>
      <w:bookmarkStart w:id="136" w:name="_Ref149037421"/>
      <w:r w:rsidRPr="007C7CBE">
        <w:rPr>
          <w:b/>
          <w:bCs w:val="0"/>
          <w:sz w:val="22"/>
        </w:rPr>
        <w:t xml:space="preserve">Figure </w:t>
      </w:r>
      <w:r w:rsidRPr="007C7CBE">
        <w:rPr>
          <w:b/>
          <w:bCs w:val="0"/>
          <w:sz w:val="22"/>
        </w:rPr>
        <w:fldChar w:fldCharType="begin"/>
      </w:r>
      <w:r w:rsidRPr="007C7CBE">
        <w:rPr>
          <w:b/>
          <w:bCs w:val="0"/>
          <w:sz w:val="22"/>
        </w:rPr>
        <w:instrText xml:space="preserve"> SEQ Figure \* ARABIC </w:instrText>
      </w:r>
      <w:r w:rsidRPr="007C7CBE">
        <w:rPr>
          <w:b/>
          <w:bCs w:val="0"/>
          <w:sz w:val="22"/>
        </w:rPr>
        <w:fldChar w:fldCharType="separate"/>
      </w:r>
      <w:r w:rsidR="00296758">
        <w:rPr>
          <w:b/>
          <w:bCs w:val="0"/>
          <w:noProof/>
          <w:sz w:val="22"/>
        </w:rPr>
        <w:t>41</w:t>
      </w:r>
      <w:r w:rsidRPr="007C7CBE">
        <w:rPr>
          <w:b/>
          <w:bCs w:val="0"/>
          <w:noProof/>
          <w:sz w:val="22"/>
        </w:rPr>
        <w:fldChar w:fldCharType="end"/>
      </w:r>
      <w:bookmarkEnd w:id="135"/>
      <w:r>
        <w:t xml:space="preserve"> </w:t>
      </w:r>
      <w:r w:rsidRPr="00BA0D6C">
        <w:t xml:space="preserve">(a) Geometric configuration of the solid/liquid interface (vacuum/slab/solvent model). Normalized distribution function for (b) O, (c) H, (d) Na, and (e) Cl with different bias potentials. The Fermi energies of the systems are –5.3, –4.3, and –3.3 eV </w:t>
      </w:r>
      <w:r w:rsidRPr="00405C8D">
        <w:t xml:space="preserve">for –1.0, 0.0, and +1.0 V vs </w:t>
      </w:r>
      <w:proofErr w:type="spellStart"/>
      <w:r w:rsidRPr="00405C8D">
        <w:t>pzc</w:t>
      </w:r>
      <w:proofErr w:type="spellEnd"/>
      <w:r w:rsidRPr="00405C8D">
        <w:t>, respectively.</w:t>
      </w:r>
      <w:r>
        <w:t xml:space="preserve"> Adapted from </w:t>
      </w:r>
      <w:r w:rsidRPr="00296758">
        <w:t>Ref.</w:t>
      </w:r>
      <w:r w:rsidR="00296758">
        <w:fldChar w:fldCharType="begin"/>
      </w:r>
      <w:r w:rsidR="00FC5BEB">
        <w:instrText xml:space="preserve"> ADDIN EN.CITE &lt;EndNote&gt;&lt;Cite&gt;&lt;Author&gt;Nishihara&lt;/Author&gt;&lt;Year&gt;2017&lt;/Year&gt;&lt;RecNum&gt;474&lt;/RecNum&gt;&lt;DisplayText&gt;&lt;style face="superscript"&gt;476&lt;/style&gt;&lt;/DisplayText&gt;&lt;record&gt;&lt;rec-number&gt;474&lt;/rec-number&gt;&lt;foreign-keys&gt;&lt;key app="EN" db-id="2xex0erf4eexr4e2dpbxpdd829xttesxxxdr" timestamp="1715075297"&gt;474&lt;/key&gt;&lt;/foreign-keys&gt;&lt;ref-type name="Journal Article"&gt;17&lt;/ref-type&gt;&lt;contributors&gt;&lt;authors&gt;&lt;author&gt;Nishihara, S.&lt;/author&gt;&lt;author&gt;Otani, M.&lt;/author&gt;&lt;/authors&gt;&lt;/contributors&gt;&lt;titles&gt;&lt;title&gt;Hybrid solvation models for bulk, interface, and membrane: Reference interaction site methods coupled with density functional theory&lt;/title&gt;&lt;secondary-title&gt;Physical Review B&lt;/secondary-title&gt;&lt;/titles&gt;&lt;periodical&gt;&lt;full-title&gt;Physical Review B&lt;/full-title&gt;&lt;abbr-1&gt;Phys. Rev. B&lt;/abbr-1&gt;&lt;abbr-2&gt;Phys Rev B&lt;/abbr-2&gt;&lt;/periodical&gt;&lt;pages&gt;115429&lt;/pages&gt;&lt;volume&gt;96&lt;/volume&gt;&lt;number&gt;11&lt;/number&gt;&lt;dates&gt;&lt;year&gt;2017&lt;/year&gt;&lt;pub-dates&gt;&lt;date&gt;09/18/&lt;/date&gt;&lt;/pub-dates&gt;&lt;/dates&gt;&lt;publisher&gt;American Physical Society&lt;/publisher&gt;&lt;urls&gt;&lt;related-urls&gt;&lt;url&gt;https://link.aps.org/doi/10.1103/PhysRevB.96.115429&lt;/url&gt;&lt;/related-urls&gt;&lt;/urls&gt;&lt;electronic-resource-num&gt;10.1103/PhysRevB.96.115429&lt;/electronic-resource-num&gt;&lt;/record&gt;&lt;/Cite&gt;&lt;/EndNote&gt;</w:instrText>
      </w:r>
      <w:r w:rsidR="00296758">
        <w:fldChar w:fldCharType="separate"/>
      </w:r>
      <w:r w:rsidR="00FC5BEB" w:rsidRPr="00FC5BEB">
        <w:rPr>
          <w:noProof/>
          <w:vertAlign w:val="superscript"/>
        </w:rPr>
        <w:t>476</w:t>
      </w:r>
      <w:r w:rsidR="00296758">
        <w:fldChar w:fldCharType="end"/>
      </w:r>
      <w:r w:rsidR="005A3CD7">
        <w:t xml:space="preserve"> </w:t>
      </w:r>
      <w:r w:rsidR="005A3CD7">
        <w:rPr>
          <w:szCs w:val="20"/>
          <w:shd w:val="clear" w:color="auto" w:fill="FFFFFF"/>
        </w:rPr>
        <w:t xml:space="preserve">under the </w:t>
      </w:r>
      <w:r w:rsidR="005A3CD7" w:rsidRPr="006171E1">
        <w:rPr>
          <w:szCs w:val="20"/>
          <w:shd w:val="clear" w:color="auto" w:fill="FFFFFF"/>
        </w:rPr>
        <w:t xml:space="preserve">Creative Commons Attribution </w:t>
      </w:r>
      <w:r w:rsidR="005A3CD7">
        <w:rPr>
          <w:szCs w:val="20"/>
          <w:shd w:val="clear" w:color="auto" w:fill="FFFFFF"/>
        </w:rPr>
        <w:t>4.</w:t>
      </w:r>
      <w:r w:rsidR="005A3CD7" w:rsidRPr="006171E1">
        <w:rPr>
          <w:szCs w:val="20"/>
          <w:shd w:val="clear" w:color="auto" w:fill="FFFFFF"/>
        </w:rPr>
        <w:t>0 License</w:t>
      </w:r>
      <w:r w:rsidR="005A3CD7">
        <w:rPr>
          <w:szCs w:val="20"/>
          <w:shd w:val="clear" w:color="auto" w:fill="FFFFFF"/>
        </w:rPr>
        <w:t>.</w:t>
      </w:r>
      <w:bookmarkEnd w:id="136"/>
    </w:p>
    <w:p w14:paraId="4C7A2832" w14:textId="721DBB1A" w:rsidR="00723BD4" w:rsidRDefault="00723BD4" w:rsidP="005C7322">
      <w:pPr>
        <w:ind w:firstLine="720"/>
      </w:pPr>
      <w:proofErr w:type="spellStart"/>
      <w:r w:rsidRPr="00EE7076">
        <w:t>Letchworth</w:t>
      </w:r>
      <w:proofErr w:type="spellEnd"/>
      <w:r w:rsidRPr="00EE7076">
        <w:t xml:space="preserve">-Weaver </w:t>
      </w:r>
      <w:r>
        <w:t xml:space="preserve">and </w:t>
      </w:r>
      <w:r w:rsidRPr="00EE7076">
        <w:t>Arias</w:t>
      </w:r>
      <w:r>
        <w:fldChar w:fldCharType="begin"/>
      </w:r>
      <w:r w:rsidR="00FC5BEB">
        <w:instrText xml:space="preserve"> ADDIN EN.CITE &lt;EndNote&gt;&lt;Cite&gt;&lt;Author&gt;Letchworth-Weaver&lt;/Author&gt;&lt;Year&gt;2012&lt;/Year&gt;&lt;RecNum&gt;458&lt;/RecNum&gt;&lt;DisplayText&gt;&lt;style face="superscript"&gt;460&lt;/style&gt;&lt;/DisplayText&gt;&lt;record&gt;&lt;rec-number&gt;458&lt;/rec-number&gt;&lt;foreign-keys&gt;&lt;key app="EN" db-id="2xex0erf4eexr4e2dpbxpdd829xttesxxxdr" timestamp="1715075297"&gt;458&lt;/key&gt;&lt;/foreign-keys&gt;&lt;ref-type name="Journal Article"&gt;17&lt;/ref-type&gt;&lt;contributors&gt;&lt;authors&gt;&lt;author&gt;Letchworth-Weaver, Kendra&lt;/author&gt;&lt;author&gt;Arias, T. A.&lt;/author&gt;&lt;/authors&gt;&lt;/contributors&gt;&lt;titles&gt;&lt;title&gt;Joint density functional theory of the electrode-electrolyte interface: Application to fixed electrode potentials, interfacial capacitances, and potentials of zero charge&lt;/title&gt;&lt;secondary-title&gt;Physical Review B&lt;/secondary-title&gt;&lt;/titles&gt;&lt;periodical&gt;&lt;full-title&gt;Physical Review B&lt;/full-title&gt;&lt;abbr-1&gt;Phys. Rev. B&lt;/abbr-1&gt;&lt;abbr-2&gt;Phys Rev B&lt;/abbr-2&gt;&lt;/periodical&gt;&lt;pages&gt;075140&lt;/pages&gt;&lt;volume&gt;86&lt;/volume&gt;&lt;dates&gt;&lt;year&gt;2012&lt;/year&gt;&lt;/dates&gt;&lt;publisher&gt;American Physical Society&lt;/publisher&gt;&lt;label&gt;OER_Review&lt;/label&gt;&lt;urls&gt;&lt;/urls&gt;&lt;electronic-resource-num&gt;10.1103/PhysRevB.86.075140&lt;/electronic-resource-num&gt;&lt;/record&gt;&lt;/Cite&gt;&lt;/EndNote&gt;</w:instrText>
      </w:r>
      <w:r>
        <w:fldChar w:fldCharType="separate"/>
      </w:r>
      <w:r w:rsidR="00FC5BEB" w:rsidRPr="00FC5BEB">
        <w:rPr>
          <w:noProof/>
          <w:vertAlign w:val="superscript"/>
        </w:rPr>
        <w:t>460</w:t>
      </w:r>
      <w:r>
        <w:fldChar w:fldCharType="end"/>
      </w:r>
      <w:r>
        <w:t xml:space="preserve"> in 2012 introduced an approach to model electrode/electrolyte interfaces at constant potential on the basis of joint density functional theory. While formally based on an exact theory for an explicit quantum-mechanical system in thermodynamic equilibrium with an environment characterized by nuclear densities of the electrolyte</w:t>
      </w:r>
      <w:r>
        <w:fldChar w:fldCharType="begin"/>
      </w:r>
      <w:r w:rsidR="00FC5BEB">
        <w:instrText xml:space="preserve"> ADDIN EN.CITE &lt;EndNote&gt;&lt;Cite&gt;&lt;Author&gt;Petrosyan&lt;/Author&gt;&lt;Year&gt;2007&lt;/Year&gt;&lt;RecNum&gt;478&lt;/RecNum&gt;&lt;DisplayText&gt;&lt;style face="superscript"&gt;480&lt;/style&gt;&lt;/DisplayText&gt;&lt;record&gt;&lt;rec-number&gt;478&lt;/rec-number&gt;&lt;foreign-keys&gt;&lt;key app="EN" db-id="2xex0erf4eexr4e2dpbxpdd829xttesxxxdr" timestamp="1715075297"&gt;478&lt;/key&gt;&lt;/foreign-keys&gt;&lt;ref-type name="Journal Article"&gt;17&lt;/ref-type&gt;&lt;contributors&gt;&lt;authors&gt;&lt;author&gt;Petrosyan, S. A.&lt;/author&gt;&lt;author&gt;Briere, Jean-Francois&lt;/author&gt;&lt;author&gt;Roundy, David&lt;/author&gt;&lt;author&gt;Arias, T. A.&lt;/author&gt;&lt;/authors&gt;&lt;/contributors&gt;&lt;titles&gt;&lt;title&gt;Joint density-functional theory for electronic structure of solvated systems&lt;/title&gt;&lt;secondary-title&gt;Physical Review B&lt;/secondary-title&gt;&lt;/titles&gt;&lt;periodical&gt;&lt;full-title&gt;Physical Review B&lt;/full-title&gt;&lt;abbr-1&gt;Phys. Rev. B&lt;/abbr-1&gt;&lt;abbr-2&gt;Phys Rev B&lt;/abbr-2&gt;&lt;/periodical&gt;&lt;pages&gt;205105&lt;/pages&gt;&lt;volume&gt;75&lt;/volume&gt;&lt;number&gt;20&lt;/number&gt;&lt;dates&gt;&lt;year&gt;2007&lt;/year&gt;&lt;/dates&gt;&lt;publisher&gt;American Physical Society&lt;/publisher&gt;&lt;urls&gt;&lt;related-urls&gt;&lt;url&gt;https://link.aps.org/doi/10.1103/PhysRevB.75.205105&lt;/url&gt;&lt;/related-urls&gt;&lt;/urls&gt;&lt;electronic-resource-num&gt;10.1103/PhysRevB.75.205105&lt;/electronic-resource-num&gt;&lt;/record&gt;&lt;/Cite&gt;&lt;/EndNote&gt;</w:instrText>
      </w:r>
      <w:r>
        <w:fldChar w:fldCharType="separate"/>
      </w:r>
      <w:r w:rsidR="00FC5BEB" w:rsidRPr="00FC5BEB">
        <w:rPr>
          <w:noProof/>
          <w:vertAlign w:val="superscript"/>
        </w:rPr>
        <w:t>480</w:t>
      </w:r>
      <w:r>
        <w:fldChar w:fldCharType="end"/>
      </w:r>
      <w:r>
        <w:t xml:space="preserve">, the first practical implementations of this scheme reduce to modeling the electrolyte via the linearized Poisson-Boltzmann equation: </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7C7CBE" w:rsidRPr="007C7CBE" w14:paraId="01CB8ECD" w14:textId="77777777" w:rsidTr="00DE0988">
        <w:tc>
          <w:tcPr>
            <w:tcW w:w="7938" w:type="dxa"/>
            <w:tcMar>
              <w:left w:w="28" w:type="dxa"/>
              <w:right w:w="28" w:type="dxa"/>
            </w:tcMar>
            <w:vAlign w:val="center"/>
          </w:tcPr>
          <w:p w14:paraId="6D53CC0B" w14:textId="302EA60F" w:rsidR="007C7CBE" w:rsidRPr="007C7CBE" w:rsidRDefault="007C7CBE" w:rsidP="00E45E28">
            <w:pPr>
              <w:spacing w:before="60" w:after="60"/>
              <w:rPr>
                <w:bCs/>
                <w:sz w:val="20"/>
                <w:szCs w:val="20"/>
              </w:rPr>
            </w:pPr>
            <m:oMathPara>
              <m:oMath>
                <m:r>
                  <w:rPr>
                    <w:rFonts w:ascii="Cambria Math" w:hAnsi="Cambria Math"/>
                    <w:sz w:val="20"/>
                    <w:szCs w:val="20"/>
                  </w:rPr>
                  <m:t>-</m:t>
                </m:r>
                <m:r>
                  <m:rPr>
                    <m:sty m:val="p"/>
                  </m:rPr>
                  <w:rPr>
                    <w:rFonts w:ascii="Cambria Math" w:hAnsi="Cambria Math"/>
                    <w:sz w:val="20"/>
                    <w:szCs w:val="20"/>
                  </w:rPr>
                  <m:t>∇∙</m:t>
                </m:r>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ϵ</m:t>
                    </m:r>
                  </m:e>
                  <m:sub>
                    <m:r>
                      <w:rPr>
                        <w:rFonts w:ascii="Cambria Math" w:hAnsi="Cambria Math"/>
                        <w:sz w:val="20"/>
                        <w:szCs w:val="20"/>
                      </w:rPr>
                      <m:t>b</m:t>
                    </m:r>
                  </m:sub>
                </m:sSub>
                <m:r>
                  <w:rPr>
                    <w:rFonts w:ascii="Cambria Math" w:hAnsi="Cambria Math"/>
                    <w:sz w:val="20"/>
                    <w:szCs w:val="20"/>
                  </w:rPr>
                  <m:t>s(</m:t>
                </m:r>
                <m:r>
                  <m:rPr>
                    <m:sty m:val="bi"/>
                  </m:rPr>
                  <w:rPr>
                    <w:rFonts w:ascii="Cambria Math" w:hAnsi="Cambria Math"/>
                    <w:sz w:val="20"/>
                    <w:szCs w:val="20"/>
                  </w:rPr>
                  <m:t>r</m:t>
                </m:r>
                <m:r>
                  <w:rPr>
                    <w:rFonts w:ascii="Cambria Math" w:hAnsi="Cambria Math"/>
                    <w:sz w:val="20"/>
                    <w:szCs w:val="20"/>
                  </w:rPr>
                  <m:t>)</m:t>
                </m:r>
                <m:r>
                  <m:rPr>
                    <m:sty m:val="p"/>
                  </m:rPr>
                  <w:rPr>
                    <w:rFonts w:ascii="Cambria Math" w:hAnsi="Cambria Math"/>
                    <w:sz w:val="20"/>
                    <w:szCs w:val="20"/>
                  </w:rPr>
                  <m:t>∇</m:t>
                </m:r>
                <m:r>
                  <w:rPr>
                    <w:rFonts w:ascii="Cambria Math" w:hAnsi="Cambria Math"/>
                    <w:sz w:val="20"/>
                    <w:szCs w:val="20"/>
                  </w:rPr>
                  <m:t>ϕ</m:t>
                </m:r>
                <m:r>
                  <m:rPr>
                    <m:sty m:val="p"/>
                  </m:rPr>
                  <w:rPr>
                    <w:rFonts w:ascii="Cambria Math" w:hAnsi="Cambria Math"/>
                    <w:sz w:val="20"/>
                    <w:szCs w:val="20"/>
                  </w:rPr>
                  <m:t>(</m:t>
                </m:r>
                <m:r>
                  <m:rPr>
                    <m:sty m:val="bi"/>
                  </m:rPr>
                  <w:rPr>
                    <w:rFonts w:ascii="Cambria Math" w:hAnsi="Cambria Math"/>
                    <w:sz w:val="20"/>
                    <w:szCs w:val="20"/>
                  </w:rPr>
                  <m:t>r</m:t>
                </m:r>
                <m:r>
                  <m:rPr>
                    <m:sty m:val="p"/>
                  </m:rPr>
                  <w:rPr>
                    <w:rFonts w:ascii="Cambria Math" w:hAnsi="Cambria Math"/>
                    <w:sz w:val="20"/>
                    <w:szCs w:val="20"/>
                  </w:rPr>
                  <m:t>)</m:t>
                </m:r>
                <m:r>
                  <w:rPr>
                    <w:rFonts w:ascii="Cambria Math" w:hAnsi="Cambria Math"/>
                    <w:sz w:val="20"/>
                    <w:szCs w:val="20"/>
                  </w:rPr>
                  <m:t>)+</m:t>
                </m:r>
                <m:sSup>
                  <m:sSupPr>
                    <m:ctrlPr>
                      <w:rPr>
                        <w:rFonts w:ascii="Cambria Math" w:hAnsi="Cambria Math"/>
                        <w:i/>
                        <w:sz w:val="20"/>
                        <w:szCs w:val="20"/>
                      </w:rPr>
                    </m:ctrlPr>
                  </m:sSupPr>
                  <m:e>
                    <m:r>
                      <w:rPr>
                        <w:rFonts w:ascii="Cambria Math" w:hAnsi="Cambria Math"/>
                        <w:sz w:val="20"/>
                        <w:szCs w:val="20"/>
                      </w:rPr>
                      <m:t>κ</m:t>
                    </m:r>
                  </m:e>
                  <m:sup>
                    <m:r>
                      <w:rPr>
                        <w:rFonts w:ascii="Cambria Math" w:hAnsi="Cambria Math"/>
                        <w:sz w:val="20"/>
                        <w:szCs w:val="20"/>
                      </w:rPr>
                      <m:t>2</m:t>
                    </m:r>
                  </m:sup>
                </m:sSup>
                <m:r>
                  <w:rPr>
                    <w:rFonts w:ascii="Cambria Math" w:hAnsi="Cambria Math"/>
                    <w:sz w:val="20"/>
                    <w:szCs w:val="20"/>
                  </w:rPr>
                  <m:t>s(</m:t>
                </m:r>
                <m:r>
                  <m:rPr>
                    <m:sty m:val="bi"/>
                  </m:rPr>
                  <w:rPr>
                    <w:rFonts w:ascii="Cambria Math" w:hAnsi="Cambria Math"/>
                    <w:sz w:val="20"/>
                    <w:szCs w:val="20"/>
                  </w:rPr>
                  <m:t>r</m:t>
                </m:r>
                <m:r>
                  <w:rPr>
                    <w:rFonts w:ascii="Cambria Math" w:hAnsi="Cambria Math"/>
                    <w:sz w:val="20"/>
                    <w:szCs w:val="20"/>
                  </w:rPr>
                  <m:t>)</m:t>
                </m:r>
                <m:r>
                  <m:rPr>
                    <m:sty m:val="p"/>
                  </m:rPr>
                  <w:rPr>
                    <w:rFonts w:ascii="Cambria Math" w:hAnsi="Cambria Math"/>
                    <w:sz w:val="20"/>
                    <w:szCs w:val="20"/>
                  </w:rPr>
                  <m:t>ϕ(</m:t>
                </m:r>
                <m:r>
                  <m:rPr>
                    <m:sty m:val="bi"/>
                  </m:rPr>
                  <w:rPr>
                    <w:rFonts w:ascii="Cambria Math" w:hAnsi="Cambria Math"/>
                    <w:sz w:val="20"/>
                    <w:szCs w:val="20"/>
                  </w:rPr>
                  <m:t>r</m:t>
                </m:r>
                <m:r>
                  <m:rPr>
                    <m:sty m:val="p"/>
                  </m:rPr>
                  <w:rPr>
                    <w:rFonts w:ascii="Cambria Math" w:hAnsi="Cambria Math"/>
                    <w:sz w:val="20"/>
                    <w:szCs w:val="20"/>
                  </w:rPr>
                  <m:t>)=4π</m:t>
                </m:r>
                <m:sSub>
                  <m:sSubPr>
                    <m:ctrlPr>
                      <w:rPr>
                        <w:rFonts w:ascii="Cambria Math" w:hAnsi="Cambria Math"/>
                        <w:sz w:val="20"/>
                        <w:szCs w:val="20"/>
                      </w:rPr>
                    </m:ctrlPr>
                  </m:sSubPr>
                  <m:e>
                    <m:r>
                      <w:rPr>
                        <w:rFonts w:ascii="Cambria Math" w:hAnsi="Cambria Math"/>
                        <w:sz w:val="20"/>
                        <w:szCs w:val="20"/>
                      </w:rPr>
                      <m:t>ρ</m:t>
                    </m:r>
                  </m:e>
                  <m:sub>
                    <m:r>
                      <w:rPr>
                        <w:rFonts w:ascii="Cambria Math" w:hAnsi="Cambria Math"/>
                        <w:sz w:val="20"/>
                        <w:szCs w:val="20"/>
                      </w:rPr>
                      <m:t>el</m:t>
                    </m:r>
                  </m:sub>
                </m:sSub>
                <m:r>
                  <w:rPr>
                    <w:rFonts w:ascii="Cambria Math" w:hAnsi="Cambria Math"/>
                    <w:sz w:val="20"/>
                    <w:szCs w:val="20"/>
                  </w:rPr>
                  <m:t>(</m:t>
                </m:r>
                <m:r>
                  <m:rPr>
                    <m:sty m:val="bi"/>
                  </m:rPr>
                  <w:rPr>
                    <w:rFonts w:ascii="Cambria Math" w:hAnsi="Cambria Math"/>
                    <w:sz w:val="20"/>
                    <w:szCs w:val="20"/>
                  </w:rPr>
                  <m:t>r</m:t>
                </m:r>
                <m:r>
                  <w:rPr>
                    <w:rFonts w:ascii="Cambria Math" w:hAnsi="Cambria Math"/>
                    <w:sz w:val="20"/>
                    <w:szCs w:val="20"/>
                  </w:rPr>
                  <m:t>)</m:t>
                </m:r>
              </m:oMath>
            </m:oMathPara>
          </w:p>
        </w:tc>
        <w:tc>
          <w:tcPr>
            <w:tcW w:w="1134" w:type="dxa"/>
            <w:tcMar>
              <w:left w:w="28" w:type="dxa"/>
              <w:right w:w="28" w:type="dxa"/>
            </w:tcMar>
            <w:vAlign w:val="center"/>
          </w:tcPr>
          <w:p w14:paraId="42C7B084" w14:textId="0C107B23" w:rsidR="007C7CBE" w:rsidRPr="007C7CBE" w:rsidRDefault="007C7CBE" w:rsidP="00E45E28">
            <w:pPr>
              <w:keepNext/>
              <w:jc w:val="right"/>
              <w:rPr>
                <w:bCs/>
                <w:sz w:val="20"/>
                <w:szCs w:val="20"/>
              </w:rPr>
            </w:pPr>
            <w:r w:rsidRPr="007C7CBE">
              <w:rPr>
                <w:sz w:val="20"/>
                <w:szCs w:val="20"/>
              </w:rPr>
              <w:t xml:space="preserve">Equation </w:t>
            </w:r>
            <w:r w:rsidRPr="007C7CBE">
              <w:rPr>
                <w:sz w:val="20"/>
                <w:szCs w:val="20"/>
              </w:rPr>
              <w:fldChar w:fldCharType="begin"/>
            </w:r>
            <w:r w:rsidRPr="007C7CBE">
              <w:rPr>
                <w:sz w:val="20"/>
                <w:szCs w:val="20"/>
              </w:rPr>
              <w:instrText xml:space="preserve"> SEQ Equation \* ARABIC </w:instrText>
            </w:r>
            <w:r w:rsidRPr="007C7CBE">
              <w:rPr>
                <w:sz w:val="20"/>
                <w:szCs w:val="20"/>
              </w:rPr>
              <w:fldChar w:fldCharType="separate"/>
            </w:r>
            <w:r w:rsidR="00B7319C">
              <w:rPr>
                <w:noProof/>
                <w:sz w:val="20"/>
                <w:szCs w:val="20"/>
              </w:rPr>
              <w:t>75</w:t>
            </w:r>
            <w:r w:rsidRPr="007C7CBE">
              <w:rPr>
                <w:sz w:val="20"/>
                <w:szCs w:val="20"/>
              </w:rPr>
              <w:fldChar w:fldCharType="end"/>
            </w:r>
          </w:p>
        </w:tc>
      </w:tr>
    </w:tbl>
    <w:p w14:paraId="5D9109C2" w14:textId="7B98B735" w:rsidR="00723BD4" w:rsidRDefault="00723BD4" w:rsidP="00723BD4">
      <w:r>
        <w:t xml:space="preserve">where </w:t>
      </w:r>
      <m:oMath>
        <m:sSub>
          <m:sSubPr>
            <m:ctrlPr>
              <w:rPr>
                <w:rFonts w:ascii="Cambria Math" w:hAnsi="Cambria Math"/>
                <w:i/>
              </w:rPr>
            </m:ctrlPr>
          </m:sSubPr>
          <m:e>
            <m:r>
              <w:rPr>
                <w:rFonts w:ascii="Cambria Math" w:hAnsi="Cambria Math"/>
              </w:rPr>
              <m:t>ϵ</m:t>
            </m:r>
          </m:e>
          <m:sub>
            <m:r>
              <w:rPr>
                <w:rFonts w:ascii="Cambria Math" w:hAnsi="Cambria Math"/>
              </w:rPr>
              <m:t>b</m:t>
            </m:r>
          </m:sub>
        </m:sSub>
      </m:oMath>
      <w:r>
        <w:rPr>
          <w:rFonts w:eastAsiaTheme="minorEastAsia"/>
        </w:rPr>
        <w:t xml:space="preserve"> is the bulk dielectric constant of the solvent, </w:t>
      </w:r>
      <m:oMath>
        <m:r>
          <w:rPr>
            <w:rFonts w:ascii="Cambria Math" w:hAnsi="Cambria Math"/>
          </w:rPr>
          <m:t>s(</m:t>
        </m:r>
        <m:r>
          <m:rPr>
            <m:sty m:val="bi"/>
          </m:rPr>
          <w:rPr>
            <w:rFonts w:ascii="Cambria Math" w:hAnsi="Cambria Math"/>
          </w:rPr>
          <m:t>r</m:t>
        </m:r>
        <m:r>
          <w:rPr>
            <w:rFonts w:ascii="Cambria Math" w:hAnsi="Cambria Math"/>
          </w:rPr>
          <m:t>)</m:t>
        </m:r>
      </m:oMath>
      <w:r>
        <w:rPr>
          <w:rFonts w:eastAsiaTheme="minorEastAsia"/>
        </w:rPr>
        <w:t xml:space="preserve"> is the cavity shape function, </w:t>
      </w:r>
      <m:oMath>
        <m:r>
          <w:rPr>
            <w:rFonts w:ascii="Cambria Math" w:hAnsi="Cambria Math"/>
          </w:rPr>
          <m:t>ϕ</m:t>
        </m:r>
        <m:r>
          <m:rPr>
            <m:sty m:val="p"/>
          </m:rPr>
          <w:rPr>
            <w:rFonts w:ascii="Cambria Math" w:hAnsi="Cambria Math"/>
          </w:rPr>
          <m:t>(</m:t>
        </m:r>
        <m:r>
          <m:rPr>
            <m:sty m:val="bi"/>
          </m:rPr>
          <w:rPr>
            <w:rFonts w:ascii="Cambria Math" w:hAnsi="Cambria Math"/>
          </w:rPr>
          <m:t>r</m:t>
        </m:r>
        <m:r>
          <m:rPr>
            <m:sty m:val="p"/>
          </m:rPr>
          <w:rPr>
            <w:rFonts w:ascii="Cambria Math" w:hAnsi="Cambria Math"/>
          </w:rPr>
          <m:t>)</m:t>
        </m:r>
      </m:oMath>
      <w:r>
        <w:rPr>
          <w:rFonts w:eastAsiaTheme="minorEastAsia"/>
        </w:rPr>
        <w:t xml:space="preserve"> is the electrostatic potential, </w:t>
      </w:r>
      <m:oMath>
        <m:r>
          <w:rPr>
            <w:rFonts w:ascii="Cambria Math" w:hAnsi="Cambria Math"/>
          </w:rPr>
          <m:t>κ</m:t>
        </m:r>
      </m:oMath>
      <w:r>
        <w:rPr>
          <w:rFonts w:eastAsiaTheme="minorEastAsia"/>
        </w:rPr>
        <w:t xml:space="preserve"> is the inverse Debye screening length due to the presence of ions in the electrolyte, </w:t>
      </w:r>
      <m:oMath>
        <m:sSub>
          <m:sSubPr>
            <m:ctrlPr>
              <w:rPr>
                <w:rFonts w:ascii="Cambria Math" w:hAnsi="Cambria Math"/>
              </w:rPr>
            </m:ctrlPr>
          </m:sSubPr>
          <m:e>
            <m:r>
              <w:rPr>
                <w:rFonts w:ascii="Cambria Math" w:hAnsi="Cambria Math"/>
              </w:rPr>
              <m:t>ρ</m:t>
            </m:r>
          </m:e>
          <m:sub>
            <m:r>
              <w:rPr>
                <w:rFonts w:ascii="Cambria Math" w:hAnsi="Cambria Math"/>
              </w:rPr>
              <m:t>el</m:t>
            </m:r>
          </m:sub>
        </m:sSub>
        <m:r>
          <w:rPr>
            <w:rFonts w:ascii="Cambria Math" w:hAnsi="Cambria Math"/>
          </w:rPr>
          <m:t>(</m:t>
        </m:r>
        <m:r>
          <m:rPr>
            <m:sty m:val="bi"/>
          </m:rPr>
          <w:rPr>
            <w:rFonts w:ascii="Cambria Math" w:hAnsi="Cambria Math"/>
          </w:rPr>
          <m:t>r</m:t>
        </m:r>
        <m:r>
          <w:rPr>
            <w:rFonts w:ascii="Cambria Math" w:hAnsi="Cambria Math"/>
          </w:rPr>
          <m:t>)</m:t>
        </m:r>
      </m:oMath>
      <w:r>
        <w:rPr>
          <w:rFonts w:eastAsiaTheme="minorEastAsia"/>
        </w:rPr>
        <w:t xml:space="preserve"> is the electron density. This approach therefore bears significant similarities with the work of </w:t>
      </w:r>
      <w:proofErr w:type="spellStart"/>
      <w:r w:rsidRPr="0092637F">
        <w:rPr>
          <w:rFonts w:eastAsiaTheme="minorEastAsia"/>
        </w:rPr>
        <w:t>Jinnouchi</w:t>
      </w:r>
      <w:proofErr w:type="spellEnd"/>
      <w:r w:rsidRPr="0092637F">
        <w:rPr>
          <w:rFonts w:eastAsiaTheme="minorEastAsia"/>
        </w:rPr>
        <w:t xml:space="preserve"> and Anderson</w:t>
      </w:r>
      <w:r>
        <w:rPr>
          <w:rFonts w:eastAsiaTheme="minorEastAsia"/>
        </w:rPr>
        <w:fldChar w:fldCharType="begin"/>
      </w:r>
      <w:r w:rsidR="00FC5BEB">
        <w:rPr>
          <w:rFonts w:eastAsiaTheme="minorEastAsia"/>
        </w:rPr>
        <w:instrText xml:space="preserve"> ADDIN EN.CITE &lt;EndNote&gt;&lt;Cite&gt;&lt;Author&gt;Jinnouchi&lt;/Author&gt;&lt;Year&gt;2008&lt;/Year&gt;&lt;RecNum&gt;479&lt;/RecNum&gt;&lt;DisplayText&gt;&lt;style face="superscript"&gt;481&lt;/style&gt;&lt;/DisplayText&gt;&lt;record&gt;&lt;rec-number&gt;479&lt;/rec-number&gt;&lt;foreign-keys&gt;&lt;key app="EN" db-id="2xex0erf4eexr4e2dpbxpdd829xttesxxxdr" timestamp="1715075297"&gt;479&lt;/key&gt;&lt;/foreign-keys&gt;&lt;ref-type name="Journal Article"&gt;17&lt;/ref-type&gt;&lt;contributors&gt;&lt;authors&gt;&lt;author&gt;Jinnouchi, Ryosuke&lt;/author&gt;&lt;author&gt;Anderson, Alfred B.&lt;/author&gt;&lt;/authors&gt;&lt;/contributors&gt;&lt;titles&gt;&lt;title&gt;Aqueous and surface redox potentials from self-consistently determined gibbs energies&lt;/title&gt;&lt;secondary-title&gt;Journal of Physical Chemistry C&lt;/secondary-title&gt;&lt;/titles&gt;&lt;periodical&gt;&lt;full-title&gt;Journal of Physical Chemistry C&lt;/full-title&gt;&lt;abbr-1&gt;J. Phys. Chem. C&lt;/abbr-1&gt;&lt;/periodical&gt;&lt;pages&gt;8747-8750&lt;/pages&gt;&lt;volume&gt;112&lt;/volume&gt;&lt;number&gt;24&lt;/number&gt;&lt;dates&gt;&lt;year&gt;2008&lt;/year&gt;&lt;/dates&gt;&lt;urls&gt;&lt;related-urls&gt;&lt;url&gt;https://pubs.acs.org/doi/pdf/10.1021/jp802627s&lt;/url&gt;&lt;/related-urls&gt;&lt;pdf-urls&gt;&lt;url&gt;file://localhost/localhost/Users/piccinin/Literature/jinnouchi-anderson-2008-aqueous-and-surface-redox-potentials-from-self-consistently-determined-gibbs-energies.pdf&lt;/url&gt;&lt;/pdf-urls&gt;&lt;/urls&gt;&lt;electronic-resource-num&gt;10.1021/jp802627s&lt;/electronic-resource-num&gt;&lt;/record&gt;&lt;/Cite&gt;&lt;/EndNote&gt;</w:instrText>
      </w:r>
      <w:r>
        <w:rPr>
          <w:rFonts w:eastAsiaTheme="minorEastAsia"/>
        </w:rPr>
        <w:fldChar w:fldCharType="separate"/>
      </w:r>
      <w:r w:rsidR="00FC5BEB" w:rsidRPr="00FC5BEB">
        <w:rPr>
          <w:rFonts w:eastAsiaTheme="minorEastAsia"/>
          <w:noProof/>
          <w:vertAlign w:val="superscript"/>
        </w:rPr>
        <w:t>481</w:t>
      </w:r>
      <w:r>
        <w:rPr>
          <w:rFonts w:eastAsiaTheme="minorEastAsia"/>
        </w:rPr>
        <w:fldChar w:fldCharType="end"/>
      </w:r>
      <w:r>
        <w:rPr>
          <w:rFonts w:eastAsiaTheme="minorEastAsia"/>
        </w:rPr>
        <w:t xml:space="preserve">, who first introduced a scheme to couple DFT calculations of charged slabs with a </w:t>
      </w:r>
      <w:r>
        <w:t>modified Poisson-Boltzmann description of the electrolyte.</w:t>
      </w:r>
      <w:r>
        <w:rPr>
          <w:rFonts w:eastAsiaTheme="minorEastAsia"/>
        </w:rPr>
        <w:t xml:space="preserve"> Different implicit solvation models differ in how the cavity shape function is determined on the basis of the electron density</w:t>
      </w:r>
      <w:r>
        <w:t>.</w:t>
      </w:r>
      <w:r>
        <w:fldChar w:fldCharType="begin"/>
      </w:r>
      <w:r w:rsidR="00FC5BEB">
        <w:instrText xml:space="preserve"> ADDIN EN.CITE &lt;EndNote&gt;&lt;Cite&gt;&lt;Author&gt;Sundararaman&lt;/Author&gt;&lt;Year&gt;2017&lt;/Year&gt;&lt;RecNum&gt;480&lt;/RecNum&gt;&lt;DisplayText&gt;&lt;style face="superscript"&gt;482&lt;/style&gt;&lt;/DisplayText&gt;&lt;record&gt;&lt;rec-number&gt;480&lt;/rec-number&gt;&lt;foreign-keys&gt;&lt;key app="EN" db-id="2xex0erf4eexr4e2dpbxpdd829xttesxxxdr" timestamp="1715075297"&gt;480&lt;/key&gt;&lt;/foreign-keys&gt;&lt;ref-type name="Journal Article"&gt;17&lt;/ref-type&gt;&lt;contributors&gt;&lt;authors&gt;&lt;author&gt;Sundararaman, Ravishankar&lt;/author&gt;&lt;author&gt;Goddard, William A., III&lt;/author&gt;&lt;author&gt;Arias, Tomas A.&lt;/author&gt;&lt;/authors&gt;&lt;/contributors&gt;&lt;titles&gt;&lt;title&gt;Grand canonical electronic density-functional theory: Algorithms and applications to electrochemistry&lt;/title&gt;&lt;secondary-title&gt;Journal of Chemical Physics&lt;/secondary-title&gt;&lt;/titles&gt;&lt;periodical&gt;&lt;full-title&gt;Journal of Chemical Physics&lt;/full-title&gt;&lt;abbr-1&gt;J. Chem. Phys.&lt;/abbr-1&gt;&lt;abbr-2&gt;J Chem Phys&lt;/abbr-2&gt;&lt;/periodical&gt;&lt;pages&gt;114104&lt;/pages&gt;&lt;volume&gt;146&lt;/volume&gt;&lt;number&gt;11&lt;/number&gt;&lt;dates&gt;&lt;year&gt;2017&lt;/year&gt;&lt;/dates&gt;&lt;isbn&gt;0021-9606&lt;/isbn&gt;&lt;urls&gt;&lt;related-urls&gt;&lt;url&gt;https://doi.org/10.1063/1.4978411&lt;/url&gt;&lt;/related-urls&gt;&lt;/urls&gt;&lt;custom1&gt;114104&lt;/custom1&gt;&lt;electronic-resource-num&gt;10.1063/1.4978411&lt;/electronic-resource-num&gt;&lt;access-date&gt;11/3/2023&lt;/access-date&gt;&lt;/record&gt;&lt;/Cite&gt;&lt;/EndNote&gt;</w:instrText>
      </w:r>
      <w:r>
        <w:fldChar w:fldCharType="separate"/>
      </w:r>
      <w:r w:rsidR="00FC5BEB" w:rsidRPr="00FC5BEB">
        <w:rPr>
          <w:noProof/>
          <w:vertAlign w:val="superscript"/>
        </w:rPr>
        <w:t>482</w:t>
      </w:r>
      <w:r>
        <w:fldChar w:fldCharType="end"/>
      </w:r>
      <w:r>
        <w:t xml:space="preserve"> This approach therefore allows one to model the electrostatic screening provided by the electrolyte without performing long MD simulations and allows one to obtain an absolute reference to measure potentials against, since the boundary conditions imposed in the model yield a potential in the electrolyte equal to zero</w:t>
      </w:r>
      <w:r w:rsidRPr="00501956">
        <w:t xml:space="preserve"> </w:t>
      </w:r>
      <w:r>
        <w:t>at infinity. Moreover, simulations can be performed in the grand canonical ensemble, i.e. at fixed electron chemical potential rather than at fixed number of electrons, via the use of suitable algorithms to ensure numerical convergence.</w:t>
      </w:r>
      <w:r>
        <w:fldChar w:fldCharType="begin"/>
      </w:r>
      <w:r w:rsidR="00FC5BEB">
        <w:instrText xml:space="preserve"> ADDIN EN.CITE &lt;EndNote&gt;&lt;Cite&gt;&lt;Author&gt;Sundararaman&lt;/Author&gt;&lt;Year&gt;2017&lt;/Year&gt;&lt;RecNum&gt;480&lt;/RecNum&gt;&lt;DisplayText&gt;&lt;style face="superscript"&gt;482&lt;/style&gt;&lt;/DisplayText&gt;&lt;record&gt;&lt;rec-number&gt;480&lt;/rec-number&gt;&lt;foreign-keys&gt;&lt;key app="EN" db-id="2xex0erf4eexr4e2dpbxpdd829xttesxxxdr" timestamp="1715075297"&gt;480&lt;/key&gt;&lt;/foreign-keys&gt;&lt;ref-type name="Journal Article"&gt;17&lt;/ref-type&gt;&lt;contributors&gt;&lt;authors&gt;&lt;author&gt;Sundararaman, Ravishankar&lt;/author&gt;&lt;author&gt;Goddard, William A., III&lt;/author&gt;&lt;author&gt;Arias, Tomas A.&lt;/author&gt;&lt;/authors&gt;&lt;/contributors&gt;&lt;titles&gt;&lt;title&gt;Grand canonical electronic density-functional theory: Algorithms and applications to electrochemistry&lt;/title&gt;&lt;secondary-title&gt;Journal of Chemical Physics&lt;/secondary-title&gt;&lt;/titles&gt;&lt;periodical&gt;&lt;full-title&gt;Journal of Chemical Physics&lt;/full-title&gt;&lt;abbr-1&gt;J. Chem. Phys.&lt;/abbr-1&gt;&lt;abbr-2&gt;J Chem Phys&lt;/abbr-2&gt;&lt;/periodical&gt;&lt;pages&gt;114104&lt;/pages&gt;&lt;volume&gt;146&lt;/volume&gt;&lt;number&gt;11&lt;/number&gt;&lt;dates&gt;&lt;year&gt;2017&lt;/year&gt;&lt;/dates&gt;&lt;isbn&gt;0021-9606&lt;/isbn&gt;&lt;urls&gt;&lt;related-urls&gt;&lt;url&gt;https://doi.org/10.1063/1.4978411&lt;/url&gt;&lt;/related-urls&gt;&lt;/urls&gt;&lt;custom1&gt;114104&lt;/custom1&gt;&lt;electronic-resource-num&gt;10.1063/1.4978411&lt;/electronic-resource-num&gt;&lt;access-date&gt;11/3/2023&lt;/access-date&gt;&lt;/record&gt;&lt;/Cite&gt;&lt;/EndNote&gt;</w:instrText>
      </w:r>
      <w:r>
        <w:fldChar w:fldCharType="separate"/>
      </w:r>
      <w:r w:rsidR="00FC5BEB" w:rsidRPr="00FC5BEB">
        <w:rPr>
          <w:noProof/>
          <w:vertAlign w:val="superscript"/>
        </w:rPr>
        <w:t>482</w:t>
      </w:r>
      <w:r>
        <w:fldChar w:fldCharType="end"/>
      </w:r>
      <w:r>
        <w:t xml:space="preserve"> </w:t>
      </w:r>
    </w:p>
    <w:p w14:paraId="2030360A" w14:textId="77777777" w:rsidR="00723BD4" w:rsidRDefault="00723BD4" w:rsidP="00723BD4"/>
    <w:p w14:paraId="7495D9F2" w14:textId="16FED925" w:rsidR="00723BD4" w:rsidRDefault="00723BD4" w:rsidP="005C7322">
      <w:pPr>
        <w:ind w:firstLine="720"/>
      </w:pPr>
      <w:r>
        <w:t>Ping et al.</w:t>
      </w:r>
      <w:r>
        <w:fldChar w:fldCharType="begin"/>
      </w:r>
      <w:r w:rsidR="00FC5BEB">
        <w:instrText xml:space="preserve"> ADDIN EN.CITE &lt;EndNote&gt;&lt;Cite&gt;&lt;Author&gt;Ping&lt;/Author&gt;&lt;Year&gt;2017&lt;/Year&gt;&lt;RecNum&gt;263&lt;/RecNum&gt;&lt;DisplayText&gt;&lt;style face="superscript"&gt;265&lt;/style&gt;&lt;/DisplayText&gt;&lt;record&gt;&lt;rec-number&gt;263&lt;/rec-number&gt;&lt;foreign-keys&gt;&lt;key app="EN" db-id="2xex0erf4eexr4e2dpbxpdd829xttesxxxdr" timestamp="1715075296"&gt;263&lt;/key&gt;&lt;/foreign-keys&gt;&lt;ref-type name="Journal Article"&gt;17&lt;/ref-type&gt;&lt;contributors&gt;&lt;authors&gt;&lt;author&gt;Ping, Yuan&lt;/author&gt;&lt;author&gt;Nielsen, Robert J.&lt;/author&gt;&lt;author&gt;Goddard, William A., III&lt;/author&gt;&lt;/authors&gt;&lt;/contributors&gt;&lt;titles&gt;&lt;title&gt;The Reaction Mechanism with Free Energy Barriers at Constant Potentials for the Oxygen Evolution Reaction at the IrO2 (110) Surface&lt;/title&gt;&lt;secondary-title&gt;Journal of the American Chemical Society&lt;/secondary-title&gt;&lt;/titles&gt;&lt;periodical&gt;&lt;full-title&gt;Journal of the American Chemical Society&lt;/full-title&gt;&lt;abbr-1&gt;J. Am. Chem. Soc.&lt;/abbr-1&gt;&lt;abbr-2&gt;J Am Chem Soc&lt;/abbr-2&gt;&lt;/periodical&gt;&lt;pages&gt;149-155&lt;/pages&gt;&lt;volume&gt;139&lt;/volume&gt;&lt;number&gt;1&lt;/number&gt;&lt;dates&gt;&lt;year&gt;2017&lt;/year&gt;&lt;pub-dates&gt;&lt;date&gt;2017/01/11&lt;/date&gt;&lt;/pub-dates&gt;&lt;/dates&gt;&lt;publisher&gt;American Chemical Society&lt;/publisher&gt;&lt;isbn&gt;0002-7863&lt;/isbn&gt;&lt;urls&gt;&lt;related-urls&gt;&lt;url&gt;https://doi.org/10.1021/jacs.6b07557&lt;/url&gt;&lt;/related-urls&gt;&lt;/urls&gt;&lt;electronic-resource-num&gt;10.1021/jacs.6b07557&lt;/electronic-resource-num&gt;&lt;/record&gt;&lt;/Cite&gt;&lt;/EndNote&gt;</w:instrText>
      </w:r>
      <w:r>
        <w:fldChar w:fldCharType="separate"/>
      </w:r>
      <w:r w:rsidR="00FC5BEB" w:rsidRPr="00FC5BEB">
        <w:rPr>
          <w:noProof/>
          <w:vertAlign w:val="superscript"/>
        </w:rPr>
        <w:t>265</w:t>
      </w:r>
      <w:r>
        <w:fldChar w:fldCharType="end"/>
      </w:r>
      <w:r>
        <w:t xml:space="preserve"> modeled the OER on IrO</w:t>
      </w:r>
      <w:r w:rsidRPr="007D2C6F">
        <w:rPr>
          <w:vertAlign w:val="subscript"/>
        </w:rPr>
        <w:t>2</w:t>
      </w:r>
      <w:r>
        <w:t xml:space="preserve">, </w:t>
      </w:r>
      <w:r w:rsidRPr="007D2C6F">
        <w:t xml:space="preserve">the only known catalyst </w:t>
      </w:r>
      <w:r>
        <w:t xml:space="preserve">that is both highly active and </w:t>
      </w:r>
      <w:r w:rsidRPr="007D2C6F">
        <w:t>stab</w:t>
      </w:r>
      <w:r>
        <w:t>le</w:t>
      </w:r>
      <w:r w:rsidRPr="007D2C6F">
        <w:t xml:space="preserve"> in acidic conditions</w:t>
      </w:r>
      <w:r>
        <w:t>, using the constant potential approach of Arias and co-workers</w:t>
      </w:r>
      <w:r>
        <w:fldChar w:fldCharType="begin">
          <w:fldData xml:space="preserve">PEVuZE5vdGU+PENpdGU+PEF1dGhvcj5MZXRjaHdvcnRoLVdlYXZlcjwvQXV0aG9yPjxZZWFyPjIw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</w:fldData>
        </w:fldChar>
      </w:r>
      <w:r w:rsidR="00FC5BEB">
        <w:instrText xml:space="preserve"> ADDIN EN.CITE </w:instrText>
      </w:r>
      <w:r w:rsidR="00FC5BEB">
        <w:fldChar w:fldCharType="begin">
          <w:fldData xml:space="preserve">PEVuZE5vdGU+PENpdGU+PEF1dGhvcj5MZXRjaHdvcnRoLVdlYXZlcjwvQXV0aG9yPjxZZWFyPjIw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</w:fldData>
        </w:fldChar>
      </w:r>
      <w:r w:rsidR="00FC5BEB">
        <w:instrText xml:space="preserve"> ADDIN EN.CITE.DATA </w:instrText>
      </w:r>
      <w:r w:rsidR="00FC5BEB">
        <w:fldChar w:fldCharType="end"/>
      </w:r>
      <w:r>
        <w:fldChar w:fldCharType="separate"/>
      </w:r>
      <w:r w:rsidR="00FC5BEB" w:rsidRPr="00FC5BEB">
        <w:rPr>
          <w:noProof/>
          <w:vertAlign w:val="superscript"/>
        </w:rPr>
        <w:t>460, 482</w:t>
      </w:r>
      <w:r>
        <w:fldChar w:fldCharType="end"/>
      </w:r>
      <w:r>
        <w:t>, combining DFT calculations of the IrO</w:t>
      </w:r>
      <w:r w:rsidRPr="007259A9">
        <w:rPr>
          <w:vertAlign w:val="subscript"/>
        </w:rPr>
        <w:t>2</w:t>
      </w:r>
      <w:r>
        <w:t>(110) surface with the CANDLE</w:t>
      </w:r>
      <w:r>
        <w:fldChar w:fldCharType="begin"/>
      </w:r>
      <w:r w:rsidR="00FC5BEB">
        <w:instrText xml:space="preserve"> ADDIN EN.CITE &lt;EndNote&gt;&lt;Cite&gt;&lt;Author&gt;Sundararaman&lt;/Author&gt;&lt;Year&gt;2015&lt;/Year&gt;&lt;RecNum&gt;464&lt;/RecNum&gt;&lt;DisplayText&gt;&lt;style face="superscript"&gt;466&lt;/style&gt;&lt;/DisplayText&gt;&lt;record&gt;&lt;rec-number&gt;464&lt;/rec-number&gt;&lt;foreign-keys&gt;&lt;key app="EN" db-id="2xex0erf4eexr4e2dpbxpdd829xttesxxxdr" timestamp="1715075297"&gt;464&lt;/key&gt;&lt;/foreign-keys&gt;&lt;ref-type name="Journal Article"&gt;17&lt;/ref-type&gt;&lt;contributors&gt;&lt;authors&gt;&lt;author&gt;Sundararaman, Ravishankar&lt;/author&gt;&lt;author&gt;Goddard, William A., III&lt;/author&gt;&lt;/authors&gt;&lt;/contributors&gt;&lt;titles&gt;&lt;title&gt;The charge-asymmetric nonlocally determined local-electric (CANDLE) solvation model&lt;/title&gt;&lt;secondary-title&gt;Journal of Chemical Physics&lt;/secondary-title&gt;&lt;/titles&gt;&lt;periodical&gt;&lt;full-title&gt;Journal of Chemical Physics&lt;/full-title&gt;&lt;abbr-1&gt;J. Chem. Phys.&lt;/abbr-1&gt;&lt;abbr-2&gt;J Chem Phys&lt;/abbr-2&gt;&lt;/periodical&gt;&lt;pages&gt;064107&lt;/pages&gt;&lt;volume&gt;142&lt;/volume&gt;&lt;number&gt;6&lt;/number&gt;&lt;dates&gt;&lt;year&gt;2015&lt;/year&gt;&lt;/dates&gt;&lt;isbn&gt;0021-9606&lt;/isbn&gt;&lt;urls&gt;&lt;related-urls&gt;&lt;url&gt;https://doi.org/10.1063/1.4907731&lt;/url&gt;&lt;/related-urls&gt;&lt;/urls&gt;&lt;custom1&gt;064107&lt;/custom1&gt;&lt;electronic-resource-num&gt;10.1063/1.4907731&lt;/electronic-resource-num&gt;&lt;access-date&gt;10/30/2023&lt;/access-date&gt;&lt;/record&gt;&lt;/Cite&gt;&lt;/EndNote&gt;</w:instrText>
      </w:r>
      <w:r>
        <w:fldChar w:fldCharType="separate"/>
      </w:r>
      <w:r w:rsidR="00FC5BEB" w:rsidRPr="00FC5BEB">
        <w:rPr>
          <w:noProof/>
          <w:vertAlign w:val="superscript"/>
        </w:rPr>
        <w:t>466</w:t>
      </w:r>
      <w:r>
        <w:fldChar w:fldCharType="end"/>
      </w:r>
      <w:r>
        <w:t xml:space="preserve"> implicit solvent model and a linearized Poisson-Boltzmann equation to treat counterions. The authors first computed the surface phase diagram as</w:t>
      </w:r>
      <w:r w:rsidR="003E273F">
        <w:t xml:space="preserve"> a</w:t>
      </w:r>
      <w:r>
        <w:t xml:space="preserve"> function of the applied bias (</w:t>
      </w:r>
      <w:r w:rsidR="00B312CB">
        <w:fldChar w:fldCharType="begin"/>
      </w:r>
      <w:r w:rsidR="00B312CB">
        <w:instrText xml:space="preserve"> REF _Ref151123849 \h </w:instrText>
      </w:r>
      <w:r w:rsidR="00B312CB">
        <w:fldChar w:fldCharType="separate"/>
      </w:r>
      <w:r w:rsidR="00B7319C" w:rsidRPr="007C7CBE">
        <w:rPr>
          <w:b/>
        </w:rPr>
        <w:t xml:space="preserve">Figure </w:t>
      </w:r>
      <w:r w:rsidR="00B7319C">
        <w:rPr>
          <w:b/>
          <w:bCs/>
          <w:noProof/>
        </w:rPr>
        <w:t>42</w:t>
      </w:r>
      <w:r w:rsidR="00B312CB">
        <w:fldChar w:fldCharType="end"/>
      </w:r>
      <w:r w:rsidR="00B312CB" w:rsidRPr="00D123C4">
        <w:rPr>
          <w:b/>
          <w:bCs/>
        </w:rPr>
        <w:t>b</w:t>
      </w:r>
      <w:r w:rsidR="00B312CB">
        <w:t xml:space="preserve">, </w:t>
      </w:r>
      <w:r>
        <w:t>see</w:t>
      </w:r>
      <w:r w:rsidR="00B312CB">
        <w:t xml:space="preserve"> also</w:t>
      </w:r>
      <w:r>
        <w:t xml:space="preserve"> </w:t>
      </w:r>
      <w:r>
        <w:fldChar w:fldCharType="begin"/>
      </w:r>
      <w:r>
        <w:instrText xml:space="preserve"> REF _Ref149836190 \h </w:instrText>
      </w:r>
      <w:r>
        <w:fldChar w:fldCharType="separate"/>
      </w:r>
      <w:r w:rsidR="00B7319C" w:rsidRPr="004E483C">
        <w:rPr>
          <w:b/>
        </w:rPr>
        <w:t xml:space="preserve">Figure </w:t>
      </w:r>
      <w:r w:rsidR="00B7319C">
        <w:rPr>
          <w:b/>
          <w:noProof/>
        </w:rPr>
        <w:t>57</w:t>
      </w:r>
      <w:r>
        <w:fldChar w:fldCharType="end"/>
      </w:r>
      <w:r>
        <w:t xml:space="preserve">), thus obtaining the degree of surface oxidation at increasingly anodic conditions. Starting with both </w:t>
      </w:r>
      <w:r w:rsidRPr="00EE7755">
        <w:rPr>
          <w:rFonts w:ascii="Symbol" w:hAnsi="Symbol"/>
        </w:rPr>
        <w:t></w:t>
      </w:r>
      <w:r w:rsidRPr="00EE7755">
        <w:rPr>
          <w:vertAlign w:val="subscript"/>
        </w:rPr>
        <w:t>1</w:t>
      </w:r>
      <w:r>
        <w:t xml:space="preserve">-O top sites and </w:t>
      </w:r>
      <w:r w:rsidRPr="00EE7755">
        <w:rPr>
          <w:rFonts w:ascii="Symbol" w:hAnsi="Symbol"/>
        </w:rPr>
        <w:t></w:t>
      </w:r>
      <w:r>
        <w:rPr>
          <w:vertAlign w:val="subscript"/>
        </w:rPr>
        <w:t>2</w:t>
      </w:r>
      <w:r>
        <w:t xml:space="preserve">-O bridge sites protonated, they found that the first dehydrogenation of a </w:t>
      </w:r>
      <w:r w:rsidRPr="00EE7755">
        <w:rPr>
          <w:rFonts w:ascii="Symbol" w:hAnsi="Symbol"/>
        </w:rPr>
        <w:t></w:t>
      </w:r>
      <w:r>
        <w:rPr>
          <w:vertAlign w:val="subscript"/>
        </w:rPr>
        <w:t>2</w:t>
      </w:r>
      <w:r>
        <w:t xml:space="preserve">-O bridge takes place slightly below 1.2 V (NHE), above 1.21 V (NHE) both the </w:t>
      </w:r>
      <w:r w:rsidRPr="00EE7755">
        <w:rPr>
          <w:rFonts w:ascii="Symbol" w:hAnsi="Symbol"/>
        </w:rPr>
        <w:t></w:t>
      </w:r>
      <w:r>
        <w:rPr>
          <w:vertAlign w:val="subscript"/>
        </w:rPr>
        <w:t>2</w:t>
      </w:r>
      <w:r>
        <w:t>-O sites are dehydrogenated, and above 1.50 V the surface is completely oxidized. The voltage window over which the complete dehydrogenation of the surface takes place if therefore approximately 0.3 V. This approach has been uses also in other works on the OER: Zhou et al.</w:t>
      </w:r>
      <w:r>
        <w:fldChar w:fldCharType="begin"/>
      </w:r>
      <w:r w:rsidR="00FC5BEB">
        <w:instrText xml:space="preserve"> ADDIN EN.CITE &lt;EndNote&gt;&lt;Cite&gt;&lt;Author&gt;Zhou&lt;/Author&gt;&lt;Year&gt;2023&lt;/Year&gt;&lt;RecNum&gt;481&lt;/RecNum&gt;&lt;DisplayText&gt;&lt;style face="superscript"&gt;483&lt;/style&gt;&lt;/DisplayText&gt;&lt;record&gt;&lt;rec-number&gt;481&lt;/rec-number&gt;&lt;foreign-keys&gt;&lt;key app="EN" db-id="2xex0erf4eexr4e2dpbxpdd829xttesxxxdr" timestamp="1715075297"&gt;481&lt;/key&gt;&lt;/foreign-keys&gt;&lt;ref-type name="Journal Article"&gt;17&lt;/ref-type&gt;&lt;contributors&gt;&lt;authors&gt;&lt;author&gt;Zhou, Zeying&lt;/author&gt;&lt;author&gt;Kan, Erjun&lt;/author&gt;&lt;author&gt;Deng, Kaiming&lt;/author&gt;&lt;author&gt;Ogitsu, Tadashi&lt;/author&gt;&lt;author&gt;Pham, Tuan Anh&lt;/author&gt;&lt;author&gt;Zhan, Cheng&lt;/author&gt;&lt;/authors&gt;&lt;/contributors&gt;&lt;titles&gt;&lt;title&gt;Synergic Effects of Surface Chemistry and Applied Potentials on the Kinetics of the Electrocatalytic Oxygen Evolution Reaction in IrO2&lt;/title&gt;&lt;secondary-title&gt;ACS Appl. Energy Mater.&lt;/secondary-title&gt;&lt;/titles&gt;&lt;periodical&gt;&lt;full-title&gt;ACS Appl. Energy Mater.&lt;/full-title&gt;&lt;/periodical&gt;&lt;pages&gt;11963-11972&lt;/pages&gt;&lt;volume&gt;6&lt;/volume&gt;&lt;dates&gt;&lt;year&gt;2023&lt;/year&gt;&lt;pub-dates&gt;&lt;date&gt;2023/11/20&lt;/date&gt;&lt;/pub-dates&gt;&lt;/dates&gt;&lt;publisher&gt;American Chemical Society&lt;/publisher&gt;&lt;urls&gt;&lt;related-urls&gt;&lt;url&gt;https://doi.org/10.1021/acsaem.3c02136&lt;/url&gt;&lt;/related-urls&gt;&lt;/urls&gt;&lt;electronic-resource-num&gt;10.1021/acsaem.3c02136&lt;/electronic-resource-num&gt;&lt;/record&gt;&lt;/Cite&gt;&lt;/EndNote&gt;</w:instrText>
      </w:r>
      <w:r>
        <w:fldChar w:fldCharType="separate"/>
      </w:r>
      <w:r w:rsidR="00FC5BEB" w:rsidRPr="00FC5BEB">
        <w:rPr>
          <w:noProof/>
          <w:vertAlign w:val="superscript"/>
        </w:rPr>
        <w:t>483</w:t>
      </w:r>
      <w:r>
        <w:fldChar w:fldCharType="end"/>
      </w:r>
      <w:r>
        <w:t xml:space="preserve"> focused on IrO</w:t>
      </w:r>
      <w:r w:rsidRPr="00A97188">
        <w:rPr>
          <w:vertAlign w:val="subscript"/>
        </w:rPr>
        <w:t>2</w:t>
      </w:r>
      <w:r>
        <w:t xml:space="preserve">(110), obtaining results very </w:t>
      </w:r>
      <w:r>
        <w:lastRenderedPageBreak/>
        <w:t>similar results to those obtained by Ping et al. discussed above, while Goddard and co-workers focused on NiFe-oxyhydroxide</w:t>
      </w:r>
      <w:r w:rsidR="00C1513F">
        <w:fldChar w:fldCharType="begin">
          <w:fldData xml:space="preserve">PEVuZE5vdGU+PENpdGU+PEF1dGhvcj5XYW5nPC9BdXRob3I+PFllYXI+MjAyMzwvWWVhcj48UmVj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=
</w:fldData>
        </w:fldChar>
      </w:r>
      <w:r w:rsidR="00FC5BEB">
        <w:instrText xml:space="preserve"> ADDIN EN.CITE </w:instrText>
      </w:r>
      <w:r w:rsidR="00FC5BEB">
        <w:fldChar w:fldCharType="begin">
          <w:fldData xml:space="preserve">PEVuZE5vdGU+PENpdGU+PEF1dGhvcj5XYW5nPC9BdXRob3I+PFllYXI+MjAyMzwvWWVhcj48UmVj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=
</w:fldData>
        </w:fldChar>
      </w:r>
      <w:r w:rsidR="00FC5BEB">
        <w:instrText xml:space="preserve"> ADDIN EN.CITE.DATA </w:instrText>
      </w:r>
      <w:r w:rsidR="00FC5BEB">
        <w:fldChar w:fldCharType="end"/>
      </w:r>
      <w:r w:rsidR="00C1513F">
        <w:fldChar w:fldCharType="separate"/>
      </w:r>
      <w:r w:rsidR="00FC5BEB" w:rsidRPr="00FC5BEB">
        <w:rPr>
          <w:noProof/>
          <w:vertAlign w:val="superscript"/>
        </w:rPr>
        <w:t>65, 484</w:t>
      </w:r>
      <w:r w:rsidR="00C1513F">
        <w:fldChar w:fldCharType="end"/>
      </w:r>
      <w:r w:rsidR="00C1513F">
        <w:t xml:space="preserve"> </w:t>
      </w:r>
      <w:r>
        <w:t>electrocatalysts. The method has</w:t>
      </w:r>
      <w:r w:rsidR="00BE00EB">
        <w:t xml:space="preserve"> also</w:t>
      </w:r>
      <w:r>
        <w:t xml:space="preserve"> been applied to investigate other electrocatalytic processes: </w:t>
      </w:r>
      <w:proofErr w:type="spellStart"/>
      <w:r>
        <w:t>Goodpaster</w:t>
      </w:r>
      <w:proofErr w:type="spellEnd"/>
      <w:r>
        <w:t xml:space="preserve"> et al.</w:t>
      </w:r>
      <w:r>
        <w:fldChar w:fldCharType="begin"/>
      </w:r>
      <w:r w:rsidR="00FC5BEB">
        <w:instrText xml:space="preserve"> ADDIN EN.CITE &lt;EndNote&gt;&lt;Cite&gt;&lt;Author&gt;Goodpaster&lt;/Author&gt;&lt;Year&gt;2016&lt;/Year&gt;&lt;RecNum&gt;483&lt;/RecNum&gt;&lt;DisplayText&gt;&lt;style face="superscript"&gt;485&lt;/style&gt;&lt;/DisplayText&gt;&lt;record&gt;&lt;rec-number&gt;483&lt;/rec-number&gt;&lt;foreign-keys&gt;&lt;key app="EN" db-id="2xex0erf4eexr4e2dpbxpdd829xttesxxxdr" timestamp="1715075297"&gt;483&lt;/key&gt;&lt;/foreign-keys&gt;&lt;ref-type name="Journal Article"&gt;17&lt;/ref-type&gt;&lt;contributors&gt;&lt;authors&gt;&lt;author&gt;Goodpaster, Jason D.&lt;/author&gt;&lt;author&gt;Bell, Alexis T.&lt;/author&gt;&lt;author&gt;Head-Gordon, Martin&lt;/author&gt;&lt;/authors&gt;&lt;/contributors&gt;&lt;titles&gt;&lt;title&gt;Identification of Possible Pathways for C-C Bond Formation during Electrochemical Reduction of CO2: New Theoretical Insights from an Improved Electrochemical Model&lt;/title&gt;&lt;secondary-title&gt;J. Phys. Chem. Lett.&lt;/secondary-title&gt;&lt;/titles&gt;&lt;periodical&gt;&lt;full-title&gt;J. Phys. Chem. Lett.&lt;/full-title&gt;&lt;/periodical&gt;&lt;pages&gt;1471-1477&lt;/pages&gt;&lt;volume&gt;7&lt;/volume&gt;&lt;number&gt;8&lt;/number&gt;&lt;dates&gt;&lt;year&gt;2016&lt;/year&gt;&lt;/dates&gt;&lt;urls&gt;&lt;related-urls&gt;&lt;url&gt;https://pubs.acs.org/doi/pdf/10.1021/acs.jpclett.6b00358&lt;/url&gt;&lt;/related-urls&gt;&lt;pdf-urls&gt;&lt;url&gt;file://localhost/localhost/localhost/Users/piccinin/Literature/goodpaster-et-al-2016-identification-of-possible-pathways-for-c-c-bond-formation-during-electrochemical-reduction-of.pdf&lt;/url&gt;&lt;/pdf-urls&gt;&lt;/urls&gt;&lt;electronic-resource-num&gt;10.1021/acs.jpclett.6b00358&lt;/electronic-resource-num&gt;&lt;/record&gt;&lt;/Cite&gt;&lt;/EndNote&gt;</w:instrText>
      </w:r>
      <w:r>
        <w:fldChar w:fldCharType="separate"/>
      </w:r>
      <w:r w:rsidR="00FC5BEB" w:rsidRPr="00FC5BEB">
        <w:rPr>
          <w:noProof/>
          <w:vertAlign w:val="superscript"/>
        </w:rPr>
        <w:t>485</w:t>
      </w:r>
      <w:r>
        <w:fldChar w:fldCharType="end"/>
      </w:r>
      <w:r>
        <w:t xml:space="preserve"> for example, modeled CO</w:t>
      </w:r>
      <w:r w:rsidRPr="007F532D">
        <w:rPr>
          <w:vertAlign w:val="subscript"/>
        </w:rPr>
        <w:t>2</w:t>
      </w:r>
      <w:r>
        <w:t xml:space="preserve"> reduction on Cu(100).</w:t>
      </w:r>
    </w:p>
    <w:p w14:paraId="2F17D44B" w14:textId="77777777" w:rsidR="00296758" w:rsidRDefault="00296758" w:rsidP="005C7322">
      <w:pPr>
        <w:ind w:firstLine="720"/>
      </w:pPr>
    </w:p>
    <w:p w14:paraId="33D72196" w14:textId="77777777" w:rsidR="00723BD4" w:rsidRDefault="00723BD4" w:rsidP="00723BD4">
      <w:r>
        <w:rPr>
          <w:noProof/>
        </w:rPr>
        <w:drawing>
          <wp:inline distT="0" distB="0" distL="0" distR="0" wp14:anchorId="659FD01A" wp14:editId="30136427">
            <wp:extent cx="5760000" cy="3572308"/>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ngJACS2017_Fig1_and_Nong_exp_big.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760000" cy="3572308"/>
                    </a:xfrm>
                    <a:prstGeom prst="rect">
                      <a:avLst/>
                    </a:prstGeom>
                  </pic:spPr>
                </pic:pic>
              </a:graphicData>
            </a:graphic>
          </wp:inline>
        </w:drawing>
      </w:r>
    </w:p>
    <w:p w14:paraId="57B92913" w14:textId="6B37E6A4" w:rsidR="00723BD4" w:rsidRPr="00296758" w:rsidRDefault="00723BD4" w:rsidP="00296758">
      <w:bookmarkStart w:id="137" w:name="_Ref151123849"/>
      <w:r w:rsidRPr="007C7CBE">
        <w:rPr>
          <w:b/>
        </w:rPr>
        <w:t xml:space="preserve">Figure </w:t>
      </w:r>
      <w:r w:rsidRPr="007C7CBE">
        <w:rPr>
          <w:b/>
          <w:bCs/>
        </w:rPr>
        <w:fldChar w:fldCharType="begin"/>
      </w:r>
      <w:r w:rsidRPr="007C7CBE">
        <w:rPr>
          <w:b/>
        </w:rPr>
        <w:instrText xml:space="preserve"> SEQ Figure \* ARABIC </w:instrText>
      </w:r>
      <w:r w:rsidRPr="007C7CBE">
        <w:rPr>
          <w:b/>
          <w:bCs/>
        </w:rPr>
        <w:fldChar w:fldCharType="separate"/>
      </w:r>
      <w:r w:rsidR="00B7319C">
        <w:rPr>
          <w:b/>
          <w:bCs/>
          <w:noProof/>
        </w:rPr>
        <w:t>42</w:t>
      </w:r>
      <w:r w:rsidRPr="007C7CBE">
        <w:rPr>
          <w:b/>
          <w:bCs/>
          <w:noProof/>
        </w:rPr>
        <w:fldChar w:fldCharType="end"/>
      </w:r>
      <w:bookmarkEnd w:id="137"/>
      <w:r>
        <w:t xml:space="preserve"> </w:t>
      </w:r>
      <w:r w:rsidRPr="00296758">
        <w:rPr>
          <w:sz w:val="20"/>
          <w:szCs w:val="20"/>
        </w:rPr>
        <w:t>(a) The six panels show the surface structures with different OH terminations. Black curve, OH terminated surface; red curve, 75% OH terminated surface with 50% top O and 25% bridging O; blue curve, 50% OH terminated surface with bridging O; dark green curve, 50% OH terminated surface with top O; gray curve, 25% OH terminated surface with top O; purple curve, O terminated surface. (b) Surface phase diagram of IrO</w:t>
      </w:r>
      <w:r w:rsidRPr="00296758">
        <w:rPr>
          <w:sz w:val="20"/>
          <w:szCs w:val="20"/>
          <w:vertAlign w:val="subscript"/>
        </w:rPr>
        <w:t>2</w:t>
      </w:r>
      <w:r w:rsidRPr="00296758">
        <w:rPr>
          <w:sz w:val="20"/>
          <w:szCs w:val="20"/>
        </w:rPr>
        <w:t xml:space="preserve"> (110) with one monolayer of H</w:t>
      </w:r>
      <w:r w:rsidRPr="00296758">
        <w:rPr>
          <w:sz w:val="20"/>
          <w:szCs w:val="20"/>
          <w:vertAlign w:val="subscript"/>
        </w:rPr>
        <w:t>2</w:t>
      </w:r>
      <w:r w:rsidRPr="00296758">
        <w:rPr>
          <w:sz w:val="20"/>
          <w:szCs w:val="20"/>
        </w:rPr>
        <w:t>O as a function of applied potentials. The inset figure in panel (b) shows the zoom-in of the black curve (OH terminated surface) where the crossing of horizontal tangential line and the vertical line shows the potential of zero charge of IrO</w:t>
      </w:r>
      <w:r w:rsidRPr="00296758">
        <w:rPr>
          <w:sz w:val="20"/>
          <w:szCs w:val="20"/>
          <w:vertAlign w:val="subscript"/>
        </w:rPr>
        <w:t>2</w:t>
      </w:r>
      <w:r w:rsidRPr="00296758">
        <w:rPr>
          <w:sz w:val="20"/>
          <w:szCs w:val="20"/>
        </w:rPr>
        <w:t xml:space="preserve"> (110) surface in solution at pH = 0. The purple and dark green lines cross at 1.50 eV and the red and dark green lines cross at 1.21 eV. The surface structure inside the surface diagram is the stoichiometric (110) IrO</w:t>
      </w:r>
      <w:r w:rsidRPr="00296758">
        <w:rPr>
          <w:sz w:val="20"/>
          <w:szCs w:val="20"/>
          <w:vertAlign w:val="subscript"/>
        </w:rPr>
        <w:t>2</w:t>
      </w:r>
      <w:r w:rsidRPr="00296758">
        <w:rPr>
          <w:sz w:val="20"/>
          <w:szCs w:val="20"/>
        </w:rPr>
        <w:t xml:space="preserve">. (c) The </w:t>
      </w:r>
      <w:proofErr w:type="spellStart"/>
      <w:r w:rsidRPr="00296758">
        <w:rPr>
          <w:sz w:val="20"/>
          <w:szCs w:val="20"/>
        </w:rPr>
        <w:t>Pourbaix</w:t>
      </w:r>
      <w:proofErr w:type="spellEnd"/>
      <w:r w:rsidRPr="00296758">
        <w:rPr>
          <w:sz w:val="20"/>
          <w:szCs w:val="20"/>
        </w:rPr>
        <w:t xml:space="preserve"> diagram computed for the IrO</w:t>
      </w:r>
      <w:r w:rsidRPr="00296758">
        <w:rPr>
          <w:sz w:val="20"/>
          <w:szCs w:val="20"/>
          <w:vertAlign w:val="subscript"/>
        </w:rPr>
        <w:t>2</w:t>
      </w:r>
      <w:r w:rsidRPr="00296758">
        <w:rPr>
          <w:sz w:val="20"/>
          <w:szCs w:val="20"/>
        </w:rPr>
        <w:t>(110) surface computed by Nong et al.</w:t>
      </w:r>
      <w:r w:rsidR="0045303C">
        <w:rPr>
          <w:sz w:val="20"/>
          <w:szCs w:val="20"/>
        </w:rPr>
        <w:fldChar w:fldCharType="begin"/>
      </w:r>
      <w:r w:rsidR="0045303C">
        <w:rPr>
          <w:sz w:val="20"/>
          <w:szCs w:val="20"/>
        </w:rPr>
        <w:instrText xml:space="preserve"> ADDIN EN.CITE &lt;EndNote&gt;&lt;Cite&gt;&lt;Author&gt;Nong&lt;/Author&gt;&lt;Year&gt;2020&lt;/Year&gt;&lt;RecNum&gt;63&lt;/RecNum&gt;&lt;DisplayText&gt;&lt;style face="superscript"&gt;63&lt;/style&gt;&lt;/DisplayText&gt;&lt;record&gt;&lt;rec-number&gt;63&lt;/rec-number&gt;&lt;foreign-keys&gt;&lt;key app="EN" db-id="2xex0erf4eexr4e2dpbxpdd829xttesxxxdr" timestamp="1715075296"&gt;63&lt;/key&gt;&lt;/foreign-keys&gt;&lt;ref-type name="Journal Article"&gt;17&lt;/ref-type&gt;&lt;contributors&gt;&lt;authors&gt;&lt;author&gt;Nong, Hong Nhan&lt;/author&gt;&lt;author&gt;Falling, Lorenz J.&lt;/author&gt;&lt;author&gt;Bergmann, Arno&lt;/author&gt;&lt;author&gt;Klingenhof, Malte&lt;/author&gt;&lt;author&gt;Tran, Hoang Phi&lt;/author&gt;&lt;author&gt;Spöri, Camillo&lt;/author&gt;&lt;author&gt;Mom, Rik&lt;/author&gt;&lt;author&gt;Timoshenko, Janis&lt;/author&gt;&lt;author&gt;Zichittella, Guido&lt;/author&gt;&lt;author&gt;Knop-Gericke, Axel&lt;/author&gt;&lt;author&gt;Piccinin, Simone&lt;/author&gt;&lt;author&gt;Pérez-Ramírez, Javier&lt;/author&gt;&lt;author&gt;Cuenya, Beatriz Roldan&lt;/author&gt;&lt;author&gt;Schlögl, Robert&lt;/author&gt;&lt;author&gt;Strasser, Peter&lt;/author&gt;&lt;author&gt;Teschner, Detre&lt;/author&gt;&lt;author&gt;Jones, Travis E.&lt;/author&gt;&lt;/authors&gt;&lt;/contributors&gt;&lt;titles&gt;&lt;title&gt;Key role of chemistry versus bias in electrocatalytic oxygen evolution&lt;/title&gt;&lt;secondary-title&gt;Nature&lt;/secondary-title&gt;&lt;/titles&gt;&lt;pages&gt;408-413&lt;/pages&gt;&lt;volume&gt;587&lt;/volume&gt;&lt;number&gt;7834&lt;/number&gt;&lt;dates&gt;&lt;year&gt;2020&lt;/year&gt;&lt;pub-dates&gt;&lt;date&gt;2020/11/01&lt;/date&gt;&lt;/pub-dates&gt;&lt;/dates&gt;&lt;isbn&gt;1476-4687&lt;/isbn&gt;&lt;urls&gt;&lt;related-urls&gt;&lt;url&gt;https://doi.org/10.1038/s41586-020-2908-2&lt;/url&gt;&lt;/related-urls&gt;&lt;/urls&gt;&lt;electronic-resource-num&gt;10.1038/s41586-020-2908-2&lt;/electronic-resource-num&gt;&lt;/record&gt;&lt;/Cite&gt;&lt;/EndNote&gt;</w:instrText>
      </w:r>
      <w:r w:rsidR="0045303C">
        <w:rPr>
          <w:sz w:val="20"/>
          <w:szCs w:val="20"/>
        </w:rPr>
        <w:fldChar w:fldCharType="separate"/>
      </w:r>
      <w:r w:rsidR="0045303C" w:rsidRPr="0045303C">
        <w:rPr>
          <w:noProof/>
          <w:sz w:val="20"/>
          <w:szCs w:val="20"/>
          <w:vertAlign w:val="superscript"/>
        </w:rPr>
        <w:t>63</w:t>
      </w:r>
      <w:r w:rsidR="0045303C">
        <w:rPr>
          <w:sz w:val="20"/>
          <w:szCs w:val="20"/>
        </w:rPr>
        <w:fldChar w:fldCharType="end"/>
      </w:r>
      <w:r w:rsidRPr="00296758">
        <w:rPr>
          <w:sz w:val="20"/>
          <w:szCs w:val="20"/>
        </w:rPr>
        <w:t>, using the same labels as Ping et al.</w:t>
      </w:r>
      <w:r w:rsidRPr="00296758">
        <w:rPr>
          <w:sz w:val="20"/>
          <w:szCs w:val="20"/>
        </w:rPr>
        <w:fldChar w:fldCharType="begin"/>
      </w:r>
      <w:r w:rsidR="00FC5BEB">
        <w:rPr>
          <w:sz w:val="20"/>
          <w:szCs w:val="20"/>
        </w:rPr>
        <w:instrText xml:space="preserve"> ADDIN EN.CITE &lt;EndNote&gt;&lt;Cite&gt;&lt;Author&gt;Ping&lt;/Author&gt;&lt;Year&gt;2017&lt;/Year&gt;&lt;RecNum&gt;263&lt;/RecNum&gt;&lt;DisplayText&gt;&lt;style face="superscript"&gt;265&lt;/style&gt;&lt;/DisplayText&gt;&lt;record&gt;&lt;rec-number&gt;263&lt;/rec-number&gt;&lt;foreign-keys&gt;&lt;key app="EN" db-id="2xex0erf4eexr4e2dpbxpdd829xttesxxxdr" timestamp="1715075296"&gt;263&lt;/key&gt;&lt;/foreign-keys&gt;&lt;ref-type name="Journal Article"&gt;17&lt;/ref-type&gt;&lt;contributors&gt;&lt;authors&gt;&lt;author&gt;Ping, Yuan&lt;/author&gt;&lt;author&gt;Nielsen, Robert J.&lt;/author&gt;&lt;author&gt;Goddard, William A., III&lt;/author&gt;&lt;/authors&gt;&lt;/contributors&gt;&lt;titles&gt;&lt;title&gt;The Reaction Mechanism with Free Energy Barriers at Constant Potentials for the Oxygen Evolution Reaction at the IrO2 (110) Surface&lt;/title&gt;&lt;secondary-title&gt;Journal of the American Chemical Society&lt;/secondary-title&gt;&lt;/titles&gt;&lt;periodical&gt;&lt;full-title&gt;Journal of the American Chemical Society&lt;/full-title&gt;&lt;abbr-1&gt;J. Am. Chem. Soc.&lt;/abbr-1&gt;&lt;abbr-2&gt;J Am Chem Soc&lt;/abbr-2&gt;&lt;/periodical&gt;&lt;pages&gt;149-155&lt;/pages&gt;&lt;volume&gt;139&lt;/volume&gt;&lt;number&gt;1&lt;/number&gt;&lt;dates&gt;&lt;year&gt;2017&lt;/year&gt;&lt;pub-dates&gt;&lt;date&gt;2017/01/11&lt;/date&gt;&lt;/pub-dates&gt;&lt;/dates&gt;&lt;publisher&gt;American Chemical Society&lt;/publisher&gt;&lt;isbn&gt;0002-7863&lt;/isbn&gt;&lt;urls&gt;&lt;related-urls&gt;&lt;url&gt;https://doi.org/10.1021/jacs.6b07557&lt;/url&gt;&lt;/related-urls&gt;&lt;/urls&gt;&lt;electronic-resource-num&gt;10.1021/jacs.6b07557&lt;/electronic-resource-num&gt;&lt;/record&gt;&lt;/Cite&gt;&lt;/EndNote&gt;</w:instrText>
      </w:r>
      <w:r w:rsidRPr="00296758">
        <w:rPr>
          <w:sz w:val="20"/>
          <w:szCs w:val="20"/>
        </w:rPr>
        <w:fldChar w:fldCharType="separate"/>
      </w:r>
      <w:r w:rsidR="00FC5BEB" w:rsidRPr="00FC5BEB">
        <w:rPr>
          <w:noProof/>
          <w:sz w:val="20"/>
          <w:szCs w:val="20"/>
          <w:vertAlign w:val="superscript"/>
        </w:rPr>
        <w:t>265</w:t>
      </w:r>
      <w:r w:rsidRPr="00296758">
        <w:rPr>
          <w:sz w:val="20"/>
          <w:szCs w:val="20"/>
        </w:rPr>
        <w:fldChar w:fldCharType="end"/>
      </w:r>
      <w:r w:rsidRPr="00296758">
        <w:rPr>
          <w:sz w:val="20"/>
          <w:szCs w:val="20"/>
        </w:rPr>
        <w:t xml:space="preserve"> in panel (b). Panels (a) and (b) are adapted </w:t>
      </w:r>
      <w:r w:rsidR="00FF4B0D" w:rsidRPr="00296758">
        <w:rPr>
          <w:sz w:val="20"/>
          <w:szCs w:val="20"/>
        </w:rPr>
        <w:t xml:space="preserve">with permission </w:t>
      </w:r>
      <w:r w:rsidRPr="00296758">
        <w:rPr>
          <w:sz w:val="20"/>
          <w:szCs w:val="20"/>
        </w:rPr>
        <w:t>from Ref.</w:t>
      </w:r>
      <w:r w:rsidRPr="00296758">
        <w:rPr>
          <w:sz w:val="20"/>
          <w:szCs w:val="20"/>
        </w:rPr>
        <w:fldChar w:fldCharType="begin"/>
      </w:r>
      <w:r w:rsidR="00FC5BEB">
        <w:rPr>
          <w:sz w:val="20"/>
          <w:szCs w:val="20"/>
        </w:rPr>
        <w:instrText xml:space="preserve"> ADDIN EN.CITE &lt;EndNote&gt;&lt;Cite&gt;&lt;Author&gt;Ping&lt;/Author&gt;&lt;Year&gt;2017&lt;/Year&gt;&lt;RecNum&gt;263&lt;/RecNum&gt;&lt;DisplayText&gt;&lt;style face="superscript"&gt;265&lt;/style&gt;&lt;/DisplayText&gt;&lt;record&gt;&lt;rec-number&gt;263&lt;/rec-number&gt;&lt;foreign-keys&gt;&lt;key app="EN" db-id="2xex0erf4eexr4e2dpbxpdd829xttesxxxdr" timestamp="1715075296"&gt;263&lt;/key&gt;&lt;/foreign-keys&gt;&lt;ref-type name="Journal Article"&gt;17&lt;/ref-type&gt;&lt;contributors&gt;&lt;authors&gt;&lt;author&gt;Ping, Yuan&lt;/author&gt;&lt;author&gt;Nielsen, Robert J.&lt;/author&gt;&lt;author&gt;Goddard, William A., III&lt;/author&gt;&lt;/authors&gt;&lt;/contributors&gt;&lt;titles&gt;&lt;title&gt;The Reaction Mechanism with Free Energy Barriers at Constant Potentials for the Oxygen Evolution Reaction at the IrO2 (110) Surface&lt;/title&gt;&lt;secondary-title&gt;Journal of the American Chemical Society&lt;/secondary-title&gt;&lt;/titles&gt;&lt;periodical&gt;&lt;full-title&gt;Journal of the American Chemical Society&lt;/full-title&gt;&lt;abbr-1&gt;J. Am. Chem. Soc.&lt;/abbr-1&gt;&lt;abbr-2&gt;J Am Chem Soc&lt;/abbr-2&gt;&lt;/periodical&gt;&lt;pages&gt;149-155&lt;/pages&gt;&lt;volume&gt;139&lt;/volume&gt;&lt;number&gt;1&lt;/number&gt;&lt;dates&gt;&lt;year&gt;2017&lt;/year&gt;&lt;pub-dates&gt;&lt;date&gt;2017/01/11&lt;/date&gt;&lt;/pub-dates&gt;&lt;/dates&gt;&lt;publisher&gt;American Chemical Society&lt;/publisher&gt;&lt;isbn&gt;0002-7863&lt;/isbn&gt;&lt;urls&gt;&lt;related-urls&gt;&lt;url&gt;https://doi.org/10.1021/jacs.6b07557&lt;/url&gt;&lt;/related-urls&gt;&lt;/urls&gt;&lt;electronic-resource-num&gt;10.1021/jacs.6b07557&lt;/electronic-resource-num&gt;&lt;/record&gt;&lt;/Cite&gt;&lt;/EndNote&gt;</w:instrText>
      </w:r>
      <w:r w:rsidRPr="00296758">
        <w:rPr>
          <w:sz w:val="20"/>
          <w:szCs w:val="20"/>
        </w:rPr>
        <w:fldChar w:fldCharType="separate"/>
      </w:r>
      <w:r w:rsidR="00FC5BEB" w:rsidRPr="00FC5BEB">
        <w:rPr>
          <w:noProof/>
          <w:sz w:val="20"/>
          <w:szCs w:val="20"/>
          <w:vertAlign w:val="superscript"/>
        </w:rPr>
        <w:t>265</w:t>
      </w:r>
      <w:r w:rsidRPr="00296758">
        <w:rPr>
          <w:sz w:val="20"/>
          <w:szCs w:val="20"/>
        </w:rPr>
        <w:fldChar w:fldCharType="end"/>
      </w:r>
      <w:r w:rsidR="00F447C8">
        <w:rPr>
          <w:sz w:val="20"/>
          <w:szCs w:val="20"/>
        </w:rPr>
        <w:t xml:space="preserve"> Copyright 2017 American Chemical Society.</w:t>
      </w:r>
      <w:r w:rsidRPr="00296758">
        <w:rPr>
          <w:sz w:val="20"/>
          <w:szCs w:val="20"/>
        </w:rPr>
        <w:t xml:space="preserve"> Panel (c) is adapted</w:t>
      </w:r>
      <w:r w:rsidR="00FF4B0D" w:rsidRPr="00296758">
        <w:rPr>
          <w:sz w:val="20"/>
          <w:szCs w:val="20"/>
        </w:rPr>
        <w:t xml:space="preserve"> with permission</w:t>
      </w:r>
      <w:r w:rsidRPr="00296758">
        <w:rPr>
          <w:sz w:val="20"/>
          <w:szCs w:val="20"/>
        </w:rPr>
        <w:t xml:space="preserve"> from Ref.</w:t>
      </w:r>
      <w:r w:rsidR="0045303C">
        <w:rPr>
          <w:sz w:val="20"/>
          <w:szCs w:val="20"/>
        </w:rPr>
        <w:fldChar w:fldCharType="begin"/>
      </w:r>
      <w:r w:rsidR="0045303C">
        <w:rPr>
          <w:sz w:val="20"/>
          <w:szCs w:val="20"/>
        </w:rPr>
        <w:instrText xml:space="preserve"> ADDIN EN.CITE &lt;EndNote&gt;&lt;Cite&gt;&lt;Author&gt;Nong&lt;/Author&gt;&lt;Year&gt;2020&lt;/Year&gt;&lt;RecNum&gt;63&lt;/RecNum&gt;&lt;DisplayText&gt;&lt;style face="superscript"&gt;63&lt;/style&gt;&lt;/DisplayText&gt;&lt;record&gt;&lt;rec-number&gt;63&lt;/rec-number&gt;&lt;foreign-keys&gt;&lt;key app="EN" db-id="2xex0erf4eexr4e2dpbxpdd829xttesxxxdr" timestamp="1715075296"&gt;63&lt;/key&gt;&lt;/foreign-keys&gt;&lt;ref-type name="Journal Article"&gt;17&lt;/ref-type&gt;&lt;contributors&gt;&lt;authors&gt;&lt;author&gt;Nong, Hong Nhan&lt;/author&gt;&lt;author&gt;Falling, Lorenz J.&lt;/author&gt;&lt;author&gt;Bergmann, Arno&lt;/author&gt;&lt;author&gt;Klingenhof, Malte&lt;/author&gt;&lt;author&gt;Tran, Hoang Phi&lt;/author&gt;&lt;author&gt;Spöri, Camillo&lt;/author&gt;&lt;author&gt;Mom, Rik&lt;/author&gt;&lt;author&gt;Timoshenko, Janis&lt;/author&gt;&lt;author&gt;Zichittella, Guido&lt;/author&gt;&lt;author&gt;Knop-Gericke, Axel&lt;/author&gt;&lt;author&gt;Piccinin, Simone&lt;/author&gt;&lt;author&gt;Pérez-Ramírez, Javier&lt;/author&gt;&lt;author&gt;Cuenya, Beatriz Roldan&lt;/author&gt;&lt;author&gt;Schlögl, Robert&lt;/author&gt;&lt;author&gt;Strasser, Peter&lt;/author&gt;&lt;author&gt;Teschner, Detre&lt;/author&gt;&lt;author&gt;Jones, Travis E.&lt;/author&gt;&lt;/authors&gt;&lt;/contributors&gt;&lt;titles&gt;&lt;title&gt;Key role of chemistry versus bias in electrocatalytic oxygen evolution&lt;/title&gt;&lt;secondary-title&gt;Nature&lt;/secondary-title&gt;&lt;/titles&gt;&lt;pages&gt;408-413&lt;/pages&gt;&lt;volume&gt;587&lt;/volume&gt;&lt;number&gt;7834&lt;/number&gt;&lt;dates&gt;&lt;year&gt;2020&lt;/year&gt;&lt;pub-dates&gt;&lt;date&gt;2020/11/01&lt;/date&gt;&lt;/pub-dates&gt;&lt;/dates&gt;&lt;isbn&gt;1476-4687&lt;/isbn&gt;&lt;urls&gt;&lt;related-urls&gt;&lt;url&gt;https://doi.org/10.1038/s41586-020-2908-2&lt;/url&gt;&lt;/related-urls&gt;&lt;/urls&gt;&lt;electronic-resource-num&gt;10.1038/s41586-020-2908-2&lt;/electronic-resource-num&gt;&lt;/record&gt;&lt;/Cite&gt;&lt;/EndNote&gt;</w:instrText>
      </w:r>
      <w:r w:rsidR="0045303C">
        <w:rPr>
          <w:sz w:val="20"/>
          <w:szCs w:val="20"/>
        </w:rPr>
        <w:fldChar w:fldCharType="separate"/>
      </w:r>
      <w:r w:rsidR="0045303C" w:rsidRPr="0045303C">
        <w:rPr>
          <w:noProof/>
          <w:sz w:val="20"/>
          <w:szCs w:val="20"/>
          <w:vertAlign w:val="superscript"/>
        </w:rPr>
        <w:t>63</w:t>
      </w:r>
      <w:r w:rsidR="0045303C">
        <w:rPr>
          <w:sz w:val="20"/>
          <w:szCs w:val="20"/>
        </w:rPr>
        <w:fldChar w:fldCharType="end"/>
      </w:r>
      <w:r w:rsidR="00F447C8">
        <w:rPr>
          <w:sz w:val="20"/>
          <w:szCs w:val="20"/>
        </w:rPr>
        <w:t xml:space="preserve"> </w:t>
      </w:r>
      <w:r w:rsidR="00F447C8">
        <w:rPr>
          <w:sz w:val="20"/>
          <w:szCs w:val="20"/>
        </w:rPr>
        <w:t xml:space="preserve">Copyright </w:t>
      </w:r>
      <w:r w:rsidR="00F447C8">
        <w:rPr>
          <w:sz w:val="20"/>
          <w:szCs w:val="20"/>
        </w:rPr>
        <w:t>2020</w:t>
      </w:r>
      <w:r w:rsidR="00F447C8">
        <w:rPr>
          <w:sz w:val="20"/>
          <w:szCs w:val="20"/>
        </w:rPr>
        <w:t xml:space="preserve"> </w:t>
      </w:r>
      <w:r w:rsidR="00F447C8">
        <w:rPr>
          <w:sz w:val="20"/>
          <w:szCs w:val="20"/>
        </w:rPr>
        <w:t>Springer Nature.</w:t>
      </w:r>
    </w:p>
    <w:p w14:paraId="74F55EF9" w14:textId="77777777" w:rsidR="00296758" w:rsidRDefault="00296758" w:rsidP="005C7322">
      <w:pPr>
        <w:ind w:firstLine="720"/>
        <w:rPr>
          <w:color w:val="000000" w:themeColor="text1"/>
        </w:rPr>
      </w:pPr>
    </w:p>
    <w:p w14:paraId="75699019" w14:textId="0E36A103" w:rsidR="00723BD4" w:rsidRPr="002A5126" w:rsidRDefault="00723BD4" w:rsidP="005C7322">
      <w:pPr>
        <w:ind w:firstLine="720"/>
        <w:rPr>
          <w:color w:val="000000" w:themeColor="text1"/>
        </w:rPr>
      </w:pPr>
      <w:r>
        <w:rPr>
          <w:color w:val="000000" w:themeColor="text1"/>
        </w:rPr>
        <w:t>It is interesting to compare the findings of Ping et al. on IrO</w:t>
      </w:r>
      <w:r w:rsidRPr="00772720">
        <w:rPr>
          <w:color w:val="000000" w:themeColor="text1"/>
          <w:vertAlign w:val="subscript"/>
        </w:rPr>
        <w:t>2</w:t>
      </w:r>
      <w:r>
        <w:rPr>
          <w:color w:val="000000" w:themeColor="text1"/>
        </w:rPr>
        <w:t>(110) with those reported by</w:t>
      </w:r>
      <w:r w:rsidRPr="002A5126">
        <w:rPr>
          <w:color w:val="000000" w:themeColor="text1"/>
        </w:rPr>
        <w:t xml:space="preserve"> Nong</w:t>
      </w:r>
      <w:r>
        <w:rPr>
          <w:color w:val="000000" w:themeColor="text1"/>
        </w:rPr>
        <w:t xml:space="preserve"> et al.</w:t>
      </w:r>
      <w:r w:rsidR="0045303C">
        <w:rPr>
          <w:color w:val="000000" w:themeColor="text1"/>
        </w:rPr>
        <w:fldChar w:fldCharType="begin"/>
      </w:r>
      <w:r w:rsidR="0045303C">
        <w:rPr>
          <w:color w:val="000000" w:themeColor="text1"/>
        </w:rPr>
        <w:instrText xml:space="preserve"> ADDIN EN.CITE &lt;EndNote&gt;&lt;Cite&gt;&lt;Author&gt;Nong&lt;/Author&gt;&lt;Year&gt;2020&lt;/Year&gt;&lt;RecNum&gt;63&lt;/RecNum&gt;&lt;DisplayText&gt;&lt;style face="superscript"&gt;63&lt;/style&gt;&lt;/DisplayText&gt;&lt;record&gt;&lt;rec-number&gt;63&lt;/rec-number&gt;&lt;foreign-keys&gt;&lt;key app="EN" db-id="2xex0erf4eexr4e2dpbxpdd829xttesxxxdr" timestamp="1715075296"&gt;63&lt;/key&gt;&lt;/foreign-keys&gt;&lt;ref-type name="Journal Article"&gt;17&lt;/ref-type&gt;&lt;contributors&gt;&lt;authors&gt;&lt;author&gt;Nong, Hong Nhan&lt;/author&gt;&lt;author&gt;Falling, Lorenz J.&lt;/author&gt;&lt;author&gt;Bergmann, Arno&lt;/author&gt;&lt;author&gt;Klingenhof, Malte&lt;/author&gt;&lt;author&gt;Tran, Hoang Phi&lt;/author&gt;&lt;author&gt;Spöri, Camillo&lt;/author&gt;&lt;author&gt;Mom, Rik&lt;/author&gt;&lt;author&gt;Timoshenko, Janis&lt;/author&gt;&lt;author&gt;Zichittella, Guido&lt;/author&gt;&lt;author&gt;Knop-Gericke, Axel&lt;/author&gt;&lt;author&gt;Piccinin, Simone&lt;/author&gt;&lt;author&gt;Pérez-Ramírez, Javier&lt;/author&gt;&lt;author&gt;Cuenya, Beatriz Roldan&lt;/author&gt;&lt;author&gt;Schlögl, Robert&lt;/author&gt;&lt;author&gt;Strasser, Peter&lt;/author&gt;&lt;author&gt;Teschner, Detre&lt;/author&gt;&lt;author&gt;Jones, Travis E.&lt;/author&gt;&lt;/authors&gt;&lt;/contributors&gt;&lt;titles&gt;&lt;title&gt;Key role of chemistry versus bias in electrocatalytic oxygen evolution&lt;/title&gt;&lt;secondary-title&gt;Nature&lt;/secondary-title&gt;&lt;/titles&gt;&lt;pages&gt;408-413&lt;/pages&gt;&lt;volume&gt;587&lt;/volume&gt;&lt;number&gt;7834&lt;/number&gt;&lt;dates&gt;&lt;year&gt;2020&lt;/year&gt;&lt;pub-dates&gt;&lt;date&gt;2020/11/01&lt;/date&gt;&lt;/pub-dates&gt;&lt;/dates&gt;&lt;isbn&gt;1476-4687&lt;/isbn&gt;&lt;urls&gt;&lt;related-urls&gt;&lt;url&gt;https://doi.org/10.1038/s41586-020-2908-2&lt;/url&gt;&lt;/related-urls&gt;&lt;/urls&gt;&lt;electronic-resource-num&gt;10.1038/s41586-020-2908-2&lt;/electronic-resource-num&gt;&lt;/record&gt;&lt;/Cite&gt;&lt;/EndNote&gt;</w:instrText>
      </w:r>
      <w:r w:rsidR="0045303C">
        <w:rPr>
          <w:color w:val="000000" w:themeColor="text1"/>
        </w:rPr>
        <w:fldChar w:fldCharType="separate"/>
      </w:r>
      <w:r w:rsidR="0045303C" w:rsidRPr="0045303C">
        <w:rPr>
          <w:noProof/>
          <w:color w:val="000000" w:themeColor="text1"/>
          <w:vertAlign w:val="superscript"/>
        </w:rPr>
        <w:t>63</w:t>
      </w:r>
      <w:r w:rsidR="0045303C">
        <w:rPr>
          <w:color w:val="000000" w:themeColor="text1"/>
        </w:rPr>
        <w:fldChar w:fldCharType="end"/>
      </w:r>
      <w:r>
        <w:rPr>
          <w:color w:val="000000" w:themeColor="text1"/>
        </w:rPr>
        <w:t xml:space="preserve"> (see </w:t>
      </w:r>
      <w:r>
        <w:rPr>
          <w:color w:val="000000" w:themeColor="text1"/>
        </w:rPr>
        <w:fldChar w:fldCharType="begin"/>
      </w:r>
      <w:r>
        <w:rPr>
          <w:color w:val="000000" w:themeColor="text1"/>
        </w:rPr>
        <w:instrText xml:space="preserve"> REF _Ref151123849 \h </w:instrText>
      </w:r>
      <w:r>
        <w:rPr>
          <w:color w:val="000000" w:themeColor="text1"/>
        </w:rPr>
      </w:r>
      <w:r>
        <w:rPr>
          <w:color w:val="000000" w:themeColor="text1"/>
        </w:rPr>
        <w:fldChar w:fldCharType="separate"/>
      </w:r>
      <w:r w:rsidR="00B7319C" w:rsidRPr="007C7CBE">
        <w:rPr>
          <w:b/>
        </w:rPr>
        <w:t xml:space="preserve">Figure </w:t>
      </w:r>
      <w:r w:rsidR="00B7319C">
        <w:rPr>
          <w:b/>
          <w:bCs/>
          <w:noProof/>
        </w:rPr>
        <w:t>42</w:t>
      </w:r>
      <w:r>
        <w:rPr>
          <w:color w:val="000000" w:themeColor="text1"/>
        </w:rPr>
        <w:fldChar w:fldCharType="end"/>
      </w:r>
      <w:r w:rsidR="00182ADC" w:rsidRPr="00144CFD">
        <w:rPr>
          <w:b/>
          <w:bCs/>
          <w:color w:val="000000" w:themeColor="text1"/>
        </w:rPr>
        <w:t>c</w:t>
      </w:r>
      <w:r>
        <w:rPr>
          <w:color w:val="000000" w:themeColor="text1"/>
        </w:rPr>
        <w:t xml:space="preserve">) on the same system, where the solvent was treated explicitly. In this case the first dehydrogenation takes place at 1.25 V (NHE), in good agreement with the results of Ping et al, but at 1.50 V (NHE) the hydrogen coverage is still 50% and the voltage necessary to completely oxidize the surface is 2.20 V (NHE). The </w:t>
      </w:r>
      <w:r>
        <w:t>voltage window for complete dehydrogenation is therefore around 1.0 V, suggesting a significant interaction among adsorbates (</w:t>
      </w:r>
      <w:proofErr w:type="spellStart"/>
      <w:r w:rsidRPr="00772720">
        <w:t>Frumkin</w:t>
      </w:r>
      <w:proofErr w:type="spellEnd"/>
      <w:r w:rsidRPr="00772720">
        <w:t xml:space="preserve"> behavior</w:t>
      </w:r>
      <w:r>
        <w:t>)</w:t>
      </w:r>
      <w:r w:rsidRPr="002A5126">
        <w:rPr>
          <w:color w:val="000000" w:themeColor="text1"/>
        </w:rPr>
        <w:t>.</w:t>
      </w:r>
      <w:r>
        <w:rPr>
          <w:color w:val="000000" w:themeColor="text1"/>
        </w:rPr>
        <w:t xml:space="preserve"> </w:t>
      </w:r>
      <w:r w:rsidRPr="00F47023">
        <w:rPr>
          <w:color w:val="000000" w:themeColor="text1"/>
        </w:rPr>
        <w:t>Nong et al.</w:t>
      </w:r>
      <w:r w:rsidR="0045303C">
        <w:rPr>
          <w:color w:val="000000" w:themeColor="text1"/>
        </w:rPr>
        <w:fldChar w:fldCharType="begin"/>
      </w:r>
      <w:r w:rsidR="0045303C">
        <w:rPr>
          <w:color w:val="000000" w:themeColor="text1"/>
        </w:rPr>
        <w:instrText xml:space="preserve"> ADDIN EN.CITE &lt;EndNote&gt;&lt;Cite&gt;&lt;Author&gt;Nong&lt;/Author&gt;&lt;Year&gt;2020&lt;/Year&gt;&lt;RecNum&gt;63&lt;/RecNum&gt;&lt;DisplayText&gt;&lt;style face="superscript"&gt;63&lt;/style&gt;&lt;/DisplayText&gt;&lt;record&gt;&lt;rec-number&gt;63&lt;/rec-number&gt;&lt;foreign-keys&gt;&lt;key app="EN" db-id="2xex0erf4eexr4e2dpbxpdd829xttesxxxdr" timestamp="1715075296"&gt;63&lt;/key&gt;&lt;/foreign-keys&gt;&lt;ref-type name="Journal Article"&gt;17&lt;/ref-type&gt;&lt;contributors&gt;&lt;authors&gt;&lt;author&gt;Nong, Hong Nhan&lt;/author&gt;&lt;author&gt;Falling, Lorenz J.&lt;/author&gt;&lt;author&gt;Bergmann, Arno&lt;/author&gt;&lt;author&gt;Klingenhof, Malte&lt;/author&gt;&lt;author&gt;Tran, Hoang Phi&lt;/author&gt;&lt;author&gt;Spöri, Camillo&lt;/author&gt;&lt;author&gt;Mom, Rik&lt;/author&gt;&lt;author&gt;Timoshenko, Janis&lt;/author&gt;&lt;author&gt;Zichittella, Guido&lt;/author&gt;&lt;author&gt;Knop-Gericke, Axel&lt;/author&gt;&lt;author&gt;Piccinin, Simone&lt;/author&gt;&lt;author&gt;Pérez-Ramírez, Javier&lt;/author&gt;&lt;author&gt;Cuenya, Beatriz Roldan&lt;/author&gt;&lt;author&gt;Schlögl, Robert&lt;/author&gt;&lt;author&gt;Strasser, Peter&lt;/author&gt;&lt;author&gt;Teschner, Detre&lt;/author&gt;&lt;author&gt;Jones, Travis E.&lt;/author&gt;&lt;/authors&gt;&lt;/contributors&gt;&lt;titles&gt;&lt;title&gt;Key role of chemistry versus bias in electrocatalytic oxygen evolution&lt;/title&gt;&lt;secondary-title&gt;Nature&lt;/secondary-title&gt;&lt;/titles&gt;&lt;pages&gt;408-413&lt;/pages&gt;&lt;volume&gt;587&lt;/volume&gt;&lt;number&gt;7834&lt;/number&gt;&lt;dates&gt;&lt;year&gt;2020&lt;/year&gt;&lt;pub-dates&gt;&lt;date&gt;2020/11/01&lt;/date&gt;&lt;/pub-dates&gt;&lt;/dates&gt;&lt;isbn&gt;1476-4687&lt;/isbn&gt;&lt;urls&gt;&lt;related-urls&gt;&lt;url&gt;https://doi.org/10.1038/s41586-020-2908-2&lt;/url&gt;&lt;/related-urls&gt;&lt;/urls&gt;&lt;electronic-resource-num&gt;10.1038/s41586-020-2908-2&lt;/electronic-resource-num&gt;&lt;/record&gt;&lt;/Cite&gt;&lt;/EndNote&gt;</w:instrText>
      </w:r>
      <w:r w:rsidR="0045303C">
        <w:rPr>
          <w:color w:val="000000" w:themeColor="text1"/>
        </w:rPr>
        <w:fldChar w:fldCharType="separate"/>
      </w:r>
      <w:r w:rsidR="0045303C" w:rsidRPr="0045303C">
        <w:rPr>
          <w:noProof/>
          <w:color w:val="000000" w:themeColor="text1"/>
          <w:vertAlign w:val="superscript"/>
        </w:rPr>
        <w:t>63</w:t>
      </w:r>
      <w:r w:rsidR="0045303C">
        <w:rPr>
          <w:color w:val="000000" w:themeColor="text1"/>
        </w:rPr>
        <w:fldChar w:fldCharType="end"/>
      </w:r>
      <w:r w:rsidRPr="00F47023">
        <w:rPr>
          <w:color w:val="000000" w:themeColor="text1"/>
        </w:rPr>
        <w:t xml:space="preserve"> compared these findings to simulations in vacuum, where they found no such effect and the dehydrogenation window is therefore essentially zero, suggesting a key role of the solvent in stabilizing the protonated ligands. </w:t>
      </w:r>
      <w:r w:rsidRPr="00BB1431">
        <w:rPr>
          <w:color w:val="000000" w:themeColor="text1"/>
          <w:lang w:val="fr-FR"/>
        </w:rPr>
        <w:t xml:space="preserve">The </w:t>
      </w:r>
      <w:proofErr w:type="spellStart"/>
      <w:r w:rsidRPr="00BB1431">
        <w:rPr>
          <w:color w:val="000000" w:themeColor="text1"/>
          <w:lang w:val="fr-FR"/>
        </w:rPr>
        <w:t>experiments</w:t>
      </w:r>
      <w:proofErr w:type="spellEnd"/>
      <w:r w:rsidRPr="00BB1431">
        <w:rPr>
          <w:color w:val="000000" w:themeColor="text1"/>
          <w:lang w:val="fr-FR"/>
        </w:rPr>
        <w:t xml:space="preserve"> </w:t>
      </w:r>
      <w:proofErr w:type="spellStart"/>
      <w:r w:rsidRPr="00BB1431">
        <w:rPr>
          <w:color w:val="000000" w:themeColor="text1"/>
          <w:lang w:val="fr-FR"/>
        </w:rPr>
        <w:t>reported</w:t>
      </w:r>
      <w:proofErr w:type="spellEnd"/>
      <w:r w:rsidRPr="00BB1431">
        <w:rPr>
          <w:color w:val="000000" w:themeColor="text1"/>
          <w:lang w:val="fr-FR"/>
        </w:rPr>
        <w:t xml:space="preserve"> by </w:t>
      </w:r>
      <w:proofErr w:type="spellStart"/>
      <w:r w:rsidRPr="00BB1431">
        <w:rPr>
          <w:color w:val="000000" w:themeColor="text1"/>
          <w:lang w:val="fr-FR"/>
        </w:rPr>
        <w:t>Nong</w:t>
      </w:r>
      <w:proofErr w:type="spellEnd"/>
      <w:r w:rsidRPr="00BB1431">
        <w:rPr>
          <w:color w:val="000000" w:themeColor="text1"/>
          <w:lang w:val="fr-FR"/>
        </w:rPr>
        <w:t xml:space="preserve"> et al.</w:t>
      </w:r>
      <w:r w:rsidR="0045303C">
        <w:rPr>
          <w:color w:val="000000" w:themeColor="text1"/>
        </w:rPr>
        <w:fldChar w:fldCharType="begin"/>
      </w:r>
      <w:r w:rsidR="0045303C">
        <w:rPr>
          <w:color w:val="000000" w:themeColor="text1"/>
        </w:rPr>
        <w:instrText xml:space="preserve"> ADDIN EN.CITE &lt;EndNote&gt;&lt;Cite&gt;&lt;Author&gt;Nong&lt;/Author&gt;&lt;Year&gt;2020&lt;/Year&gt;&lt;RecNum&gt;63&lt;/RecNum&gt;&lt;DisplayText&gt;&lt;style face="superscript"&gt;63&lt;/style&gt;&lt;/DisplayText&gt;&lt;record&gt;&lt;rec-number&gt;63&lt;/rec-number&gt;&lt;foreign-keys&gt;&lt;key app="EN" db-id="2xex0erf4eexr4e2dpbxpdd829xttesxxxdr" timestamp="1715075296"&gt;63&lt;/key&gt;&lt;/foreign-keys&gt;&lt;ref-type name="Journal Article"&gt;17&lt;/ref-type&gt;&lt;contributors&gt;&lt;authors&gt;&lt;author&gt;Nong, Hong Nhan&lt;/author&gt;&lt;author&gt;Falling, Lorenz J.&lt;/author&gt;&lt;author&gt;Bergmann, Arno&lt;/author&gt;&lt;author&gt;Klingenhof, Malte&lt;/author&gt;&lt;author&gt;Tran, Hoang Phi&lt;/author&gt;&lt;author&gt;Spöri, Camillo&lt;/author&gt;&lt;author&gt;Mom, Rik&lt;/author&gt;&lt;author&gt;Timoshenko, Janis&lt;/author&gt;&lt;author&gt;Zichittella, Guido&lt;/author&gt;&lt;author&gt;Knop-Gericke, Axel&lt;/author&gt;&lt;author&gt;Piccinin, Simone&lt;/author&gt;&lt;author&gt;Pérez-Ramírez, Javier&lt;/author&gt;&lt;author&gt;Cuenya, Beatriz Roldan&lt;/author&gt;&lt;author&gt;Schlögl, Robert&lt;/author&gt;&lt;author&gt;Strasser, Peter&lt;/author&gt;&lt;author&gt;Teschner, Detre&lt;/author&gt;&lt;author&gt;Jones, Travis E.&lt;/author&gt;&lt;/authors&gt;&lt;/contributors&gt;&lt;titles&gt;&lt;title&gt;Key role of chemistry versus bias in electrocatalytic oxygen evolution&lt;/title&gt;&lt;secondary-title&gt;Nature&lt;/secondary-title&gt;&lt;/titles&gt;&lt;pages&gt;408-413&lt;/pages&gt;&lt;volume&gt;587&lt;/volume&gt;&lt;number&gt;7834&lt;/number&gt;&lt;dates&gt;&lt;year&gt;2020&lt;/year&gt;&lt;pub-dates&gt;&lt;date&gt;2020/11/01&lt;/date&gt;&lt;/pub-dates&gt;&lt;/dates&gt;&lt;isbn&gt;1476-4687&lt;/isbn&gt;&lt;urls&gt;&lt;related-urls&gt;&lt;url&gt;https://doi.org/10.1038/s41586-020-2908-2&lt;/url&gt;&lt;/related-urls&gt;&lt;/urls&gt;&lt;electronic-resource-num&gt;10.1038/s41586-020-2908-2&lt;/electronic-resource-num&gt;&lt;/record&gt;&lt;/Cite&gt;&lt;/EndNote&gt;</w:instrText>
      </w:r>
      <w:r w:rsidR="0045303C">
        <w:rPr>
          <w:color w:val="000000" w:themeColor="text1"/>
        </w:rPr>
        <w:fldChar w:fldCharType="separate"/>
      </w:r>
      <w:r w:rsidR="0045303C" w:rsidRPr="0045303C">
        <w:rPr>
          <w:noProof/>
          <w:color w:val="000000" w:themeColor="text1"/>
          <w:vertAlign w:val="superscript"/>
        </w:rPr>
        <w:t>63</w:t>
      </w:r>
      <w:r w:rsidR="0045303C">
        <w:rPr>
          <w:color w:val="000000" w:themeColor="text1"/>
        </w:rPr>
        <w:fldChar w:fldCharType="end"/>
      </w:r>
      <w:r>
        <w:rPr>
          <w:color w:val="000000" w:themeColor="text1"/>
        </w:rPr>
        <w:t xml:space="preserve">, based on in situ XAS, show that the dehydrogenation of surface OH groups extends well above 1.5 V, in agreement with their theoretical model.  </w:t>
      </w:r>
    </w:p>
    <w:p w14:paraId="6DC9F2E2" w14:textId="77777777" w:rsidR="00723BD4" w:rsidRDefault="00723BD4" w:rsidP="00723BD4"/>
    <w:p w14:paraId="7777C634" w14:textId="1859C89A" w:rsidR="00723BD4" w:rsidRDefault="00723BD4" w:rsidP="005C7322">
      <w:pPr>
        <w:ind w:firstLine="720"/>
      </w:pPr>
      <w:r w:rsidRPr="00254F7E">
        <w:t xml:space="preserve">Gauthier </w:t>
      </w:r>
      <w:proofErr w:type="spellStart"/>
      <w:r w:rsidRPr="00254F7E">
        <w:t>el</w:t>
      </w:r>
      <w:proofErr w:type="spellEnd"/>
      <w:r w:rsidRPr="00254F7E">
        <w:t xml:space="preserve"> al. in their recent perspective</w:t>
      </w:r>
      <w:r>
        <w:fldChar w:fldCharType="begin"/>
      </w:r>
      <w:r w:rsidR="00FC5BEB">
        <w:instrText xml:space="preserve"> ADDIN EN.CITE &lt;EndNote&gt;&lt;Cite&gt;&lt;Author&gt;Gauthier&lt;/Author&gt;&lt;Year&gt;2019&lt;/Year&gt;&lt;RecNum&gt;484&lt;/RecNum&gt;&lt;DisplayText&gt;&lt;style face="superscript"&gt;486&lt;/style&gt;&lt;/DisplayText&gt;&lt;record&gt;&lt;rec-number&gt;484&lt;/rec-number&gt;&lt;foreign-keys&gt;&lt;key app="EN" db-id="2xex0erf4eexr4e2dpbxpdd829xttesxxxdr" timestamp="1715075297"&gt;484&lt;/key&gt;&lt;/foreign-keys&gt;&lt;ref-type name="Journal Article"&gt;17&lt;/ref-type&gt;&lt;contributors&gt;&lt;authors&gt;&lt;author&gt;Gauthier, Joseph A.&lt;/author&gt;&lt;author&gt;Ringe, Stefan&lt;/author&gt;&lt;author&gt;Dickens, Colin F.&lt;/author&gt;&lt;author&gt;Garza, Alejandro J.&lt;/author&gt;&lt;author&gt;Bell, Alexis T.&lt;/author&gt;&lt;author&gt;Head-Gordon, Martin&lt;/author&gt;&lt;author&gt;Nørskov, Jens K.&lt;/author&gt;&lt;author&gt;Chan, Karen&lt;/author&gt;&lt;/authors&gt;&lt;/contributors&gt;&lt;titles&gt;&lt;title&gt;Challenges in Modeling Electrochemical Reaction Energetics with Polarizable Continuum Models&lt;/title&gt;&lt;secondary-title&gt;ACS Catal.&lt;/secondary-title&gt;&lt;/titles&gt;&lt;periodical&gt;&lt;full-title&gt;ACS Catal.&lt;/full-title&gt;&lt;/periodical&gt;&lt;pages&gt;920-931&lt;/pages&gt;&lt;volume&gt;9&lt;/volume&gt;&lt;number&gt;2&lt;/number&gt;&lt;keywords&gt;&lt;keyword&gt;catalysis&lt;/keyword&gt;&lt;keyword&gt;density functional theory&lt;/keyword&gt;&lt;keyword&gt;electrocatalysis&lt;/keyword&gt;&lt;keyword&gt;electrochemistry&lt;/keyword&gt;&lt;keyword&gt;solvation&lt;/keyword&gt;&lt;/keywords&gt;&lt;dates&gt;&lt;year&gt;2019&lt;/year&gt;&lt;/dates&gt;&lt;urls&gt;&lt;related-urls&gt;&lt;url&gt;https://pubs.acs.org/doi/pdf/10.1021/acscatal.8b02793&lt;/url&gt;&lt;/related-urls&gt;&lt;pdf-urls&gt;&lt;url&gt;file://localhost/localhost/localhost/Users/piccinin/Literature/acscatal.8b02793.pdf&lt;/url&gt;&lt;/pdf-urls&gt;&lt;/urls&gt;&lt;electronic-resource-num&gt;10.1021/acscatal.8b02793&lt;/electronic-resource-num&gt;&lt;/record&gt;&lt;/Cite&gt;&lt;/EndNote&gt;</w:instrText>
      </w:r>
      <w:r>
        <w:fldChar w:fldCharType="separate"/>
      </w:r>
      <w:r w:rsidR="00FC5BEB" w:rsidRPr="00FC5BEB">
        <w:rPr>
          <w:noProof/>
          <w:vertAlign w:val="superscript"/>
        </w:rPr>
        <w:t>486</w:t>
      </w:r>
      <w:r>
        <w:fldChar w:fldCharType="end"/>
      </w:r>
      <w:r w:rsidRPr="00254F7E">
        <w:t xml:space="preserve"> discu</w:t>
      </w:r>
      <w:r>
        <w:t xml:space="preserve">ssed the challenges in modeling electrochemical processes using implicit solvent models and treating counterions via the linearized Poisson-Boltzmann equation. While this approach enables modeling the solid/liquid interface at constant potential, the description of the electrolyte can, in some cases, be problematic, resulting in </w:t>
      </w:r>
      <w:r>
        <w:lastRenderedPageBreak/>
        <w:t xml:space="preserve">unphysical buildup of charge close to the surface and the adsorbates. These problems can be mitigated by giving ions a finite size, as done in the modified Poisson-Boltzmann equation, an approach which has been discussed at length in </w:t>
      </w:r>
      <w:proofErr w:type="spellStart"/>
      <w:r>
        <w:t>Ringe</w:t>
      </w:r>
      <w:proofErr w:type="spellEnd"/>
      <w:r>
        <w:t xml:space="preserve"> et al.'s recent review on this topic.</w:t>
      </w:r>
      <w:r>
        <w:fldChar w:fldCharType="begin"/>
      </w:r>
      <w:r w:rsidR="009F6662">
        <w:instrText xml:space="preserve"> ADDIN EN.CITE &lt;EndNote&gt;&lt;Cite&gt;&lt;Author&gt;Ringe&lt;/Author&gt;&lt;Year&gt;2022&lt;/Year&gt;&lt;RecNum&gt;62&lt;/RecNum&gt;&lt;DisplayText&gt;&lt;style face="superscript"&gt;62&lt;/style&gt;&lt;/DisplayText&gt;&lt;record&gt;&lt;rec-number&gt;62&lt;/rec-number&gt;&lt;foreign-keys&gt;&lt;key app="EN" db-id="2xex0erf4eexr4e2dpbxpdd829xttesxxxdr" timestamp="1715075296"&gt;62&lt;/key&gt;&lt;/foreign-keys&gt;&lt;ref-type name="Journal Article"&gt;17&lt;/ref-type&gt;&lt;contributors&gt;&lt;authors&gt;&lt;author&gt;Ringe, Stefan&lt;/author&gt;&lt;author&gt;Hörmann, Nicolas G.&lt;/author&gt;&lt;author&gt;Oberhofer, Harald&lt;/author&gt;&lt;author&gt;Reuter, Karsten&lt;/author&gt;&lt;/authors&gt;&lt;/contributors&gt;&lt;titles&gt;&lt;title&gt;Implicit Solvation Methods for Catalysis at Electrified Interfaces&lt;/title&gt;&lt;secondary-title&gt;Chemical Reviews&lt;/secondary-title&gt;&lt;/titles&gt;&lt;periodical&gt;&lt;full-title&gt;Chemical Reviews&lt;/full-title&gt;&lt;abbr-1&gt;Chem. Rev.&lt;/abbr-1&gt;&lt;abbr-2&gt;Chem Rev&lt;/abbr-2&gt;&lt;/periodical&gt;&lt;pages&gt;10777-10820&lt;/pages&gt;&lt;volume&gt;122&lt;/volume&gt;&lt;number&gt;12&lt;/number&gt;&lt;dates&gt;&lt;year&gt;2022&lt;/year&gt;&lt;pub-dates&gt;&lt;date&gt;2022/06/22&lt;/date&gt;&lt;/pub-dates&gt;&lt;/dates&gt;&lt;publisher&gt;American Chemical Society&lt;/publisher&gt;&lt;isbn&gt;0009-2665&lt;/isbn&gt;&lt;urls&gt;&lt;related-urls&gt;&lt;url&gt;https://doi.org/10.1021/acs.chemrev.1c00675&lt;/url&gt;&lt;/related-urls&gt;&lt;/urls&gt;&lt;electronic-resource-num&gt;10.1021/acs.chemrev.1c00675&lt;/electronic-resource-num&gt;&lt;/record&gt;&lt;/Cite&gt;&lt;/EndNote&gt;</w:instrText>
      </w:r>
      <w:r>
        <w:fldChar w:fldCharType="separate"/>
      </w:r>
      <w:r w:rsidR="009F6662" w:rsidRPr="009F6662">
        <w:rPr>
          <w:noProof/>
          <w:vertAlign w:val="superscript"/>
        </w:rPr>
        <w:t>62</w:t>
      </w:r>
      <w:r>
        <w:fldChar w:fldCharType="end"/>
      </w:r>
      <w:r>
        <w:t xml:space="preserve"> An implementation of the modified Poisson-Boltzmann equation</w:t>
      </w:r>
      <w:r w:rsidRPr="0094130C">
        <w:t xml:space="preserve"> </w:t>
      </w:r>
      <w:r>
        <w:t xml:space="preserve">in combination with implicit solvent model for constant potential </w:t>
      </w:r>
      <w:r w:rsidRPr="005D60DD">
        <w:t xml:space="preserve">calculations </w:t>
      </w:r>
      <w:r>
        <w:t>in</w:t>
      </w:r>
      <w:r w:rsidRPr="005D60DD">
        <w:t xml:space="preserve"> the ONETEP linear-scaling DFT code</w:t>
      </w:r>
      <w:r>
        <w:fldChar w:fldCharType="begin">
          <w:fldData xml:space="preserve">PEVuZE5vdGU+PENpdGU+PEF1dGhvcj5QcmVudGljZTwvQXV0aG9yPjxZZWFyPjIwMjA8L1llYXI+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</w:fldData>
        </w:fldChar>
      </w:r>
      <w:r w:rsidR="00FC5BEB">
        <w:instrText xml:space="preserve"> ADDIN EN.CITE </w:instrText>
      </w:r>
      <w:r w:rsidR="00FC5BEB">
        <w:fldChar w:fldCharType="begin">
          <w:fldData xml:space="preserve">PEVuZE5vdGU+PENpdGU+PEF1dGhvcj5QcmVudGljZTwvQXV0aG9yPjxZZWFyPjIwMjA8L1llYXI+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</w:fldData>
        </w:fldChar>
      </w:r>
      <w:r w:rsidR="00FC5BEB">
        <w:instrText xml:space="preserve"> ADDIN EN.CITE.DATA </w:instrText>
      </w:r>
      <w:r w:rsidR="00FC5BEB">
        <w:fldChar w:fldCharType="end"/>
      </w:r>
      <w:r>
        <w:fldChar w:fldCharType="separate"/>
      </w:r>
      <w:r w:rsidR="00FC5BEB" w:rsidRPr="00FC5BEB">
        <w:rPr>
          <w:noProof/>
          <w:vertAlign w:val="superscript"/>
        </w:rPr>
        <w:t>487</w:t>
      </w:r>
      <w:r>
        <w:fldChar w:fldCharType="end"/>
      </w:r>
      <w:r>
        <w:t xml:space="preserve"> has been recently presented by </w:t>
      </w:r>
      <w:r w:rsidRPr="0094130C">
        <w:t>Bhandari</w:t>
      </w:r>
      <w:r>
        <w:t xml:space="preserve"> et al.</w:t>
      </w:r>
      <w:r>
        <w:fldChar w:fldCharType="begin"/>
      </w:r>
      <w:r w:rsidR="00FC5BEB">
        <w:instrText xml:space="preserve"> ADDIN EN.CITE &lt;EndNote&gt;&lt;Cite&gt;&lt;Author&gt;Bhandari&lt;/Author&gt;&lt;Year&gt;2021&lt;/Year&gt;&lt;RecNum&gt;486&lt;/RecNum&gt;&lt;DisplayText&gt;&lt;style face="superscript"&gt;488&lt;/style&gt;&lt;/DisplayText&gt;&lt;record&gt;&lt;rec-number&gt;486&lt;/rec-number&gt;&lt;foreign-keys&gt;&lt;key app="EN" db-id="2xex0erf4eexr4e2dpbxpdd829xttesxxxdr" timestamp="1715075297"&gt;486&lt;/key&gt;&lt;/foreign-keys&gt;&lt;ref-type name="Journal Article"&gt;17&lt;/ref-type&gt;&lt;contributors&gt;&lt;authors&gt;&lt;author&gt;Bhandari, Arihant&lt;/author&gt;&lt;author&gt;Peng, Chao&lt;/author&gt;&lt;author&gt;Dziedzic, Jacek&lt;/author&gt;&lt;author&gt;Anton, Lucian&lt;/author&gt;&lt;author&gt;Owen, John R.&lt;/author&gt;&lt;author&gt;Kramer, Denis&lt;/author&gt;&lt;author&gt;Skylaris, Chris Kriton&lt;/author&gt;&lt;/authors&gt;&lt;/contributors&gt;&lt;titles&gt;&lt;title&gt;Electrochemistry from first-principles in the grand canonical ensemble&lt;/title&gt;&lt;secondary-title&gt;Journal of Chemical Physics&lt;/secondary-title&gt;&lt;/titles&gt;&lt;periodical&gt;&lt;full-title&gt;Journal of Chemical Physics&lt;/full-title&gt;&lt;abbr-1&gt;J. Chem. Phys.&lt;/abbr-1&gt;&lt;abbr-2&gt;J Chem Phys&lt;/abbr-2&gt;&lt;/periodical&gt;&lt;pages&gt;024114&lt;/pages&gt;&lt;volume&gt;155&lt;/volume&gt;&lt;dates&gt;&lt;year&gt;2021&lt;/year&gt;&lt;/dates&gt;&lt;publisher&gt;AIP Publishing, LLC&lt;/publisher&gt;&lt;accession-num&gt;34266248&lt;/accession-num&gt;&lt;label&gt;OER_Review&lt;/label&gt;&lt;urls&gt;&lt;/urls&gt;&lt;electronic-resource-num&gt;10.1063/5.0056514&lt;/electronic-resource-num&gt;&lt;/record&gt;&lt;/Cite&gt;&lt;/EndNote&gt;</w:instrText>
      </w:r>
      <w:r>
        <w:fldChar w:fldCharType="separate"/>
      </w:r>
      <w:r w:rsidR="00FC5BEB" w:rsidRPr="00FC5BEB">
        <w:rPr>
          <w:noProof/>
          <w:vertAlign w:val="superscript"/>
        </w:rPr>
        <w:t>488</w:t>
      </w:r>
      <w:r>
        <w:fldChar w:fldCharType="end"/>
      </w:r>
      <w:r>
        <w:t xml:space="preserve">. </w:t>
      </w:r>
    </w:p>
    <w:p w14:paraId="48FBADB4" w14:textId="77777777" w:rsidR="00723BD4" w:rsidRDefault="00723BD4" w:rsidP="00723BD4"/>
    <w:p w14:paraId="7A43B31F" w14:textId="321021C7" w:rsidR="00723BD4" w:rsidRDefault="00723BD4" w:rsidP="005C7322">
      <w:pPr>
        <w:ind w:firstLine="720"/>
      </w:pPr>
      <w:r>
        <w:t xml:space="preserve">An alternative to modeling counterions as a </w:t>
      </w:r>
      <w:r w:rsidRPr="001119D7">
        <w:t xml:space="preserve">diffuse layer </w:t>
      </w:r>
      <w:r>
        <w:t xml:space="preserve">via the linearized or the modified Poisson-Boltzmann equation is represented by fixed planar models. </w:t>
      </w:r>
      <w:proofErr w:type="spellStart"/>
      <w:r>
        <w:t>Hörmann</w:t>
      </w:r>
      <w:proofErr w:type="spellEnd"/>
      <w:r>
        <w:t xml:space="preserve">, </w:t>
      </w:r>
      <w:proofErr w:type="spellStart"/>
      <w:r>
        <w:t>Andreussi</w:t>
      </w:r>
      <w:proofErr w:type="spellEnd"/>
      <w:r>
        <w:t xml:space="preserve"> and Marzari discussed such an approach, which enables grand canonical simulations of electrodes in contact with an implicit solvent model.</w:t>
      </w:r>
      <w:r>
        <w:fldChar w:fldCharType="begin">
          <w:fldData xml:space="preserve">PEVuZE5vdGU+PENpdGU+PEF1dGhvcj5Iw7ZybWFubjwvQXV0aG9yPjxZZWFyPjIwMTk8L1llYXI+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</w:fldData>
        </w:fldChar>
      </w:r>
      <w:r w:rsidR="00FC5BEB">
        <w:instrText xml:space="preserve"> ADDIN EN.CITE </w:instrText>
      </w:r>
      <w:r w:rsidR="00FC5BEB">
        <w:fldChar w:fldCharType="begin">
          <w:fldData xml:space="preserve">PEVuZE5vdGU+PENpdGU+PEF1dGhvcj5Iw7ZybWFubjwvQXV0aG9yPjxZZWFyPjIwMTk8L1llYXI+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</w:fldData>
        </w:fldChar>
      </w:r>
      <w:r w:rsidR="00FC5BEB">
        <w:instrText xml:space="preserve"> ADDIN EN.CITE.DATA </w:instrText>
      </w:r>
      <w:r w:rsidR="00FC5BEB">
        <w:fldChar w:fldCharType="end"/>
      </w:r>
      <w:r>
        <w:fldChar w:fldCharType="separate"/>
      </w:r>
      <w:r w:rsidR="00FC5BEB" w:rsidRPr="00FC5BEB">
        <w:rPr>
          <w:noProof/>
          <w:vertAlign w:val="superscript"/>
        </w:rPr>
        <w:t>489</w:t>
      </w:r>
      <w:r>
        <w:fldChar w:fldCharType="end"/>
      </w:r>
      <w:r>
        <w:t xml:space="preserve"> In this case, the solvent model adopted is the </w:t>
      </w:r>
      <w:r w:rsidRPr="0056497C">
        <w:t>self-consistent continuum solvation (SCCS)</w:t>
      </w:r>
      <w:r>
        <w:t xml:space="preserve"> model of </w:t>
      </w:r>
      <w:proofErr w:type="spellStart"/>
      <w:r>
        <w:t>Andreussi</w:t>
      </w:r>
      <w:proofErr w:type="spellEnd"/>
      <w:r>
        <w:t xml:space="preserve"> et al.</w:t>
      </w:r>
      <w:r>
        <w:fldChar w:fldCharType="begin"/>
      </w:r>
      <w:r w:rsidR="00FC5BEB">
        <w:instrText xml:space="preserve"> ADDIN EN.CITE &lt;EndNote&gt;&lt;Cite&gt;&lt;Author&gt;Andreussi&lt;/Author&gt;&lt;Year&gt;2012&lt;/Year&gt;&lt;RecNum&gt;462&lt;/RecNum&gt;&lt;DisplayText&gt;&lt;style face="superscript"&gt;464&lt;/style&gt;&lt;/DisplayText&gt;&lt;record&gt;&lt;rec-number&gt;462&lt;/rec-number&gt;&lt;foreign-keys&gt;&lt;key app="EN" db-id="2xex0erf4eexr4e2dpbxpdd829xttesxxxdr" timestamp="1715075297"&gt;462&lt;/key&gt;&lt;/foreign-keys&gt;&lt;ref-type name="Journal Article"&gt;17&lt;/ref-type&gt;&lt;contributors&gt;&lt;authors&gt;&lt;author&gt;Andreussi, Oliviero&lt;/author&gt;&lt;author&gt;Dabo, Ismaila&lt;/author&gt;&lt;author&gt;Marzari, Nicola&lt;/author&gt;&lt;/authors&gt;&lt;/contributors&gt;&lt;titles&gt;&lt;title&gt;Revised self-consistent continuum solvation in electronic-structure calculations&lt;/title&gt;&lt;secondary-title&gt;Journal of Chemical Physics&lt;/secondary-title&gt;&lt;/titles&gt;&lt;periodical&gt;&lt;full-title&gt;Journal of Chemical Physics&lt;/full-title&gt;&lt;abbr-1&gt;J. Chem. Phys.&lt;/abbr-1&gt;&lt;abbr-2&gt;J Chem Phys&lt;/abbr-2&gt;&lt;/periodical&gt;&lt;pages&gt;064102&lt;/pages&gt;&lt;volume&gt;136&lt;/volume&gt;&lt;number&gt;6&lt;/number&gt;&lt;dates&gt;&lt;year&gt;2012&lt;/year&gt;&lt;/dates&gt;&lt;isbn&gt;0021-9606&lt;/isbn&gt;&lt;urls&gt;&lt;related-urls&gt;&lt;url&gt;https://doi.org/10.1063/1.3676407&lt;/url&gt;&lt;/related-urls&gt;&lt;/urls&gt;&lt;custom1&gt;064102&lt;/custom1&gt;&lt;electronic-resource-num&gt;10.1063/1.3676407&lt;/electronic-resource-num&gt;&lt;access-date&gt;10/30/2023&lt;/access-date&gt;&lt;/record&gt;&lt;/Cite&gt;&lt;/EndNote&gt;</w:instrText>
      </w:r>
      <w:r>
        <w:fldChar w:fldCharType="separate"/>
      </w:r>
      <w:r w:rsidR="00FC5BEB" w:rsidRPr="00FC5BEB">
        <w:rPr>
          <w:noProof/>
          <w:vertAlign w:val="superscript"/>
        </w:rPr>
        <w:t>464</w:t>
      </w:r>
      <w:r>
        <w:fldChar w:fldCharType="end"/>
      </w:r>
      <w:r>
        <w:t xml:space="preserve"> and the counter charges present in the electrolyte to compensate for the charge on the electrode are modeled via a </w:t>
      </w:r>
      <w:r w:rsidRPr="009E3814">
        <w:t>Gaussian-shaped counter-charge layer</w:t>
      </w:r>
      <w:r>
        <w:t xml:space="preserve"> fixed a few </w:t>
      </w:r>
      <w:proofErr w:type="spellStart"/>
      <w:r>
        <w:t>Ångstroms</w:t>
      </w:r>
      <w:proofErr w:type="spellEnd"/>
      <w:r>
        <w:t xml:space="preserve"> from the surface. </w:t>
      </w:r>
    </w:p>
    <w:p w14:paraId="4C872579" w14:textId="77777777" w:rsidR="005C7322" w:rsidRDefault="005C7322" w:rsidP="005C7322">
      <w:pPr>
        <w:ind w:firstLine="720"/>
      </w:pPr>
    </w:p>
    <w:p w14:paraId="4E676C41" w14:textId="2C770048" w:rsidR="005C7322" w:rsidRPr="00C149EF" w:rsidRDefault="005C7322" w:rsidP="005C7322">
      <w:pPr>
        <w:ind w:firstLine="720"/>
      </w:pPr>
      <w:r>
        <w:t xml:space="preserve">The implicit and explicit models of the electrolyte described above can also be combined. </w:t>
      </w:r>
      <w:r w:rsidRPr="00F47023">
        <w:t>Gauthier et al.</w:t>
      </w:r>
      <w:r>
        <w:rPr>
          <w:lang w:val="fr-FR"/>
        </w:rPr>
        <w:fldChar w:fldCharType="begin"/>
      </w:r>
      <w:r w:rsidR="00FC5BEB">
        <w:rPr>
          <w:lang w:val="fr-FR"/>
        </w:rPr>
        <w:instrText xml:space="preserve"> ADDIN EN.CITE &lt;EndNote&gt;&lt;Cite&gt;&lt;Author&gt;Gauthier&lt;/Author&gt;&lt;Year&gt;2019&lt;/Year&gt;&lt;RecNum&gt;488&lt;/RecNum&gt;&lt;DisplayText&gt;&lt;style face="superscript"&gt;490&lt;/style&gt;&lt;/DisplayText&gt;&lt;record&gt;&lt;rec-number&gt;488&lt;/rec-number&gt;&lt;foreign-keys&gt;&lt;key app="EN" db-id="2xex0erf4eexr4e2dpbxpdd829xttesxxxdr" timestamp="1715075297"&gt;488&lt;/key&gt;&lt;/foreign-keys&gt;&lt;ref-type name="Journal Article"&gt;17&lt;/ref-type&gt;&lt;contributors&gt;&lt;authors&gt;&lt;author&gt;Gauthier, Joseph A.&lt;/author&gt;&lt;author&gt;Dickens, Colin F.&lt;/author&gt;&lt;author&gt;Heenen, Hendrik H.&lt;/author&gt;&lt;author&gt;Vijay, Sudarshan&lt;/author&gt;&lt;author&gt;Ringe, Stefan&lt;/author&gt;&lt;author&gt;Chan, Karen&lt;/author&gt;&lt;/authors&gt;&lt;/contributors&gt;&lt;titles&gt;&lt;title&gt;Unified Approach to Implicit and Explicit Solvent Simulations of Electrochemical Reaction Energetics&lt;/title&gt;&lt;secondary-title&gt;J. Chem. Theory Comput.&lt;/secondary-title&gt;&lt;/titles&gt;&lt;periodical&gt;&lt;full-title&gt;J. Chem. Theory Comput.&lt;/full-title&gt;&lt;/periodical&gt;&lt;pages&gt;6895-6906&lt;/pages&gt;&lt;volume&gt;15&lt;/volume&gt;&lt;number&gt;12&lt;/number&gt;&lt;dates&gt;&lt;year&gt;2019&lt;/year&gt;&lt;/dates&gt;&lt;urls&gt;&lt;related-urls&gt;&lt;url&gt;https://pubs.acs.org/doi/pdf/10.1021/acs.jctc.9b00717&lt;/url&gt;&lt;/related-urls&gt;&lt;pdf-urls&gt;&lt;url&gt;file://localhost/localhost/localhost/Users/piccinin/Literature/acs.jctc.9b00717.pdf&lt;/url&gt;&lt;/pdf-urls&gt;&lt;/urls&gt;&lt;electronic-resource-num&gt;10.1021/acs.jctc.9b00717&lt;/electronic-resource-num&gt;&lt;/record&gt;&lt;/Cite&gt;&lt;/EndNote&gt;</w:instrText>
      </w:r>
      <w:r>
        <w:rPr>
          <w:lang w:val="fr-FR"/>
        </w:rPr>
        <w:fldChar w:fldCharType="separate"/>
      </w:r>
      <w:r w:rsidR="00FC5BEB" w:rsidRPr="00FC5BEB">
        <w:rPr>
          <w:noProof/>
          <w:vertAlign w:val="superscript"/>
          <w:lang w:val="fr-FR"/>
        </w:rPr>
        <w:t>490</w:t>
      </w:r>
      <w:r>
        <w:rPr>
          <w:lang w:val="fr-FR"/>
        </w:rPr>
        <w:fldChar w:fldCharType="end"/>
      </w:r>
      <w:r w:rsidRPr="00F47023">
        <w:t xml:space="preserve"> investigated different manners of charging the interface: explicitly, by introducing co-adsorbates and/or varying the surface unit cell; implicitly, using a polarizable continuum and treating the counterions via the Poisson-Boltzmann equation (linearized or modified) or via a planar countercharge. </w:t>
      </w:r>
      <w:r>
        <w:t xml:space="preserve">The authors proved that different manners of charging the interface result in different capacitances, which in turn leads to not uniquely defined energetics of electrochemical steps when the potential is determined via the work function (see </w:t>
      </w:r>
      <w:r>
        <w:fldChar w:fldCharType="begin"/>
      </w:r>
      <w:r>
        <w:instrText xml:space="preserve"> REF _Ref155880222 \h </w:instrText>
      </w:r>
      <w:r>
        <w:fldChar w:fldCharType="separate"/>
      </w:r>
      <w:r w:rsidR="00B7319C" w:rsidRPr="007C7CBE">
        <w:rPr>
          <w:b/>
        </w:rPr>
        <w:t xml:space="preserve">Figure </w:t>
      </w:r>
      <w:r w:rsidR="00B7319C">
        <w:rPr>
          <w:b/>
          <w:bCs/>
          <w:noProof/>
        </w:rPr>
        <w:t>43</w:t>
      </w:r>
      <w:r>
        <w:fldChar w:fldCharType="end"/>
      </w:r>
      <w:r w:rsidRPr="00144CFD">
        <w:rPr>
          <w:b/>
          <w:bCs/>
        </w:rPr>
        <w:t>a</w:t>
      </w:r>
      <w:r>
        <w:t xml:space="preserve">). Interestingly, the authors show that the effective surface charge, rather than the work function, is a considerably better descriptor of the driving force for an electrochemical step (see </w:t>
      </w:r>
      <w:r>
        <w:fldChar w:fldCharType="begin"/>
      </w:r>
      <w:r>
        <w:instrText xml:space="preserve"> REF _Ref155880222 \h </w:instrText>
      </w:r>
      <w:r>
        <w:fldChar w:fldCharType="separate"/>
      </w:r>
      <w:r w:rsidR="00B7319C" w:rsidRPr="007C7CBE">
        <w:rPr>
          <w:b/>
        </w:rPr>
        <w:t xml:space="preserve">Figure </w:t>
      </w:r>
      <w:r w:rsidR="00B7319C">
        <w:rPr>
          <w:b/>
          <w:bCs/>
          <w:noProof/>
        </w:rPr>
        <w:t>43</w:t>
      </w:r>
      <w:r>
        <w:fldChar w:fldCharType="end"/>
      </w:r>
      <w:r w:rsidRPr="00144CFD">
        <w:rPr>
          <w:b/>
          <w:bCs/>
        </w:rPr>
        <w:t>b</w:t>
      </w:r>
      <w:r>
        <w:t>).</w:t>
      </w:r>
      <w:r w:rsidRPr="00C149EF">
        <w:t xml:space="preserve"> </w:t>
      </w:r>
      <w:r>
        <w:t xml:space="preserve">The effective surface charge is defined as the surface charge transferred between initial and final state of an elementary electrochemical step plus the surface charge added implicitly. The authors argued that this behavior is due the fact that constant potential approaches, as determined by the work function, can achieve constant bulk potential rather than constant local potential, hence they display cell size dependence. The effective surface charge, depending on the local potential driving the electrochemical step, achieves the desired independence on the cell size.  </w:t>
      </w:r>
    </w:p>
    <w:p w14:paraId="123B9936" w14:textId="77777777" w:rsidR="00723BD4" w:rsidRDefault="00723BD4" w:rsidP="00723BD4"/>
    <w:p w14:paraId="13716424" w14:textId="77777777" w:rsidR="00723BD4" w:rsidRDefault="00723BD4" w:rsidP="001C1AC5">
      <w:pPr>
        <w:jc w:val="center"/>
        <w:rPr>
          <w:b/>
        </w:rPr>
      </w:pPr>
      <w:r>
        <w:rPr>
          <w:b/>
          <w:noProof/>
        </w:rPr>
        <w:drawing>
          <wp:inline distT="0" distB="0" distL="0" distR="0" wp14:anchorId="662C5730" wp14:editId="7A4E7CB7">
            <wp:extent cx="4837904" cy="2880000"/>
            <wp:effectExtent l="0" t="0" r="1270" b="3175"/>
            <wp:docPr id="838399169" name="Picture 838399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authier_JCTC2019_Fig6.jp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4837904" cy="2880000"/>
                    </a:xfrm>
                    <a:prstGeom prst="rect">
                      <a:avLst/>
                    </a:prstGeom>
                  </pic:spPr>
                </pic:pic>
              </a:graphicData>
            </a:graphic>
          </wp:inline>
        </w:drawing>
      </w:r>
    </w:p>
    <w:p w14:paraId="001B8369" w14:textId="5A981EC8" w:rsidR="00723BD4" w:rsidRPr="00C149EF" w:rsidRDefault="00723BD4" w:rsidP="00723BD4">
      <w:pPr>
        <w:pStyle w:val="Caption"/>
      </w:pPr>
      <w:bookmarkStart w:id="138" w:name="_Ref155880222"/>
      <w:r w:rsidRPr="007C7CBE">
        <w:rPr>
          <w:b/>
          <w:bCs w:val="0"/>
          <w:sz w:val="22"/>
        </w:rPr>
        <w:t xml:space="preserve">Figure </w:t>
      </w:r>
      <w:r w:rsidRPr="007C7CBE">
        <w:rPr>
          <w:b/>
          <w:bCs w:val="0"/>
          <w:sz w:val="22"/>
        </w:rPr>
        <w:fldChar w:fldCharType="begin"/>
      </w:r>
      <w:r w:rsidRPr="007C7CBE">
        <w:rPr>
          <w:b/>
          <w:bCs w:val="0"/>
          <w:sz w:val="22"/>
        </w:rPr>
        <w:instrText xml:space="preserve"> SEQ Figure \* ARABIC </w:instrText>
      </w:r>
      <w:r w:rsidRPr="007C7CBE">
        <w:rPr>
          <w:b/>
          <w:bCs w:val="0"/>
          <w:sz w:val="22"/>
        </w:rPr>
        <w:fldChar w:fldCharType="separate"/>
      </w:r>
      <w:r w:rsidR="00B7319C">
        <w:rPr>
          <w:b/>
          <w:bCs w:val="0"/>
          <w:noProof/>
          <w:sz w:val="22"/>
        </w:rPr>
        <w:t>43</w:t>
      </w:r>
      <w:r w:rsidRPr="007C7CBE">
        <w:rPr>
          <w:b/>
          <w:bCs w:val="0"/>
          <w:noProof/>
          <w:sz w:val="22"/>
        </w:rPr>
        <w:fldChar w:fldCharType="end"/>
      </w:r>
      <w:bookmarkEnd w:id="138"/>
      <w:r w:rsidRPr="00C149EF">
        <w:rPr>
          <w:rFonts w:ascii="Roboto" w:hAnsi="Roboto"/>
          <w:color w:val="000000"/>
          <w:sz w:val="26"/>
          <w:szCs w:val="26"/>
          <w:shd w:val="clear" w:color="auto" w:fill="FFFFFF"/>
        </w:rPr>
        <w:t xml:space="preserve"> </w:t>
      </w:r>
      <w:r w:rsidRPr="00C149EF">
        <w:t>Reaction energetics of CO</w:t>
      </w:r>
      <w:r w:rsidRPr="00C149EF">
        <w:rPr>
          <w:vertAlign w:val="subscript"/>
        </w:rPr>
        <w:t>2</w:t>
      </w:r>
      <w:r w:rsidRPr="00C149EF">
        <w:t> adsorption and the Volmer reaction as a function of (a) the average work function (i.e., the grand canonical constant potential reaction energy), corresponding to the potential as the descriptor for the driving force</w:t>
      </w:r>
      <w:r>
        <w:t xml:space="preserve">. </w:t>
      </w:r>
      <w:r w:rsidRPr="00C149EF">
        <w:t>Panel</w:t>
      </w:r>
      <w:r>
        <w:t xml:space="preserve"> </w:t>
      </w:r>
      <w:r w:rsidR="00B312CB">
        <w:t>(</w:t>
      </w:r>
      <w:r w:rsidRPr="00C149EF">
        <w:t>b</w:t>
      </w:r>
      <w:r w:rsidR="00B312CB">
        <w:t>)</w:t>
      </w:r>
      <w:r w:rsidRPr="00C149EF">
        <w:t xml:space="preserve"> shows the same data set with the driving force given instead by the effective surface charge</w:t>
      </w:r>
      <w:r>
        <w:t xml:space="preserve">. Adapted </w:t>
      </w:r>
      <w:r w:rsidR="0057370C">
        <w:t xml:space="preserve">with permission </w:t>
      </w:r>
      <w:r>
        <w:t>from Ref.</w:t>
      </w:r>
      <w:r>
        <w:fldChar w:fldCharType="begin"/>
      </w:r>
      <w:r w:rsidR="00FC5BEB">
        <w:instrText xml:space="preserve"> ADDIN EN.CITE &lt;EndNote&gt;&lt;Cite&gt;&lt;Author&gt;Gauthier&lt;/Author&gt;&lt;Year&gt;2019&lt;/Year&gt;&lt;RecNum&gt;488&lt;/RecNum&gt;&lt;DisplayText&gt;&lt;style face="superscript"&gt;490&lt;/style&gt;&lt;/DisplayText&gt;&lt;record&gt;&lt;rec-number&gt;488&lt;/rec-number&gt;&lt;foreign-keys&gt;&lt;key app="EN" db-id="2xex0erf4eexr4e2dpbxpdd829xttesxxxdr" timestamp="1715075297"&gt;488&lt;/key&gt;&lt;/foreign-keys&gt;&lt;ref-type name="Journal Article"&gt;17&lt;/ref-type&gt;&lt;contributors&gt;&lt;authors&gt;&lt;author&gt;Gauthier, Joseph A.&lt;/author&gt;&lt;author&gt;Dickens, Colin F.&lt;/author&gt;&lt;author&gt;Heenen, Hendrik H.&lt;/author&gt;&lt;author&gt;Vijay, Sudarshan&lt;/author&gt;&lt;author&gt;Ringe, Stefan&lt;/author&gt;&lt;author&gt;Chan, Karen&lt;/author&gt;&lt;/authors&gt;&lt;/contributors&gt;&lt;titles&gt;&lt;title&gt;Unified Approach to Implicit and Explicit Solvent Simulations of Electrochemical Reaction Energetics&lt;/title&gt;&lt;secondary-title&gt;J. Chem. Theory Comput.&lt;/secondary-title&gt;&lt;/titles&gt;&lt;periodical&gt;&lt;full-title&gt;J. Chem. Theory Comput.&lt;/full-title&gt;&lt;/periodical&gt;&lt;pages&gt;6895-6906&lt;/pages&gt;&lt;volume&gt;15&lt;/volume&gt;&lt;number&gt;12&lt;/number&gt;&lt;dates&gt;&lt;year&gt;2019&lt;/year&gt;&lt;/dates&gt;&lt;urls&gt;&lt;related-urls&gt;&lt;url&gt;https://pubs.acs.org/doi/pdf/10.1021/acs.jctc.9b00717&lt;/url&gt;&lt;/related-urls&gt;&lt;pdf-urls&gt;&lt;url&gt;file://localhost/localhost/localhost/Users/piccinin/Literature/acs.jctc.9b00717.pdf&lt;/url&gt;&lt;/pdf-urls&gt;&lt;/urls&gt;&lt;electronic-resource-num&gt;10.1021/acs.jctc.9b00717&lt;/electronic-resource-num&gt;&lt;/record&gt;&lt;/Cite&gt;&lt;/EndNote&gt;</w:instrText>
      </w:r>
      <w:r>
        <w:fldChar w:fldCharType="separate"/>
      </w:r>
      <w:r w:rsidR="00FC5BEB" w:rsidRPr="00FC5BEB">
        <w:rPr>
          <w:noProof/>
          <w:vertAlign w:val="superscript"/>
        </w:rPr>
        <w:t>490</w:t>
      </w:r>
      <w:r>
        <w:fldChar w:fldCharType="end"/>
      </w:r>
      <w:r w:rsidR="00B77FC3">
        <w:t xml:space="preserve"> </w:t>
      </w:r>
      <w:r w:rsidR="00B77FC3" w:rsidRPr="00B77FC3">
        <w:rPr>
          <w:lang w:val="en-US"/>
        </w:rPr>
        <w:t>Copyright 2019 American Chemical Society.</w:t>
      </w:r>
    </w:p>
    <w:p w14:paraId="07203990" w14:textId="77777777" w:rsidR="00714B48" w:rsidRDefault="00714B48" w:rsidP="00FF5CE0"/>
    <w:p w14:paraId="06D51EA8" w14:textId="77777777" w:rsidR="003A4C8A" w:rsidRDefault="003A4C8A" w:rsidP="00FF5CE0"/>
    <w:p w14:paraId="29BD5B02" w14:textId="61A35113" w:rsidR="00AD54F9" w:rsidRDefault="00AD54F9" w:rsidP="00BC7855">
      <w:pPr>
        <w:pStyle w:val="Heading2"/>
      </w:pPr>
      <w:bookmarkStart w:id="139" w:name="_Toc166441746"/>
      <w:r w:rsidRPr="006836D3">
        <w:t xml:space="preserve">Modeling </w:t>
      </w:r>
      <w:r>
        <w:t>electrochemical systems at fixed pH</w:t>
      </w:r>
      <w:bookmarkEnd w:id="139"/>
    </w:p>
    <w:p w14:paraId="60592B00" w14:textId="77777777" w:rsidR="00AD54F9" w:rsidRDefault="00AD54F9" w:rsidP="00AD54F9">
      <w:pPr>
        <w:rPr>
          <w:b/>
        </w:rPr>
      </w:pPr>
    </w:p>
    <w:p w14:paraId="0D04F693" w14:textId="2FE4F1C9" w:rsidR="004A20CD" w:rsidRDefault="00AD54F9" w:rsidP="004A20CD">
      <w:pPr>
        <w:ind w:firstLine="720"/>
      </w:pPr>
      <w:r>
        <w:t>As discussed above, most simulations are performed at fixed charge while experiments are performed at fixed potential. This discrepancy drove researchers in</w:t>
      </w:r>
      <w:r w:rsidR="005A578B">
        <w:t xml:space="preserve"> the</w:t>
      </w:r>
      <w:r>
        <w:t xml:space="preserve"> field either towards the developments of grand-canonical methods to impose a constant electrochemical potential for the electrons or towards methods to extract or extrapolate constant potential conditions </w:t>
      </w:r>
      <w:r w:rsidR="00832652">
        <w:t xml:space="preserve">from </w:t>
      </w:r>
      <w:r>
        <w:t xml:space="preserve">regular constant charge simulations. A similar problem arises with pH, i.e. the chemical potential of protons: experiments are performed at constant </w:t>
      </w:r>
      <w:proofErr w:type="gramStart"/>
      <w:r>
        <w:t>pH,</w:t>
      </w:r>
      <w:proofErr w:type="gramEnd"/>
      <w:r>
        <w:t xml:space="preserve"> hence the system can exchange protons with a proton reservoir, the electrolyte</w:t>
      </w:r>
      <w:r w:rsidR="004A20CD">
        <w:t>.</w:t>
      </w:r>
    </w:p>
    <w:p w14:paraId="0B250E1F" w14:textId="23D28ACC" w:rsidR="00AD54F9" w:rsidRDefault="00AD54F9" w:rsidP="003A4C8A">
      <w:pPr>
        <w:ind w:firstLine="720"/>
      </w:pPr>
    </w:p>
    <w:p w14:paraId="279B79AE" w14:textId="4DB70E4F" w:rsidR="00AD54F9" w:rsidRDefault="00AD54F9" w:rsidP="005C7322">
      <w:pPr>
        <w:ind w:firstLine="720"/>
      </w:pPr>
      <w:r>
        <w:t>Nielsen et al.</w:t>
      </w:r>
      <w:r>
        <w:fldChar w:fldCharType="begin"/>
      </w:r>
      <w:r w:rsidR="00FC5BEB">
        <w:instrText xml:space="preserve"> ADDIN EN.CITE &lt;EndNote&gt;&lt;Cite&gt;&lt;Author&gt;Nielsen&lt;/Author&gt;&lt;Year&gt;2015&lt;/Year&gt;&lt;RecNum&gt;489&lt;/RecNum&gt;&lt;DisplayText&gt;&lt;style face="superscript"&gt;491&lt;/style&gt;&lt;/DisplayText&gt;&lt;record&gt;&lt;rec-number&gt;489&lt;/rec-number&gt;&lt;foreign-keys&gt;&lt;key app="EN" db-id="2xex0erf4eexr4e2dpbxpdd829xttesxxxdr" timestamp="1715075297"&gt;489&lt;/key&gt;&lt;/foreign-keys&gt;&lt;ref-type name="Journal Article"&gt;17&lt;/ref-type&gt;&lt;contributors&gt;&lt;authors&gt;&lt;author&gt;Nielsen, Malte&lt;/author&gt;&lt;author&gt;Björketun, Mårten E.&lt;/author&gt;&lt;author&gt;Hansen, Martin H.&lt;/author&gt;&lt;author&gt;Rossmeisl, Jan&lt;/author&gt;&lt;/authors&gt;&lt;/contributors&gt;&lt;titles&gt;&lt;title&gt;Towards first principles modeling of electrochemical electrode–electrolyte interfaces&lt;/title&gt;&lt;secondary-title&gt;Surface Science&lt;/secondary-title&gt;&lt;/titles&gt;&lt;periodical&gt;&lt;full-title&gt;Surface Science&lt;/full-title&gt;&lt;abbr-1&gt;Surf. Sci.&lt;/abbr-1&gt;&lt;abbr-2&gt;Surf Sci&lt;/abbr-2&gt;&lt;/periodical&gt;&lt;pages&gt;2-7&lt;/pages&gt;&lt;volume&gt;631&lt;/volume&gt;&lt;keywords&gt;&lt;keyword&gt;Atomic scale modeling&lt;/keyword&gt;&lt;keyword&gt;Electrochemical interface&lt;/keyword&gt;&lt;keyword&gt;Density functional theory&lt;/keyword&gt;&lt;/keywords&gt;&lt;dates&gt;&lt;year&gt;2015&lt;/year&gt;&lt;pub-dates&gt;&lt;date&gt;2015/01/01/&lt;/date&gt;&lt;/pub-dates&gt;&lt;/dates&gt;&lt;isbn&gt;0039-6028&lt;/isbn&gt;&lt;urls&gt;&lt;related-urls&gt;&lt;url&gt;https://www.sciencedirect.com/science/article/pii/S0039602814002453&lt;/url&gt;&lt;/related-urls&gt;&lt;/urls&gt;&lt;electronic-resource-num&gt;https://doi.org/10.1016/j.susc.2014.08.018&lt;/electronic-resource-num&gt;&lt;/record&gt;&lt;/Cite&gt;&lt;/EndNote&gt;</w:instrText>
      </w:r>
      <w:r>
        <w:fldChar w:fldCharType="separate"/>
      </w:r>
      <w:r w:rsidR="00FC5BEB" w:rsidRPr="00FC5BEB">
        <w:rPr>
          <w:noProof/>
          <w:vertAlign w:val="superscript"/>
        </w:rPr>
        <w:t>491</w:t>
      </w:r>
      <w:r>
        <w:fldChar w:fldCharType="end"/>
      </w:r>
      <w:r>
        <w:t xml:space="preserve"> in 2015 argued that, while no grand canonical approach existed at the time to impose constant pH in a simulation, one can rely on canonical simulations performed at varying number of protons and electrons and obtain a posteriori information on the free energy dependence on </w:t>
      </w:r>
      <w:proofErr w:type="spellStart"/>
      <w:r>
        <w:t>pH.</w:t>
      </w:r>
      <w:proofErr w:type="spellEnd"/>
      <w:r>
        <w:t xml:space="preserve"> To this end, </w:t>
      </w:r>
      <w:proofErr w:type="spellStart"/>
      <w:r>
        <w:t>Rossmeisl</w:t>
      </w:r>
      <w:proofErr w:type="spellEnd"/>
      <w:r>
        <w:t xml:space="preserve"> et al.</w:t>
      </w:r>
      <w:r>
        <w:fldChar w:fldCharType="begin"/>
      </w:r>
      <w:r w:rsidR="00FC5BEB">
        <w:instrText xml:space="preserve"> ADDIN EN.CITE &lt;EndNote&gt;&lt;Cite&gt;&lt;Author&gt;Rossmeisl&lt;/Author&gt;&lt;Year&gt;2013&lt;/Year&gt;&lt;RecNum&gt;490&lt;/RecNum&gt;&lt;DisplayText&gt;&lt;style face="superscript"&gt;492&lt;/style&gt;&lt;/DisplayText&gt;&lt;record&gt;&lt;rec-number&gt;490&lt;/rec-number&gt;&lt;foreign-keys&gt;&lt;key app="EN" db-id="2xex0erf4eexr4e2dpbxpdd829xttesxxxdr" timestamp="1715075297"&gt;490&lt;/key&gt;&lt;/foreign-keys&gt;&lt;ref-type name="Journal Article"&gt;17&lt;/ref-type&gt;&lt;contributors&gt;&lt;authors&gt;&lt;author&gt;Rossmeisl, Jan&lt;/author&gt;&lt;author&gt;Chan, Karen&lt;/author&gt;&lt;author&gt;Ahmed, Rizwan&lt;/author&gt;&lt;author&gt;Tripković, Vladimir&lt;/author&gt;&lt;author&gt;Björketun, Mårten E.&lt;/author&gt;&lt;/authors&gt;&lt;/contributors&gt;&lt;titles&gt;&lt;title&gt;pH in atomic scale simulations of electrochemical interfaces&lt;/title&gt;&lt;secondary-title&gt;Physical Chemistry Chemical Physics&lt;/secondary-title&gt;&lt;/titles&gt;&lt;periodical&gt;&lt;full-title&gt;Physical Chemistry Chemical Physics&lt;/full-title&gt;&lt;abbr-1&gt;Phys. Chem. Chem. Phys.&lt;/abbr-1&gt;&lt;abbr-2&gt;Phys Chem Chem Phys&lt;/abbr-2&gt;&lt;/periodical&gt;&lt;pages&gt;10321-5&lt;/pages&gt;&lt;volume&gt;15&lt;/volume&gt;&lt;number&gt;25&lt;/number&gt;&lt;dates&gt;&lt;year&gt;2013&lt;/year&gt;&lt;/dates&gt;&lt;isbn&gt;1463-9076&lt;/isbn&gt;&lt;urls&gt;&lt;related-urls&gt;&lt;url&gt;http://pubs.rsc.org/en/content/articlehtml/2013/cp/c3cp51083b&lt;/url&gt;&lt;url&gt;https://pubs.rsc.org/en/content/articlepdf/2013/cp/c3cp51083b&lt;/url&gt;&lt;/related-urls&gt;&lt;pdf-urls&gt;&lt;url&gt;file://localhost/localhost/localhost/Users/piccinin/Literature/c3cp51083b.pdf&lt;/url&gt;&lt;/pdf-urls&gt;&lt;/urls&gt;&lt;electronic-resource-num&gt;10.1039/c3cp51083b&lt;/electronic-resource-num&gt;&lt;/record&gt;&lt;/Cite&gt;&lt;/EndNote&gt;</w:instrText>
      </w:r>
      <w:r>
        <w:fldChar w:fldCharType="separate"/>
      </w:r>
      <w:r w:rsidR="00FC5BEB" w:rsidRPr="00FC5BEB">
        <w:rPr>
          <w:noProof/>
          <w:vertAlign w:val="superscript"/>
        </w:rPr>
        <w:t>492</w:t>
      </w:r>
      <w:r>
        <w:fldChar w:fldCharType="end"/>
      </w:r>
      <w:r>
        <w:t xml:space="preserve"> introduced the generalized computational hydrogen electrode (GCHE). </w:t>
      </w:r>
    </w:p>
    <w:p w14:paraId="1297C774" w14:textId="77777777" w:rsidR="00AD54F9" w:rsidRDefault="00AD54F9" w:rsidP="00AD54F9"/>
    <w:p w14:paraId="63CB6C4E" w14:textId="77777777" w:rsidR="00AD54F9" w:rsidRDefault="00AD54F9" w:rsidP="001C1AC5">
      <w:pPr>
        <w:keepNext/>
        <w:jc w:val="center"/>
      </w:pPr>
      <w:r>
        <w:rPr>
          <w:noProof/>
        </w:rPr>
        <w:drawing>
          <wp:inline distT="0" distB="0" distL="0" distR="0" wp14:anchorId="692BBA31" wp14:editId="64575AB0">
            <wp:extent cx="2650619" cy="2880000"/>
            <wp:effectExtent l="0" t="0" r="3810"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ielsen_SS2015_Fig3_exp.jp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2650619" cy="2880000"/>
                    </a:xfrm>
                    <a:prstGeom prst="rect">
                      <a:avLst/>
                    </a:prstGeom>
                  </pic:spPr>
                </pic:pic>
              </a:graphicData>
            </a:graphic>
          </wp:inline>
        </w:drawing>
      </w:r>
    </w:p>
    <w:p w14:paraId="0E06CAE6" w14:textId="18E1CC94" w:rsidR="00AD54F9" w:rsidRDefault="00AD54F9" w:rsidP="00AD54F9">
      <w:pPr>
        <w:pStyle w:val="Caption"/>
      </w:pPr>
      <w:bookmarkStart w:id="140" w:name="_Ref155960368"/>
      <w:r w:rsidRPr="007C7CBE">
        <w:rPr>
          <w:b/>
          <w:bCs w:val="0"/>
          <w:sz w:val="22"/>
        </w:rPr>
        <w:t xml:space="preserve">Figure </w:t>
      </w:r>
      <w:r w:rsidRPr="007C7CBE">
        <w:rPr>
          <w:b/>
          <w:bCs w:val="0"/>
          <w:sz w:val="22"/>
        </w:rPr>
        <w:fldChar w:fldCharType="begin"/>
      </w:r>
      <w:r w:rsidRPr="007C7CBE">
        <w:rPr>
          <w:b/>
          <w:bCs w:val="0"/>
          <w:sz w:val="22"/>
        </w:rPr>
        <w:instrText xml:space="preserve"> SEQ Figure \* ARABIC </w:instrText>
      </w:r>
      <w:r w:rsidRPr="007C7CBE">
        <w:rPr>
          <w:b/>
          <w:bCs w:val="0"/>
          <w:sz w:val="22"/>
        </w:rPr>
        <w:fldChar w:fldCharType="separate"/>
      </w:r>
      <w:r w:rsidR="00B7319C">
        <w:rPr>
          <w:b/>
          <w:bCs w:val="0"/>
          <w:noProof/>
          <w:sz w:val="22"/>
        </w:rPr>
        <w:t>44</w:t>
      </w:r>
      <w:r w:rsidRPr="007C7CBE">
        <w:rPr>
          <w:b/>
          <w:bCs w:val="0"/>
          <w:noProof/>
          <w:sz w:val="22"/>
        </w:rPr>
        <w:fldChar w:fldCharType="end"/>
      </w:r>
      <w:bookmarkEnd w:id="140"/>
      <w:r w:rsidRPr="00A81A22">
        <w:t xml:space="preserve"> (</w:t>
      </w:r>
      <w:r w:rsidR="00C242CD">
        <w:t>a</w:t>
      </w:r>
      <w:r w:rsidRPr="00A81A22">
        <w:t>) The Born–Haber cycle for hydrogen insertion into an electrochemical interface. (</w:t>
      </w:r>
      <w:r w:rsidR="00C242CD">
        <w:t>b</w:t>
      </w:r>
      <w:r w:rsidRPr="00A81A22">
        <w:t>) Schematic figure of an electrochemical cell, showing the different energy variables. The left-hand side electrode is a reference electrode, and the right-hand side is the working electrode.</w:t>
      </w:r>
      <w:r>
        <w:t xml:space="preserve"> Adapted </w:t>
      </w:r>
      <w:r w:rsidR="00452FAA">
        <w:t xml:space="preserve">with permission </w:t>
      </w:r>
      <w:r>
        <w:t>from Ref.</w:t>
      </w:r>
      <w:r>
        <w:fldChar w:fldCharType="begin"/>
      </w:r>
      <w:r w:rsidR="00FC5BEB">
        <w:instrText xml:space="preserve"> ADDIN EN.CITE &lt;EndNote&gt;&lt;Cite&gt;&lt;Author&gt;Nielsen&lt;/Author&gt;&lt;Year&gt;2015&lt;/Year&gt;&lt;RecNum&gt;489&lt;/RecNum&gt;&lt;DisplayText&gt;&lt;style face="superscript"&gt;491&lt;/style&gt;&lt;/DisplayText&gt;&lt;record&gt;&lt;rec-number&gt;489&lt;/rec-number&gt;&lt;foreign-keys&gt;&lt;key app="EN" db-id="2xex0erf4eexr4e2dpbxpdd829xttesxxxdr" timestamp="1715075297"&gt;489&lt;/key&gt;&lt;/foreign-keys&gt;&lt;ref-type name="Journal Article"&gt;17&lt;/ref-type&gt;&lt;contributors&gt;&lt;authors&gt;&lt;author&gt;Nielsen, Malte&lt;/author&gt;&lt;author&gt;Björketun, Mårten E.&lt;/author&gt;&lt;author&gt;Hansen, Martin H.&lt;/author&gt;&lt;author&gt;Rossmeisl, Jan&lt;/author&gt;&lt;/authors&gt;&lt;/contributors&gt;&lt;titles&gt;&lt;title&gt;Towards first principles modeling of electrochemical electrode–electrolyte interfaces&lt;/title&gt;&lt;secondary-title&gt;Surface Science&lt;/secondary-title&gt;&lt;/titles&gt;&lt;periodical&gt;&lt;full-title&gt;Surface Science&lt;/full-title&gt;&lt;abbr-1&gt;Surf. Sci.&lt;/abbr-1&gt;&lt;abbr-2&gt;Surf Sci&lt;/abbr-2&gt;&lt;/periodical&gt;&lt;pages&gt;2-7&lt;/pages&gt;&lt;volume&gt;631&lt;/volume&gt;&lt;keywords&gt;&lt;keyword&gt;Atomic scale modeling&lt;/keyword&gt;&lt;keyword&gt;Electrochemical interface&lt;/keyword&gt;&lt;keyword&gt;Density functional theory&lt;/keyword&gt;&lt;/keywords&gt;&lt;dates&gt;&lt;year&gt;2015&lt;/year&gt;&lt;pub-dates&gt;&lt;date&gt;2015/01/01/&lt;/date&gt;&lt;/pub-dates&gt;&lt;/dates&gt;&lt;isbn&gt;0039-6028&lt;/isbn&gt;&lt;urls&gt;&lt;related-urls&gt;&lt;url&gt;https://www.sciencedirect.com/science/article/pii/S0039602814002453&lt;/url&gt;&lt;/related-urls&gt;&lt;/urls&gt;&lt;electronic-resource-num&gt;https://doi.org/10.1016/j.susc.2014.08.018&lt;/electronic-resource-num&gt;&lt;/record&gt;&lt;/Cite&gt;&lt;/EndNote&gt;</w:instrText>
      </w:r>
      <w:r>
        <w:fldChar w:fldCharType="separate"/>
      </w:r>
      <w:r w:rsidR="00FC5BEB" w:rsidRPr="00FC5BEB">
        <w:rPr>
          <w:noProof/>
          <w:vertAlign w:val="superscript"/>
        </w:rPr>
        <w:t>491</w:t>
      </w:r>
      <w:r>
        <w:fldChar w:fldCharType="end"/>
      </w:r>
      <w:r w:rsidR="003501B7">
        <w:t xml:space="preserve"> Copyright 2015 Elsevier.</w:t>
      </w:r>
    </w:p>
    <w:p w14:paraId="034D34B0" w14:textId="40B07395" w:rsidR="00AD54F9" w:rsidRDefault="00AD54F9" w:rsidP="005C7322">
      <w:pPr>
        <w:ind w:firstLine="720"/>
      </w:pPr>
      <w:r>
        <w:t>They considered the Born-Haber cycle for hydrogen oxidation (</w:t>
      </w:r>
      <w:r>
        <w:fldChar w:fldCharType="begin"/>
      </w:r>
      <w:r>
        <w:instrText xml:space="preserve"> REF _Ref155960368 \h </w:instrText>
      </w:r>
      <w:r>
        <w:fldChar w:fldCharType="separate"/>
      </w:r>
      <w:r w:rsidR="00B7319C" w:rsidRPr="007C7CBE">
        <w:rPr>
          <w:b/>
        </w:rPr>
        <w:t xml:space="preserve">Figure </w:t>
      </w:r>
      <w:r w:rsidR="00B7319C">
        <w:rPr>
          <w:b/>
          <w:bCs/>
          <w:noProof/>
        </w:rPr>
        <w:t>44</w:t>
      </w:r>
      <w:r>
        <w:fldChar w:fldCharType="end"/>
      </w:r>
      <w:r w:rsidR="00E617DD" w:rsidRPr="00144CFD">
        <w:rPr>
          <w:b/>
          <w:bCs/>
        </w:rPr>
        <w:t>a</w:t>
      </w:r>
      <w:r>
        <w:t xml:space="preserve">). The change in energy for the reaction </w:t>
      </w:r>
      <m:oMath>
        <m:f>
          <m:fPr>
            <m:ctrlPr>
              <w:rPr>
                <w:rFonts w:ascii="Cambria Math" w:hAnsi="Cambria Math"/>
                <w:i/>
              </w:rPr>
            </m:ctrlPr>
          </m:fPr>
          <m:num>
            <m:r>
              <w:rPr>
                <w:rFonts w:ascii="Cambria Math" w:hAnsi="Cambria Math"/>
              </w:rPr>
              <m:t>1</m:t>
            </m:r>
          </m:num>
          <m:den>
            <m:r>
              <w:rPr>
                <w:rFonts w:ascii="Cambria Math" w:hAnsi="Cambria Math"/>
              </w:rPr>
              <m:t>2</m:t>
            </m:r>
          </m:den>
        </m:f>
        <m:sSub>
          <m:sSubPr>
            <m:ctrlPr>
              <w:rPr>
                <w:rFonts w:ascii="Cambria Math" w:hAnsi="Cambria Math"/>
              </w:rPr>
            </m:ctrlPr>
          </m:sSubPr>
          <m:e>
            <m:r>
              <m:rPr>
                <m:sty m:val="p"/>
              </m:rPr>
              <w:rPr>
                <w:rFonts w:ascii="Cambria Math" w:hAnsi="Cambria Math"/>
              </w:rPr>
              <m:t>H</m:t>
            </m:r>
          </m:e>
          <m:sub>
            <m:r>
              <m:rPr>
                <m:sty m:val="p"/>
              </m:rPr>
              <w:rPr>
                <w:rFonts w:ascii="Cambria Math" w:hAnsi="Cambria Math"/>
              </w:rPr>
              <m:t>2</m:t>
            </m:r>
          </m:sub>
        </m:sSub>
        <m:r>
          <w:rPr>
            <w:rFonts w:ascii="Cambria Math" w:hAnsi="Cambria Math"/>
          </w:rPr>
          <m:t xml:space="preserve"> →</m:t>
        </m:r>
        <m:sSubSup>
          <m:sSubSupPr>
            <m:ctrlPr>
              <w:rPr>
                <w:rFonts w:ascii="Cambria Math" w:hAnsi="Cambria Math"/>
              </w:rPr>
            </m:ctrlPr>
          </m:sSubSupPr>
          <m:e>
            <m:r>
              <m:rPr>
                <m:sty m:val="p"/>
              </m:rPr>
              <w:rPr>
                <w:rFonts w:ascii="Cambria Math" w:hAnsi="Cambria Math"/>
              </w:rPr>
              <m:t>H</m:t>
            </m:r>
          </m:e>
          <m:sub>
            <m:r>
              <m:rPr>
                <m:sty m:val="p"/>
              </m:rPr>
              <w:rPr>
                <w:rFonts w:ascii="Cambria Math" w:hAnsi="Cambria Math"/>
              </w:rPr>
              <m:t>(sol)</m:t>
            </m:r>
          </m:sub>
          <m:sup>
            <m:r>
              <m:rPr>
                <m:sty m:val="p"/>
              </m:rPr>
              <w:rPr>
                <w:rFonts w:ascii="Cambria Math" w:hAnsi="Cambria Math"/>
              </w:rPr>
              <m:t>+</m:t>
            </m:r>
          </m:sup>
        </m:sSubSup>
        <m:r>
          <m:rPr>
            <m:sty m:val="p"/>
          </m:rPr>
          <w:rPr>
            <w:rFonts w:ascii="Cambria Math" w:hAnsi="Cambria Math"/>
          </w:rPr>
          <m:t>+</m:t>
        </m:r>
        <m:sSubSup>
          <m:sSubSupPr>
            <m:ctrlPr>
              <w:rPr>
                <w:rFonts w:ascii="Cambria Math" w:hAnsi="Cambria Math"/>
              </w:rPr>
            </m:ctrlPr>
          </m:sSubSupPr>
          <m:e>
            <m:r>
              <m:rPr>
                <m:sty m:val="p"/>
              </m:rPr>
              <w:rPr>
                <w:rFonts w:ascii="Cambria Math" w:hAnsi="Cambria Math"/>
              </w:rPr>
              <m:t>e</m:t>
            </m:r>
          </m:e>
          <m:sub>
            <m:r>
              <m:rPr>
                <m:sty m:val="p"/>
              </m:rPr>
              <w:rPr>
                <w:rFonts w:ascii="Cambria Math" w:hAnsi="Cambria Math"/>
              </w:rPr>
              <m:t>(m)</m:t>
            </m:r>
          </m:sub>
          <m:sup>
            <m:r>
              <m:rPr>
                <m:sty m:val="p"/>
              </m:rPr>
              <w:rPr>
                <w:rFonts w:ascii="Cambria Math" w:hAnsi="Cambria Math"/>
              </w:rPr>
              <m:t>-</m:t>
            </m:r>
          </m:sup>
        </m:sSubSup>
      </m:oMath>
      <w:r>
        <w:t xml:space="preserve">, which is written in </w:t>
      </w:r>
      <w:r>
        <w:fldChar w:fldCharType="begin"/>
      </w:r>
      <w:r>
        <w:instrText xml:space="preserve"> REF _Ref155960368 \h </w:instrText>
      </w:r>
      <w:r>
        <w:fldChar w:fldCharType="separate"/>
      </w:r>
      <w:r w:rsidR="00B7319C" w:rsidRPr="007C7CBE">
        <w:rPr>
          <w:b/>
        </w:rPr>
        <w:t xml:space="preserve">Figure </w:t>
      </w:r>
      <w:r w:rsidR="00B7319C">
        <w:rPr>
          <w:b/>
          <w:bCs/>
          <w:noProof/>
        </w:rPr>
        <w:t>44</w:t>
      </w:r>
      <w:r>
        <w:fldChar w:fldCharType="end"/>
      </w:r>
      <w:r w:rsidR="00E617DD" w:rsidRPr="00144CFD">
        <w:rPr>
          <w:b/>
          <w:bCs/>
        </w:rPr>
        <w:t>a</w:t>
      </w:r>
      <w:r>
        <w:t xml:space="preserve"> as </w:t>
      </w:r>
      <m:oMath>
        <m:sSub>
          <m:sSubPr>
            <m:ctrlPr>
              <w:rPr>
                <w:rFonts w:ascii="Cambria Math" w:hAnsi="Cambria Math"/>
                <w:i/>
              </w:rPr>
            </m:ctrlPr>
          </m:sSubPr>
          <m:e>
            <m:r>
              <w:rPr>
                <w:rFonts w:ascii="Cambria Math" w:hAnsi="Cambria Math"/>
              </w:rPr>
              <m:t>μ</m:t>
            </m:r>
          </m:e>
          <m:sub>
            <m:sSup>
              <m:sSupPr>
                <m:ctrlPr>
                  <w:rPr>
                    <w:rFonts w:ascii="Cambria Math" w:hAnsi="Cambria Math"/>
                    <w:iCs/>
                  </w:rPr>
                </m:ctrlPr>
              </m:sSupPr>
              <m:e>
                <m:r>
                  <m:rPr>
                    <m:sty m:val="p"/>
                  </m:rPr>
                  <w:rPr>
                    <w:rFonts w:ascii="Cambria Math" w:hAnsi="Cambria Math"/>
                  </w:rPr>
                  <m:t>H</m:t>
                </m:r>
              </m:e>
              <m:sup>
                <m:r>
                  <m:rPr>
                    <m:sty m:val="p"/>
                  </m:rPr>
                  <w:rPr>
                    <w:rFonts w:ascii="Cambria Math" w:hAnsi="Cambria Math"/>
                  </w:rPr>
                  <m:t>+</m:t>
                </m:r>
              </m:sup>
            </m:sSup>
            <m:r>
              <w:rPr>
                <w:rFonts w:ascii="Cambria Math" w:hAnsi="Cambria Math"/>
              </w:rPr>
              <m:t>+</m:t>
            </m:r>
            <m:sSup>
              <m:sSupPr>
                <m:ctrlPr>
                  <w:rPr>
                    <w:rFonts w:ascii="Cambria Math" w:hAnsi="Cambria Math"/>
                    <w:i/>
                  </w:rPr>
                </m:ctrlPr>
              </m:sSupPr>
              <m:e>
                <m:r>
                  <m:rPr>
                    <m:sty m:val="p"/>
                  </m:rPr>
                  <w:rPr>
                    <w:rFonts w:ascii="Cambria Math" w:hAnsi="Cambria Math"/>
                  </w:rPr>
                  <m:t>e</m:t>
                </m:r>
              </m:e>
              <m:sup>
                <m:r>
                  <w:rPr>
                    <w:rFonts w:ascii="Cambria Math" w:hAnsi="Cambria Math"/>
                  </w:rPr>
                  <m:t>-</m:t>
                </m:r>
              </m:sup>
            </m:sSup>
          </m:sub>
        </m:sSub>
        <m:r>
          <w:rPr>
            <w:rFonts w:ascii="Cambria Math" w:hAnsi="Cambria Math"/>
          </w:rPr>
          <m:t xml:space="preserve">, </m:t>
        </m:r>
      </m:oMath>
      <w:r>
        <w:t xml:space="preserve">is equal to the chemical potential referenced to the reversible hydrogen electrode, </w:t>
      </w:r>
      <m:oMath>
        <m:r>
          <w:rPr>
            <w:rFonts w:ascii="Cambria Math" w:hAnsi="Cambria Math"/>
          </w:rPr>
          <m:t>-e</m:t>
        </m:r>
        <m:sSub>
          <m:sSubPr>
            <m:ctrlPr>
              <w:rPr>
                <w:rFonts w:ascii="Cambria Math" w:hAnsi="Cambria Math"/>
                <w:i/>
              </w:rPr>
            </m:ctrlPr>
          </m:sSubPr>
          <m:e>
            <m:r>
              <w:rPr>
                <w:rFonts w:ascii="Cambria Math" w:hAnsi="Cambria Math"/>
              </w:rPr>
              <m:t>U</m:t>
            </m:r>
          </m:e>
          <m:sub>
            <m:r>
              <m:rPr>
                <m:sty m:val="p"/>
              </m:rPr>
              <w:rPr>
                <w:rFonts w:ascii="Cambria Math" w:hAnsi="Cambria Math"/>
              </w:rPr>
              <m:t>RHE</m:t>
            </m:r>
          </m:sub>
        </m:sSub>
        <m:r>
          <w:rPr>
            <w:rFonts w:ascii="Cambria Math" w:hAnsi="Cambria Math"/>
          </w:rPr>
          <m:t>.</m:t>
        </m:r>
      </m:oMath>
      <w:r>
        <w:t xml:space="preserve"> </w:t>
      </w:r>
      <m:oMath>
        <m:sSub>
          <m:sSubPr>
            <m:ctrlPr>
              <w:rPr>
                <w:rFonts w:ascii="Cambria Math" w:hAnsi="Cambria Math"/>
                <w:i/>
              </w:rPr>
            </m:ctrlPr>
          </m:sSubPr>
          <m:e>
            <m:r>
              <w:rPr>
                <w:rFonts w:ascii="Cambria Math" w:hAnsi="Cambria Math"/>
              </w:rPr>
              <m:t>U</m:t>
            </m:r>
          </m:e>
          <m:sub>
            <m:r>
              <m:rPr>
                <m:sty m:val="p"/>
              </m:rPr>
              <w:rPr>
                <w:rFonts w:ascii="Cambria Math" w:hAnsi="Cambria Math"/>
              </w:rPr>
              <m:t>RHE</m:t>
            </m:r>
          </m:sub>
        </m:sSub>
      </m:oMath>
      <w:r>
        <w:t xml:space="preserve"> is defined at arbitrary pH, so the effect of the electrode potential cannot be separated from the effect of pH in the CHE approach.</w:t>
      </w:r>
      <w:r>
        <w:fldChar w:fldCharType="begin"/>
      </w:r>
      <w:r w:rsidR="00FC5BEB">
        <w:instrText xml:space="preserve"> ADDIN EN.CITE &lt;EndNote&gt;&lt;Cite&gt;&lt;Author&gt;Hansen&lt;/Author&gt;&lt;Year&gt;2016&lt;/Year&gt;&lt;RecNum&gt;491&lt;/RecNum&gt;&lt;DisplayText&gt;&lt;style face="superscript"&gt;493&lt;/style&gt;&lt;/DisplayText&gt;&lt;record&gt;&lt;rec-number&gt;491&lt;/rec-number&gt;&lt;foreign-keys&gt;&lt;key app="EN" db-id="2xex0erf4eexr4e2dpbxpdd829xttesxxxdr" timestamp="1715075297"&gt;491&lt;/key&gt;&lt;/foreign-keys&gt;&lt;ref-type name="Journal Article"&gt;17&lt;/ref-type&gt;&lt;contributors&gt;&lt;authors&gt;&lt;author&gt;Hansen, Martin Hangaard&lt;/author&gt;&lt;author&gt;Jin, Chengjun&lt;/author&gt;&lt;author&gt;Thygesen, Kristian Sommer&lt;/author&gt;&lt;author&gt;Rossmeisl, Jan&lt;/author&gt;&lt;/authors&gt;&lt;/contributors&gt;&lt;titles&gt;&lt;title&gt;Finite Bias Calculations to Model Interface Dipoles in Electrochemical Cells at the Atomic Scale&lt;/title&gt;&lt;secondary-title&gt;Journal of Physical Chemistry C&lt;/secondary-title&gt;&lt;/titles&gt;&lt;periodical&gt;&lt;full-title&gt;Journal of Physical Chemistry C&lt;/full-title&gt;&lt;abbr-1&gt;J. Phys. Chem. C&lt;/abbr-1&gt;&lt;/periodical&gt;&lt;pages&gt;13485-13491&lt;/pages&gt;&lt;volume&gt;120&lt;/volume&gt;&lt;number&gt;25&lt;/number&gt;&lt;dates&gt;&lt;year&gt;2016&lt;/year&gt;&lt;/dates&gt;&lt;isbn&gt;1932-7447&lt;/isbn&gt;&lt;urls&gt;&lt;related-urls&gt;&lt;url&gt;https://pubs.acs.org/doi/pdf/10.1021/acs.jpcc.6b00721&lt;/url&gt;&lt;/related-urls&gt;&lt;pdf-urls&gt;&lt;url&gt;file://localhost/localhost/Users/piccinin/Literature/acs%25252Ejpcc%25252E6b00721.pdf&lt;/url&gt;&lt;/pdf-urls&gt;&lt;/urls&gt;&lt;electronic-resource-num&gt;10.1021/acs.jpcc.6b00721&lt;/electronic-resource-num&gt;&lt;/record&gt;&lt;/Cite&gt;&lt;/EndNote&gt;</w:instrText>
      </w:r>
      <w:r>
        <w:fldChar w:fldCharType="separate"/>
      </w:r>
      <w:r w:rsidR="00FC5BEB" w:rsidRPr="00FC5BEB">
        <w:rPr>
          <w:noProof/>
          <w:vertAlign w:val="superscript"/>
        </w:rPr>
        <w:t>493</w:t>
      </w:r>
      <w:r>
        <w:fldChar w:fldCharType="end"/>
      </w:r>
      <w:r>
        <w:t xml:space="preserve"> From </w:t>
      </w:r>
      <w:r>
        <w:fldChar w:fldCharType="begin"/>
      </w:r>
      <w:r>
        <w:instrText xml:space="preserve"> REF _Ref155960368 \h </w:instrText>
      </w:r>
      <w:r>
        <w:fldChar w:fldCharType="separate"/>
      </w:r>
      <w:r w:rsidR="00B7319C" w:rsidRPr="007C7CBE">
        <w:rPr>
          <w:b/>
        </w:rPr>
        <w:t xml:space="preserve">Figure </w:t>
      </w:r>
      <w:r w:rsidR="00B7319C">
        <w:rPr>
          <w:b/>
          <w:bCs/>
          <w:noProof/>
        </w:rPr>
        <w:t>44</w:t>
      </w:r>
      <w:r>
        <w:fldChar w:fldCharType="end"/>
      </w:r>
      <w:r w:rsidR="00E617DD" w:rsidRPr="00144CFD">
        <w:rPr>
          <w:b/>
          <w:bCs/>
        </w:rPr>
        <w:t>a</w:t>
      </w:r>
      <w:r>
        <w:t>, however, we can see that this quantity can also be written as: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7C7CBE" w:rsidRPr="007C7CBE" w14:paraId="57AA7930" w14:textId="77777777" w:rsidTr="007C7CBE">
        <w:tc>
          <w:tcPr>
            <w:tcW w:w="7938" w:type="dxa"/>
            <w:tcMar>
              <w:left w:w="28" w:type="dxa"/>
              <w:right w:w="28" w:type="dxa"/>
            </w:tcMar>
            <w:vAlign w:val="center"/>
          </w:tcPr>
          <w:p w14:paraId="2CDD1F3F" w14:textId="7C6FDBE8" w:rsidR="007C7CBE" w:rsidRPr="007C7CBE" w:rsidRDefault="00000000" w:rsidP="007C7CBE">
            <w:pPr>
              <w:jc w:val="center"/>
              <w:rPr>
                <w:sz w:val="20"/>
                <w:szCs w:val="20"/>
              </w:rPr>
            </w:pPr>
            <m:oMathPara>
              <m:oMath>
                <m:sSub>
                  <m:sSubPr>
                    <m:ctrlPr>
                      <w:rPr>
                        <w:rFonts w:ascii="Cambria Math" w:hAnsi="Cambria Math"/>
                        <w:i/>
                        <w:sz w:val="20"/>
                        <w:szCs w:val="20"/>
                      </w:rPr>
                    </m:ctrlPr>
                  </m:sSubPr>
                  <m:e>
                    <m:r>
                      <w:rPr>
                        <w:rFonts w:ascii="Cambria Math" w:hAnsi="Cambria Math"/>
                        <w:sz w:val="20"/>
                        <w:szCs w:val="20"/>
                      </w:rPr>
                      <m:t>μ</m:t>
                    </m:r>
                  </m:e>
                  <m:sub>
                    <m:sSup>
                      <m:sSupPr>
                        <m:ctrlPr>
                          <w:rPr>
                            <w:rFonts w:ascii="Cambria Math" w:hAnsi="Cambria Math"/>
                            <w:iCs/>
                            <w:sz w:val="20"/>
                            <w:szCs w:val="20"/>
                          </w:rPr>
                        </m:ctrlPr>
                      </m:sSupPr>
                      <m:e>
                        <m:r>
                          <m:rPr>
                            <m:sty m:val="p"/>
                          </m:rPr>
                          <w:rPr>
                            <w:rFonts w:ascii="Cambria Math" w:hAnsi="Cambria Math"/>
                            <w:sz w:val="20"/>
                            <w:szCs w:val="20"/>
                          </w:rPr>
                          <m:t>H</m:t>
                        </m:r>
                      </m:e>
                      <m:sup>
                        <m:r>
                          <m:rPr>
                            <m:sty m:val="p"/>
                          </m:rPr>
                          <w:rPr>
                            <w:rFonts w:ascii="Cambria Math" w:hAnsi="Cambria Math"/>
                            <w:sz w:val="20"/>
                            <w:szCs w:val="20"/>
                          </w:rPr>
                          <m:t>+</m:t>
                        </m:r>
                      </m:sup>
                    </m:sSup>
                    <m:r>
                      <w:rPr>
                        <w:rFonts w:ascii="Cambria Math" w:hAnsi="Cambria Math"/>
                        <w:sz w:val="20"/>
                        <w:szCs w:val="20"/>
                      </w:rPr>
                      <m:t>+</m:t>
                    </m:r>
                    <m:sSup>
                      <m:sSupPr>
                        <m:ctrlPr>
                          <w:rPr>
                            <w:rFonts w:ascii="Cambria Math" w:hAnsi="Cambria Math"/>
                            <w:i/>
                            <w:sz w:val="20"/>
                            <w:szCs w:val="20"/>
                          </w:rPr>
                        </m:ctrlPr>
                      </m:sSupPr>
                      <m:e>
                        <m:r>
                          <m:rPr>
                            <m:sty m:val="p"/>
                          </m:rPr>
                          <w:rPr>
                            <w:rFonts w:ascii="Cambria Math" w:hAnsi="Cambria Math"/>
                            <w:sz w:val="20"/>
                            <w:szCs w:val="20"/>
                          </w:rPr>
                          <m:t>e</m:t>
                        </m:r>
                      </m:e>
                      <m:sup>
                        <m:r>
                          <w:rPr>
                            <w:rFonts w:ascii="Cambria Math" w:hAnsi="Cambria Math"/>
                            <w:sz w:val="20"/>
                            <w:szCs w:val="20"/>
                          </w:rPr>
                          <m:t>-</m:t>
                        </m:r>
                      </m:sup>
                    </m:sSup>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m:t>
                    </m:r>
                  </m:e>
                  <m:sub>
                    <m:r>
                      <w:rPr>
                        <w:rFonts w:ascii="Cambria Math" w:hAnsi="Cambria Math"/>
                        <w:sz w:val="20"/>
                        <w:szCs w:val="20"/>
                      </w:rPr>
                      <m:t>d</m:t>
                    </m:r>
                  </m:sub>
                </m:sSub>
                <m:r>
                  <w:rPr>
                    <w:rFonts w:ascii="Cambria Math" w:hAnsi="Cambria Math"/>
                    <w:sz w:val="20"/>
                    <w:szCs w:val="20"/>
                  </w:rPr>
                  <m:t xml:space="preserve">G + </m:t>
                </m:r>
                <m:sSub>
                  <m:sSubPr>
                    <m:ctrlPr>
                      <w:rPr>
                        <w:rFonts w:ascii="Cambria Math" w:hAnsi="Cambria Math"/>
                        <w:i/>
                        <w:sz w:val="20"/>
                        <w:szCs w:val="20"/>
                      </w:rPr>
                    </m:ctrlPr>
                  </m:sSubPr>
                  <m:e>
                    <m:r>
                      <w:rPr>
                        <w:rFonts w:ascii="Cambria Math" w:hAnsi="Cambria Math"/>
                        <w:sz w:val="20"/>
                        <w:szCs w:val="20"/>
                      </w:rPr>
                      <m:t>∆</m:t>
                    </m:r>
                  </m:e>
                  <m:sub>
                    <m:r>
                      <w:rPr>
                        <w:rFonts w:ascii="Cambria Math" w:hAnsi="Cambria Math"/>
                        <w:sz w:val="20"/>
                        <w:szCs w:val="20"/>
                      </w:rPr>
                      <m:t>i</m:t>
                    </m:r>
                  </m:sub>
                </m:sSub>
                <m:r>
                  <w:rPr>
                    <w:rFonts w:ascii="Cambria Math" w:hAnsi="Cambria Math"/>
                    <w:sz w:val="20"/>
                    <w:szCs w:val="20"/>
                  </w:rPr>
                  <m:t xml:space="preserve">G - </m:t>
                </m:r>
                <m:sSub>
                  <m:sSubPr>
                    <m:ctrlPr>
                      <w:rPr>
                        <w:rFonts w:ascii="Cambria Math" w:hAnsi="Cambria Math"/>
                        <w:i/>
                        <w:sz w:val="20"/>
                        <w:szCs w:val="20"/>
                      </w:rPr>
                    </m:ctrlPr>
                  </m:sSubPr>
                  <m:e>
                    <m:r>
                      <w:rPr>
                        <w:rFonts w:ascii="Cambria Math" w:hAnsi="Cambria Math"/>
                        <w:sz w:val="20"/>
                        <w:szCs w:val="20"/>
                      </w:rPr>
                      <m:t>ϕ</m:t>
                    </m:r>
                  </m:e>
                  <m:sub>
                    <m:sSup>
                      <m:sSupPr>
                        <m:ctrlPr>
                          <w:rPr>
                            <w:rFonts w:ascii="Cambria Math" w:hAnsi="Cambria Math"/>
                            <w:iCs/>
                            <w:sz w:val="20"/>
                            <w:szCs w:val="20"/>
                          </w:rPr>
                        </m:ctrlPr>
                      </m:sSupPr>
                      <m:e>
                        <m:r>
                          <m:rPr>
                            <m:sty m:val="p"/>
                          </m:rPr>
                          <w:rPr>
                            <w:rFonts w:ascii="Cambria Math" w:hAnsi="Cambria Math"/>
                            <w:sz w:val="20"/>
                            <w:szCs w:val="20"/>
                          </w:rPr>
                          <m:t>H</m:t>
                        </m:r>
                      </m:e>
                      <m:sup>
                        <m:r>
                          <m:rPr>
                            <m:sty m:val="p"/>
                          </m:rPr>
                          <w:rPr>
                            <w:rFonts w:ascii="Cambria Math" w:hAnsi="Cambria Math"/>
                            <w:sz w:val="20"/>
                            <w:szCs w:val="20"/>
                          </w:rPr>
                          <m:t>+</m:t>
                        </m:r>
                      </m:sup>
                    </m:sSup>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ϕ</m:t>
                    </m:r>
                  </m:e>
                  <m:sub>
                    <m:sSup>
                      <m:sSupPr>
                        <m:ctrlPr>
                          <w:rPr>
                            <w:rFonts w:ascii="Cambria Math" w:hAnsi="Cambria Math"/>
                            <w:i/>
                            <w:sz w:val="20"/>
                            <w:szCs w:val="20"/>
                          </w:rPr>
                        </m:ctrlPr>
                      </m:sSupPr>
                      <m:e>
                        <m:r>
                          <m:rPr>
                            <m:sty m:val="p"/>
                          </m:rPr>
                          <w:rPr>
                            <w:rFonts w:ascii="Cambria Math" w:hAnsi="Cambria Math"/>
                            <w:sz w:val="20"/>
                            <w:szCs w:val="20"/>
                          </w:rPr>
                          <m:t>e</m:t>
                        </m:r>
                      </m:e>
                      <m:sup>
                        <m:r>
                          <w:rPr>
                            <w:rFonts w:ascii="Cambria Math" w:hAnsi="Cambria Math"/>
                            <w:sz w:val="20"/>
                            <w:szCs w:val="20"/>
                          </w:rPr>
                          <m:t>-</m:t>
                        </m:r>
                      </m:sup>
                    </m:sSup>
                  </m:sub>
                </m:sSub>
              </m:oMath>
            </m:oMathPara>
          </w:p>
        </w:tc>
        <w:tc>
          <w:tcPr>
            <w:tcW w:w="1134" w:type="dxa"/>
            <w:tcMar>
              <w:left w:w="28" w:type="dxa"/>
              <w:right w:w="28" w:type="dxa"/>
            </w:tcMar>
            <w:vAlign w:val="center"/>
          </w:tcPr>
          <w:p w14:paraId="3A047287" w14:textId="446C1EEA" w:rsidR="007C7CBE" w:rsidRPr="007C7CBE" w:rsidRDefault="007C7CBE" w:rsidP="007C7CBE">
            <w:pPr>
              <w:keepNext/>
              <w:jc w:val="center"/>
              <w:rPr>
                <w:bCs/>
                <w:sz w:val="20"/>
                <w:szCs w:val="20"/>
              </w:rPr>
            </w:pPr>
            <w:r w:rsidRPr="007C7CBE">
              <w:rPr>
                <w:sz w:val="20"/>
                <w:szCs w:val="20"/>
              </w:rPr>
              <w:t xml:space="preserve">Equation </w:t>
            </w:r>
            <w:r w:rsidRPr="007C7CBE">
              <w:rPr>
                <w:sz w:val="20"/>
                <w:szCs w:val="20"/>
              </w:rPr>
              <w:fldChar w:fldCharType="begin"/>
            </w:r>
            <w:r w:rsidRPr="007C7CBE">
              <w:rPr>
                <w:sz w:val="20"/>
                <w:szCs w:val="20"/>
              </w:rPr>
              <w:instrText xml:space="preserve"> SEQ Equation \* ARABIC </w:instrText>
            </w:r>
            <w:r w:rsidRPr="007C7CBE">
              <w:rPr>
                <w:sz w:val="20"/>
                <w:szCs w:val="20"/>
              </w:rPr>
              <w:fldChar w:fldCharType="separate"/>
            </w:r>
            <w:r w:rsidR="00B7319C">
              <w:rPr>
                <w:noProof/>
                <w:sz w:val="20"/>
                <w:szCs w:val="20"/>
              </w:rPr>
              <w:t>76</w:t>
            </w:r>
            <w:r w:rsidRPr="007C7CBE">
              <w:rPr>
                <w:sz w:val="20"/>
                <w:szCs w:val="20"/>
              </w:rPr>
              <w:fldChar w:fldCharType="end"/>
            </w:r>
          </w:p>
        </w:tc>
      </w:tr>
    </w:tbl>
    <w:p w14:paraId="5C01F741" w14:textId="58253E79" w:rsidR="00AD54F9" w:rsidRPr="00CB4251" w:rsidRDefault="00AD54F9" w:rsidP="00AD54F9">
      <w:r>
        <w:t xml:space="preserve">where </w:t>
      </w:r>
      <m:oMath>
        <m:sSub>
          <m:sSubPr>
            <m:ctrlPr>
              <w:rPr>
                <w:rFonts w:ascii="Cambria Math" w:hAnsi="Cambria Math"/>
                <w:i/>
              </w:rPr>
            </m:ctrlPr>
          </m:sSubPr>
          <m:e>
            <m:r>
              <w:rPr>
                <w:rFonts w:ascii="Cambria Math" w:hAnsi="Cambria Math"/>
              </w:rPr>
              <m:t>∆</m:t>
            </m:r>
          </m:e>
          <m:sub>
            <m:r>
              <w:rPr>
                <w:rFonts w:ascii="Cambria Math" w:hAnsi="Cambria Math"/>
              </w:rPr>
              <m:t>d</m:t>
            </m:r>
          </m:sub>
        </m:sSub>
        <m:r>
          <w:rPr>
            <w:rFonts w:ascii="Cambria Math" w:hAnsi="Cambria Math"/>
          </w:rPr>
          <m:t>G</m:t>
        </m:r>
      </m:oMath>
      <w:r>
        <w:t xml:space="preserve"> is half the dissociation energy of H</w:t>
      </w:r>
      <w:r w:rsidRPr="00751FD7">
        <w:rPr>
          <w:vertAlign w:val="subscript"/>
        </w:rPr>
        <w:t>2</w:t>
      </w:r>
      <w:r>
        <w:t xml:space="preserve">, </w:t>
      </w:r>
      <m:oMath>
        <m:sSub>
          <m:sSubPr>
            <m:ctrlPr>
              <w:rPr>
                <w:rFonts w:ascii="Cambria Math" w:hAnsi="Cambria Math"/>
                <w:i/>
              </w:rPr>
            </m:ctrlPr>
          </m:sSubPr>
          <m:e>
            <m:r>
              <w:rPr>
                <w:rFonts w:ascii="Cambria Math" w:hAnsi="Cambria Math"/>
              </w:rPr>
              <m:t>∆</m:t>
            </m:r>
          </m:e>
          <m:sub>
            <m:r>
              <w:rPr>
                <w:rFonts w:ascii="Cambria Math" w:hAnsi="Cambria Math"/>
              </w:rPr>
              <m:t>i</m:t>
            </m:r>
          </m:sub>
        </m:sSub>
        <m:r>
          <w:rPr>
            <w:rFonts w:ascii="Cambria Math" w:hAnsi="Cambria Math"/>
          </w:rPr>
          <m:t>G</m:t>
        </m:r>
      </m:oMath>
      <w:r>
        <w:t xml:space="preserve"> is H ionization energy,  </w:t>
      </w:r>
      <m:oMath>
        <m:sSub>
          <m:sSubPr>
            <m:ctrlPr>
              <w:rPr>
                <w:rFonts w:ascii="Cambria Math" w:hAnsi="Cambria Math"/>
                <w:i/>
              </w:rPr>
            </m:ctrlPr>
          </m:sSubPr>
          <m:e>
            <m:r>
              <w:rPr>
                <w:rFonts w:ascii="Cambria Math" w:hAnsi="Cambria Math"/>
              </w:rPr>
              <m:t>ϕ</m:t>
            </m:r>
          </m:e>
          <m:sub>
            <m:sSup>
              <m:sSupPr>
                <m:ctrlPr>
                  <w:rPr>
                    <w:rFonts w:ascii="Cambria Math" w:hAnsi="Cambria Math"/>
                    <w:iCs/>
                  </w:rPr>
                </m:ctrlPr>
              </m:sSupPr>
              <m:e>
                <m:r>
                  <m:rPr>
                    <m:sty m:val="p"/>
                  </m:rPr>
                  <w:rPr>
                    <w:rFonts w:ascii="Cambria Math" w:hAnsi="Cambria Math"/>
                  </w:rPr>
                  <m:t>H</m:t>
                </m:r>
              </m:e>
              <m:sup>
                <m:r>
                  <m:rPr>
                    <m:sty m:val="p"/>
                  </m:rPr>
                  <w:rPr>
                    <w:rFonts w:ascii="Cambria Math" w:hAnsi="Cambria Math"/>
                  </w:rPr>
                  <m:t>+</m:t>
                </m:r>
              </m:sup>
            </m:sSup>
          </m:sub>
        </m:sSub>
      </m:oMath>
      <w:r>
        <w:t xml:space="preserve"> and </w:t>
      </w:r>
      <m:oMath>
        <m:sSub>
          <m:sSubPr>
            <m:ctrlPr>
              <w:rPr>
                <w:rFonts w:ascii="Cambria Math" w:hAnsi="Cambria Math"/>
                <w:i/>
              </w:rPr>
            </m:ctrlPr>
          </m:sSubPr>
          <m:e>
            <m:r>
              <w:rPr>
                <w:rFonts w:ascii="Cambria Math" w:hAnsi="Cambria Math"/>
              </w:rPr>
              <m:t>ϕ</m:t>
            </m:r>
          </m:e>
          <m:sub>
            <m:sSup>
              <m:sSupPr>
                <m:ctrlPr>
                  <w:rPr>
                    <w:rFonts w:ascii="Cambria Math" w:hAnsi="Cambria Math"/>
                    <w:i/>
                  </w:rPr>
                </m:ctrlPr>
              </m:sSupPr>
              <m:e>
                <m:r>
                  <w:rPr>
                    <w:rFonts w:ascii="Cambria Math" w:hAnsi="Cambria Math"/>
                  </w:rPr>
                  <m:t>e</m:t>
                </m:r>
              </m:e>
              <m:sup>
                <m:r>
                  <w:rPr>
                    <w:rFonts w:ascii="Cambria Math" w:hAnsi="Cambria Math"/>
                  </w:rPr>
                  <m:t>-</m:t>
                </m:r>
              </m:sup>
            </m:sSup>
          </m:sub>
        </m:sSub>
      </m:oMath>
      <w:r>
        <w:t xml:space="preserve"> are the work functions for a proton in solution and an electron in metal, measured with respect to vacuum just outside the solution phase (see </w:t>
      </w:r>
      <w:r>
        <w:fldChar w:fldCharType="begin"/>
      </w:r>
      <w:r>
        <w:instrText xml:space="preserve"> REF _Ref155960368 \h </w:instrText>
      </w:r>
      <w:r>
        <w:fldChar w:fldCharType="separate"/>
      </w:r>
      <w:r w:rsidR="00B7319C" w:rsidRPr="007C7CBE">
        <w:rPr>
          <w:b/>
        </w:rPr>
        <w:t xml:space="preserve">Figure </w:t>
      </w:r>
      <w:r w:rsidR="00B7319C">
        <w:rPr>
          <w:b/>
          <w:bCs/>
          <w:noProof/>
        </w:rPr>
        <w:t>44</w:t>
      </w:r>
      <w:r>
        <w:fldChar w:fldCharType="end"/>
      </w:r>
      <w:r w:rsidR="00E617DD" w:rsidRPr="00144CFD">
        <w:rPr>
          <w:b/>
          <w:bCs/>
        </w:rPr>
        <w:t>b</w:t>
      </w:r>
      <w:r>
        <w:t xml:space="preserve">). If pH=0 and </w:t>
      </w:r>
      <m:oMath>
        <m:sSub>
          <m:sSubPr>
            <m:ctrlPr>
              <w:rPr>
                <w:rFonts w:ascii="Cambria Math" w:hAnsi="Cambria Math"/>
                <w:i/>
              </w:rPr>
            </m:ctrlPr>
          </m:sSubPr>
          <m:e>
            <m:r>
              <w:rPr>
                <w:rFonts w:ascii="Cambria Math" w:hAnsi="Cambria Math"/>
              </w:rPr>
              <m:t>U</m:t>
            </m:r>
          </m:e>
          <m:sub>
            <m:r>
              <m:rPr>
                <m:sty m:val="p"/>
              </m:rPr>
              <w:rPr>
                <w:rFonts w:ascii="Cambria Math" w:hAnsi="Cambria Math"/>
              </w:rPr>
              <m:t>RHE</m:t>
            </m:r>
          </m:sub>
        </m:sSub>
        <m:r>
          <w:rPr>
            <w:rFonts w:ascii="Cambria Math" w:hAnsi="Cambria Math"/>
          </w:rPr>
          <m:t>=0</m:t>
        </m:r>
      </m:oMath>
      <w:r>
        <w:t xml:space="preserve">, we have </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7C7CBE" w:rsidRPr="00DE0988" w14:paraId="066CBE10" w14:textId="77777777" w:rsidTr="00DE0988">
        <w:tc>
          <w:tcPr>
            <w:tcW w:w="7938" w:type="dxa"/>
            <w:tcMar>
              <w:left w:w="28" w:type="dxa"/>
              <w:right w:w="28" w:type="dxa"/>
            </w:tcMar>
            <w:vAlign w:val="center"/>
          </w:tcPr>
          <w:p w14:paraId="11A86F34" w14:textId="75B34AD3" w:rsidR="007C7CBE" w:rsidRPr="007C7CBE" w:rsidRDefault="007C7CBE" w:rsidP="007C7CBE">
            <m:oMathPara>
              <m:oMath>
                <m:r>
                  <w:rPr>
                    <w:rFonts w:ascii="Cambria Math" w:hAnsi="Cambria Math"/>
                  </w:rPr>
                  <m:t>0=</m:t>
                </m:r>
                <m:sSub>
                  <m:sSubPr>
                    <m:ctrlPr>
                      <w:rPr>
                        <w:rFonts w:ascii="Cambria Math" w:hAnsi="Cambria Math"/>
                        <w:i/>
                      </w:rPr>
                    </m:ctrlPr>
                  </m:sSubPr>
                  <m:e>
                    <m:r>
                      <w:rPr>
                        <w:rFonts w:ascii="Cambria Math" w:hAnsi="Cambria Math"/>
                      </w:rPr>
                      <m:t>∆</m:t>
                    </m:r>
                  </m:e>
                  <m:sub>
                    <m:r>
                      <w:rPr>
                        <w:rFonts w:ascii="Cambria Math" w:hAnsi="Cambria Math"/>
                      </w:rPr>
                      <m:t>d</m:t>
                    </m:r>
                  </m:sub>
                </m:sSub>
                <m:r>
                  <w:rPr>
                    <w:rFonts w:ascii="Cambria Math" w:hAnsi="Cambria Math"/>
                  </w:rPr>
                  <m:t xml:space="preserve">G + </m:t>
                </m:r>
                <m:sSub>
                  <m:sSubPr>
                    <m:ctrlPr>
                      <w:rPr>
                        <w:rFonts w:ascii="Cambria Math" w:hAnsi="Cambria Math"/>
                        <w:i/>
                      </w:rPr>
                    </m:ctrlPr>
                  </m:sSubPr>
                  <m:e>
                    <m:r>
                      <w:rPr>
                        <w:rFonts w:ascii="Cambria Math" w:hAnsi="Cambria Math"/>
                      </w:rPr>
                      <m:t>∆</m:t>
                    </m:r>
                  </m:e>
                  <m:sub>
                    <m:r>
                      <w:rPr>
                        <w:rFonts w:ascii="Cambria Math" w:hAnsi="Cambria Math"/>
                      </w:rPr>
                      <m:t>i</m:t>
                    </m:r>
                  </m:sub>
                </m:sSub>
                <m:r>
                  <w:rPr>
                    <w:rFonts w:ascii="Cambria Math" w:hAnsi="Cambria Math"/>
                  </w:rPr>
                  <m:t xml:space="preserve">G - </m:t>
                </m:r>
                <m:sSubSup>
                  <m:sSubSupPr>
                    <m:ctrlPr>
                      <w:rPr>
                        <w:rFonts w:ascii="Cambria Math" w:hAnsi="Cambria Math"/>
                        <w:i/>
                      </w:rPr>
                    </m:ctrlPr>
                  </m:sSubSupPr>
                  <m:e>
                    <m:r>
                      <w:rPr>
                        <w:rFonts w:ascii="Cambria Math" w:hAnsi="Cambria Math"/>
                      </w:rPr>
                      <m:t>ϕ</m:t>
                    </m:r>
                  </m:e>
                  <m:sub>
                    <m:sSup>
                      <m:sSupPr>
                        <m:ctrlPr>
                          <w:rPr>
                            <w:rFonts w:ascii="Cambria Math" w:hAnsi="Cambria Math"/>
                            <w:iCs/>
                          </w:rPr>
                        </m:ctrlPr>
                      </m:sSupPr>
                      <m:e>
                        <m:r>
                          <m:rPr>
                            <m:sty m:val="p"/>
                          </m:rPr>
                          <w:rPr>
                            <w:rFonts w:ascii="Cambria Math" w:hAnsi="Cambria Math"/>
                          </w:rPr>
                          <m:t>H</m:t>
                        </m:r>
                      </m:e>
                      <m:sup>
                        <m:r>
                          <m:rPr>
                            <m:sty m:val="p"/>
                          </m:rPr>
                          <w:rPr>
                            <w:rFonts w:ascii="Cambria Math" w:hAnsi="Cambria Math"/>
                          </w:rPr>
                          <m:t>+</m:t>
                        </m:r>
                      </m:sup>
                    </m:sSup>
                  </m:sub>
                  <m:sup>
                    <m:r>
                      <w:rPr>
                        <w:rFonts w:ascii="Cambria Math" w:hAnsi="Cambria Math"/>
                      </w:rPr>
                      <m:t>0</m:t>
                    </m:r>
                  </m:sup>
                </m:sSubSup>
                <m:r>
                  <w:rPr>
                    <w:rFonts w:ascii="Cambria Math" w:hAnsi="Cambria Math"/>
                  </w:rPr>
                  <m:t>-</m:t>
                </m:r>
                <m:sSub>
                  <m:sSubPr>
                    <m:ctrlPr>
                      <w:rPr>
                        <w:rFonts w:ascii="Cambria Math" w:hAnsi="Cambria Math"/>
                        <w:i/>
                      </w:rPr>
                    </m:ctrlPr>
                  </m:sSubPr>
                  <m:e>
                    <m:r>
                      <w:rPr>
                        <w:rFonts w:ascii="Cambria Math" w:hAnsi="Cambria Math"/>
                      </w:rPr>
                      <m:t>ϕ</m:t>
                    </m:r>
                  </m:e>
                  <m:sub>
                    <m:r>
                      <m:rPr>
                        <m:sty m:val="p"/>
                      </m:rPr>
                      <w:rPr>
                        <w:rFonts w:ascii="Cambria Math" w:hAnsi="Cambria Math"/>
                      </w:rPr>
                      <m:t>SHE</m:t>
                    </m:r>
                  </m:sub>
                </m:sSub>
              </m:oMath>
            </m:oMathPara>
          </w:p>
        </w:tc>
        <w:tc>
          <w:tcPr>
            <w:tcW w:w="1134" w:type="dxa"/>
            <w:tcMar>
              <w:left w:w="28" w:type="dxa"/>
              <w:right w:w="28" w:type="dxa"/>
            </w:tcMar>
            <w:vAlign w:val="center"/>
          </w:tcPr>
          <w:p w14:paraId="05BEDE8F" w14:textId="6F8FECC0" w:rsidR="007C7CBE" w:rsidRPr="00DE0988" w:rsidRDefault="007C7CBE" w:rsidP="00E45E28">
            <w:pPr>
              <w:keepNext/>
              <w:jc w:val="right"/>
              <w:rPr>
                <w:bCs/>
                <w:sz w:val="20"/>
                <w:szCs w:val="20"/>
              </w:rPr>
            </w:pPr>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B7319C">
              <w:rPr>
                <w:noProof/>
                <w:sz w:val="20"/>
                <w:szCs w:val="20"/>
              </w:rPr>
              <w:t>77</w:t>
            </w:r>
            <w:r w:rsidRPr="00DE0988">
              <w:rPr>
                <w:sz w:val="20"/>
                <w:szCs w:val="20"/>
              </w:rPr>
              <w:fldChar w:fldCharType="end"/>
            </w:r>
          </w:p>
        </w:tc>
      </w:tr>
    </w:tbl>
    <w:p w14:paraId="494F1F08" w14:textId="3E953EEB" w:rsidR="00AD54F9" w:rsidRDefault="00AD54F9" w:rsidP="00AD54F9">
      <w:r>
        <w:t xml:space="preserve">where </w:t>
      </w:r>
      <m:oMath>
        <m:sSubSup>
          <m:sSubSupPr>
            <m:ctrlPr>
              <w:rPr>
                <w:rFonts w:ascii="Cambria Math" w:hAnsi="Cambria Math"/>
                <w:i/>
              </w:rPr>
            </m:ctrlPr>
          </m:sSubSupPr>
          <m:e>
            <m:r>
              <w:rPr>
                <w:rFonts w:ascii="Cambria Math" w:hAnsi="Cambria Math"/>
              </w:rPr>
              <m:t>ϕ</m:t>
            </m:r>
          </m:e>
          <m:sub>
            <m:sSup>
              <m:sSupPr>
                <m:ctrlPr>
                  <w:rPr>
                    <w:rFonts w:ascii="Cambria Math" w:hAnsi="Cambria Math"/>
                    <w:i/>
                  </w:rPr>
                </m:ctrlPr>
              </m:sSupPr>
              <m:e>
                <m:r>
                  <m:rPr>
                    <m:sty m:val="p"/>
                  </m:rPr>
                  <w:rPr>
                    <w:rFonts w:ascii="Cambria Math" w:hAnsi="Cambria Math"/>
                  </w:rPr>
                  <m:t>H</m:t>
                </m:r>
              </m:e>
              <m:sup>
                <m:r>
                  <w:rPr>
                    <w:rFonts w:ascii="Cambria Math" w:hAnsi="Cambria Math"/>
                  </w:rPr>
                  <m:t>+</m:t>
                </m:r>
              </m:sup>
            </m:sSup>
          </m:sub>
          <m:sup>
            <m:r>
              <w:rPr>
                <w:rFonts w:ascii="Cambria Math" w:hAnsi="Cambria Math"/>
              </w:rPr>
              <m:t>0</m:t>
            </m:r>
          </m:sup>
        </m:sSubSup>
      </m:oMath>
      <w:r>
        <w:t xml:space="preserve">is the work function for a proton at pH=0 and </w:t>
      </w:r>
      <m:oMath>
        <m:sSub>
          <m:sSubPr>
            <m:ctrlPr>
              <w:rPr>
                <w:rFonts w:ascii="Cambria Math" w:hAnsi="Cambria Math"/>
                <w:i/>
              </w:rPr>
            </m:ctrlPr>
          </m:sSubPr>
          <m:e>
            <m:r>
              <w:rPr>
                <w:rFonts w:ascii="Cambria Math" w:hAnsi="Cambria Math"/>
              </w:rPr>
              <m:t>ϕ</m:t>
            </m:r>
          </m:e>
          <m:sub>
            <m:r>
              <m:rPr>
                <m:sty m:val="p"/>
              </m:rPr>
              <w:rPr>
                <w:rFonts w:ascii="Cambria Math" w:hAnsi="Cambria Math"/>
              </w:rPr>
              <m:t>SHE</m:t>
            </m:r>
          </m:sub>
        </m:sSub>
      </m:oMath>
      <w:r>
        <w:t xml:space="preserve"> is the work function of the standard hydrogen electrode, shown by Trasatti to be 4.44 eV.</w:t>
      </w:r>
      <w:r>
        <w:fldChar w:fldCharType="begin"/>
      </w:r>
      <w:r w:rsidR="00FC5BEB">
        <w:instrText xml:space="preserve"> ADDIN EN.CITE &lt;EndNote&gt;&lt;Cite&gt;&lt;Author&gt;Trasatti&lt;/Author&gt;&lt;Year&gt;1986&lt;/Year&gt;&lt;RecNum&gt;467&lt;/RecNum&gt;&lt;DisplayText&gt;&lt;style face="superscript"&gt;469&lt;/style&gt;&lt;/DisplayText&gt;&lt;record&gt;&lt;rec-number&gt;467&lt;/rec-number&gt;&lt;foreign-keys&gt;&lt;key app="EN" db-id="2xex0erf4eexr4e2dpbxpdd829xttesxxxdr" timestamp="1715075297"&gt;467&lt;/key&gt;&lt;/foreign-keys&gt;&lt;ref-type name="Journal Article"&gt;17&lt;/ref-type&gt;&lt;contributors&gt;&lt;authors&gt;&lt;author&gt;Trasatti, Sergio&lt;/author&gt;&lt;/authors&gt;&lt;/contributors&gt;&lt;titles&gt;&lt;title&gt;The absolute electrode potential: An explanatory note&lt;/title&gt;&lt;secondary-title&gt;J. Electroanal. Chem.&lt;/secondary-title&gt;&lt;/titles&gt;&lt;periodical&gt;&lt;full-title&gt;Journal of Electroanalytical Chemistry&lt;/full-title&gt;&lt;abbr-1&gt;J. Electroanal. Chem.&lt;/abbr-1&gt;&lt;abbr-2&gt;J Electroanal Chem&lt;/abbr-2&gt;&lt;/periodical&gt;&lt;pages&gt;417-428&lt;/pages&gt;&lt;volume&gt;209&lt;/volume&gt;&lt;dates&gt;&lt;year&gt;1986&lt;/year&gt;&lt;/dates&gt;&lt;urls&gt;&lt;pdf-urls&gt;&lt;url&gt;file://localhost/Users/piccinin/Literature/1-s2.0-0022072886805708-main.pdf&lt;/url&gt;&lt;/pdf-urls&gt;&lt;/urls&gt;&lt;/record&gt;&lt;/Cite&gt;&lt;/EndNote&gt;</w:instrText>
      </w:r>
      <w:r>
        <w:fldChar w:fldCharType="separate"/>
      </w:r>
      <w:r w:rsidR="00FC5BEB" w:rsidRPr="00FC5BEB">
        <w:rPr>
          <w:noProof/>
          <w:vertAlign w:val="superscript"/>
        </w:rPr>
        <w:t>469</w:t>
      </w:r>
      <w:r>
        <w:fldChar w:fldCharType="end"/>
      </w:r>
      <w:r>
        <w:t xml:space="preserve"> Since the variation of the proton's free energy in solution is lowered by 2.3</w:t>
      </w:r>
      <w:r w:rsidRPr="0070715A">
        <w:rPr>
          <w:i/>
        </w:rPr>
        <w:t>k</w:t>
      </w:r>
      <w:r w:rsidR="00BE00EB">
        <w:rPr>
          <w:iCs/>
          <w:vertAlign w:val="subscript"/>
        </w:rPr>
        <w:t>B</w:t>
      </w:r>
      <w:r w:rsidRPr="0070715A">
        <w:rPr>
          <w:i/>
        </w:rPr>
        <w:t>T</w:t>
      </w:r>
      <w:r>
        <w:t xml:space="preserve"> per pH unit, we have </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7C7CBE" w:rsidRPr="00DE0988" w14:paraId="04CE3704" w14:textId="77777777" w:rsidTr="00DE0988">
        <w:tc>
          <w:tcPr>
            <w:tcW w:w="7938" w:type="dxa"/>
            <w:tcMar>
              <w:left w:w="28" w:type="dxa"/>
              <w:right w:w="28" w:type="dxa"/>
            </w:tcMar>
            <w:vAlign w:val="center"/>
          </w:tcPr>
          <w:p w14:paraId="4966D38F" w14:textId="57E66C1D" w:rsidR="007C7CBE" w:rsidRPr="007C7CBE" w:rsidRDefault="00000000" w:rsidP="007C7CBE">
            <m:oMathPara>
              <m:oMath>
                <m:sSub>
                  <m:sSubPr>
                    <m:ctrlPr>
                      <w:rPr>
                        <w:rFonts w:ascii="Cambria Math" w:hAnsi="Cambria Math"/>
                        <w:i/>
                      </w:rPr>
                    </m:ctrlPr>
                  </m:sSubPr>
                  <m:e>
                    <m:r>
                      <w:rPr>
                        <w:rFonts w:ascii="Cambria Math" w:hAnsi="Cambria Math"/>
                      </w:rPr>
                      <m:t>ϕ</m:t>
                    </m:r>
                  </m:e>
                  <m:sub>
                    <m:sSup>
                      <m:sSupPr>
                        <m:ctrlPr>
                          <w:rPr>
                            <w:rFonts w:ascii="Cambria Math" w:hAnsi="Cambria Math"/>
                            <w:iCs/>
                          </w:rPr>
                        </m:ctrlPr>
                      </m:sSupPr>
                      <m:e>
                        <m:r>
                          <m:rPr>
                            <m:sty m:val="p"/>
                          </m:rPr>
                          <w:rPr>
                            <w:rFonts w:ascii="Cambria Math" w:hAnsi="Cambria Math"/>
                          </w:rPr>
                          <m:t>H</m:t>
                        </m:r>
                      </m:e>
                      <m:sup>
                        <m:r>
                          <m:rPr>
                            <m:sty m:val="p"/>
                          </m:rPr>
                          <w:rPr>
                            <w:rFonts w:ascii="Cambria Math" w:hAnsi="Cambria Math"/>
                          </w:rPr>
                          <m:t>+</m:t>
                        </m:r>
                      </m:sup>
                    </m:sSup>
                  </m:sub>
                </m:sSub>
                <m:r>
                  <w:rPr>
                    <w:rFonts w:ascii="Cambria Math" w:hAnsi="Cambria Math"/>
                  </w:rPr>
                  <m:t>-</m:t>
                </m:r>
                <m:sSubSup>
                  <m:sSubSupPr>
                    <m:ctrlPr>
                      <w:rPr>
                        <w:rFonts w:ascii="Cambria Math" w:hAnsi="Cambria Math"/>
                        <w:i/>
                      </w:rPr>
                    </m:ctrlPr>
                  </m:sSubSupPr>
                  <m:e>
                    <m:r>
                      <w:rPr>
                        <w:rFonts w:ascii="Cambria Math" w:hAnsi="Cambria Math"/>
                      </w:rPr>
                      <m:t>ϕ</m:t>
                    </m:r>
                  </m:e>
                  <m:sub>
                    <m:sSup>
                      <m:sSupPr>
                        <m:ctrlPr>
                          <w:rPr>
                            <w:rFonts w:ascii="Cambria Math" w:hAnsi="Cambria Math"/>
                            <w:iCs/>
                          </w:rPr>
                        </m:ctrlPr>
                      </m:sSupPr>
                      <m:e>
                        <m:r>
                          <m:rPr>
                            <m:sty m:val="p"/>
                          </m:rPr>
                          <w:rPr>
                            <w:rFonts w:ascii="Cambria Math" w:hAnsi="Cambria Math"/>
                          </w:rPr>
                          <m:t>H</m:t>
                        </m:r>
                      </m:e>
                      <m:sup>
                        <m:r>
                          <m:rPr>
                            <m:sty m:val="p"/>
                          </m:rPr>
                          <w:rPr>
                            <w:rFonts w:ascii="Cambria Math" w:hAnsi="Cambria Math"/>
                          </w:rPr>
                          <m:t>+</m:t>
                        </m:r>
                      </m:sup>
                    </m:sSup>
                  </m:sub>
                  <m:sup>
                    <m:r>
                      <w:rPr>
                        <w:rFonts w:ascii="Cambria Math" w:hAnsi="Cambria Math"/>
                      </w:rPr>
                      <m:t>0</m:t>
                    </m:r>
                  </m:sup>
                </m:sSubSup>
                <m:r>
                  <w:rPr>
                    <w:rFonts w:ascii="Cambria Math" w:hAnsi="Cambria Math"/>
                  </w:rPr>
                  <m:t>=2.3</m:t>
                </m:r>
                <m:sSub>
                  <m:sSubPr>
                    <m:ctrlPr>
                      <w:rPr>
                        <w:rFonts w:ascii="Cambria Math" w:hAnsi="Cambria Math"/>
                        <w:i/>
                      </w:rPr>
                    </m:ctrlPr>
                  </m:sSubPr>
                  <m:e>
                    <m:r>
                      <w:rPr>
                        <w:rFonts w:ascii="Cambria Math" w:hAnsi="Cambria Math"/>
                      </w:rPr>
                      <m:t>k</m:t>
                    </m:r>
                  </m:e>
                  <m:sub>
                    <m:r>
                      <m:rPr>
                        <m:sty m:val="p"/>
                      </m:rPr>
                      <w:rPr>
                        <w:rFonts w:ascii="Cambria Math" w:hAnsi="Cambria Math"/>
                      </w:rPr>
                      <m:t>B</m:t>
                    </m:r>
                  </m:sub>
                </m:sSub>
                <m:r>
                  <w:rPr>
                    <w:rFonts w:ascii="Cambria Math" w:hAnsi="Cambria Math"/>
                  </w:rPr>
                  <m:t>T</m:t>
                </m:r>
                <m:r>
                  <m:rPr>
                    <m:sty m:val="p"/>
                  </m:rPr>
                  <w:rPr>
                    <w:rFonts w:ascii="Cambria Math" w:hAnsi="Cambria Math"/>
                  </w:rPr>
                  <m:t>pH</m:t>
                </m:r>
              </m:oMath>
            </m:oMathPara>
          </w:p>
        </w:tc>
        <w:tc>
          <w:tcPr>
            <w:tcW w:w="1134" w:type="dxa"/>
            <w:tcMar>
              <w:left w:w="28" w:type="dxa"/>
              <w:right w:w="28" w:type="dxa"/>
            </w:tcMar>
            <w:vAlign w:val="center"/>
          </w:tcPr>
          <w:p w14:paraId="08CEE906" w14:textId="56E3C2B6" w:rsidR="007C7CBE" w:rsidRPr="00DE0988" w:rsidRDefault="007C7CBE" w:rsidP="00E45E28">
            <w:pPr>
              <w:keepNext/>
              <w:jc w:val="right"/>
              <w:rPr>
                <w:bCs/>
                <w:sz w:val="20"/>
                <w:szCs w:val="20"/>
              </w:rPr>
            </w:pPr>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B7319C">
              <w:rPr>
                <w:noProof/>
                <w:sz w:val="20"/>
                <w:szCs w:val="20"/>
              </w:rPr>
              <w:t>78</w:t>
            </w:r>
            <w:r w:rsidRPr="00DE0988">
              <w:rPr>
                <w:sz w:val="20"/>
                <w:szCs w:val="20"/>
              </w:rPr>
              <w:fldChar w:fldCharType="end"/>
            </w:r>
          </w:p>
        </w:tc>
      </w:tr>
    </w:tbl>
    <w:p w14:paraId="244AAE21" w14:textId="77777777" w:rsidR="00AD54F9" w:rsidRDefault="00AD54F9" w:rsidP="00AD54F9">
      <w:r>
        <w:t>and rearranging these equations we arrive at</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7C7CBE" w:rsidRPr="00DE0988" w14:paraId="4BA04547" w14:textId="77777777" w:rsidTr="00DE0988">
        <w:tc>
          <w:tcPr>
            <w:tcW w:w="7938" w:type="dxa"/>
            <w:tcMar>
              <w:left w:w="28" w:type="dxa"/>
              <w:right w:w="28" w:type="dxa"/>
            </w:tcMar>
            <w:vAlign w:val="center"/>
          </w:tcPr>
          <w:p w14:paraId="60224A56" w14:textId="2165BFE7" w:rsidR="007C7CBE" w:rsidRPr="007C7CBE" w:rsidRDefault="007C7CBE" w:rsidP="007C7CBE">
            <m:oMathPara>
              <m:oMath>
                <m:r>
                  <w:rPr>
                    <w:rFonts w:ascii="Cambria Math" w:hAnsi="Cambria Math"/>
                  </w:rPr>
                  <m:t>-e</m:t>
                </m:r>
                <m:sSub>
                  <m:sSubPr>
                    <m:ctrlPr>
                      <w:rPr>
                        <w:rFonts w:ascii="Cambria Math" w:hAnsi="Cambria Math"/>
                        <w:i/>
                      </w:rPr>
                    </m:ctrlPr>
                  </m:sSubPr>
                  <m:e>
                    <m:r>
                      <w:rPr>
                        <w:rFonts w:ascii="Cambria Math" w:hAnsi="Cambria Math"/>
                      </w:rPr>
                      <m:t>U</m:t>
                    </m:r>
                  </m:e>
                  <m:sub>
                    <m:r>
                      <m:rPr>
                        <m:sty m:val="p"/>
                      </m:rPr>
                      <w:rPr>
                        <w:rFonts w:ascii="Cambria Math" w:hAnsi="Cambria Math"/>
                      </w:rPr>
                      <m:t>RHE</m:t>
                    </m:r>
                  </m:sub>
                </m:sSub>
                <m:r>
                  <w:rPr>
                    <w:rFonts w:ascii="Cambria Math" w:hAnsi="Cambria Math"/>
                  </w:rPr>
                  <m:t>=</m:t>
                </m:r>
                <m:sSub>
                  <m:sSubPr>
                    <m:ctrlPr>
                      <w:rPr>
                        <w:rFonts w:ascii="Cambria Math" w:hAnsi="Cambria Math"/>
                        <w:i/>
                      </w:rPr>
                    </m:ctrlPr>
                  </m:sSubPr>
                  <m:e>
                    <m:r>
                      <w:rPr>
                        <w:rFonts w:ascii="Cambria Math" w:hAnsi="Cambria Math"/>
                      </w:rPr>
                      <m:t>μ</m:t>
                    </m:r>
                  </m:e>
                  <m:sub>
                    <m:sSup>
                      <m:sSupPr>
                        <m:ctrlPr>
                          <w:rPr>
                            <w:rFonts w:ascii="Cambria Math" w:hAnsi="Cambria Math"/>
                            <w:iCs/>
                          </w:rPr>
                        </m:ctrlPr>
                      </m:sSupPr>
                      <m:e>
                        <m:r>
                          <m:rPr>
                            <m:sty m:val="p"/>
                          </m:rPr>
                          <w:rPr>
                            <w:rFonts w:ascii="Cambria Math" w:hAnsi="Cambria Math"/>
                          </w:rPr>
                          <m:t>H</m:t>
                        </m:r>
                      </m:e>
                      <m:sup>
                        <m:r>
                          <m:rPr>
                            <m:sty m:val="p"/>
                          </m:rPr>
                          <w:rPr>
                            <w:rFonts w:ascii="Cambria Math" w:hAnsi="Cambria Math"/>
                          </w:rPr>
                          <m:t>+</m:t>
                        </m:r>
                      </m:sup>
                    </m:sSup>
                    <m:r>
                      <w:rPr>
                        <w:rFonts w:ascii="Cambria Math" w:hAnsi="Cambria Math"/>
                      </w:rPr>
                      <m:t>+</m:t>
                    </m:r>
                    <m:sSup>
                      <m:sSupPr>
                        <m:ctrlPr>
                          <w:rPr>
                            <w:rFonts w:ascii="Cambria Math" w:hAnsi="Cambria Math"/>
                            <w:i/>
                          </w:rPr>
                        </m:ctrlPr>
                      </m:sSupPr>
                      <m:e>
                        <m:r>
                          <m:rPr>
                            <m:sty m:val="p"/>
                          </m:rPr>
                          <w:rPr>
                            <w:rFonts w:ascii="Cambria Math" w:hAnsi="Cambria Math"/>
                          </w:rPr>
                          <m:t>e</m:t>
                        </m:r>
                      </m:e>
                      <m:sup>
                        <m:r>
                          <w:rPr>
                            <w:rFonts w:ascii="Cambria Math" w:hAnsi="Cambria Math"/>
                          </w:rPr>
                          <m:t>-</m:t>
                        </m:r>
                      </m:sup>
                    </m:sSup>
                  </m:sub>
                </m:sSub>
                <m:r>
                  <w:rPr>
                    <w:rFonts w:ascii="Cambria Math" w:hAnsi="Cambria Math"/>
                  </w:rPr>
                  <m:t>=</m:t>
                </m:r>
                <m:sSub>
                  <m:sSubPr>
                    <m:ctrlPr>
                      <w:rPr>
                        <w:rFonts w:ascii="Cambria Math" w:hAnsi="Cambria Math"/>
                        <w:i/>
                      </w:rPr>
                    </m:ctrlPr>
                  </m:sSubPr>
                  <m:e>
                    <m:r>
                      <w:rPr>
                        <w:rFonts w:ascii="Cambria Math" w:hAnsi="Cambria Math"/>
                      </w:rPr>
                      <m:t>ϕ</m:t>
                    </m:r>
                  </m:e>
                  <m:sub>
                    <m:r>
                      <m:rPr>
                        <m:sty m:val="p"/>
                      </m:rPr>
                      <w:rPr>
                        <w:rFonts w:ascii="Cambria Math" w:hAnsi="Cambria Math"/>
                      </w:rPr>
                      <m:t>SHE</m:t>
                    </m:r>
                  </m:sub>
                </m:sSub>
                <m:r>
                  <w:rPr>
                    <w:rFonts w:ascii="Cambria Math" w:hAnsi="Cambria Math"/>
                  </w:rPr>
                  <m:t>-</m:t>
                </m:r>
                <m:sSub>
                  <m:sSubPr>
                    <m:ctrlPr>
                      <w:rPr>
                        <w:rFonts w:ascii="Cambria Math" w:hAnsi="Cambria Math"/>
                        <w:i/>
                      </w:rPr>
                    </m:ctrlPr>
                  </m:sSubPr>
                  <m:e>
                    <m:r>
                      <w:rPr>
                        <w:rFonts w:ascii="Cambria Math" w:hAnsi="Cambria Math"/>
                      </w:rPr>
                      <m:t>ϕ</m:t>
                    </m:r>
                  </m:e>
                  <m:sub>
                    <m:sSup>
                      <m:sSupPr>
                        <m:ctrlPr>
                          <w:rPr>
                            <w:rFonts w:ascii="Cambria Math" w:hAnsi="Cambria Math"/>
                            <w:i/>
                          </w:rPr>
                        </m:ctrlPr>
                      </m:sSupPr>
                      <m:e>
                        <m:r>
                          <m:rPr>
                            <m:sty m:val="p"/>
                          </m:rPr>
                          <w:rPr>
                            <w:rFonts w:ascii="Cambria Math" w:hAnsi="Cambria Math"/>
                          </w:rPr>
                          <m:t>e</m:t>
                        </m:r>
                      </m:e>
                      <m:sup>
                        <m:r>
                          <w:rPr>
                            <w:rFonts w:ascii="Cambria Math" w:hAnsi="Cambria Math"/>
                          </w:rPr>
                          <m:t>-</m:t>
                        </m:r>
                      </m:sup>
                    </m:sSup>
                  </m:sub>
                </m:sSub>
                <m:r>
                  <w:rPr>
                    <w:rFonts w:ascii="Cambria Math" w:hAnsi="Cambria Math"/>
                  </w:rPr>
                  <m:t>-2.3</m:t>
                </m:r>
                <m:sSub>
                  <m:sSubPr>
                    <m:ctrlPr>
                      <w:rPr>
                        <w:rFonts w:ascii="Cambria Math" w:hAnsi="Cambria Math"/>
                        <w:i/>
                      </w:rPr>
                    </m:ctrlPr>
                  </m:sSubPr>
                  <m:e>
                    <m:r>
                      <w:rPr>
                        <w:rFonts w:ascii="Cambria Math" w:hAnsi="Cambria Math"/>
                      </w:rPr>
                      <m:t>k</m:t>
                    </m:r>
                  </m:e>
                  <m:sub>
                    <m:r>
                      <m:rPr>
                        <m:sty m:val="p"/>
                      </m:rPr>
                      <w:rPr>
                        <w:rFonts w:ascii="Cambria Math" w:hAnsi="Cambria Math"/>
                      </w:rPr>
                      <m:t>B</m:t>
                    </m:r>
                  </m:sub>
                </m:sSub>
                <m:r>
                  <w:rPr>
                    <w:rFonts w:ascii="Cambria Math" w:hAnsi="Cambria Math"/>
                  </w:rPr>
                  <m:t>T</m:t>
                </m:r>
                <m:r>
                  <m:rPr>
                    <m:sty m:val="p"/>
                  </m:rPr>
                  <w:rPr>
                    <w:rFonts w:ascii="Cambria Math" w:hAnsi="Cambria Math"/>
                  </w:rPr>
                  <m:t>pH</m:t>
                </m:r>
              </m:oMath>
            </m:oMathPara>
          </w:p>
        </w:tc>
        <w:tc>
          <w:tcPr>
            <w:tcW w:w="1134" w:type="dxa"/>
            <w:tcMar>
              <w:left w:w="28" w:type="dxa"/>
              <w:right w:w="28" w:type="dxa"/>
            </w:tcMar>
            <w:vAlign w:val="center"/>
          </w:tcPr>
          <w:p w14:paraId="1E8ABDCE" w14:textId="1D9179A1" w:rsidR="007C7CBE" w:rsidRPr="00DE0988" w:rsidRDefault="007C7CBE" w:rsidP="00E45E28">
            <w:pPr>
              <w:keepNext/>
              <w:jc w:val="right"/>
              <w:rPr>
                <w:bCs/>
                <w:sz w:val="20"/>
                <w:szCs w:val="20"/>
              </w:rPr>
            </w:pPr>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B7319C">
              <w:rPr>
                <w:noProof/>
                <w:sz w:val="20"/>
                <w:szCs w:val="20"/>
              </w:rPr>
              <w:t>79</w:t>
            </w:r>
            <w:r w:rsidRPr="00DE0988">
              <w:rPr>
                <w:sz w:val="20"/>
                <w:szCs w:val="20"/>
              </w:rPr>
              <w:fldChar w:fldCharType="end"/>
            </w:r>
          </w:p>
        </w:tc>
      </w:tr>
    </w:tbl>
    <w:p w14:paraId="57AA9077" w14:textId="29DF90DB" w:rsidR="00AD54F9" w:rsidRDefault="00AD54F9" w:rsidP="00AD54F9">
      <w:r>
        <w:t xml:space="preserve">This equation shows that specifying constant pH and </w:t>
      </w:r>
      <m:oMath>
        <m:sSub>
          <m:sSubPr>
            <m:ctrlPr>
              <w:rPr>
                <w:rFonts w:ascii="Cambria Math" w:hAnsi="Cambria Math"/>
                <w:i/>
              </w:rPr>
            </m:ctrlPr>
          </m:sSubPr>
          <m:e>
            <m:r>
              <w:rPr>
                <w:rFonts w:ascii="Cambria Math" w:hAnsi="Cambria Math"/>
              </w:rPr>
              <m:t>U</m:t>
            </m:r>
          </m:e>
          <m:sub>
            <m:r>
              <m:rPr>
                <m:sty m:val="p"/>
              </m:rPr>
              <w:rPr>
                <w:rFonts w:ascii="Cambria Math" w:hAnsi="Cambria Math"/>
              </w:rPr>
              <m:t>RHE</m:t>
            </m:r>
          </m:sub>
        </m:sSub>
      </m:oMath>
      <w:r>
        <w:t xml:space="preserve"> imposes a constraint on the electron work function, or equivalently that a variation of the pH at constant </w:t>
      </w:r>
      <m:oMath>
        <m:sSub>
          <m:sSubPr>
            <m:ctrlPr>
              <w:rPr>
                <w:rFonts w:ascii="Cambria Math" w:hAnsi="Cambria Math"/>
                <w:i/>
              </w:rPr>
            </m:ctrlPr>
          </m:sSubPr>
          <m:e>
            <m:r>
              <w:rPr>
                <w:rFonts w:ascii="Cambria Math" w:hAnsi="Cambria Math"/>
              </w:rPr>
              <m:t>U</m:t>
            </m:r>
          </m:e>
          <m:sub>
            <m:r>
              <m:rPr>
                <m:sty m:val="p"/>
              </m:rPr>
              <w:rPr>
                <w:rFonts w:ascii="Cambria Math" w:hAnsi="Cambria Math"/>
              </w:rPr>
              <m:t>RHE</m:t>
            </m:r>
          </m:sub>
        </m:sSub>
      </m:oMath>
      <w:r>
        <w:t xml:space="preserve"> implies a variation of the work function, e.g. through a change of the orientation of the dipoles of water molecules at the interface. Rossmeisl et al.</w:t>
      </w:r>
      <w:r>
        <w:fldChar w:fldCharType="begin"/>
      </w:r>
      <w:r w:rsidR="00FC5BEB">
        <w:instrText xml:space="preserve"> ADDIN EN.CITE &lt;EndNote&gt;&lt;Cite&gt;&lt;Author&gt;Rossmeisl&lt;/Author&gt;&lt;Year&gt;2013&lt;/Year&gt;&lt;RecNum&gt;490&lt;/RecNum&gt;&lt;DisplayText&gt;&lt;style face="superscript"&gt;492&lt;/style&gt;&lt;/DisplayText&gt;&lt;record&gt;&lt;rec-number&gt;490&lt;/rec-number&gt;&lt;foreign-keys&gt;&lt;key app="EN" db-id="2xex0erf4eexr4e2dpbxpdd829xttesxxxdr" timestamp="1715075297"&gt;490&lt;/key&gt;&lt;/foreign-keys&gt;&lt;ref-type name="Journal Article"&gt;17&lt;/ref-type&gt;&lt;contributors&gt;&lt;authors&gt;&lt;author&gt;Rossmeisl, Jan&lt;/author&gt;&lt;author&gt;Chan, Karen&lt;/author&gt;&lt;author&gt;Ahmed, Rizwan&lt;/author&gt;&lt;author&gt;Tripković, Vladimir&lt;/author&gt;&lt;author&gt;Björketun, Mårten E.&lt;/author&gt;&lt;/authors&gt;&lt;/contributors&gt;&lt;titles&gt;&lt;title&gt;pH in atomic scale simulations of electrochemical interfaces&lt;/title&gt;&lt;secondary-title&gt;Physical Chemistry Chemical Physics&lt;/secondary-title&gt;&lt;/titles&gt;&lt;periodical&gt;&lt;full-title&gt;Physical Chemistry Chemical Physics&lt;/full-title&gt;&lt;abbr-1&gt;Phys. Chem. Chem. Phys.&lt;/abbr-1&gt;&lt;abbr-2&gt;Phys Chem Chem Phys&lt;/abbr-2&gt;&lt;/periodical&gt;&lt;pages&gt;10321-5&lt;/pages&gt;&lt;volume&gt;15&lt;/volume&gt;&lt;number&gt;25&lt;/number&gt;&lt;dates&gt;&lt;year&gt;2013&lt;/year&gt;&lt;/dates&gt;&lt;isbn&gt;1463-9076&lt;/isbn&gt;&lt;urls&gt;&lt;related-urls&gt;&lt;url&gt;http://pubs.rsc.org/en/content/articlehtml/2013/cp/c3cp51083b&lt;/url&gt;&lt;url&gt;https://pubs.rsc.org/en/content/articlepdf/2013/cp/c3cp51083b&lt;/url&gt;&lt;/related-urls&gt;&lt;pdf-urls&gt;&lt;url&gt;file://localhost/localhost/localhost/Users/piccinin/Literature/c3cp51083b.pdf&lt;/url&gt;&lt;/pdf-urls&gt;&lt;/urls&gt;&lt;electronic-resource-num&gt;10.1039/c3cp51083b&lt;/electronic-resource-num&gt;&lt;/record&gt;&lt;/Cite&gt;&lt;/EndNote&gt;</w:instrText>
      </w:r>
      <w:r>
        <w:fldChar w:fldCharType="separate"/>
      </w:r>
      <w:r w:rsidR="00FC5BEB" w:rsidRPr="00FC5BEB">
        <w:rPr>
          <w:noProof/>
          <w:vertAlign w:val="superscript"/>
        </w:rPr>
        <w:t>492</w:t>
      </w:r>
      <w:r>
        <w:fldChar w:fldCharType="end"/>
      </w:r>
      <w:r>
        <w:t xml:space="preserve"> exploited this relation to determine, for a given metal/solution structure, the pH given </w:t>
      </w:r>
      <m:oMath>
        <m:sSub>
          <m:sSubPr>
            <m:ctrlPr>
              <w:rPr>
                <w:rFonts w:ascii="Cambria Math" w:hAnsi="Cambria Math"/>
                <w:i/>
              </w:rPr>
            </m:ctrlPr>
          </m:sSubPr>
          <m:e>
            <m:r>
              <w:rPr>
                <w:rFonts w:ascii="Cambria Math" w:hAnsi="Cambria Math"/>
              </w:rPr>
              <m:t>U</m:t>
            </m:r>
          </m:e>
          <m:sub>
            <m:r>
              <m:rPr>
                <m:sty m:val="p"/>
              </m:rPr>
              <w:rPr>
                <w:rFonts w:ascii="Cambria Math" w:hAnsi="Cambria Math"/>
              </w:rPr>
              <m:t>RHE</m:t>
            </m:r>
          </m:sub>
        </m:sSub>
        <m:r>
          <w:rPr>
            <w:rFonts w:ascii="Cambria Math" w:hAnsi="Cambria Math"/>
          </w:rPr>
          <m:t xml:space="preserve"> </m:t>
        </m:r>
      </m:oMath>
      <w:r>
        <w:t>and the work function, which can be easily computed in DFT slab calculations. Constructing (</w:t>
      </w:r>
      <m:oMath>
        <m:sSub>
          <m:sSubPr>
            <m:ctrlPr>
              <w:rPr>
                <w:rFonts w:ascii="Cambria Math" w:hAnsi="Cambria Math"/>
                <w:i/>
              </w:rPr>
            </m:ctrlPr>
          </m:sSubPr>
          <m:e>
            <m:r>
              <w:rPr>
                <w:rFonts w:ascii="Cambria Math" w:hAnsi="Cambria Math"/>
              </w:rPr>
              <m:t>U</m:t>
            </m:r>
          </m:e>
          <m:sub>
            <m:r>
              <m:rPr>
                <m:sty m:val="p"/>
              </m:rPr>
              <w:rPr>
                <w:rFonts w:ascii="Cambria Math" w:hAnsi="Cambria Math"/>
              </w:rPr>
              <m:t>RHE</m:t>
            </m:r>
          </m:sub>
        </m:sSub>
      </m:oMath>
      <w:r>
        <w:t xml:space="preserve">, pH) phase diagrams requires sampling many structures of the interface, for example via </w:t>
      </w:r>
      <w:r w:rsidR="00320274">
        <w:t>MD</w:t>
      </w:r>
      <w:r>
        <w:fldChar w:fldCharType="begin"/>
      </w:r>
      <w:r w:rsidR="00FC5BEB">
        <w:instrText xml:space="preserve"> ADDIN EN.CITE &lt;EndNote&gt;&lt;Cite&gt;&lt;Author&gt;Hansen&lt;/Author&gt;&lt;Year&gt;2016&lt;/Year&gt;&lt;RecNum&gt;492&lt;/RecNum&gt;&lt;DisplayText&gt;&lt;style face="superscript"&gt;494&lt;/style&gt;&lt;/DisplayText&gt;&lt;record&gt;&lt;rec-number&gt;492&lt;/rec-number&gt;&lt;foreign-keys&gt;&lt;key app="EN" db-id="2xex0erf4eexr4e2dpbxpdd829xttesxxxdr" timestamp="1715075297"&gt;492&lt;/key&gt;&lt;/foreign-keys&gt;&lt;ref-type name="Journal Article"&gt;17&lt;/ref-type&gt;&lt;contributors&gt;&lt;authors&gt;&lt;author&gt;Hansen, Martin Hangaard&lt;/author&gt;&lt;author&gt;Rossmeisl, Jan&lt;/author&gt;&lt;/authors&gt;&lt;/contributors&gt;&lt;titles&gt;&lt;title&gt;pH in Grand Canonical Statistics of an Electrochemical Interface&lt;/title&gt;&lt;secondary-title&gt;Journal of Physical Chemistry C&lt;/secondary-title&gt;&lt;/titles&gt;&lt;periodical&gt;&lt;full-title&gt;Journal of Physical Chemistry C&lt;/full-title&gt;&lt;abbr-1&gt;J. Phys. Chem. C&lt;/abbr-1&gt;&lt;/periodical&gt;&lt;pages&gt;29135-29143&lt;/pages&gt;&lt;volume&gt;120&lt;/volume&gt;&lt;number&gt;51&lt;/number&gt;&lt;dates&gt;&lt;year&gt;2016&lt;/year&gt;&lt;pub-dates&gt;&lt;date&gt;2016/12/29&lt;/date&gt;&lt;/pub-dates&gt;&lt;/dates&gt;&lt;publisher&gt;American Chemical Society&lt;/publisher&gt;&lt;isbn&gt;1932-7447&lt;/isbn&gt;&lt;urls&gt;&lt;related-urls&gt;&lt;url&gt;https://doi.org/10.1021/acs.jpcc.6b09019&lt;/url&gt;&lt;/related-urls&gt;&lt;/urls&gt;&lt;electronic-resource-num&gt;10.1021/acs.jpcc.6b09019&lt;/electronic-resource-num&gt;&lt;/record&gt;&lt;/Cite&gt;&lt;/EndNote&gt;</w:instrText>
      </w:r>
      <w:r>
        <w:fldChar w:fldCharType="separate"/>
      </w:r>
      <w:r w:rsidR="00FC5BEB" w:rsidRPr="00FC5BEB">
        <w:rPr>
          <w:noProof/>
          <w:vertAlign w:val="superscript"/>
        </w:rPr>
        <w:t>494</w:t>
      </w:r>
      <w:r>
        <w:fldChar w:fldCharType="end"/>
      </w:r>
      <w:r>
        <w:t>, varying the number of H atoms inserted at the interface. The authors of this approach, defined this methodology as "</w:t>
      </w:r>
      <w:r w:rsidRPr="00F27354">
        <w:rPr>
          <w:i/>
        </w:rPr>
        <w:t>a simple brute force approach, which is impractical. Currently this can be carried out only on the proof of concept level due to the high computational cost required to sample enough structures</w:t>
      </w:r>
      <w:r>
        <w:t>".</w:t>
      </w:r>
      <w:r>
        <w:fldChar w:fldCharType="begin"/>
      </w:r>
      <w:r w:rsidR="00FC5BEB">
        <w:instrText xml:space="preserve"> ADDIN EN.CITE &lt;EndNote&gt;&lt;Cite&gt;&lt;Author&gt;Bagger&lt;/Author&gt;&lt;Year&gt;2020&lt;/Year&gt;&lt;RecNum&gt;448&lt;/RecNum&gt;&lt;DisplayText&gt;&lt;style face="superscript"&gt;450&lt;/style&gt;&lt;/DisplayText&gt;&lt;record&gt;&lt;rec-number&gt;448&lt;/rec-number&gt;&lt;foreign-keys&gt;&lt;key app="EN" db-id="2xex0erf4eexr4e2dpbxpdd829xttesxxxdr" timestamp="1715075297"&gt;448&lt;/key&gt;&lt;/foreign-keys&gt;&lt;ref-type name="Book Section"&gt;5&lt;/ref-type&gt;&lt;contributors&gt;&lt;authors&gt;&lt;author&gt;Bagger, Alexander&lt;/author&gt;&lt;author&gt;Castelli, Ivano E.&lt;/author&gt;&lt;author&gt;Hansen, Martin Hangaard&lt;/author&gt;&lt;author&gt;Rossmeisl, Jan&lt;/author&gt;&lt;/authors&gt;&lt;secondary-authors&gt;&lt;author&gt;Andreoni, W., Yip, S.&lt;/author&gt;&lt;/secondary-authors&gt;&lt;/contributors&gt;&lt;titles&gt;&lt;title&gt;Fundamental Atomic Insight in Electrocatalysis&lt;/title&gt;&lt;secondary-title&gt;Handbook of Materials Modeling&lt;/secondary-title&gt;&lt;/titles&gt;&lt;pages&gt;1473-1503&lt;/pages&gt;&lt;dates&gt;&lt;year&gt;2020&lt;/year&gt;&lt;/dates&gt;&lt;publisher&gt;Springer, Cham.&lt;/publisher&gt;&lt;isbn&gt;9783319446806&lt;/isbn&gt;&lt;urls&gt;&lt;related-urls&gt;&lt;url&gt;https://link.springer.com/content/pdf/10.1007/978-3-319-44680-6_8.pdf&lt;/url&gt;&lt;/related-urls&gt;&lt;/urls&gt;&lt;electronic-resource-num&gt;10.1007/978-3-319-44680-6_8&lt;/electronic-resource-num&gt;&lt;/record&gt;&lt;/Cite&gt;&lt;/EndNote&gt;</w:instrText>
      </w:r>
      <w:r>
        <w:fldChar w:fldCharType="separate"/>
      </w:r>
      <w:r w:rsidR="00FC5BEB" w:rsidRPr="00FC5BEB">
        <w:rPr>
          <w:noProof/>
          <w:vertAlign w:val="superscript"/>
        </w:rPr>
        <w:t>450</w:t>
      </w:r>
      <w:r>
        <w:fldChar w:fldCharType="end"/>
      </w:r>
      <w:r>
        <w:fldChar w:fldCharType="begin" w:fldLock="1"/>
      </w:r>
      <w:r>
        <w:instrText>ADDIN CSL_CITATION {"citationItems":[{"id":"ITEM-1","itemData":{"DOI":"10.1007/978-3-319-44680-6_8","ISBN":"9783319446806","abstract":"Electrochemical energy conversion reactions depend on the atomic structure of the interface between the electrode and the electrolyte. In order to make advances in technology, atomic-scale simulations are needed to provide insight and fundamental understanding of the electrocatalytic reactions. Thus electronic structure calculations relevant for electrocatalysis have attracted a lot of attention in the last decade. However, it is not straightforward to translate state-of-theart simulations into electrocatalysis. These simulations normally are done at constant number of ions and electrons rather than at constant potential and constant pH, which represent the real physical conditions. In fact, due to this, the electrochemical interface presents one of the frontiers for electronic structure simulations. In this chapter we describe how standard simulations can provide atomicscale understanding of electrocatalytic reactions. We introduce the computational version of reference electrodes, which are key in the interpretation of simulations. Furthermore, the reference electrodes are used to create phase diagrams and reaction free energy diagrams for electrocatalytic reactions. The chapter will focus on simulations which can be done without any special implementation of the electronic structure method. This means that we focus on explicit solvent and charge-neutral interfaces. The connection to the electrode potential is introduced in the analysis of the simulations rather than in the simulations themselves.","author":[{"dropping-particle":"","family":"Bagger","given":"Alexander","non-dropping-particle":"","parse-names":false,"suffix":""},{"dropping-particle":"","family":"Castelli","given":"Ivano E","non-dropping-particle":"","parse-names":false,"suffix":""},{"dropping-particle":"","family":"Hansen","given":"Martin Hangaard","non-dropping-particle":"","parse-names":false,"suffix":""},{"dropping-particle":"","family":"Rossmeisl","given":"Jan","non-dropping-particle":"","parse-names":false,"suffix":""}],"container-title":"Handbook of Materials Modeling: Applications: Current and Emerging Materials, Second Edition","id":"ITEM-1","issued":{"date-parts":[["2020"]]},"page":"1473-1503","title":"Fundamental Atomic Insight in Electrocatalysis","type":"chapter"},"uris":["http://www.mendeley.com/documents/?uuid=10b68776-4a63-4c02-abde-85b3a1d1c710"]}],"mendeley":{"formattedCitation":" [7]","plainTextFormattedCitation":" [7]","previouslyFormattedCitation":" [7]"},"properties":{"noteIndex":0},"schema":"https://github.com/citation-style-language/schema/raw/master/csl-citation.json"}</w:instrText>
      </w:r>
      <w:r>
        <w:fldChar w:fldCharType="separate"/>
      </w:r>
      <w:r w:rsidRPr="00EB31F6">
        <w:rPr>
          <w:noProof/>
        </w:rPr>
        <w:t> </w:t>
      </w:r>
      <w:r>
        <w:fldChar w:fldCharType="end"/>
      </w:r>
      <w:r>
        <w:t xml:space="preserve">   </w:t>
      </w:r>
    </w:p>
    <w:p w14:paraId="4574F7E0" w14:textId="77777777" w:rsidR="00AD54F9" w:rsidRDefault="00AD54F9" w:rsidP="00AD54F9"/>
    <w:p w14:paraId="335633A1" w14:textId="7BE60BD2" w:rsidR="00AD54F9" w:rsidRDefault="00AD54F9" w:rsidP="005C7322">
      <w:pPr>
        <w:ind w:firstLine="720"/>
      </w:pPr>
      <w:proofErr w:type="spellStart"/>
      <w:r>
        <w:t>Pasquarello</w:t>
      </w:r>
      <w:proofErr w:type="spellEnd"/>
      <w:r>
        <w:t xml:space="preserve"> and co-workers presented an alternative approach to study the effects of pH on the structure of the electrochemical interface.</w:t>
      </w:r>
      <w:r>
        <w:fldChar w:fldCharType="begin"/>
      </w:r>
      <w:r w:rsidR="00FC5BEB">
        <w:instrText xml:space="preserve"> ADDIN EN.CITE &lt;EndNote&gt;&lt;Cite&gt;&lt;Author&gt;Ambrosio&lt;/Author&gt;&lt;Year&gt;2018&lt;/Year&gt;&lt;RecNum&gt;493&lt;/RecNum&gt;&lt;DisplayText&gt;&lt;style face="superscript"&gt;495&lt;/style&gt;&lt;/DisplayText&gt;&lt;record&gt;&lt;rec-number&gt;493&lt;/rec-number&gt;&lt;foreign-keys&gt;&lt;key app="EN" db-id="2xex0erf4eexr4e2dpbxpdd829xttesxxxdr" timestamp="1715075297"&gt;493&lt;/key&gt;&lt;/foreign-keys&gt;&lt;ref-type name="Journal Article"&gt;17&lt;/ref-type&gt;&lt;contributors&gt;&lt;authors&gt;&lt;author&gt;Ambrosio, Francesco&lt;/author&gt;&lt;author&gt;Wiktor, Julia&lt;/author&gt;&lt;author&gt;Pasquarello, Alfredo&lt;/author&gt;&lt;/authors&gt;&lt;/contributors&gt;&lt;titles&gt;&lt;title&gt;pH-Dependent Surface Chemistry from First Principles: Application to the BiVO4(010)–Water Interface&lt;/title&gt;&lt;secondary-title&gt;ACS Appl. Mater. Interfaces&lt;/secondary-title&gt;&lt;/titles&gt;&lt;periodical&gt;&lt;full-title&gt;ACS Appl. Mater. Interfaces&lt;/full-title&gt;&lt;/periodical&gt;&lt;pages&gt;10011-10021&lt;/pages&gt;&lt;volume&gt;4&lt;/volume&gt;&lt;number&gt;010&lt;/number&gt;&lt;keywords&gt;&lt;keyword&gt;ab initio md simulation&lt;/keyword&gt;&lt;keyword&gt;ph-dependent interfacial coverage&lt;/keyword&gt;&lt;keyword&gt;semiconductor&lt;/keyword&gt;&lt;keyword&gt;water interface&lt;/keyword&gt;&lt;/keywords&gt;&lt;dates&gt;&lt;year&gt;2018&lt;/year&gt;&lt;/dates&gt;&lt;urls&gt;&lt;related-urls&gt;&lt;url&gt;http://pubs.acs.org/doi/10.1021/acsami.7b16545&lt;/url&gt;&lt;url&gt;https://pubs.acs.org/doi/pdf/10.1021/acsami.7b16545&lt;/url&gt;&lt;/related-urls&gt;&lt;/urls&gt;&lt;electronic-resource-num&gt;10.1021/acsami.7b16545&lt;/electronic-resource-num&gt;&lt;/record&gt;&lt;/Cite&gt;&lt;/EndNote&gt;</w:instrText>
      </w:r>
      <w:r>
        <w:fldChar w:fldCharType="separate"/>
      </w:r>
      <w:r w:rsidR="00FC5BEB" w:rsidRPr="00FC5BEB">
        <w:rPr>
          <w:noProof/>
          <w:vertAlign w:val="superscript"/>
        </w:rPr>
        <w:t>495</w:t>
      </w:r>
      <w:r>
        <w:fldChar w:fldCharType="end"/>
      </w:r>
      <w:r>
        <w:t xml:space="preserve"> They focused on semiconductor/water interfaces, considering in particular the BiVO</w:t>
      </w:r>
      <w:r w:rsidRPr="00622942">
        <w:rPr>
          <w:vertAlign w:val="subscript"/>
        </w:rPr>
        <w:t>4</w:t>
      </w:r>
      <w:r>
        <w:t xml:space="preserve">(010) surface, </w:t>
      </w:r>
      <w:r w:rsidR="002A338C">
        <w:t>modeling</w:t>
      </w:r>
      <w:r>
        <w:t xml:space="preserve"> explicitly liquid water via </w:t>
      </w:r>
      <w:r w:rsidR="00320274">
        <w:rPr>
          <w:i/>
          <w:iCs/>
        </w:rPr>
        <w:t xml:space="preserve">ab initio </w:t>
      </w:r>
      <w:r w:rsidR="00320274">
        <w:t>MD</w:t>
      </w:r>
      <w:r>
        <w:t>. They considered H</w:t>
      </w:r>
      <w:r w:rsidRPr="005F7C55">
        <w:rPr>
          <w:vertAlign w:val="superscript"/>
        </w:rPr>
        <w:t>+</w:t>
      </w:r>
      <w:r>
        <w:t xml:space="preserve"> adsorption on surface O atoms, OH</w:t>
      </w:r>
      <w:r w:rsidRPr="005F7C55">
        <w:rPr>
          <w:vertAlign w:val="superscript"/>
        </w:rPr>
        <w:t>-</w:t>
      </w:r>
      <w:r>
        <w:t xml:space="preserve"> adsorption on surface Be atoms, H</w:t>
      </w:r>
      <w:r w:rsidRPr="005F7C55">
        <w:rPr>
          <w:vertAlign w:val="subscript"/>
        </w:rPr>
        <w:t>2</w:t>
      </w:r>
      <w:r>
        <w:t xml:space="preserve">O adsorption on Bi sites and its dissociation. </w:t>
      </w:r>
      <w:r w:rsidRPr="00622942">
        <w:t>Th</w:t>
      </w:r>
      <w:r>
        <w:t xml:space="preserve">e authors proposed a grand canonical </w:t>
      </w:r>
      <w:r w:rsidRPr="00622942">
        <w:t>method</w:t>
      </w:r>
      <w:r>
        <w:t>, based on thermodynamic integration and on the theory of charge defects, to compute the free energy cost</w:t>
      </w:r>
      <w:r w:rsidRPr="00622942">
        <w:t xml:space="preserve"> </w:t>
      </w:r>
      <w:r>
        <w:t xml:space="preserve">to deprotonate </w:t>
      </w:r>
      <w:r w:rsidRPr="00622942">
        <w:t>individual adsorption sites on the surface</w:t>
      </w:r>
      <w:r>
        <w:t>. From this quantity, they were able</w:t>
      </w:r>
      <w:r w:rsidRPr="00622942">
        <w:t xml:space="preserve"> </w:t>
      </w:r>
      <w:r>
        <w:t>to compute</w:t>
      </w:r>
      <w:r w:rsidRPr="00622942">
        <w:t xml:space="preserve"> the pH at the point of zero charge,</w:t>
      </w:r>
      <w:r>
        <w:t xml:space="preserve"> a quantity that can be compared with experimental measurements. Moreover, they obtained </w:t>
      </w:r>
      <w:r w:rsidRPr="005F7C55">
        <w:t xml:space="preserve">pH-dependent interfacial coverage </w:t>
      </w:r>
      <w:r>
        <w:t>of the various adsorbates at the</w:t>
      </w:r>
      <w:r w:rsidRPr="005F7C55">
        <w:t xml:space="preserve"> semiconductor−water interfaces. </w:t>
      </w:r>
      <w:r>
        <w:t>This approach allows one to model charged intermediates, even though no corresponding counterions are present in the electrolyte. The role of counterions is therefore played by the homogeneous background charge (jellium) imposed in periodic calculations to ensure charge neutrality. The external bias is not explicitly included, so these simulations are representative of the flat band potential of the undoped semiconductor. Given the complexity of the methodology, here we only display the main findings of the work of Ambrosio et al.</w:t>
      </w:r>
      <w:r>
        <w:fldChar w:fldCharType="begin"/>
      </w:r>
      <w:r w:rsidR="00FC5BEB">
        <w:instrText xml:space="preserve"> ADDIN EN.CITE &lt;EndNote&gt;&lt;Cite&gt;&lt;Author&gt;Ambrosio&lt;/Author&gt;&lt;Year&gt;2018&lt;/Year&gt;&lt;RecNum&gt;493&lt;/RecNum&gt;&lt;DisplayText&gt;&lt;style face="superscript"&gt;495&lt;/style&gt;&lt;/DisplayText&gt;&lt;record&gt;&lt;rec-number&gt;493&lt;/rec-number&gt;&lt;foreign-keys&gt;&lt;key app="EN" db-id="2xex0erf4eexr4e2dpbxpdd829xttesxxxdr" timestamp="1715075297"&gt;493&lt;/key&gt;&lt;/foreign-keys&gt;&lt;ref-type name="Journal Article"&gt;17&lt;/ref-type&gt;&lt;contributors&gt;&lt;authors&gt;&lt;author&gt;Ambrosio, Francesco&lt;/author&gt;&lt;author&gt;Wiktor, Julia&lt;/author&gt;&lt;author&gt;Pasquarello, Alfredo&lt;/author&gt;&lt;/authors&gt;&lt;/contributors&gt;&lt;titles&gt;&lt;title&gt;pH-Dependent Surface Chemistry from First Principles: Application to the BiVO4(010)–Water Interface&lt;/title&gt;&lt;secondary-title&gt;ACS Appl. Mater. Interfaces&lt;/secondary-title&gt;&lt;/titles&gt;&lt;periodical&gt;&lt;full-title&gt;ACS Appl. Mater. Interfaces&lt;/full-title&gt;&lt;/periodical&gt;&lt;pages&gt;10011-10021&lt;/pages&gt;&lt;volume&gt;4&lt;/volume&gt;&lt;number&gt;010&lt;/number&gt;&lt;keywords&gt;&lt;keyword&gt;ab initio md simulation&lt;/keyword&gt;&lt;keyword&gt;ph-dependent interfacial coverage&lt;/keyword&gt;&lt;keyword&gt;semiconductor&lt;/keyword&gt;&lt;keyword&gt;water interface&lt;/keyword&gt;&lt;/keywords&gt;&lt;dates&gt;&lt;year&gt;2018&lt;/year&gt;&lt;/dates&gt;&lt;urls&gt;&lt;related-urls&gt;&lt;url&gt;http://pubs.acs.org/doi/10.1021/acsami.7b16545&lt;/url&gt;&lt;url&gt;https://pubs.acs.org/doi/pdf/10.1021/acsami.7b16545&lt;/url&gt;&lt;/related-urls&gt;&lt;/urls&gt;&lt;electronic-resource-num&gt;10.1021/acsami.7b16545&lt;/electronic-resource-num&gt;&lt;/record&gt;&lt;/Cite&gt;&lt;/EndNote&gt;</w:instrText>
      </w:r>
      <w:r>
        <w:fldChar w:fldCharType="separate"/>
      </w:r>
      <w:r w:rsidR="00FC5BEB" w:rsidRPr="00FC5BEB">
        <w:rPr>
          <w:noProof/>
          <w:vertAlign w:val="superscript"/>
        </w:rPr>
        <w:t>495</w:t>
      </w:r>
      <w:r>
        <w:fldChar w:fldCharType="end"/>
      </w:r>
      <w:r>
        <w:t xml:space="preserve"> and we refer the reader to the original publication for the technical details. We stress that Chen and Sprik</w:t>
      </w:r>
      <w:r>
        <w:fldChar w:fldCharType="begin"/>
      </w:r>
      <w:r w:rsidR="00FC5BEB">
        <w:instrText xml:space="preserve"> ADDIN EN.CITE &lt;EndNote&gt;&lt;Cite&gt;&lt;Author&gt;Cheng&lt;/Author&gt;&lt;Year&gt;2010&lt;/Year&gt;&lt;RecNum&gt;494&lt;/RecNum&gt;&lt;DisplayText&gt;&lt;style face="superscript"&gt;496&lt;/style&gt;&lt;/DisplayText&gt;&lt;record&gt;&lt;rec-number&gt;494&lt;/rec-number&gt;&lt;foreign-keys&gt;&lt;key app="EN" db-id="2xex0erf4eexr4e2dpbxpdd829xttesxxxdr" timestamp="1715075297"&gt;494&lt;/key&gt;&lt;/foreign-keys&gt;&lt;ref-type name="Journal Article"&gt;17&lt;/ref-type&gt;&lt;contributors&gt;&lt;authors&gt;&lt;author&gt;Cheng, Jun&lt;/author&gt;&lt;author&gt;Sprik, Michiel&lt;/author&gt;&lt;/authors&gt;&lt;/contributors&gt;&lt;titles&gt;&lt;title&gt;Acidity of the Aqueous Rutile TiO2(110) Surface from Density Functional Theory Based Molecular Dynamics&lt;/title&gt;&lt;secondary-title&gt;J. Chem. Theory Comput.&lt;/secondary-title&gt;&lt;/titles&gt;&lt;periodical&gt;&lt;full-title&gt;J. Chem. Theory Comput.&lt;/full-title&gt;&lt;/periodical&gt;&lt;pages&gt;880-889&lt;/pages&gt;&lt;volume&gt;6&lt;/volume&gt;&lt;number&gt;3&lt;/number&gt;&lt;dates&gt;&lt;year&gt;2010&lt;/year&gt;&lt;pub-dates&gt;&lt;date&gt;2010/03/09&lt;/date&gt;&lt;/pub-dates&gt;&lt;/dates&gt;&lt;publisher&gt;American Chemical Society&lt;/publisher&gt;&lt;isbn&gt;1549-9618&lt;/isbn&gt;&lt;urls&gt;&lt;related-urls&gt;&lt;url&gt;https://doi.org/10.1021/ct100013q&lt;/url&gt;&lt;/related-urls&gt;&lt;/urls&gt;&lt;electronic-resource-num&gt;10.1021/ct100013q&lt;/electronic-resource-num&gt;&lt;/record&gt;&lt;/Cite&gt;&lt;/EndNote&gt;</w:instrText>
      </w:r>
      <w:r>
        <w:fldChar w:fldCharType="separate"/>
      </w:r>
      <w:r w:rsidR="00FC5BEB" w:rsidRPr="00FC5BEB">
        <w:rPr>
          <w:noProof/>
          <w:vertAlign w:val="superscript"/>
        </w:rPr>
        <w:t>496</w:t>
      </w:r>
      <w:r>
        <w:fldChar w:fldCharType="end"/>
      </w:r>
      <w:r>
        <w:t xml:space="preserve"> already accomplished the calculation of acidity constants of adsorption sites at the TiO</w:t>
      </w:r>
      <w:r w:rsidRPr="00801A32">
        <w:rPr>
          <w:vertAlign w:val="subscript"/>
        </w:rPr>
        <w:t>2</w:t>
      </w:r>
      <w:r>
        <w:t xml:space="preserve">(110)/water interface via </w:t>
      </w:r>
      <w:r w:rsidRPr="00691887">
        <w:rPr>
          <w:i/>
          <w:iCs/>
        </w:rPr>
        <w:t>ab initio</w:t>
      </w:r>
      <w:r>
        <w:t xml:space="preserve"> </w:t>
      </w:r>
      <w:r w:rsidR="009829BB">
        <w:t>MD</w:t>
      </w:r>
      <w:r>
        <w:t>, using an explicit description of the solvent and thermodynamic integration to compute free energy integrals, with an approach that has strong similarities with the one of Ambrosio et al.</w:t>
      </w:r>
      <w:r>
        <w:fldChar w:fldCharType="begin"/>
      </w:r>
      <w:r w:rsidR="00FC5BEB">
        <w:instrText xml:space="preserve"> ADDIN EN.CITE &lt;EndNote&gt;&lt;Cite&gt;&lt;Author&gt;Ambrosio&lt;/Author&gt;&lt;Year&gt;2018&lt;/Year&gt;&lt;RecNum&gt;493&lt;/RecNum&gt;&lt;DisplayText&gt;&lt;style face="superscript"&gt;495&lt;/style&gt;&lt;/DisplayText&gt;&lt;record&gt;&lt;rec-number&gt;493&lt;/rec-number&gt;&lt;foreign-keys&gt;&lt;key app="EN" db-id="2xex0erf4eexr4e2dpbxpdd829xttesxxxdr" timestamp="1715075297"&gt;493&lt;/key&gt;&lt;/foreign-keys&gt;&lt;ref-type name="Journal Article"&gt;17&lt;/ref-type&gt;&lt;contributors&gt;&lt;authors&gt;&lt;author&gt;Ambrosio, Francesco&lt;/author&gt;&lt;author&gt;Wiktor, Julia&lt;/author&gt;&lt;author&gt;Pasquarello, Alfredo&lt;/author&gt;&lt;/authors&gt;&lt;/contributors&gt;&lt;titles&gt;&lt;title&gt;pH-Dependent Surface Chemistry from First Principles: Application to the BiVO4(010)–Water Interface&lt;/title&gt;&lt;secondary-title&gt;ACS Appl. Mater. Interfaces&lt;/secondary-title&gt;&lt;/titles&gt;&lt;periodical&gt;&lt;full-title&gt;ACS Appl. Mater. Interfaces&lt;/full-title&gt;&lt;/periodical&gt;&lt;pages&gt;10011-10021&lt;/pages&gt;&lt;volume&gt;4&lt;/volume&gt;&lt;number&gt;010&lt;/number&gt;&lt;keywords&gt;&lt;keyword&gt;ab initio md simulation&lt;/keyword&gt;&lt;keyword&gt;ph-dependent interfacial coverage&lt;/keyword&gt;&lt;keyword&gt;semiconductor&lt;/keyword&gt;&lt;keyword&gt;water interface&lt;/keyword&gt;&lt;/keywords&gt;&lt;dates&gt;&lt;year&gt;2018&lt;/year&gt;&lt;/dates&gt;&lt;urls&gt;&lt;related-urls&gt;&lt;url&gt;http://pubs.acs.org/doi/10.1021/acsami.7b16545&lt;/url&gt;&lt;url&gt;https://pubs.acs.org/doi/pdf/10.1021/acsami.7b16545&lt;/url&gt;&lt;/related-urls&gt;&lt;/urls&gt;&lt;electronic-resource-num&gt;10.1021/acsami.7b16545&lt;/electronic-resource-num&gt;&lt;/record&gt;&lt;/Cite&gt;&lt;/EndNote&gt;</w:instrText>
      </w:r>
      <w:r>
        <w:fldChar w:fldCharType="separate"/>
      </w:r>
      <w:r w:rsidR="00FC5BEB" w:rsidRPr="00FC5BEB">
        <w:rPr>
          <w:noProof/>
          <w:vertAlign w:val="superscript"/>
        </w:rPr>
        <w:t>495</w:t>
      </w:r>
      <w:r>
        <w:fldChar w:fldCharType="end"/>
      </w:r>
    </w:p>
    <w:p w14:paraId="0D076682" w14:textId="77777777" w:rsidR="00AD54F9" w:rsidRDefault="00AD54F9" w:rsidP="00AD54F9"/>
    <w:p w14:paraId="6FF4337C" w14:textId="77777777" w:rsidR="00AD54F9" w:rsidRDefault="00AD54F9" w:rsidP="001C1AC5">
      <w:pPr>
        <w:keepNext/>
        <w:jc w:val="center"/>
      </w:pPr>
      <w:r>
        <w:rPr>
          <w:noProof/>
        </w:rPr>
        <w:drawing>
          <wp:inline distT="0" distB="0" distL="0" distR="0" wp14:anchorId="16E328A7" wp14:editId="11F7A3E6">
            <wp:extent cx="3027042" cy="216000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Ambrosio_AEM2018_Fig5.jpe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3027042" cy="2160000"/>
                    </a:xfrm>
                    <a:prstGeom prst="rect">
                      <a:avLst/>
                    </a:prstGeom>
                  </pic:spPr>
                </pic:pic>
              </a:graphicData>
            </a:graphic>
          </wp:inline>
        </w:drawing>
      </w:r>
    </w:p>
    <w:p w14:paraId="066806F9" w14:textId="29720F27" w:rsidR="00AD54F9" w:rsidRPr="00704C0E" w:rsidRDefault="00AD54F9" w:rsidP="00AD54F9">
      <w:pPr>
        <w:pStyle w:val="Caption"/>
        <w:rPr>
          <w:lang w:val="en-US"/>
        </w:rPr>
      </w:pPr>
      <w:bookmarkStart w:id="141" w:name="_Ref156382748"/>
      <w:r w:rsidRPr="005C7322">
        <w:rPr>
          <w:b/>
          <w:bCs w:val="0"/>
          <w:sz w:val="22"/>
        </w:rPr>
        <w:t xml:space="preserve">Figure </w:t>
      </w:r>
      <w:r w:rsidRPr="005C7322">
        <w:rPr>
          <w:b/>
          <w:bCs w:val="0"/>
          <w:sz w:val="22"/>
        </w:rPr>
        <w:fldChar w:fldCharType="begin"/>
      </w:r>
      <w:r w:rsidRPr="005C7322">
        <w:rPr>
          <w:b/>
          <w:bCs w:val="0"/>
          <w:sz w:val="22"/>
        </w:rPr>
        <w:instrText xml:space="preserve"> SEQ Figure \* ARABIC </w:instrText>
      </w:r>
      <w:r w:rsidRPr="005C7322">
        <w:rPr>
          <w:b/>
          <w:bCs w:val="0"/>
          <w:sz w:val="22"/>
        </w:rPr>
        <w:fldChar w:fldCharType="separate"/>
      </w:r>
      <w:r w:rsidR="00B7319C">
        <w:rPr>
          <w:b/>
          <w:bCs w:val="0"/>
          <w:noProof/>
          <w:sz w:val="22"/>
        </w:rPr>
        <w:t>45</w:t>
      </w:r>
      <w:r w:rsidRPr="005C7322">
        <w:rPr>
          <w:b/>
          <w:bCs w:val="0"/>
          <w:noProof/>
          <w:sz w:val="22"/>
        </w:rPr>
        <w:fldChar w:fldCharType="end"/>
      </w:r>
      <w:bookmarkEnd w:id="141"/>
      <w:r>
        <w:t>:</w:t>
      </w:r>
      <w:r w:rsidRPr="00715A7F">
        <w:t xml:space="preserve"> Acid–base logarithmic diagram for the coverage of the pristine BiVO</w:t>
      </w:r>
      <w:r w:rsidRPr="00691887">
        <w:rPr>
          <w:vertAlign w:val="subscript"/>
        </w:rPr>
        <w:t>4</w:t>
      </w:r>
      <w:r w:rsidRPr="00715A7F">
        <w:t>(010) surface in an aqueous environment, as calculated at the h-rVV10 level of theory. Concentrations are given in mol/dm</w:t>
      </w:r>
      <w:r w:rsidRPr="00715A7F">
        <w:rPr>
          <w:vertAlign w:val="superscript"/>
        </w:rPr>
        <w:t>2</w:t>
      </w:r>
      <w:r w:rsidRPr="00715A7F">
        <w:t>.</w:t>
      </w:r>
      <w:r>
        <w:t xml:space="preserve"> Reproduced </w:t>
      </w:r>
      <w:r w:rsidR="00E617DD">
        <w:t xml:space="preserve">with permission </w:t>
      </w:r>
      <w:r>
        <w:t>from Ref.</w:t>
      </w:r>
      <w:r>
        <w:fldChar w:fldCharType="begin"/>
      </w:r>
      <w:r w:rsidR="00FC5BEB">
        <w:instrText xml:space="preserve"> ADDIN EN.CITE &lt;EndNote&gt;&lt;Cite&gt;&lt;Author&gt;Ambrosio&lt;/Author&gt;&lt;Year&gt;2018&lt;/Year&gt;&lt;RecNum&gt;493&lt;/RecNum&gt;&lt;DisplayText&gt;&lt;style face="superscript"&gt;495&lt;/style&gt;&lt;/DisplayText&gt;&lt;record&gt;&lt;rec-number&gt;493&lt;/rec-number&gt;&lt;foreign-keys&gt;&lt;key app="EN" db-id="2xex0erf4eexr4e2dpbxpdd829xttesxxxdr" timestamp="1715075297"&gt;493&lt;/key&gt;&lt;/foreign-keys&gt;&lt;ref-type name="Journal Article"&gt;17&lt;/ref-type&gt;&lt;contributors&gt;&lt;authors&gt;&lt;author&gt;Ambrosio, Francesco&lt;/author&gt;&lt;author&gt;Wiktor, Julia&lt;/author&gt;&lt;author&gt;Pasquarello, Alfredo&lt;/author&gt;&lt;/authors&gt;&lt;/contributors&gt;&lt;titles&gt;&lt;title&gt;pH-Dependent Surface Chemistry from First Principles: Application to the BiVO4(010)–Water Interface&lt;/title&gt;&lt;secondary-title&gt;ACS Appl. Mater. Interfaces&lt;/secondary-title&gt;&lt;/titles&gt;&lt;periodical&gt;&lt;full-title&gt;ACS Appl. Mater. Interfaces&lt;/full-title&gt;&lt;/periodical&gt;&lt;pages&gt;10011-10021&lt;/pages&gt;&lt;volume&gt;4&lt;/volume&gt;&lt;number&gt;010&lt;/number&gt;&lt;keywords&gt;&lt;keyword&gt;ab initio md simulation&lt;/keyword&gt;&lt;keyword&gt;ph-dependent interfacial coverage&lt;/keyword&gt;&lt;keyword&gt;semiconductor&lt;/keyword&gt;&lt;keyword&gt;water interface&lt;/keyword&gt;&lt;/keywords&gt;&lt;dates&gt;&lt;year&gt;2018&lt;/year&gt;&lt;/dates&gt;&lt;urls&gt;&lt;related-urls&gt;&lt;url&gt;http://pubs.acs.org/doi/10.1021/acsami.7b16545&lt;/url&gt;&lt;url&gt;https://pubs.acs.org/doi/pdf/10.1021/acsami.7b16545&lt;/url&gt;&lt;/related-urls&gt;&lt;/urls&gt;&lt;electronic-resource-num&gt;10.1021/acsami.7b16545&lt;/electronic-resource-num&gt;&lt;/record&gt;&lt;/Cite&gt;&lt;/EndNote&gt;</w:instrText>
      </w:r>
      <w:r>
        <w:fldChar w:fldCharType="separate"/>
      </w:r>
      <w:r w:rsidR="00FC5BEB" w:rsidRPr="00FC5BEB">
        <w:rPr>
          <w:noProof/>
          <w:vertAlign w:val="superscript"/>
        </w:rPr>
        <w:t>495</w:t>
      </w:r>
      <w:r>
        <w:fldChar w:fldCharType="end"/>
      </w:r>
      <w:r w:rsidR="003501B7">
        <w:t xml:space="preserve"> </w:t>
      </w:r>
      <w:r w:rsidR="003501B7" w:rsidRPr="003501B7">
        <w:rPr>
          <w:lang w:val="en-US"/>
        </w:rPr>
        <w:t>Copyright 2018 American Chemical Society.</w:t>
      </w:r>
    </w:p>
    <w:p w14:paraId="5FE039B9" w14:textId="74F4D885" w:rsidR="00AD54F9" w:rsidRDefault="00AD54F9" w:rsidP="00AD54F9">
      <w:r>
        <w:fldChar w:fldCharType="begin"/>
      </w:r>
      <w:r>
        <w:instrText xml:space="preserve"> REF _Ref156382748 \h </w:instrText>
      </w:r>
      <w:r>
        <w:fldChar w:fldCharType="separate"/>
      </w:r>
      <w:r w:rsidR="00B7319C" w:rsidRPr="005C7322">
        <w:rPr>
          <w:b/>
        </w:rPr>
        <w:t xml:space="preserve">Figure </w:t>
      </w:r>
      <w:r w:rsidR="00B7319C">
        <w:rPr>
          <w:b/>
          <w:bCs/>
          <w:noProof/>
        </w:rPr>
        <w:t>45</w:t>
      </w:r>
      <w:r>
        <w:fldChar w:fldCharType="end"/>
      </w:r>
      <w:r>
        <w:t xml:space="preserve"> shows the pH-dependence of the coverage of neutral and charged adsorbates present at the solid/liquid interface. </w:t>
      </w:r>
      <w:r w:rsidRPr="00801A32">
        <w:t xml:space="preserve">Water </w:t>
      </w:r>
      <w:r>
        <w:t xml:space="preserve">prefers to </w:t>
      </w:r>
      <w:r w:rsidRPr="00801A32">
        <w:t xml:space="preserve">adsorb molecularly on Bi sites. O sites are extremely acidic, </w:t>
      </w:r>
      <w:r>
        <w:lastRenderedPageBreak/>
        <w:t xml:space="preserve">with a </w:t>
      </w:r>
      <w:proofErr w:type="spellStart"/>
      <w:r w:rsidRPr="00801A32">
        <w:t>pK</w:t>
      </w:r>
      <w:r w:rsidRPr="00801A32">
        <w:rPr>
          <w:vertAlign w:val="subscript"/>
        </w:rPr>
        <w:t>a</w:t>
      </w:r>
      <w:proofErr w:type="spellEnd"/>
      <w:r w:rsidRPr="00801A32">
        <w:t xml:space="preserve"> of the adsorbed proton </w:t>
      </w:r>
      <w:r>
        <w:t xml:space="preserve">around -2, </w:t>
      </w:r>
      <w:r w:rsidRPr="00801A32">
        <w:t>close to that of the hydronium ion in bulk water</w:t>
      </w:r>
      <w:r>
        <w:t xml:space="preserve"> (-1.74)</w:t>
      </w:r>
      <w:r w:rsidRPr="00801A32">
        <w:t xml:space="preserve">. </w:t>
      </w:r>
      <w:r>
        <w:t>T</w:t>
      </w:r>
      <w:r w:rsidRPr="00801A32">
        <w:t>he adsorbed water molecule</w:t>
      </w:r>
      <w:r>
        <w:t xml:space="preserve">s, on the other hand have a much lower </w:t>
      </w:r>
      <w:proofErr w:type="spellStart"/>
      <w:r>
        <w:t>pK</w:t>
      </w:r>
      <w:r w:rsidRPr="00A909C9">
        <w:rPr>
          <w:vertAlign w:val="subscript"/>
        </w:rPr>
        <w:t>a</w:t>
      </w:r>
      <w:proofErr w:type="spellEnd"/>
      <w:r>
        <w:t xml:space="preserve"> compared to bulk water (8.2 vs 15.4), </w:t>
      </w:r>
      <w:r w:rsidRPr="00801A32">
        <w:t xml:space="preserve">a consequence of the </w:t>
      </w:r>
      <w:r>
        <w:t>Bi-O</w:t>
      </w:r>
      <w:r w:rsidRPr="00801A32">
        <w:t xml:space="preserve"> charge transfer. </w:t>
      </w:r>
      <w:r>
        <w:t>The effects of the exchange and correlation functional was found to be modest, with a change of around 0.3 pH units when comparing the semi-local rVV10 functional with the hybrid h-rVV10.</w:t>
      </w:r>
    </w:p>
    <w:p w14:paraId="6A78B66F" w14:textId="77777777" w:rsidR="005C7322" w:rsidRDefault="005C7322" w:rsidP="00AD54F9"/>
    <w:p w14:paraId="6333E020" w14:textId="6CD72E78" w:rsidR="00B4084C" w:rsidRPr="00C149EF" w:rsidRDefault="00B4084C" w:rsidP="00577291">
      <w:pPr>
        <w:pStyle w:val="Heading1"/>
        <w:numPr>
          <w:ilvl w:val="0"/>
          <w:numId w:val="17"/>
        </w:numPr>
      </w:pPr>
      <w:bookmarkStart w:id="142" w:name="_Ref159882359"/>
      <w:bookmarkStart w:id="143" w:name="_Toc166441747"/>
      <w:r w:rsidRPr="00C149EF">
        <w:t>Kinetics of the elementary steps</w:t>
      </w:r>
      <w:bookmarkEnd w:id="142"/>
      <w:bookmarkEnd w:id="143"/>
    </w:p>
    <w:p w14:paraId="582A1DD1" w14:textId="77777777" w:rsidR="00B4084C" w:rsidRPr="00C149EF" w:rsidRDefault="00B4084C" w:rsidP="00B4084C"/>
    <w:p w14:paraId="62C6ADDF" w14:textId="6040BADF" w:rsidR="00B4084C" w:rsidRDefault="00B4084C" w:rsidP="00D34093">
      <w:pPr>
        <w:ind w:firstLine="720"/>
      </w:pPr>
      <w:r w:rsidRPr="00C149EF">
        <w:t>Modeling the kinetics of elementary steps of electrochemical reactions is quite challenging and considerably more complicated than the equivalent task for thermal catalysis. Since electrochemical reactions involve charge transfer between the electrolyte and the electrode, in addition to bond making and breaking, the role of the solvent and of the applied bias need to be accounted for. A complication that arises when trying to adopt the techniques normally used in thermal catalysis is the fact that calculations are normally performed at constant charge rather than at constant potential, the same issue already encountered in</w:t>
      </w:r>
      <w:r w:rsidR="00691887">
        <w:t xml:space="preserve"> the previous section,</w:t>
      </w:r>
      <w:r w:rsidRPr="006C2B4F">
        <w:rPr>
          <w:color w:val="FF0000"/>
        </w:rPr>
        <w:t xml:space="preserve"> </w:t>
      </w:r>
      <w:r w:rsidRPr="00C149EF">
        <w:t xml:space="preserve">when discussing how to compute reaction energies of elementary electrochemical steps. For example, during the Heyrovsky reaction on Pt(111) </w:t>
      </w:r>
      <w:r w:rsidR="00AE4CDE">
        <w:t>modeled</w:t>
      </w:r>
      <w:r w:rsidRPr="00C149EF">
        <w:t xml:space="preserve"> in a (3×4) unit cell with constant charge calculations, the electrode potential changes by over 2 V</w:t>
      </w:r>
      <w:r>
        <w:t>,</w:t>
      </w:r>
      <w:r>
        <w:fldChar w:fldCharType="begin"/>
      </w:r>
      <w:r w:rsidR="00FC5BEB">
        <w:instrText xml:space="preserve"> ADDIN EN.CITE &lt;EndNote&gt;&lt;Cite&gt;&lt;Author&gt;Chan&lt;/Author&gt;&lt;Year&gt;2015&lt;/Year&gt;&lt;RecNum&gt;495&lt;/RecNum&gt;&lt;DisplayText&gt;&lt;style face="superscript"&gt;497&lt;/style&gt;&lt;/DisplayText&gt;&lt;record&gt;&lt;rec-number&gt;495&lt;/rec-number&gt;&lt;foreign-keys&gt;&lt;key app="EN" db-id="2xex0erf4eexr4e2dpbxpdd829xttesxxxdr" timestamp="1715075297"&gt;495&lt;/key&gt;&lt;/foreign-keys&gt;&lt;ref-type name="Journal Article"&gt;17&lt;/ref-type&gt;&lt;contributors&gt;&lt;authors&gt;&lt;author&gt;Chan, Karen&lt;/author&gt;&lt;author&gt;Nørskov, Jens K.&lt;/author&gt;&lt;/authors&gt;&lt;/contributors&gt;&lt;titles&gt;&lt;title&gt;Electrochemical Barriers Made Simple&lt;/title&gt;&lt;secondary-title&gt;J. Phys. Chem. Lett.&lt;/secondary-title&gt;&lt;/titles&gt;&lt;periodical&gt;&lt;full-title&gt;J. Phys. Chem. Lett.&lt;/full-title&gt;&lt;/periodical&gt;&lt;pages&gt;2663-2668&lt;/pages&gt;&lt;volume&gt;6&lt;/volume&gt;&lt;number&gt;14&lt;/number&gt;&lt;dates&gt;&lt;year&gt;2015&lt;/year&gt;&lt;pub-dates&gt;&lt;date&gt;2015/07/16&lt;/date&gt;&lt;/pub-dates&gt;&lt;/dates&gt;&lt;publisher&gt;American Chemical Society&lt;/publisher&gt;&lt;urls&gt;&lt;related-urls&gt;&lt;url&gt;https://doi.org/10.1021/acs.jpclett.5b01043&lt;/url&gt;&lt;/related-urls&gt;&lt;/urls&gt;&lt;electronic-resource-num&gt;10.1021/acs.jpclett.5b01043&lt;/electronic-resource-num&gt;&lt;/record&gt;&lt;/Cite&gt;&lt;/EndNote&gt;</w:instrText>
      </w:r>
      <w:r>
        <w:fldChar w:fldCharType="separate"/>
      </w:r>
      <w:r w:rsidR="00FC5BEB" w:rsidRPr="00FC5BEB">
        <w:rPr>
          <w:noProof/>
          <w:vertAlign w:val="superscript"/>
        </w:rPr>
        <w:t>497</w:t>
      </w:r>
      <w:r>
        <w:fldChar w:fldCharType="end"/>
      </w:r>
      <w:r>
        <w:t xml:space="preserve"> an enormous effect whose influence on the computed barriers needs to be examined. In this section we will examine both canonical and grand canonical approaches to model the barriers of </w:t>
      </w:r>
      <w:r w:rsidRPr="00C149EF">
        <w:t>electrochemical</w:t>
      </w:r>
      <w:r>
        <w:t xml:space="preserve"> steps.</w:t>
      </w:r>
    </w:p>
    <w:p w14:paraId="7B0920C5" w14:textId="77777777" w:rsidR="00B4084C" w:rsidRDefault="00B4084C" w:rsidP="00B4084C"/>
    <w:p w14:paraId="283B20D3" w14:textId="70394F47" w:rsidR="00B4084C" w:rsidRPr="005A4BFE" w:rsidRDefault="00B4084C" w:rsidP="00BC7855">
      <w:pPr>
        <w:pStyle w:val="Heading2"/>
      </w:pPr>
      <w:bookmarkStart w:id="144" w:name="_Ref159882831"/>
      <w:bookmarkStart w:id="145" w:name="_Toc166441748"/>
      <w:r w:rsidRPr="005A4BFE">
        <w:t>Barriers obtained from constant charge calculations</w:t>
      </w:r>
      <w:bookmarkEnd w:id="144"/>
      <w:bookmarkEnd w:id="145"/>
    </w:p>
    <w:p w14:paraId="7F6710D8" w14:textId="77777777" w:rsidR="00B4084C" w:rsidRDefault="00B4084C" w:rsidP="00B4084C"/>
    <w:p w14:paraId="2FFE38A3" w14:textId="083559B9" w:rsidR="00B4084C" w:rsidRPr="00CB672B" w:rsidRDefault="00B4084C" w:rsidP="00D34093">
      <w:pPr>
        <w:ind w:firstLine="720"/>
      </w:pPr>
      <w:r>
        <w:t>In the earliest works in the field, barriers of elementary steps were in fact simply assumed to be equal to reaction energies, as in the 2004 paper where the computational hydrogen electrode was introduced,</w:t>
      </w:r>
      <w:r>
        <w:fldChar w:fldCharType="begin"/>
      </w:r>
      <w:r w:rsidR="009F6662">
        <w:instrText xml:space="preserve"> ADDIN EN.CITE &lt;EndNote&gt;&lt;Cite&gt;&lt;Author&gt;Nørskov&lt;/Author&gt;&lt;Year&gt;2004&lt;/Year&gt;&lt;RecNum&gt;59&lt;/RecNum&gt;&lt;DisplayText&gt;&lt;style face="superscript"&gt;59&lt;/style&gt;&lt;/DisplayText&gt;&lt;record&gt;&lt;rec-number&gt;59&lt;/rec-number&gt;&lt;foreign-keys&gt;&lt;key app="EN" db-id="2xex0erf4eexr4e2dpbxpdd829xttesxxxdr" timestamp="1715075296"&gt;59&lt;/key&gt;&lt;/foreign-keys&gt;&lt;ref-type name="Journal Article"&gt;17&lt;/ref-type&gt;&lt;contributors&gt;&lt;authors&gt;&lt;author&gt;Nørskov, J. K.&lt;/author&gt;&lt;author&gt;Rossmeisl, J.&lt;/author&gt;&lt;author&gt;Logadottir, A.&lt;/author&gt;&lt;author&gt;Lindqvist, L.&lt;/author&gt;&lt;author&gt;Kitchin, J. R.&lt;/author&gt;&lt;author&gt;Bligaard, T.&lt;/author&gt;&lt;author&gt;Jónsson, H.&lt;/author&gt;&lt;/authors&gt;&lt;/contributors&gt;&lt;titles&gt;&lt;title&gt;Origin of the Overpotential for Oxygen Reduction at a Fuel-Cell Cathode&lt;/title&gt;&lt;secondary-title&gt;Journal of Physical Chemistry B&lt;/secondary-title&gt;&lt;/titles&gt;&lt;periodical&gt;&lt;full-title&gt;Journal of Physical Chemistry B&lt;/full-title&gt;&lt;abbr-1&gt;J. Phys. Chem. B&lt;/abbr-1&gt;&lt;abbr-2&gt;J Phys Chem B&lt;/abbr-2&gt;&lt;/periodical&gt;&lt;pages&gt;17886-17892&lt;/pages&gt;&lt;volume&gt;108&lt;/volume&gt;&lt;number&gt;46&lt;/number&gt;&lt;dates&gt;&lt;year&gt;2004&lt;/year&gt;&lt;pub-dates&gt;&lt;date&gt;2004/11/01&lt;/date&gt;&lt;/pub-dates&gt;&lt;/dates&gt;&lt;publisher&gt;American Chemical Society&lt;/publisher&gt;&lt;isbn&gt;1520-6106&lt;/isbn&gt;&lt;urls&gt;&lt;related-urls&gt;&lt;url&gt;https://doi.org/10.1021/jp047349j&lt;/url&gt;&lt;/related-urls&gt;&lt;/urls&gt;&lt;electronic-resource-num&gt;10.1021/jp047349j&lt;/electronic-resource-num&gt;&lt;/record&gt;&lt;/Cite&gt;&lt;/EndNote&gt;</w:instrText>
      </w:r>
      <w:r>
        <w:fldChar w:fldCharType="separate"/>
      </w:r>
      <w:r w:rsidR="009F6662" w:rsidRPr="009F6662">
        <w:rPr>
          <w:noProof/>
          <w:vertAlign w:val="superscript"/>
        </w:rPr>
        <w:t>59</w:t>
      </w:r>
      <w:r>
        <w:fldChar w:fldCharType="end"/>
      </w:r>
      <w:r>
        <w:t xml:space="preserve"> neglecting any additional barrier originating, for example, from proton transfer. Later works improved on this, adopting methods normally applied to thermal catalysis at solid/gas interfaces, like the nudged elastic band algorithm, to locate the transition state. To address the problem of constant potential vs. constant charge, </w:t>
      </w:r>
      <w:proofErr w:type="spellStart"/>
      <w:r w:rsidRPr="00EA25BE">
        <w:t>Rossmeisl</w:t>
      </w:r>
      <w:proofErr w:type="spellEnd"/>
      <w:r w:rsidRPr="00EA25BE">
        <w:t xml:space="preserve"> et al.</w:t>
      </w:r>
      <w:r>
        <w:fldChar w:fldCharType="begin">
          <w:fldData xml:space="preserve">PEVuZE5vdGU+PENpdGU+PEF1dGhvcj5Sb3NzbWVpc2w8L0F1dGhvcj48WWVhcj4yMDA4PC9ZZWFy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</w:fldData>
        </w:fldChar>
      </w:r>
      <w:r w:rsidR="00FC5BEB">
        <w:instrText xml:space="preserve"> ADDIN EN.CITE </w:instrText>
      </w:r>
      <w:r w:rsidR="00FC5BEB">
        <w:fldChar w:fldCharType="begin">
          <w:fldData xml:space="preserve">PEVuZE5vdGU+PENpdGU+PEF1dGhvcj5Sb3NzbWVpc2w8L0F1dGhvcj48WWVhcj4yMDA4PC9ZZWFy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</w:fldData>
        </w:fldChar>
      </w:r>
      <w:r w:rsidR="00FC5BEB">
        <w:instrText xml:space="preserve"> ADDIN EN.CITE.DATA </w:instrText>
      </w:r>
      <w:r w:rsidR="00FC5BEB">
        <w:fldChar w:fldCharType="end"/>
      </w:r>
      <w:r>
        <w:fldChar w:fldCharType="separate"/>
      </w:r>
      <w:r w:rsidR="00FC5BEB" w:rsidRPr="00FC5BEB">
        <w:rPr>
          <w:noProof/>
          <w:vertAlign w:val="superscript"/>
        </w:rPr>
        <w:t>458, 468</w:t>
      </w:r>
      <w:r>
        <w:fldChar w:fldCharType="end"/>
      </w:r>
      <w:r>
        <w:t xml:space="preserve"> applied their extrapolation method, already discussed in detail </w:t>
      </w:r>
      <w:r w:rsidR="00691887">
        <w:t xml:space="preserve">Section </w:t>
      </w:r>
      <w:r w:rsidR="00C80B22">
        <w:fldChar w:fldCharType="begin"/>
      </w:r>
      <w:r w:rsidR="00C80B22">
        <w:instrText xml:space="preserve"> REF _Ref159838967 \r \h </w:instrText>
      </w:r>
      <w:r w:rsidR="00C80B22">
        <w:fldChar w:fldCharType="separate"/>
      </w:r>
      <w:r w:rsidR="00B7319C">
        <w:t>5.2</w:t>
      </w:r>
      <w:r w:rsidR="00C80B22">
        <w:fldChar w:fldCharType="end"/>
      </w:r>
      <w:r>
        <w:t xml:space="preserve">, not only to reaction energies but also to activation energies. In the limit of large surface unit cells, the variation of the potential along the reaction linearly converges to zero. Varying both the coverage of the added H atoms and the simulation cells, and monitoring the variation of the work function to extract the electrode potential, the extrapolation method allows the calculation of activation energies as a function of the applied bias, where the bias is varied indirectly through the change in the coverage of the H atoms (see </w:t>
      </w:r>
      <w:r>
        <w:fldChar w:fldCharType="begin"/>
      </w:r>
      <w:r>
        <w:instrText xml:space="preserve"> REF _Ref151985317 \h </w:instrText>
      </w:r>
      <w:r>
        <w:fldChar w:fldCharType="separate"/>
      </w:r>
      <w:r w:rsidR="00B7319C" w:rsidRPr="00D34093">
        <w:rPr>
          <w:b/>
        </w:rPr>
        <w:t xml:space="preserve">Figure </w:t>
      </w:r>
      <w:r w:rsidR="00B7319C">
        <w:rPr>
          <w:b/>
          <w:bCs/>
          <w:noProof/>
        </w:rPr>
        <w:t>46</w:t>
      </w:r>
      <w:r>
        <w:fldChar w:fldCharType="end"/>
      </w:r>
      <w:r>
        <w:t xml:space="preserve">). This approach has been adopted do compute the activation energy of the </w:t>
      </w:r>
      <w:r w:rsidRPr="00EA25BE">
        <w:t xml:space="preserve">Heyrovsky </w:t>
      </w:r>
      <w:r>
        <w:t xml:space="preserve">and Volmer </w:t>
      </w:r>
      <w:r w:rsidRPr="00EA25BE">
        <w:t>reaction</w:t>
      </w:r>
      <w:r>
        <w:t>s in HER on Pt(111).</w:t>
      </w:r>
      <w:r>
        <w:fldChar w:fldCharType="begin">
          <w:fldData xml:space="preserve">PEVuZE5vdGU+PENpdGU+PEF1dGhvcj5Sb3NzbWVpc2w8L0F1dGhvcj48WWVhcj4yMDA4PC9ZZWFy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</w:fldData>
        </w:fldChar>
      </w:r>
      <w:r w:rsidR="00FC5BEB">
        <w:instrText xml:space="preserve"> ADDIN EN.CITE </w:instrText>
      </w:r>
      <w:r w:rsidR="00FC5BEB">
        <w:fldChar w:fldCharType="begin">
          <w:fldData xml:space="preserve">PEVuZE5vdGU+PENpdGU+PEF1dGhvcj5Sb3NzbWVpc2w8L0F1dGhvcj48WWVhcj4yMDA4PC9ZZWFy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</w:fldData>
        </w:fldChar>
      </w:r>
      <w:r w:rsidR="00FC5BEB">
        <w:instrText xml:space="preserve"> ADDIN EN.CITE.DATA </w:instrText>
      </w:r>
      <w:r w:rsidR="00FC5BEB">
        <w:fldChar w:fldCharType="end"/>
      </w:r>
      <w:r>
        <w:fldChar w:fldCharType="separate"/>
      </w:r>
      <w:r w:rsidR="00FC5BEB" w:rsidRPr="00FC5BEB">
        <w:rPr>
          <w:noProof/>
          <w:vertAlign w:val="superscript"/>
        </w:rPr>
        <w:t>458, 468</w:t>
      </w:r>
      <w:r>
        <w:fldChar w:fldCharType="end"/>
      </w:r>
      <w:r>
        <w:t xml:space="preserve"> A drawback of this approach is the fact that extending it to more complex reactions and systems would be computationally very demanding, given the fact that numerous calculations of increasingly large systems are necessary to extrapolate the results at constant potential</w:t>
      </w:r>
      <w:r w:rsidRPr="00CB672B">
        <w:t>.</w:t>
      </w:r>
    </w:p>
    <w:p w14:paraId="46CF9CF5" w14:textId="77777777" w:rsidR="00B4084C" w:rsidRDefault="00B4084C" w:rsidP="001C1AC5">
      <w:pPr>
        <w:keepNext/>
        <w:jc w:val="center"/>
      </w:pPr>
      <w:r>
        <w:rPr>
          <w:noProof/>
        </w:rPr>
        <w:lastRenderedPageBreak/>
        <w:drawing>
          <wp:inline distT="0" distB="0" distL="0" distR="0" wp14:anchorId="61F33427" wp14:editId="0105B44A">
            <wp:extent cx="3247808" cy="2160000"/>
            <wp:effectExtent l="0" t="0" r="381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han2015_Fig2_exp.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3247808" cy="2160000"/>
                    </a:xfrm>
                    <a:prstGeom prst="rect">
                      <a:avLst/>
                    </a:prstGeom>
                  </pic:spPr>
                </pic:pic>
              </a:graphicData>
            </a:graphic>
          </wp:inline>
        </w:drawing>
      </w:r>
    </w:p>
    <w:p w14:paraId="25C53161" w14:textId="17BC064A" w:rsidR="00B4084C" w:rsidRPr="00704C0E" w:rsidRDefault="00B4084C" w:rsidP="00B4084C">
      <w:pPr>
        <w:pStyle w:val="Caption"/>
        <w:rPr>
          <w:lang w:val="en-US"/>
        </w:rPr>
      </w:pPr>
      <w:bookmarkStart w:id="146" w:name="_Ref151985317"/>
      <w:r w:rsidRPr="00D34093">
        <w:rPr>
          <w:b/>
          <w:bCs w:val="0"/>
          <w:sz w:val="22"/>
        </w:rPr>
        <w:t xml:space="preserve">Figure </w:t>
      </w:r>
      <w:r w:rsidRPr="00D34093">
        <w:rPr>
          <w:b/>
          <w:bCs w:val="0"/>
          <w:sz w:val="22"/>
        </w:rPr>
        <w:fldChar w:fldCharType="begin"/>
      </w:r>
      <w:r w:rsidRPr="00D34093">
        <w:rPr>
          <w:b/>
          <w:bCs w:val="0"/>
          <w:sz w:val="22"/>
        </w:rPr>
        <w:instrText xml:space="preserve"> SEQ Figure \* ARABIC </w:instrText>
      </w:r>
      <w:r w:rsidRPr="00D34093">
        <w:rPr>
          <w:b/>
          <w:bCs w:val="0"/>
          <w:sz w:val="22"/>
        </w:rPr>
        <w:fldChar w:fldCharType="separate"/>
      </w:r>
      <w:r w:rsidR="00B7319C">
        <w:rPr>
          <w:b/>
          <w:bCs w:val="0"/>
          <w:noProof/>
          <w:sz w:val="22"/>
        </w:rPr>
        <w:t>46</w:t>
      </w:r>
      <w:r w:rsidRPr="00D34093">
        <w:rPr>
          <w:b/>
          <w:bCs w:val="0"/>
          <w:noProof/>
          <w:sz w:val="22"/>
        </w:rPr>
        <w:fldChar w:fldCharType="end"/>
      </w:r>
      <w:bookmarkEnd w:id="146"/>
      <w:r>
        <w:t xml:space="preserve"> </w:t>
      </w:r>
      <w:r w:rsidRPr="00544DFE">
        <w:t xml:space="preserve">Schematic showing proton transfer to a surface calculated in hypothetical unit cells of different size, </w:t>
      </w:r>
      <w:proofErr w:type="spellStart"/>
      <w:r w:rsidRPr="00544DFE">
        <w:t>a</w:t>
      </w:r>
      <w:r w:rsidRPr="00E42227">
        <w:rPr>
          <w:vertAlign w:val="subscript"/>
        </w:rPr>
        <w:t>o</w:t>
      </w:r>
      <w:proofErr w:type="spellEnd"/>
      <w:r w:rsidRPr="00544DFE">
        <w:t xml:space="preserve"> and a</w:t>
      </w:r>
      <w:r w:rsidRPr="00E42227">
        <w:rPr>
          <w:vertAlign w:val="subscript"/>
        </w:rPr>
        <w:t>1</w:t>
      </w:r>
      <w:r w:rsidRPr="00544DFE">
        <w:t>. As the unit cell increases in size, the changes in interface charge density and the corresponding potential becomes smaller.</w:t>
      </w:r>
      <w:r>
        <w:t xml:space="preserve"> </w:t>
      </w:r>
      <w:r w:rsidRPr="00285E73">
        <w:t xml:space="preserve">Schematic showing proton transfer to a surface calculated in hypothetical unit cells of different size, </w:t>
      </w:r>
      <w:proofErr w:type="spellStart"/>
      <w:r w:rsidRPr="00425256">
        <w:rPr>
          <w:i/>
          <w:iCs/>
        </w:rPr>
        <w:t>a</w:t>
      </w:r>
      <w:r w:rsidRPr="00E42227">
        <w:rPr>
          <w:vertAlign w:val="subscript"/>
        </w:rPr>
        <w:t>o</w:t>
      </w:r>
      <w:proofErr w:type="spellEnd"/>
      <w:r w:rsidRPr="00285E73">
        <w:t xml:space="preserve"> and </w:t>
      </w:r>
      <w:r w:rsidRPr="00425256">
        <w:rPr>
          <w:i/>
          <w:iCs/>
        </w:rPr>
        <w:t>a</w:t>
      </w:r>
      <w:r w:rsidRPr="00E42227">
        <w:rPr>
          <w:vertAlign w:val="subscript"/>
        </w:rPr>
        <w:t>1</w:t>
      </w:r>
      <w:r w:rsidRPr="00285E73">
        <w:t>. As the unit cell increases in size, the changes in interface charge density and the corresponding potential becomes smaller. (b) Extrapolation of reaction and activation energies calculated at different cell sizes a</w:t>
      </w:r>
      <w:r w:rsidRPr="00E42227">
        <w:rPr>
          <w:vertAlign w:val="subscript"/>
        </w:rPr>
        <w:t>i</w:t>
      </w:r>
      <w:r w:rsidRPr="00285E73">
        <w:t xml:space="preserve"> and extrapolated to that at infinite cell size a</w:t>
      </w:r>
      <w:r w:rsidRPr="00E42227">
        <w:rPr>
          <w:vertAlign w:val="subscript"/>
        </w:rPr>
        <w:t>∞</w:t>
      </w:r>
      <w:r w:rsidRPr="00285E73">
        <w:t>, the constant potential limit.</w:t>
      </w:r>
      <w:r>
        <w:t xml:space="preserve"> Adapted</w:t>
      </w:r>
      <w:r w:rsidR="00137A1C">
        <w:t xml:space="preserve"> with permission</w:t>
      </w:r>
      <w:r>
        <w:t xml:space="preserve"> from Ref.</w:t>
      </w:r>
      <w:r>
        <w:fldChar w:fldCharType="begin"/>
      </w:r>
      <w:r w:rsidR="00FC5BEB">
        <w:instrText xml:space="preserve"> ADDIN EN.CITE &lt;EndNote&gt;&lt;Cite&gt;&lt;Author&gt;Chan&lt;/Author&gt;&lt;Year&gt;2015&lt;/Year&gt;&lt;RecNum&gt;495&lt;/RecNum&gt;&lt;DisplayText&gt;&lt;style face="superscript"&gt;497&lt;/style&gt;&lt;/DisplayText&gt;&lt;record&gt;&lt;rec-number&gt;495&lt;/rec-number&gt;&lt;foreign-keys&gt;&lt;key app="EN" db-id="2xex0erf4eexr4e2dpbxpdd829xttesxxxdr" timestamp="1715075297"&gt;495&lt;/key&gt;&lt;/foreign-keys&gt;&lt;ref-type name="Journal Article"&gt;17&lt;/ref-type&gt;&lt;contributors&gt;&lt;authors&gt;&lt;author&gt;Chan, Karen&lt;/author&gt;&lt;author&gt;Nørskov, Jens K.&lt;/author&gt;&lt;/authors&gt;&lt;/contributors&gt;&lt;titles&gt;&lt;title&gt;Electrochemical Barriers Made Simple&lt;/title&gt;&lt;secondary-title&gt;J. Phys. Chem. Lett.&lt;/secondary-title&gt;&lt;/titles&gt;&lt;periodical&gt;&lt;full-title&gt;J. Phys. Chem. Lett.&lt;/full-title&gt;&lt;/periodical&gt;&lt;pages&gt;2663-2668&lt;/pages&gt;&lt;volume&gt;6&lt;/volume&gt;&lt;number&gt;14&lt;/number&gt;&lt;dates&gt;&lt;year&gt;2015&lt;/year&gt;&lt;pub-dates&gt;&lt;date&gt;2015/07/16&lt;/date&gt;&lt;/pub-dates&gt;&lt;/dates&gt;&lt;publisher&gt;American Chemical Society&lt;/publisher&gt;&lt;urls&gt;&lt;related-urls&gt;&lt;url&gt;https://doi.org/10.1021/acs.jpclett.5b01043&lt;/url&gt;&lt;/related-urls&gt;&lt;/urls&gt;&lt;electronic-resource-num&gt;10.1021/acs.jpclett.5b01043&lt;/electronic-resource-num&gt;&lt;/record&gt;&lt;/Cite&gt;&lt;/EndNote&gt;</w:instrText>
      </w:r>
      <w:r>
        <w:fldChar w:fldCharType="separate"/>
      </w:r>
      <w:r w:rsidR="00FC5BEB" w:rsidRPr="00FC5BEB">
        <w:rPr>
          <w:noProof/>
          <w:vertAlign w:val="superscript"/>
        </w:rPr>
        <w:t>497</w:t>
      </w:r>
      <w:r>
        <w:fldChar w:fldCharType="end"/>
      </w:r>
      <w:r w:rsidR="00345783">
        <w:t xml:space="preserve"> </w:t>
      </w:r>
      <w:r w:rsidR="00345783" w:rsidRPr="00345783">
        <w:rPr>
          <w:lang w:val="en-US"/>
        </w:rPr>
        <w:t>Copyright 2015 American Chemical Society.</w:t>
      </w:r>
    </w:p>
    <w:p w14:paraId="07B3C231" w14:textId="68A5774B" w:rsidR="00D34093" w:rsidRPr="00CB672B" w:rsidRDefault="00B4084C" w:rsidP="00D34093">
      <w:pPr>
        <w:ind w:firstLine="720"/>
      </w:pPr>
      <w:r w:rsidRPr="00CB672B">
        <w:t xml:space="preserve">To mitigate this problem, </w:t>
      </w:r>
      <w:r>
        <w:t>Chan and Nørskov</w:t>
      </w:r>
      <w:r>
        <w:fldChar w:fldCharType="begin"/>
      </w:r>
      <w:r w:rsidR="00FC5BEB">
        <w:instrText xml:space="preserve"> ADDIN EN.CITE &lt;EndNote&gt;&lt;Cite&gt;&lt;Author&gt;Chan&lt;/Author&gt;&lt;Year&gt;2015&lt;/Year&gt;&lt;RecNum&gt;495&lt;/RecNum&gt;&lt;DisplayText&gt;&lt;style face="superscript"&gt;497&lt;/style&gt;&lt;/DisplayText&gt;&lt;record&gt;&lt;rec-number&gt;495&lt;/rec-number&gt;&lt;foreign-keys&gt;&lt;key app="EN" db-id="2xex0erf4eexr4e2dpbxpdd829xttesxxxdr" timestamp="1715075297"&gt;495&lt;/key&gt;&lt;/foreign-keys&gt;&lt;ref-type name="Journal Article"&gt;17&lt;/ref-type&gt;&lt;contributors&gt;&lt;authors&gt;&lt;author&gt;Chan, Karen&lt;/author&gt;&lt;author&gt;Nørskov, Jens K.&lt;/author&gt;&lt;/authors&gt;&lt;/contributors&gt;&lt;titles&gt;&lt;title&gt;Electrochemical Barriers Made Simple&lt;/title&gt;&lt;secondary-title&gt;J. Phys. Chem. Lett.&lt;/secondary-title&gt;&lt;/titles&gt;&lt;periodical&gt;&lt;full-title&gt;J. Phys. Chem. Lett.&lt;/full-title&gt;&lt;/periodical&gt;&lt;pages&gt;2663-2668&lt;/pages&gt;&lt;volume&gt;6&lt;/volume&gt;&lt;number&gt;14&lt;/number&gt;&lt;dates&gt;&lt;year&gt;2015&lt;/year&gt;&lt;pub-dates&gt;&lt;date&gt;2015/07/16&lt;/date&gt;&lt;/pub-dates&gt;&lt;/dates&gt;&lt;publisher&gt;American Chemical Society&lt;/publisher&gt;&lt;urls&gt;&lt;related-urls&gt;&lt;url&gt;https://doi.org/10.1021/acs.jpclett.5b01043&lt;/url&gt;&lt;/related-urls&gt;&lt;/urls&gt;&lt;electronic-resource-num&gt;10.1021/acs.jpclett.5b01043&lt;/electronic-resource-num&gt;&lt;/record&gt;&lt;/Cite&gt;&lt;/EndNote&gt;</w:instrText>
      </w:r>
      <w:r>
        <w:fldChar w:fldCharType="separate"/>
      </w:r>
      <w:r w:rsidR="00FC5BEB" w:rsidRPr="00FC5BEB">
        <w:rPr>
          <w:noProof/>
          <w:vertAlign w:val="superscript"/>
        </w:rPr>
        <w:t>497</w:t>
      </w:r>
      <w:r>
        <w:fldChar w:fldCharType="end"/>
      </w:r>
      <w:r>
        <w:t xml:space="preserve"> introduced an approach to obtain the barrier at constant potential from a calculation performed at constant charge, within the same calculation. The authors assumed that the change in energy along the reaction coordinate of an electrochemical step can be separated into a chemical and an electrostatic contribution, and that the latter can be estimated from a capacitor model. This assumption is applicable to simple reactions like a proton transfer, where there are no dipoles that undergo large reorientations and the solvent does not undergo a large reorganization. In that case, using the work function </w:t>
      </w:r>
      <m:oMath>
        <m:r>
          <w:rPr>
            <w:rFonts w:ascii="Cambria Math" w:hAnsi="Cambria Math"/>
          </w:rPr>
          <m:t>ϕ</m:t>
        </m:r>
      </m:oMath>
      <w:r>
        <w:t xml:space="preserve"> to monitor the change in the electrode potential, the energy difference between two states 1 and 2 (e.g. initial and transition states) is given by:</w:t>
      </w:r>
      <w:r w:rsidRPr="00CB672B">
        <w:t xml:space="preserve"> </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D34093" w:rsidRPr="00D34093" w14:paraId="33E38307" w14:textId="77777777" w:rsidTr="00DE0988">
        <w:tc>
          <w:tcPr>
            <w:tcW w:w="7938" w:type="dxa"/>
            <w:tcMar>
              <w:left w:w="28" w:type="dxa"/>
              <w:right w:w="28" w:type="dxa"/>
            </w:tcMar>
            <w:vAlign w:val="center"/>
          </w:tcPr>
          <w:p w14:paraId="162D83A2" w14:textId="56209D4E" w:rsidR="00D34093" w:rsidRPr="00D34093" w:rsidRDefault="00000000" w:rsidP="00E45E28">
            <w:pPr>
              <w:spacing w:before="60" w:after="60"/>
              <w:rPr>
                <w:bCs/>
                <w:sz w:val="20"/>
                <w:szCs w:val="20"/>
              </w:rPr>
            </w:pPr>
            <m:oMathPara>
              <m:oMath>
                <m:sSub>
                  <m:sSubPr>
                    <m:ctrlPr>
                      <w:rPr>
                        <w:rFonts w:ascii="Cambria Math" w:hAnsi="Cambria Math"/>
                        <w:i/>
                        <w:sz w:val="20"/>
                        <w:szCs w:val="20"/>
                      </w:rPr>
                    </m:ctrlPr>
                  </m:sSubPr>
                  <m:e>
                    <m:r>
                      <w:rPr>
                        <w:rFonts w:ascii="Cambria Math" w:hAnsi="Cambria Math"/>
                        <w:sz w:val="20"/>
                        <w:szCs w:val="20"/>
                      </w:rPr>
                      <m:t>E</m:t>
                    </m:r>
                  </m:e>
                  <m:sub>
                    <m:r>
                      <w:rPr>
                        <w:rFonts w:ascii="Cambria Math" w:hAnsi="Cambria Math"/>
                        <w:sz w:val="20"/>
                        <w:szCs w:val="20"/>
                      </w:rPr>
                      <m:t>2</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ϕ</m:t>
                    </m:r>
                  </m:e>
                  <m:sub>
                    <m:r>
                      <w:rPr>
                        <w:rFonts w:ascii="Cambria Math" w:hAnsi="Cambria Math"/>
                        <w:sz w:val="20"/>
                        <w:szCs w:val="20"/>
                      </w:rPr>
                      <m:t>1</m:t>
                    </m:r>
                  </m:sub>
                </m:sSub>
                <m:r>
                  <w:rPr>
                    <w:rFonts w:ascii="Cambria Math" w:hAnsi="Cambria Math"/>
                    <w:sz w:val="20"/>
                    <w:szCs w:val="20"/>
                  </w:rPr>
                  <m:t xml:space="preserve">)- </m:t>
                </m:r>
                <m:sSub>
                  <m:sSubPr>
                    <m:ctrlPr>
                      <w:rPr>
                        <w:rFonts w:ascii="Cambria Math" w:hAnsi="Cambria Math"/>
                        <w:i/>
                        <w:sz w:val="20"/>
                        <w:szCs w:val="20"/>
                      </w:rPr>
                    </m:ctrlPr>
                  </m:sSubPr>
                  <m:e>
                    <m:r>
                      <w:rPr>
                        <w:rFonts w:ascii="Cambria Math" w:hAnsi="Cambria Math"/>
                        <w:sz w:val="20"/>
                        <w:szCs w:val="20"/>
                      </w:rPr>
                      <m:t>E</m:t>
                    </m:r>
                  </m:e>
                  <m:sub>
                    <m:r>
                      <w:rPr>
                        <w:rFonts w:ascii="Cambria Math" w:hAnsi="Cambria Math"/>
                        <w:sz w:val="20"/>
                        <w:szCs w:val="20"/>
                      </w:rPr>
                      <m:t>1</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ϕ</m:t>
                    </m:r>
                  </m:e>
                  <m:sub>
                    <m:r>
                      <w:rPr>
                        <w:rFonts w:ascii="Cambria Math" w:hAnsi="Cambria Math"/>
                        <w:sz w:val="20"/>
                        <w:szCs w:val="20"/>
                      </w:rPr>
                      <m:t>1</m:t>
                    </m:r>
                  </m:sub>
                </m:sSub>
                <m:r>
                  <w:rPr>
                    <w:rFonts w:ascii="Cambria Math" w:hAnsi="Cambria Math"/>
                    <w:sz w:val="20"/>
                    <w:szCs w:val="20"/>
                  </w:rPr>
                  <m:t xml:space="preserve">) = </m:t>
                </m:r>
                <m:sSub>
                  <m:sSubPr>
                    <m:ctrlPr>
                      <w:rPr>
                        <w:rFonts w:ascii="Cambria Math" w:hAnsi="Cambria Math"/>
                        <w:i/>
                        <w:sz w:val="20"/>
                        <w:szCs w:val="20"/>
                      </w:rPr>
                    </m:ctrlPr>
                  </m:sSubPr>
                  <m:e>
                    <m:r>
                      <w:rPr>
                        <w:rFonts w:ascii="Cambria Math" w:hAnsi="Cambria Math"/>
                        <w:sz w:val="20"/>
                        <w:szCs w:val="20"/>
                      </w:rPr>
                      <m:t>E</m:t>
                    </m:r>
                  </m:e>
                  <m:sub>
                    <m:r>
                      <w:rPr>
                        <w:rFonts w:ascii="Cambria Math" w:hAnsi="Cambria Math"/>
                        <w:sz w:val="20"/>
                        <w:szCs w:val="20"/>
                      </w:rPr>
                      <m:t>2</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ϕ</m:t>
                    </m:r>
                  </m:e>
                  <m:sub>
                    <m:r>
                      <w:rPr>
                        <w:rFonts w:ascii="Cambria Math" w:hAnsi="Cambria Math"/>
                        <w:sz w:val="20"/>
                        <w:szCs w:val="20"/>
                      </w:rPr>
                      <m:t>2</m:t>
                    </m:r>
                  </m:sub>
                </m:sSub>
                <m:r>
                  <w:rPr>
                    <w:rFonts w:ascii="Cambria Math" w:hAnsi="Cambria Math"/>
                    <w:sz w:val="20"/>
                    <w:szCs w:val="20"/>
                  </w:rPr>
                  <m:t xml:space="preserve">) - </m:t>
                </m:r>
                <m:sSub>
                  <m:sSubPr>
                    <m:ctrlPr>
                      <w:rPr>
                        <w:rFonts w:ascii="Cambria Math" w:hAnsi="Cambria Math"/>
                        <w:i/>
                        <w:sz w:val="20"/>
                        <w:szCs w:val="20"/>
                      </w:rPr>
                    </m:ctrlPr>
                  </m:sSubPr>
                  <m:e>
                    <m:r>
                      <w:rPr>
                        <w:rFonts w:ascii="Cambria Math" w:hAnsi="Cambria Math"/>
                        <w:sz w:val="20"/>
                        <w:szCs w:val="20"/>
                      </w:rPr>
                      <m:t>E</m:t>
                    </m:r>
                  </m:e>
                  <m:sub>
                    <m:r>
                      <w:rPr>
                        <w:rFonts w:ascii="Cambria Math" w:hAnsi="Cambria Math"/>
                        <w:sz w:val="20"/>
                        <w:szCs w:val="20"/>
                      </w:rPr>
                      <m:t>1</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ϕ</m:t>
                    </m:r>
                  </m:e>
                  <m:sub>
                    <m:r>
                      <w:rPr>
                        <w:rFonts w:ascii="Cambria Math" w:hAnsi="Cambria Math"/>
                        <w:sz w:val="20"/>
                        <w:szCs w:val="20"/>
                      </w:rPr>
                      <m:t>1</m:t>
                    </m:r>
                  </m:sub>
                </m:sSub>
                <m:r>
                  <w:rPr>
                    <w:rFonts w:ascii="Cambria Math" w:hAnsi="Cambria Math"/>
                    <w:sz w:val="20"/>
                    <w:szCs w:val="20"/>
                  </w:rPr>
                  <m:t xml:space="preserve">) + </m:t>
                </m:r>
                <m:f>
                  <m:fPr>
                    <m:ctrlPr>
                      <w:rPr>
                        <w:rFonts w:ascii="Cambria Math" w:hAnsi="Cambria Math"/>
                        <w:i/>
                        <w:sz w:val="20"/>
                        <w:szCs w:val="20"/>
                      </w:rPr>
                    </m:ctrlPr>
                  </m:fPr>
                  <m:num>
                    <m:sSub>
                      <m:sSubPr>
                        <m:ctrlPr>
                          <w:rPr>
                            <w:rFonts w:ascii="Cambria Math" w:hAnsi="Cambria Math"/>
                            <w:i/>
                            <w:sz w:val="20"/>
                            <w:szCs w:val="20"/>
                          </w:rPr>
                        </m:ctrlPr>
                      </m:sSubPr>
                      <m:e>
                        <m:r>
                          <w:rPr>
                            <w:rFonts w:ascii="Cambria Math" w:hAnsi="Cambria Math"/>
                            <w:sz w:val="20"/>
                            <w:szCs w:val="20"/>
                          </w:rPr>
                          <m:t>(q</m:t>
                        </m:r>
                      </m:e>
                      <m:sub>
                        <m:r>
                          <w:rPr>
                            <w:rFonts w:ascii="Cambria Math" w:hAnsi="Cambria Math"/>
                            <w:sz w:val="20"/>
                            <w:szCs w:val="20"/>
                          </w:rPr>
                          <m:t>2</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q</m:t>
                        </m:r>
                      </m:e>
                      <m:sub>
                        <m:r>
                          <w:rPr>
                            <w:rFonts w:ascii="Cambria Math" w:hAnsi="Cambria Math"/>
                            <w:sz w:val="20"/>
                            <w:szCs w:val="20"/>
                          </w:rPr>
                          <m:t>1</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(ϕ</m:t>
                        </m:r>
                      </m:e>
                      <m:sub>
                        <m:r>
                          <w:rPr>
                            <w:rFonts w:ascii="Cambria Math" w:hAnsi="Cambria Math"/>
                            <w:sz w:val="20"/>
                            <w:szCs w:val="20"/>
                          </w:rPr>
                          <m:t>2</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ϕ</m:t>
                        </m:r>
                      </m:e>
                      <m:sub>
                        <m:r>
                          <w:rPr>
                            <w:rFonts w:ascii="Cambria Math" w:hAnsi="Cambria Math"/>
                            <w:sz w:val="20"/>
                            <w:szCs w:val="20"/>
                          </w:rPr>
                          <m:t>1</m:t>
                        </m:r>
                      </m:sub>
                    </m:sSub>
                    <m:r>
                      <w:rPr>
                        <w:rFonts w:ascii="Cambria Math" w:hAnsi="Cambria Math"/>
                        <w:sz w:val="20"/>
                        <w:szCs w:val="20"/>
                      </w:rPr>
                      <m:t>)</m:t>
                    </m:r>
                  </m:num>
                  <m:den>
                    <m:r>
                      <w:rPr>
                        <w:rFonts w:ascii="Cambria Math" w:hAnsi="Cambria Math"/>
                        <w:sz w:val="20"/>
                        <w:szCs w:val="20"/>
                      </w:rPr>
                      <m:t>2</m:t>
                    </m:r>
                  </m:den>
                </m:f>
              </m:oMath>
            </m:oMathPara>
          </w:p>
        </w:tc>
        <w:tc>
          <w:tcPr>
            <w:tcW w:w="1134" w:type="dxa"/>
            <w:tcMar>
              <w:left w:w="28" w:type="dxa"/>
              <w:right w:w="28" w:type="dxa"/>
            </w:tcMar>
            <w:vAlign w:val="center"/>
          </w:tcPr>
          <w:p w14:paraId="6B1F894F" w14:textId="04FB7A63" w:rsidR="00D34093" w:rsidRPr="00D34093" w:rsidRDefault="00D34093" w:rsidP="00E45E28">
            <w:pPr>
              <w:keepNext/>
              <w:jc w:val="right"/>
              <w:rPr>
                <w:bCs/>
                <w:sz w:val="20"/>
                <w:szCs w:val="20"/>
              </w:rPr>
            </w:pPr>
            <w:bookmarkStart w:id="147" w:name="_Ref159530981"/>
            <w:r w:rsidRPr="00D34093">
              <w:rPr>
                <w:sz w:val="20"/>
                <w:szCs w:val="20"/>
              </w:rPr>
              <w:t xml:space="preserve">Equation </w:t>
            </w:r>
            <w:r w:rsidRPr="00D34093">
              <w:rPr>
                <w:sz w:val="20"/>
                <w:szCs w:val="20"/>
              </w:rPr>
              <w:fldChar w:fldCharType="begin"/>
            </w:r>
            <w:r w:rsidRPr="00D34093">
              <w:rPr>
                <w:sz w:val="20"/>
                <w:szCs w:val="20"/>
              </w:rPr>
              <w:instrText xml:space="preserve"> SEQ Equation \* ARABIC </w:instrText>
            </w:r>
            <w:r w:rsidRPr="00D34093">
              <w:rPr>
                <w:sz w:val="20"/>
                <w:szCs w:val="20"/>
              </w:rPr>
              <w:fldChar w:fldCharType="separate"/>
            </w:r>
            <w:r w:rsidR="00B7319C">
              <w:rPr>
                <w:noProof/>
                <w:sz w:val="20"/>
                <w:szCs w:val="20"/>
              </w:rPr>
              <w:t>80</w:t>
            </w:r>
            <w:r w:rsidRPr="00D34093">
              <w:rPr>
                <w:sz w:val="20"/>
                <w:szCs w:val="20"/>
              </w:rPr>
              <w:fldChar w:fldCharType="end"/>
            </w:r>
            <w:bookmarkEnd w:id="147"/>
          </w:p>
        </w:tc>
      </w:tr>
    </w:tbl>
    <w:p w14:paraId="1B55EC4A" w14:textId="4C35ACC0" w:rsidR="00B4084C" w:rsidRDefault="00B4084C" w:rsidP="00B4084C">
      <w:r w:rsidRPr="00090093">
        <w:t xml:space="preserve">where </w:t>
      </w:r>
      <m:oMath>
        <m:sSub>
          <m:sSubPr>
            <m:ctrlPr>
              <w:rPr>
                <w:rFonts w:ascii="Cambria Math" w:hAnsi="Cambria Math"/>
                <w:i/>
              </w:rPr>
            </m:ctrlPr>
          </m:sSubPr>
          <m:e>
            <m:r>
              <w:rPr>
                <w:rFonts w:ascii="Cambria Math" w:hAnsi="Cambria Math"/>
              </w:rPr>
              <m:t>q</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1</m:t>
            </m:r>
          </m:sub>
        </m:sSub>
      </m:oMath>
      <w:r w:rsidRPr="00090093">
        <w:t xml:space="preserve"> is the </w:t>
      </w:r>
      <w:r>
        <w:t xml:space="preserve">change in </w:t>
      </w:r>
      <w:r w:rsidRPr="00090093">
        <w:t>charge</w:t>
      </w:r>
      <w:r>
        <w:t xml:space="preserve">, evaluated with some partitioning scheme of the DFT electron density, for example Bader analysis. The geometry of the transition state is evaluated through a regular </w:t>
      </w:r>
      <w:r w:rsidR="008F3343">
        <w:t>nudged elastic band (</w:t>
      </w:r>
      <w:r>
        <w:t>NEB</w:t>
      </w:r>
      <w:r w:rsidR="008F3343">
        <w:t>)</w:t>
      </w:r>
      <w:r>
        <w:t xml:space="preserve"> calculation. </w:t>
      </w:r>
      <w:r>
        <w:fldChar w:fldCharType="begin"/>
      </w:r>
      <w:r>
        <w:instrText xml:space="preserve"> REF _Ref151987784 \h </w:instrText>
      </w:r>
      <w:r>
        <w:fldChar w:fldCharType="separate"/>
      </w:r>
      <w:r w:rsidR="00B7319C" w:rsidRPr="00D34093">
        <w:rPr>
          <w:b/>
        </w:rPr>
        <w:t xml:space="preserve">Figure </w:t>
      </w:r>
      <w:r w:rsidR="00B7319C">
        <w:rPr>
          <w:b/>
          <w:bCs/>
          <w:noProof/>
        </w:rPr>
        <w:t>47</w:t>
      </w:r>
      <w:r>
        <w:fldChar w:fldCharType="end"/>
      </w:r>
      <w:r>
        <w:t xml:space="preserve"> shows a parity plot comparing barriers obtained with this "charge extrapolation" approach and those obtained with the cell extrapolation scheme. </w:t>
      </w:r>
    </w:p>
    <w:p w14:paraId="4A56A1B5" w14:textId="77777777" w:rsidR="00B4084C" w:rsidRDefault="00B4084C" w:rsidP="00B4084C"/>
    <w:p w14:paraId="788679E3" w14:textId="77777777" w:rsidR="00B4084C" w:rsidRDefault="00B4084C" w:rsidP="00B4084C">
      <w:pPr>
        <w:keepNext/>
      </w:pPr>
      <w:r>
        <w:rPr>
          <w:noProof/>
        </w:rPr>
        <w:drawing>
          <wp:inline distT="0" distB="0" distL="0" distR="0" wp14:anchorId="7D1688CB" wp14:editId="21332F14">
            <wp:extent cx="5760000" cy="2211692"/>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han2015_Fig3_4_exp.jp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760000" cy="2211692"/>
                    </a:xfrm>
                    <a:prstGeom prst="rect">
                      <a:avLst/>
                    </a:prstGeom>
                  </pic:spPr>
                </pic:pic>
              </a:graphicData>
            </a:graphic>
          </wp:inline>
        </w:drawing>
      </w:r>
    </w:p>
    <w:p w14:paraId="59FEF133" w14:textId="1A311182" w:rsidR="00B4084C" w:rsidRPr="00704C0E" w:rsidRDefault="00B4084C" w:rsidP="00B4084C">
      <w:pPr>
        <w:pStyle w:val="Caption"/>
        <w:rPr>
          <w:lang w:val="en-US"/>
        </w:rPr>
      </w:pPr>
      <w:bookmarkStart w:id="148" w:name="_Ref151987784"/>
      <w:r w:rsidRPr="00D34093">
        <w:rPr>
          <w:b/>
          <w:bCs w:val="0"/>
          <w:sz w:val="22"/>
        </w:rPr>
        <w:t xml:space="preserve">Figure </w:t>
      </w:r>
      <w:r w:rsidRPr="00D34093">
        <w:rPr>
          <w:b/>
          <w:bCs w:val="0"/>
          <w:sz w:val="22"/>
        </w:rPr>
        <w:fldChar w:fldCharType="begin"/>
      </w:r>
      <w:r w:rsidRPr="00D34093">
        <w:rPr>
          <w:b/>
          <w:bCs w:val="0"/>
          <w:sz w:val="22"/>
        </w:rPr>
        <w:instrText xml:space="preserve"> SEQ Figure \* ARABIC </w:instrText>
      </w:r>
      <w:r w:rsidRPr="00D34093">
        <w:rPr>
          <w:b/>
          <w:bCs w:val="0"/>
          <w:sz w:val="22"/>
        </w:rPr>
        <w:fldChar w:fldCharType="separate"/>
      </w:r>
      <w:r w:rsidR="00B7319C">
        <w:rPr>
          <w:b/>
          <w:bCs w:val="0"/>
          <w:noProof/>
          <w:sz w:val="22"/>
        </w:rPr>
        <w:t>47</w:t>
      </w:r>
      <w:r w:rsidRPr="00D34093">
        <w:rPr>
          <w:b/>
          <w:bCs w:val="0"/>
          <w:noProof/>
          <w:sz w:val="22"/>
        </w:rPr>
        <w:fldChar w:fldCharType="end"/>
      </w:r>
      <w:bookmarkEnd w:id="148"/>
      <w:r>
        <w:t xml:space="preserve"> (a) </w:t>
      </w:r>
      <w:r w:rsidRPr="00090093">
        <w:t>Parity plot of reaction energies and barriers obtained using the cell-extrapolation scheme from refs</w:t>
      </w:r>
      <w:r>
        <w:fldChar w:fldCharType="begin">
          <w:fldData xml:space="preserve">PEVuZE5vdGU+PENpdGU+PEF1dGhvcj5Hb25vPC9BdXRob3I+PFllYXI+MjAxOTwvWWVhcj48UmVj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</w:fldData>
        </w:fldChar>
      </w:r>
      <w:r w:rsidR="00FC5BEB">
        <w:instrText xml:space="preserve"> ADDIN EN.CITE </w:instrText>
      </w:r>
      <w:r w:rsidR="00FC5BEB">
        <w:fldChar w:fldCharType="begin">
          <w:fldData xml:space="preserve">PEVuZE5vdGU+PENpdGU+PEF1dGhvcj5Hb25vPC9BdXRob3I+PFllYXI+MjAxOTwvWWVhcj48UmVj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</w:fldData>
        </w:fldChar>
      </w:r>
      <w:r w:rsidR="00FC5BEB">
        <w:instrText xml:space="preserve"> ADDIN EN.CITE.DATA </w:instrText>
      </w:r>
      <w:r w:rsidR="00FC5BEB">
        <w:fldChar w:fldCharType="end"/>
      </w:r>
      <w:r>
        <w:fldChar w:fldCharType="separate"/>
      </w:r>
      <w:r w:rsidR="00FC5BEB" w:rsidRPr="00FC5BEB">
        <w:rPr>
          <w:noProof/>
          <w:vertAlign w:val="superscript"/>
        </w:rPr>
        <w:t>60, 480</w:t>
      </w:r>
      <w:r>
        <w:fldChar w:fldCharType="end"/>
      </w:r>
      <w:r w:rsidRPr="00090093">
        <w:t>and the charge-extrapolated values.</w:t>
      </w:r>
      <w:r>
        <w:t xml:space="preserve"> </w:t>
      </w:r>
      <w:r w:rsidR="003C42F5">
        <w:t>Reproduced with permission f</w:t>
      </w:r>
      <w:r>
        <w:t>rom</w:t>
      </w:r>
      <w:r w:rsidR="003C42F5">
        <w:t xml:space="preserve"> Ref. </w:t>
      </w:r>
      <w:r>
        <w:fldChar w:fldCharType="begin"/>
      </w:r>
      <w:r w:rsidR="00FC5BEB">
        <w:instrText xml:space="preserve"> ADDIN EN.CITE &lt;EndNote&gt;&lt;Cite&gt;&lt;Author&gt;Chan&lt;/Author&gt;&lt;Year&gt;2015&lt;/Year&gt;&lt;RecNum&gt;495&lt;/RecNum&gt;&lt;DisplayText&gt;&lt;style face="superscript"&gt;497&lt;/style&gt;&lt;/DisplayText&gt;&lt;record&gt;&lt;rec-number&gt;495&lt;/rec-number&gt;&lt;foreign-keys&gt;&lt;key app="EN" db-id="2xex0erf4eexr4e2dpbxpdd829xttesxxxdr" timestamp="1715075297"&gt;495&lt;/key&gt;&lt;/foreign-keys&gt;&lt;ref-type name="Journal Article"&gt;17&lt;/ref-type&gt;&lt;contributors&gt;&lt;authors&gt;&lt;author&gt;Chan, Karen&lt;/author&gt;&lt;author&gt;Nørskov, Jens K.&lt;/author&gt;&lt;/authors&gt;&lt;/contributors&gt;&lt;titles&gt;&lt;title&gt;Electrochemical Barriers Made Simple&lt;/title&gt;&lt;secondary-title&gt;J. Phys. Chem. Lett.&lt;/secondary-title&gt;&lt;/titles&gt;&lt;periodical&gt;&lt;full-title&gt;J. Phys. Chem. Lett.&lt;/full-title&gt;&lt;/periodical&gt;&lt;pages&gt;2663-2668&lt;/pages&gt;&lt;volume&gt;6&lt;/volume&gt;&lt;number&gt;14&lt;/number&gt;&lt;dates&gt;&lt;year&gt;2015&lt;/year&gt;&lt;pub-dates&gt;&lt;date&gt;2015/07/16&lt;/date&gt;&lt;/pub-dates&gt;&lt;/dates&gt;&lt;publisher&gt;American Chemical Society&lt;/publisher&gt;&lt;urls&gt;&lt;related-urls&gt;&lt;url&gt;https://doi.org/10.1021/acs.jpclett.5b01043&lt;/url&gt;&lt;/related-urls&gt;&lt;/urls&gt;&lt;electronic-resource-num&gt;10.1021/acs.jpclett.5b01043&lt;/electronic-resource-num&gt;&lt;/record&gt;&lt;/Cite&gt;&lt;/EndNote&gt;</w:instrText>
      </w:r>
      <w:r>
        <w:fldChar w:fldCharType="separate"/>
      </w:r>
      <w:r w:rsidR="00FC5BEB" w:rsidRPr="00FC5BEB">
        <w:rPr>
          <w:noProof/>
          <w:vertAlign w:val="superscript"/>
        </w:rPr>
        <w:t>497</w:t>
      </w:r>
      <w:r>
        <w:fldChar w:fldCharType="end"/>
      </w:r>
      <w:r w:rsidR="003C42F5">
        <w:t xml:space="preserve"> </w:t>
      </w:r>
      <w:r w:rsidR="003C42F5" w:rsidRPr="003C42F5">
        <w:rPr>
          <w:lang w:val="en-US"/>
        </w:rPr>
        <w:t>Copyright 2015 American Chemical Society.</w:t>
      </w:r>
      <w:r>
        <w:t xml:space="preserve"> (b) </w:t>
      </w:r>
      <w:r w:rsidRPr="00F15F03">
        <w:t xml:space="preserve">Parity plot between the fitted β from a series of extrapolated energies and that </w:t>
      </w:r>
      <w:r w:rsidRPr="00F15F03">
        <w:lastRenderedPageBreak/>
        <w:t xml:space="preserve">from </w:t>
      </w:r>
      <w:r w:rsidRPr="00425256">
        <w:rPr>
          <w:i/>
          <w:iCs/>
        </w:rPr>
        <w:t>β</w:t>
      </w:r>
      <w:r w:rsidRPr="00F15F03">
        <w:t xml:space="preserve"> = −</w:t>
      </w:r>
      <w:proofErr w:type="spellStart"/>
      <w:r w:rsidRPr="00F15F03">
        <w:t>Δ</w:t>
      </w:r>
      <w:r w:rsidRPr="00425256">
        <w:rPr>
          <w:i/>
          <w:iCs/>
        </w:rPr>
        <w:t>q</w:t>
      </w:r>
      <w:proofErr w:type="spellEnd"/>
      <w:r w:rsidRPr="00F15F03">
        <w:t xml:space="preserve"> using the constant charge calculation.</w:t>
      </w:r>
      <w:r>
        <w:t xml:space="preserve"> </w:t>
      </w:r>
      <w:r w:rsidR="006A09A1">
        <w:t xml:space="preserve">Reproduced with permission from Ref. </w:t>
      </w:r>
      <w:r>
        <w:fldChar w:fldCharType="begin"/>
      </w:r>
      <w:r w:rsidR="00FC5BEB">
        <w:instrText xml:space="preserve"> ADDIN EN.CITE &lt;EndNote&gt;&lt;Cite&gt;&lt;Author&gt;Chan&lt;/Author&gt;&lt;Year&gt;2016&lt;/Year&gt;&lt;RecNum&gt;496&lt;/RecNum&gt;&lt;DisplayText&gt;&lt;style face="superscript"&gt;498&lt;/style&gt;&lt;/DisplayText&gt;&lt;record&gt;&lt;rec-number&gt;496&lt;/rec-number&gt;&lt;foreign-keys&gt;&lt;key app="EN" db-id="2xex0erf4eexr4e2dpbxpdd829xttesxxxdr" timestamp="1715075297"&gt;496&lt;/key&gt;&lt;/foreign-keys&gt;&lt;ref-type name="Journal Article"&gt;17&lt;/ref-type&gt;&lt;contributors&gt;&lt;authors&gt;&lt;author&gt;Chan, Karen&lt;/author&gt;&lt;author&gt;Nørskov, Jens K.&lt;/author&gt;&lt;/authors&gt;&lt;/contributors&gt;&lt;titles&gt;&lt;title&gt;Potential Dependence of Electrochemical Barriers from ab Initio Calculations&lt;/title&gt;&lt;secondary-title&gt;J. Phys. Chem. Lett.&lt;/secondary-title&gt;&lt;/titles&gt;&lt;periodical&gt;&lt;full-title&gt;J. Phys. Chem. Lett.&lt;/full-title&gt;&lt;/periodical&gt;&lt;pages&gt;1686-1690&lt;/pages&gt;&lt;volume&gt;7&lt;/volume&gt;&lt;number&gt;9&lt;/number&gt;&lt;dates&gt;&lt;year&gt;2016&lt;/year&gt;&lt;pub-dates&gt;&lt;date&gt;2016/05/05&lt;/date&gt;&lt;/pub-dates&gt;&lt;/dates&gt;&lt;publisher&gt;American Chemical Society&lt;/publisher&gt;&lt;urls&gt;&lt;related-urls&gt;&lt;url&gt;https://doi.org/10.1021/acs.jpclett.6b00382&lt;/url&gt;&lt;/related-urls&gt;&lt;/urls&gt;&lt;electronic-resource-num&gt;10.1021/acs.jpclett.6b00382&lt;/electronic-resource-num&gt;&lt;/record&gt;&lt;/Cite&gt;&lt;/EndNote&gt;</w:instrText>
      </w:r>
      <w:r>
        <w:fldChar w:fldCharType="separate"/>
      </w:r>
      <w:r w:rsidR="00FC5BEB" w:rsidRPr="00FC5BEB">
        <w:rPr>
          <w:noProof/>
          <w:vertAlign w:val="superscript"/>
        </w:rPr>
        <w:t>498</w:t>
      </w:r>
      <w:r>
        <w:fldChar w:fldCharType="end"/>
      </w:r>
      <w:r w:rsidR="003C42F5">
        <w:t xml:space="preserve"> </w:t>
      </w:r>
      <w:r w:rsidR="003C42F5" w:rsidRPr="003C42F5">
        <w:rPr>
          <w:lang w:val="en-US"/>
        </w:rPr>
        <w:t>Copyright 201</w:t>
      </w:r>
      <w:r w:rsidR="003C42F5">
        <w:rPr>
          <w:lang w:val="en-US"/>
        </w:rPr>
        <w:t>6</w:t>
      </w:r>
      <w:r w:rsidR="003C42F5" w:rsidRPr="003C42F5">
        <w:rPr>
          <w:lang w:val="en-US"/>
        </w:rPr>
        <w:t xml:space="preserve"> American Chemical Society.</w:t>
      </w:r>
    </w:p>
    <w:p w14:paraId="24781569" w14:textId="6231CDF2" w:rsidR="00B4084C" w:rsidRDefault="00B4084C" w:rsidP="00B4084C">
      <w:r>
        <w:t>While the approach described above allows one to estimate a constant potential barrier from a constant charge calculation, obtaining barriers at different potentials requires an extra step. Chan and Nørskov</w:t>
      </w:r>
      <w:r>
        <w:fldChar w:fldCharType="begin"/>
      </w:r>
      <w:r w:rsidR="00FC5BEB">
        <w:instrText xml:space="preserve"> ADDIN EN.CITE &lt;EndNote&gt;&lt;Cite&gt;&lt;Author&gt;Chan&lt;/Author&gt;&lt;Year&gt;2016&lt;/Year&gt;&lt;RecNum&gt;496&lt;/RecNum&gt;&lt;DisplayText&gt;&lt;style face="superscript"&gt;498&lt;/style&gt;&lt;/DisplayText&gt;&lt;record&gt;&lt;rec-number&gt;496&lt;/rec-number&gt;&lt;foreign-keys&gt;&lt;key app="EN" db-id="2xex0erf4eexr4e2dpbxpdd829xttesxxxdr" timestamp="1715075297"&gt;496&lt;/key&gt;&lt;/foreign-keys&gt;&lt;ref-type name="Journal Article"&gt;17&lt;/ref-type&gt;&lt;contributors&gt;&lt;authors&gt;&lt;author&gt;Chan, Karen&lt;/author&gt;&lt;author&gt;Nørskov, Jens K.&lt;/author&gt;&lt;/authors&gt;&lt;/contributors&gt;&lt;titles&gt;&lt;title&gt;Potential Dependence of Electrochemical Barriers from ab Initio Calculations&lt;/title&gt;&lt;secondary-title&gt;J. Phys. Chem. Lett.&lt;/secondary-title&gt;&lt;/titles&gt;&lt;periodical&gt;&lt;full-title&gt;J. Phys. Chem. Lett.&lt;/full-title&gt;&lt;/periodical&gt;&lt;pages&gt;1686-1690&lt;/pages&gt;&lt;volume&gt;7&lt;/volume&gt;&lt;number&gt;9&lt;/number&gt;&lt;dates&gt;&lt;year&gt;2016&lt;/year&gt;&lt;pub-dates&gt;&lt;date&gt;2016/05/05&lt;/date&gt;&lt;/pub-dates&gt;&lt;/dates&gt;&lt;publisher&gt;American Chemical Society&lt;/publisher&gt;&lt;urls&gt;&lt;related-urls&gt;&lt;url&gt;https://doi.org/10.1021/acs.jpclett.6b00382&lt;/url&gt;&lt;/related-urls&gt;&lt;/urls&gt;&lt;electronic-resource-num&gt;10.1021/acs.jpclett.6b00382&lt;/electronic-resource-num&gt;&lt;/record&gt;&lt;/Cite&gt;&lt;/EndNote&gt;</w:instrText>
      </w:r>
      <w:r>
        <w:fldChar w:fldCharType="separate"/>
      </w:r>
      <w:r w:rsidR="00FC5BEB" w:rsidRPr="00FC5BEB">
        <w:rPr>
          <w:noProof/>
          <w:vertAlign w:val="superscript"/>
        </w:rPr>
        <w:t>498</w:t>
      </w:r>
      <w:r>
        <w:fldChar w:fldCharType="end"/>
      </w:r>
      <w:r>
        <w:t xml:space="preserve"> realized that simply </w:t>
      </w:r>
      <w:r w:rsidRPr="00B91CD5">
        <w:rPr>
          <w:szCs w:val="22"/>
        </w:rPr>
        <w:t>applying</w:t>
      </w:r>
      <w:r w:rsidR="00D34093" w:rsidRPr="00B91CD5">
        <w:rPr>
          <w:szCs w:val="22"/>
        </w:rPr>
        <w:t xml:space="preserve"> </w:t>
      </w:r>
      <w:r w:rsidR="00D34093" w:rsidRPr="00B91CD5">
        <w:rPr>
          <w:szCs w:val="22"/>
        </w:rPr>
        <w:fldChar w:fldCharType="begin"/>
      </w:r>
      <w:r w:rsidR="00D34093" w:rsidRPr="00B91CD5">
        <w:rPr>
          <w:szCs w:val="22"/>
        </w:rPr>
        <w:instrText xml:space="preserve"> REF _Ref159530981 \h </w:instrText>
      </w:r>
      <w:r w:rsidR="00B91CD5">
        <w:rPr>
          <w:szCs w:val="22"/>
        </w:rPr>
        <w:instrText xml:space="preserve"> \* MERGEFORMAT </w:instrText>
      </w:r>
      <w:r w:rsidR="00D34093" w:rsidRPr="00B91CD5">
        <w:rPr>
          <w:szCs w:val="22"/>
        </w:rPr>
      </w:r>
      <w:r w:rsidR="00D34093" w:rsidRPr="00B91CD5">
        <w:rPr>
          <w:szCs w:val="22"/>
        </w:rPr>
        <w:fldChar w:fldCharType="separate"/>
      </w:r>
      <w:r w:rsidR="00B7319C" w:rsidRPr="00B7319C">
        <w:rPr>
          <w:szCs w:val="22"/>
        </w:rPr>
        <w:t xml:space="preserve">Equation </w:t>
      </w:r>
      <w:r w:rsidR="00B7319C" w:rsidRPr="00B7319C">
        <w:rPr>
          <w:noProof/>
          <w:szCs w:val="22"/>
        </w:rPr>
        <w:t>80</w:t>
      </w:r>
      <w:r w:rsidR="00D34093" w:rsidRPr="00B91CD5">
        <w:rPr>
          <w:szCs w:val="22"/>
        </w:rPr>
        <w:fldChar w:fldCharType="end"/>
      </w:r>
      <w:r>
        <w:t xml:space="preserve"> to two different potentials leads to</w:t>
      </w:r>
    </w:p>
    <w:tbl>
      <w:tblPr>
        <w:tblStyle w:val="TableGrid"/>
        <w:tblW w:w="907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1A5F62" w:rsidRPr="00DE0988" w14:paraId="6FCDD3AE" w14:textId="77777777" w:rsidTr="001A5F62">
        <w:trPr>
          <w:jc w:val="center"/>
        </w:trPr>
        <w:tc>
          <w:tcPr>
            <w:tcW w:w="7938" w:type="dxa"/>
            <w:tcMar>
              <w:left w:w="28" w:type="dxa"/>
              <w:right w:w="28" w:type="dxa"/>
            </w:tcMar>
            <w:vAlign w:val="center"/>
          </w:tcPr>
          <w:p w14:paraId="703C1756" w14:textId="63FEE1EE" w:rsidR="001A5F62" w:rsidRPr="00DE0988" w:rsidRDefault="001A5F62" w:rsidP="001A5F62">
            <w:pPr>
              <w:spacing w:before="60" w:after="60"/>
              <w:jc w:val="center"/>
              <w:rPr>
                <w:bCs/>
                <w:sz w:val="20"/>
                <w:szCs w:val="20"/>
              </w:rPr>
            </w:pPr>
            <m:oMath>
              <m:r>
                <w:rPr>
                  <w:rFonts w:ascii="Cambria Math" w:hAnsi="Cambria Math"/>
                </w:rPr>
                <m:t>∆E(ϕ) = ∆E(</m:t>
              </m:r>
              <m:sSub>
                <m:sSubPr>
                  <m:ctrlPr>
                    <w:rPr>
                      <w:rFonts w:ascii="Cambria Math" w:hAnsi="Cambria Math"/>
                      <w:i/>
                    </w:rPr>
                  </m:ctrlPr>
                </m:sSubPr>
                <m:e>
                  <m:r>
                    <w:rPr>
                      <w:rFonts w:ascii="Cambria Math" w:hAnsi="Cambria Math"/>
                    </w:rPr>
                    <m:t>ϕ</m:t>
                  </m:r>
                </m:e>
                <m:sub>
                  <m:r>
                    <m:rPr>
                      <m:sty m:val="p"/>
                    </m:rPr>
                    <w:rPr>
                      <w:rFonts w:ascii="Cambria Math" w:hAnsi="Cambria Math"/>
                    </w:rPr>
                    <m:t>ref</m:t>
                  </m:r>
                </m:sub>
              </m:sSub>
              <m:r>
                <w:rPr>
                  <w:rFonts w:ascii="Cambria Math" w:hAnsi="Cambria Math"/>
                </w:rPr>
                <m:t>) - ∆q(ϕ-</m:t>
              </m:r>
              <m:sSub>
                <m:sSubPr>
                  <m:ctrlPr>
                    <w:rPr>
                      <w:rFonts w:ascii="Cambria Math" w:hAnsi="Cambria Math"/>
                      <w:i/>
                    </w:rPr>
                  </m:ctrlPr>
                </m:sSubPr>
                <m:e>
                  <m:r>
                    <w:rPr>
                      <w:rFonts w:ascii="Cambria Math" w:hAnsi="Cambria Math"/>
                    </w:rPr>
                    <m:t>ϕ</m:t>
                  </m:r>
                </m:e>
                <m:sub>
                  <m:r>
                    <w:rPr>
                      <w:rFonts w:ascii="Cambria Math" w:hAnsi="Cambria Math"/>
                    </w:rPr>
                    <m:t>ref</m:t>
                  </m:r>
                </m:sub>
              </m:sSub>
              <m:r>
                <w:rPr>
                  <w:rFonts w:ascii="Cambria Math" w:hAnsi="Cambria Math"/>
                </w:rPr>
                <m:t>)</m:t>
              </m:r>
            </m:oMath>
            <w:r>
              <w:t xml:space="preserve"> </w:t>
            </w:r>
          </w:p>
        </w:tc>
        <w:tc>
          <w:tcPr>
            <w:tcW w:w="1134" w:type="dxa"/>
            <w:tcMar>
              <w:left w:w="28" w:type="dxa"/>
              <w:right w:w="28" w:type="dxa"/>
            </w:tcMar>
            <w:vAlign w:val="center"/>
          </w:tcPr>
          <w:p w14:paraId="4C583A9F" w14:textId="1FE7CB2B" w:rsidR="001A5F62" w:rsidRPr="00DE0988" w:rsidRDefault="001A5F62" w:rsidP="00E45E28">
            <w:pPr>
              <w:keepNext/>
              <w:jc w:val="right"/>
              <w:rPr>
                <w:bCs/>
                <w:sz w:val="20"/>
                <w:szCs w:val="20"/>
              </w:rPr>
            </w:pPr>
            <w:r w:rsidRPr="00DE0988">
              <w:rPr>
                <w:sz w:val="20"/>
                <w:szCs w:val="20"/>
              </w:rPr>
              <w:t xml:space="preserve">Equation </w:t>
            </w:r>
            <w:r w:rsidRPr="00DE0988">
              <w:rPr>
                <w:sz w:val="20"/>
                <w:szCs w:val="20"/>
              </w:rPr>
              <w:fldChar w:fldCharType="begin"/>
            </w:r>
            <w:r w:rsidRPr="00DE0988">
              <w:rPr>
                <w:sz w:val="20"/>
                <w:szCs w:val="20"/>
              </w:rPr>
              <w:instrText xml:space="preserve"> SEQ Equation \* ARABIC </w:instrText>
            </w:r>
            <w:r w:rsidRPr="00DE0988">
              <w:rPr>
                <w:sz w:val="20"/>
                <w:szCs w:val="20"/>
              </w:rPr>
              <w:fldChar w:fldCharType="separate"/>
            </w:r>
            <w:r w:rsidR="00B7319C">
              <w:rPr>
                <w:noProof/>
                <w:sz w:val="20"/>
                <w:szCs w:val="20"/>
              </w:rPr>
              <w:t>81</w:t>
            </w:r>
            <w:r w:rsidRPr="00DE0988">
              <w:rPr>
                <w:sz w:val="20"/>
                <w:szCs w:val="20"/>
              </w:rPr>
              <w:fldChar w:fldCharType="end"/>
            </w:r>
          </w:p>
        </w:tc>
      </w:tr>
    </w:tbl>
    <w:p w14:paraId="15D923E3" w14:textId="34795DF9" w:rsidR="00B4084C" w:rsidRDefault="00B4084C" w:rsidP="00B4084C">
      <w:pPr>
        <w:rPr>
          <w:rFonts w:eastAsiaTheme="minorEastAsia"/>
        </w:rPr>
      </w:pPr>
      <w:r w:rsidRPr="00073EA8">
        <w:t xml:space="preserve">where </w:t>
      </w:r>
      <m:oMath>
        <m:r>
          <w:rPr>
            <w:rFonts w:ascii="Cambria Math" w:hAnsi="Cambria Math"/>
          </w:rPr>
          <m:t>∆E</m:t>
        </m:r>
      </m:oMath>
      <w:r w:rsidRPr="00073EA8">
        <w:rPr>
          <w:rFonts w:eastAsiaTheme="minorEastAsia"/>
        </w:rPr>
        <w:t xml:space="preserve"> is the energy difference </w:t>
      </w:r>
      <m:oMath>
        <m:sSub>
          <m:sSubPr>
            <m:ctrlPr>
              <w:rPr>
                <w:rFonts w:ascii="Cambria Math" w:hAnsi="Cambria Math"/>
                <w:i/>
              </w:rPr>
            </m:ctrlPr>
          </m:sSubPr>
          <m:e>
            <m:r>
              <w:rPr>
                <w:rFonts w:ascii="Cambria Math" w:hAnsi="Cambria Math"/>
              </w:rPr>
              <m:t>E</m:t>
            </m:r>
          </m:e>
          <m:sub>
            <m:r>
              <w:rPr>
                <w:rFonts w:ascii="Cambria Math" w:hAnsi="Cambria Math"/>
              </w:rPr>
              <m:t>2</m:t>
            </m:r>
          </m:sub>
        </m:sSub>
        <m:r>
          <w:rPr>
            <w:rFonts w:ascii="Cambria Math" w:hAnsi="Cambria Math"/>
          </w:rPr>
          <m:t xml:space="preserve">- </m:t>
        </m:r>
        <m:sSub>
          <m:sSubPr>
            <m:ctrlPr>
              <w:rPr>
                <w:rFonts w:ascii="Cambria Math" w:hAnsi="Cambria Math"/>
                <w:i/>
              </w:rPr>
            </m:ctrlPr>
          </m:sSubPr>
          <m:e>
            <m:r>
              <w:rPr>
                <w:rFonts w:ascii="Cambria Math" w:hAnsi="Cambria Math"/>
              </w:rPr>
              <m:t>E</m:t>
            </m:r>
          </m:e>
          <m:sub>
            <m:r>
              <w:rPr>
                <w:rFonts w:ascii="Cambria Math" w:hAnsi="Cambria Math"/>
              </w:rPr>
              <m:t>1</m:t>
            </m:r>
          </m:sub>
        </m:sSub>
      </m:oMath>
      <w:r>
        <w:rPr>
          <w:rFonts w:eastAsiaTheme="minorEastAsia"/>
        </w:rPr>
        <w:t xml:space="preserve">, </w:t>
      </w:r>
      <m:oMath>
        <m:r>
          <w:rPr>
            <w:rFonts w:ascii="Cambria Math" w:hAnsi="Cambria Math"/>
          </w:rPr>
          <m:t>∆q</m:t>
        </m:r>
      </m:oMath>
      <w:r>
        <w:rPr>
          <w:rFonts w:eastAsiaTheme="minorEastAsia"/>
        </w:rPr>
        <w:t xml:space="preserve"> is the corresponding change in charge, and </w:t>
      </w:r>
      <m:oMath>
        <m:sSub>
          <m:sSubPr>
            <m:ctrlPr>
              <w:rPr>
                <w:rFonts w:ascii="Cambria Math" w:hAnsi="Cambria Math"/>
                <w:i/>
              </w:rPr>
            </m:ctrlPr>
          </m:sSubPr>
          <m:e>
            <m:r>
              <w:rPr>
                <w:rFonts w:ascii="Cambria Math" w:hAnsi="Cambria Math"/>
              </w:rPr>
              <m:t>ϕ</m:t>
            </m:r>
          </m:e>
          <m:sub>
            <m:r>
              <w:rPr>
                <w:rFonts w:ascii="Cambria Math" w:hAnsi="Cambria Math"/>
              </w:rPr>
              <m:t>ref</m:t>
            </m:r>
          </m:sub>
        </m:sSub>
      </m:oMath>
      <w:r>
        <w:rPr>
          <w:rFonts w:eastAsiaTheme="minorEastAsia"/>
        </w:rPr>
        <w:t xml:space="preserve"> is a reference work function. The applied bias therefore affects the activation energy via the change in electronic charge </w:t>
      </w:r>
      <m:oMath>
        <m:r>
          <w:rPr>
            <w:rFonts w:ascii="Cambria Math" w:hAnsi="Cambria Math"/>
          </w:rPr>
          <m:t>∆q</m:t>
        </m:r>
      </m:oMath>
      <w:r>
        <w:rPr>
          <w:rFonts w:eastAsiaTheme="minorEastAsia"/>
        </w:rPr>
        <w:t>, i.e. the transfer coefficient</w:t>
      </w:r>
      <w:r w:rsidR="00CE5D5D">
        <w:rPr>
          <w:rFonts w:eastAsiaTheme="minorEastAsia"/>
        </w:rPr>
        <w:t xml:space="preserve"> </w:t>
      </w:r>
      <m:oMath>
        <m:r>
          <w:rPr>
            <w:rFonts w:ascii="Cambria Math" w:hAnsi="Cambria Math"/>
          </w:rPr>
          <m:t>β</m:t>
        </m:r>
      </m:oMath>
      <w:r>
        <w:rPr>
          <w:rFonts w:eastAsiaTheme="minorEastAsia"/>
        </w:rPr>
        <w:t xml:space="preserve"> of Butler-Volmer theory </w:t>
      </w:r>
      <w:r w:rsidR="00CE5D5D">
        <w:rPr>
          <w:rFonts w:eastAsiaTheme="minorEastAsia"/>
        </w:rPr>
        <w:t xml:space="preserve">(symmetry factor, in terms of Section </w:t>
      </w:r>
      <w:r w:rsidR="00CE5D5D">
        <w:rPr>
          <w:rFonts w:eastAsiaTheme="minorEastAsia"/>
        </w:rPr>
        <w:fldChar w:fldCharType="begin"/>
      </w:r>
      <w:r w:rsidR="00CE5D5D">
        <w:rPr>
          <w:rFonts w:eastAsiaTheme="minorEastAsia"/>
        </w:rPr>
        <w:instrText xml:space="preserve"> REF _Ref159959666 \r \h </w:instrText>
      </w:r>
      <w:r w:rsidR="00CE5D5D">
        <w:rPr>
          <w:rFonts w:eastAsiaTheme="minorEastAsia"/>
        </w:rPr>
      </w:r>
      <w:r w:rsidR="00CE5D5D">
        <w:rPr>
          <w:rFonts w:eastAsiaTheme="minorEastAsia"/>
        </w:rPr>
        <w:fldChar w:fldCharType="separate"/>
      </w:r>
      <w:r w:rsidR="00B7319C">
        <w:rPr>
          <w:rFonts w:eastAsiaTheme="minorEastAsia"/>
        </w:rPr>
        <w:t>2.1</w:t>
      </w:r>
      <w:r w:rsidR="00CE5D5D">
        <w:rPr>
          <w:rFonts w:eastAsiaTheme="minorEastAsia"/>
        </w:rPr>
        <w:fldChar w:fldCharType="end"/>
      </w:r>
      <w:r w:rsidR="00CE5D5D">
        <w:rPr>
          <w:rFonts w:eastAsiaTheme="minorEastAsia"/>
        </w:rPr>
        <w:t xml:space="preserve">, as it relates to individual elementary steps) </w:t>
      </w:r>
      <w:r>
        <w:rPr>
          <w:rFonts w:eastAsiaTheme="minorEastAsia"/>
        </w:rPr>
        <w:t xml:space="preserve">is given by </w:t>
      </w:r>
      <m:oMath>
        <m:r>
          <w:rPr>
            <w:rFonts w:ascii="Cambria Math" w:eastAsiaTheme="minorEastAsia" w:hAnsi="Cambria Math"/>
          </w:rPr>
          <m:t>-</m:t>
        </m:r>
        <m:r>
          <w:rPr>
            <w:rFonts w:ascii="Cambria Math" w:hAnsi="Cambria Math"/>
          </w:rPr>
          <m:t>∆q</m:t>
        </m:r>
      </m:oMath>
      <w:r>
        <w:rPr>
          <w:rFonts w:eastAsiaTheme="minorEastAsia"/>
        </w:rPr>
        <w:t xml:space="preserve">. The parity plot in </w:t>
      </w:r>
      <w:r>
        <w:rPr>
          <w:rFonts w:eastAsiaTheme="minorEastAsia"/>
        </w:rPr>
        <w:fldChar w:fldCharType="begin"/>
      </w:r>
      <w:r>
        <w:rPr>
          <w:rFonts w:eastAsiaTheme="minorEastAsia"/>
        </w:rPr>
        <w:instrText xml:space="preserve"> REF _Ref151987784 \h </w:instrText>
      </w:r>
      <w:r>
        <w:rPr>
          <w:rFonts w:eastAsiaTheme="minorEastAsia"/>
        </w:rPr>
      </w:r>
      <w:r>
        <w:rPr>
          <w:rFonts w:eastAsiaTheme="minorEastAsia"/>
        </w:rPr>
        <w:fldChar w:fldCharType="separate"/>
      </w:r>
      <w:r w:rsidR="00B7319C" w:rsidRPr="00D34093">
        <w:rPr>
          <w:b/>
        </w:rPr>
        <w:t xml:space="preserve">Figure </w:t>
      </w:r>
      <w:r w:rsidR="00B7319C">
        <w:rPr>
          <w:b/>
          <w:bCs/>
          <w:noProof/>
        </w:rPr>
        <w:t>47</w:t>
      </w:r>
      <w:r>
        <w:rPr>
          <w:rFonts w:eastAsiaTheme="minorEastAsia"/>
        </w:rPr>
        <w:fldChar w:fldCharType="end"/>
      </w:r>
      <w:r>
        <w:rPr>
          <w:rFonts w:eastAsiaTheme="minorEastAsia"/>
        </w:rPr>
        <w:t xml:space="preserve"> (right) shows that this approximation works reasonably well when compared against the much more demanding approach based on the extrapolation scheme described above. The Bader scheme adopted by Chan and </w:t>
      </w:r>
      <w:proofErr w:type="spellStart"/>
      <w:r>
        <w:rPr>
          <w:rFonts w:eastAsiaTheme="minorEastAsia"/>
        </w:rPr>
        <w:t>Nørskov</w:t>
      </w:r>
      <w:proofErr w:type="spellEnd"/>
      <w:r>
        <w:rPr>
          <w:rFonts w:eastAsiaTheme="minorEastAsia"/>
        </w:rPr>
        <w:t xml:space="preserve"> is just one of many possible ways to partition the electronic charge. The effects of adopting different schemes has been discussed in Ref.</w:t>
      </w:r>
      <w:r>
        <w:rPr>
          <w:rFonts w:eastAsiaTheme="minorEastAsia"/>
        </w:rPr>
        <w:fldChar w:fldCharType="begin"/>
      </w:r>
      <w:r w:rsidR="00FC5BEB">
        <w:rPr>
          <w:rFonts w:eastAsiaTheme="minorEastAsia"/>
        </w:rPr>
        <w:instrText xml:space="preserve"> ADDIN EN.CITE &lt;EndNote&gt;&lt;Cite&gt;&lt;Author&gt;Patel&lt;/Author&gt;&lt;Year&gt;2021&lt;/Year&gt;&lt;RecNum&gt;497&lt;/RecNum&gt;&lt;DisplayText&gt;&lt;style face="superscript"&gt;499&lt;/style&gt;&lt;/DisplayText&gt;&lt;record&gt;&lt;rec-number&gt;497&lt;/rec-number&gt;&lt;foreign-keys&gt;&lt;key app="EN" db-id="2xex0erf4eexr4e2dpbxpdd829xttesxxxdr" timestamp="1715075297"&gt;497&lt;/key&gt;&lt;/foreign-keys&gt;&lt;ref-type name="Journal Article"&gt;17&lt;/ref-type&gt;&lt;contributors&gt;&lt;authors&gt;&lt;author&gt;Patel, Anjli M.&lt;/author&gt;&lt;author&gt;Vijay, Sudarshan&lt;/author&gt;&lt;author&gt;Kastlunger, Georg&lt;/author&gt;&lt;author&gt;Nørskov, Jens Kehlet&lt;/author&gt;&lt;author&gt;Chan, Karen&lt;/author&gt;&lt;/authors&gt;&lt;/contributors&gt;&lt;titles&gt;&lt;title&gt;Generalizable Trends in Electrochemical Protonation Barriers&lt;/title&gt;&lt;secondary-title&gt;J. Phys. Chem. Lett.&lt;/secondary-title&gt;&lt;/titles&gt;&lt;periodical&gt;&lt;full-title&gt;J. Phys. Chem. Lett.&lt;/full-title&gt;&lt;/periodical&gt;&lt;pages&gt;5193-5200&lt;/pages&gt;&lt;volume&gt;12&lt;/volume&gt;&lt;number&gt;21&lt;/number&gt;&lt;dates&gt;&lt;year&gt;2021&lt;/year&gt;&lt;pub-dates&gt;&lt;date&gt;2021/06/03&lt;/date&gt;&lt;/pub-dates&gt;&lt;/dates&gt;&lt;publisher&gt;American Chemical Society&lt;/publisher&gt;&lt;urls&gt;&lt;related-urls&gt;&lt;url&gt;https://doi.org/10.1021/acs.jpclett.1c00800&lt;/url&gt;&lt;/related-urls&gt;&lt;/urls&gt;&lt;electronic-resource-num&gt;10.1021/acs.jpclett.1c00800&lt;/electronic-resource-num&gt;&lt;/record&gt;&lt;/Cite&gt;&lt;/EndNote&gt;</w:instrText>
      </w:r>
      <w:r>
        <w:rPr>
          <w:rFonts w:eastAsiaTheme="minorEastAsia"/>
        </w:rPr>
        <w:fldChar w:fldCharType="separate"/>
      </w:r>
      <w:r w:rsidR="00FC5BEB" w:rsidRPr="00FC5BEB">
        <w:rPr>
          <w:rFonts w:eastAsiaTheme="minorEastAsia"/>
          <w:noProof/>
          <w:vertAlign w:val="superscript"/>
        </w:rPr>
        <w:t>499</w:t>
      </w:r>
      <w:r>
        <w:rPr>
          <w:rFonts w:eastAsiaTheme="minorEastAsia"/>
        </w:rPr>
        <w:fldChar w:fldCharType="end"/>
      </w:r>
      <w:r>
        <w:rPr>
          <w:rFonts w:eastAsiaTheme="minorEastAsia"/>
        </w:rPr>
        <w:t>.</w:t>
      </w:r>
    </w:p>
    <w:p w14:paraId="4642887E" w14:textId="77777777" w:rsidR="00B4084C" w:rsidRPr="00073EA8" w:rsidRDefault="00B4084C" w:rsidP="00B4084C"/>
    <w:p w14:paraId="017B1920" w14:textId="017D84E5" w:rsidR="00B4084C" w:rsidRDefault="00B4084C" w:rsidP="00D34093">
      <w:pPr>
        <w:ind w:firstLine="720"/>
      </w:pPr>
      <w:proofErr w:type="spellStart"/>
      <w:r w:rsidRPr="00F15F03">
        <w:t>Nie</w:t>
      </w:r>
      <w:proofErr w:type="spellEnd"/>
      <w:r w:rsidRPr="00F15F03">
        <w:t xml:space="preserve"> et al.</w:t>
      </w:r>
      <w:r>
        <w:fldChar w:fldCharType="begin"/>
      </w:r>
      <w:r w:rsidR="00FC5BEB">
        <w:instrText xml:space="preserve"> ADDIN EN.CITE &lt;EndNote&gt;&lt;Cite&gt;&lt;Author&gt;Nie&lt;/Author&gt;&lt;Year&gt;2013&lt;/Year&gt;&lt;RecNum&gt;498&lt;/RecNum&gt;&lt;DisplayText&gt;&lt;style face="superscript"&gt;500&lt;/style&gt;&lt;/DisplayText&gt;&lt;record&gt;&lt;rec-number&gt;498&lt;/rec-number&gt;&lt;foreign-keys&gt;&lt;key app="EN" db-id="2xex0erf4eexr4e2dpbxpdd829xttesxxxdr" timestamp="1715075297"&gt;498&lt;/key&gt;&lt;/foreign-keys&gt;&lt;ref-type name="Journal Article"&gt;17&lt;/ref-type&gt;&lt;contributors&gt;&lt;authors&gt;&lt;author&gt;Nie, Xiaowa&lt;/author&gt;&lt;author&gt;Esopi, Monica R.&lt;/author&gt;&lt;author&gt;Janik, Michael J.&lt;/author&gt;&lt;author&gt;Asthagiri, Aravind&lt;/author&gt;&lt;/authors&gt;&lt;/contributors&gt;&lt;titles&gt;&lt;title&gt;Selectivity of CO2 reduction on copper electrodes: The role of the kinetics of elementary steps&lt;/title&gt;&lt;secondary-title&gt;Angewandte Chemie International Edition&lt;/secondary-title&gt;&lt;/titles&gt;&lt;periodical&gt;&lt;full-title&gt;Angewandte Chemie International Edition&lt;/full-title&gt;&lt;abbr-1&gt;Angew. Chem. Int. Ed.&lt;/abbr-1&gt;&lt;abbr-2&gt;Angew Chem Int Ed&lt;/abbr-2&gt;&lt;/periodical&gt;&lt;pages&gt;2459-2462&lt;/pages&gt;&lt;volume&gt;52&lt;/volume&gt;&lt;number&gt;9&lt;/number&gt;&lt;keywords&gt;&lt;keyword&gt;carbon dioxide&lt;/keyword&gt;&lt;keyword&gt;density functional calculations&lt;/keyword&gt;&lt;keyword&gt;heterogeneous catalysis&lt;/keyword&gt;&lt;keyword&gt;kinetics&lt;/keyword&gt;&lt;keyword&gt;renewable energy&lt;/keyword&gt;&lt;/keywords&gt;&lt;dates&gt;&lt;year&gt;2013&lt;/year&gt;&lt;/dates&gt;&lt;urls&gt;&lt;related-urls&gt;&lt;url&gt;https://onlinelibrary.wiley.com/doi/pdfdirect/10.1002/anie.201208320?download=true&lt;/url&gt;&lt;/related-urls&gt;&lt;pdf-urls&gt;&lt;url&gt;file://localhost/localhost/localhost/Users/piccinin/Literature/Angew%252520Chem%252520Int%252520Ed%252520-%2525202013%252520-%252520Nie%252520-%252520Selectivity%252520of%252520CO2%252520Reduction%252520on%252520Copper%252520Electrodes%252520The%252520Role%252520of%252520the%252520Kinetics%252520of%252520Elementary.pdf&lt;/url&gt;&lt;/pdf-urls&gt;&lt;/urls&gt;&lt;electronic-resource-num&gt;10.1002/anie.201208320&lt;/electronic-resource-num&gt;&lt;/record&gt;&lt;/Cite&gt;&lt;/EndNote&gt;</w:instrText>
      </w:r>
      <w:r>
        <w:fldChar w:fldCharType="separate"/>
      </w:r>
      <w:r w:rsidR="00FC5BEB" w:rsidRPr="00FC5BEB">
        <w:rPr>
          <w:noProof/>
          <w:vertAlign w:val="superscript"/>
        </w:rPr>
        <w:t>500</w:t>
      </w:r>
      <w:r>
        <w:fldChar w:fldCharType="end"/>
      </w:r>
      <w:r w:rsidRPr="00183E4C">
        <w:t xml:space="preserve"> introduced an alternative approach, based on tech</w:t>
      </w:r>
      <w:r>
        <w:t xml:space="preserve">niques normally adopted in thermal catalysis. </w:t>
      </w:r>
      <w:r w:rsidR="00B93343">
        <w:t>Even though the authors did not focus on the OER, this approach is worth mentioning in this context</w:t>
      </w:r>
      <w:r w:rsidR="00CA0441">
        <w:t xml:space="preserve"> because of its relevance and its relation to </w:t>
      </w:r>
      <w:r w:rsidR="00CA0441" w:rsidRPr="008B5B0E">
        <w:t>competing</w:t>
      </w:r>
      <w:r w:rsidR="00CA0441">
        <w:t xml:space="preserve"> schemes</w:t>
      </w:r>
      <w:r w:rsidR="00B93343">
        <w:t xml:space="preserve">. </w:t>
      </w:r>
      <w:r>
        <w:t xml:space="preserve">Using </w:t>
      </w:r>
      <w:r w:rsidRPr="00183E4C">
        <w:t>CO</w:t>
      </w:r>
      <w:r w:rsidRPr="00183E4C">
        <w:rPr>
          <w:vertAlign w:val="subscript"/>
        </w:rPr>
        <w:t>2</w:t>
      </w:r>
      <w:r w:rsidRPr="00183E4C">
        <w:t xml:space="preserve"> reduction on </w:t>
      </w:r>
      <w:proofErr w:type="gramStart"/>
      <w:r w:rsidRPr="00183E4C">
        <w:t>Cu(</w:t>
      </w:r>
      <w:proofErr w:type="gramEnd"/>
      <w:r w:rsidRPr="00183E4C">
        <w:t>111)</w:t>
      </w:r>
      <w:r>
        <w:t xml:space="preserve"> as their electrocataly</w:t>
      </w:r>
      <w:r w:rsidR="00FB0D2D">
        <w:t>t</w:t>
      </w:r>
      <w:r>
        <w:t xml:space="preserve">ic system of interest, </w:t>
      </w:r>
      <w:r w:rsidRPr="00183E4C">
        <w:t xml:space="preserve"> </w:t>
      </w:r>
      <w:r>
        <w:t xml:space="preserve">the authors essentially treated proton-coupled electron transfer as hydrogenation reactions, i.e. they inserted an H atom in the system (e.g. on the catalyst surface or in a solvent water molecule) and use the </w:t>
      </w:r>
      <w:r w:rsidR="00871155">
        <w:t>NEB</w:t>
      </w:r>
      <w:r>
        <w:t xml:space="preserve"> method to compute the minimum energy path for hydrogenating CO</w:t>
      </w:r>
      <w:r w:rsidRPr="004E67D5">
        <w:rPr>
          <w:vertAlign w:val="subscript"/>
        </w:rPr>
        <w:t>2</w:t>
      </w:r>
      <w:r>
        <w:t xml:space="preserve"> reduction intermediates and to locate the transition state. The assumption here is that the transition state of this reaction is the same as the transition state for the electrochemical reaction, the proton-coupled electron transfer. Interestingly, Patel et al. have recently shown that the transition state determined with constant charge simulations can differ significantly from the one determined with constant potential simulations.</w:t>
      </w:r>
      <w:r>
        <w:fldChar w:fldCharType="begin"/>
      </w:r>
      <w:r w:rsidR="00FC5BEB">
        <w:instrText xml:space="preserve"> ADDIN EN.CITE &lt;EndNote&gt;&lt;Cite&gt;&lt;Author&gt;Patel&lt;/Author&gt;&lt;Year&gt;2021&lt;/Year&gt;&lt;RecNum&gt;497&lt;/RecNum&gt;&lt;DisplayText&gt;&lt;style face="superscript"&gt;499&lt;/style&gt;&lt;/DisplayText&gt;&lt;record&gt;&lt;rec-number&gt;497&lt;/rec-number&gt;&lt;foreign-keys&gt;&lt;key app="EN" db-id="2xex0erf4eexr4e2dpbxpdd829xttesxxxdr" timestamp="1715075297"&gt;497&lt;/key&gt;&lt;/foreign-keys&gt;&lt;ref-type name="Journal Article"&gt;17&lt;/ref-type&gt;&lt;contributors&gt;&lt;authors&gt;&lt;author&gt;Patel, Anjli M.&lt;/author&gt;&lt;author&gt;Vijay, Sudarshan&lt;/author&gt;&lt;author&gt;Kastlunger, Georg&lt;/author&gt;&lt;author&gt;Nørskov, Jens Kehlet&lt;/author&gt;&lt;author&gt;Chan, Karen&lt;/author&gt;&lt;/authors&gt;&lt;/contributors&gt;&lt;titles&gt;&lt;title&gt;Generalizable Trends in Electrochemical Protonation Barriers&lt;/title&gt;&lt;secondary-title&gt;J. Phys. Chem. Lett.&lt;/secondary-title&gt;&lt;/titles&gt;&lt;periodical&gt;&lt;full-title&gt;J. Phys. Chem. Lett.&lt;/full-title&gt;&lt;/periodical&gt;&lt;pages&gt;5193-5200&lt;/pages&gt;&lt;volume&gt;12&lt;/volume&gt;&lt;number&gt;21&lt;/number&gt;&lt;dates&gt;&lt;year&gt;2021&lt;/year&gt;&lt;pub-dates&gt;&lt;date&gt;2021/06/03&lt;/date&gt;&lt;/pub-dates&gt;&lt;/dates&gt;&lt;publisher&gt;American Chemical Society&lt;/publisher&gt;&lt;urls&gt;&lt;related-urls&gt;&lt;url&gt;https://doi.org/10.1021/acs.jpclett.1c00800&lt;/url&gt;&lt;/related-urls&gt;&lt;/urls&gt;&lt;electronic-resource-num&gt;10.1021/acs.jpclett.1c00800&lt;/electronic-resource-num&gt;&lt;/record&gt;&lt;/Cite&gt;&lt;/EndNote&gt;</w:instrText>
      </w:r>
      <w:r>
        <w:fldChar w:fldCharType="separate"/>
      </w:r>
      <w:r w:rsidR="00FC5BEB" w:rsidRPr="00FC5BEB">
        <w:rPr>
          <w:noProof/>
          <w:vertAlign w:val="superscript"/>
        </w:rPr>
        <w:t>499</w:t>
      </w:r>
      <w:r>
        <w:fldChar w:fldCharType="end"/>
      </w:r>
      <w:r>
        <w:t xml:space="preserve"> The effect of the solvent is accounted for by performing the simulation in the presence of one or two water molecules. The effect of the bias, </w:t>
      </w:r>
      <m:oMath>
        <m:r>
          <w:rPr>
            <w:rFonts w:ascii="Cambria Math" w:hAnsi="Cambria Math"/>
          </w:rPr>
          <m:t>U</m:t>
        </m:r>
      </m:oMath>
      <w:r>
        <w:t>, is treated assuming a Butler-Vol</w:t>
      </w:r>
      <w:r w:rsidR="00B2617E">
        <w:t>m</w:t>
      </w:r>
      <w:r>
        <w:t xml:space="preserve">er dependence of the activation energy </w:t>
      </w:r>
      <m:oMath>
        <m:sSub>
          <m:sSubPr>
            <m:ctrlPr>
              <w:rPr>
                <w:rFonts w:ascii="Cambria Math" w:hAnsi="Cambria Math"/>
                <w:i/>
              </w:rPr>
            </m:ctrlPr>
          </m:sSubPr>
          <m:e>
            <m:r>
              <w:rPr>
                <w:rFonts w:ascii="Cambria Math" w:hAnsi="Cambria Math"/>
              </w:rPr>
              <m:t>E</m:t>
            </m:r>
          </m:e>
          <m:sub>
            <m:r>
              <m:rPr>
                <m:sty m:val="p"/>
              </m:rPr>
              <w:rPr>
                <w:rFonts w:ascii="Cambria Math" w:hAnsi="Cambria Math"/>
              </w:rPr>
              <m:t>a</m:t>
            </m:r>
          </m:sub>
        </m:sSub>
      </m:oMath>
      <w:r>
        <w:t xml:space="preserve"> on </w:t>
      </w:r>
      <w:r w:rsidRPr="00E95E69">
        <w:rPr>
          <w:i/>
          <w:iCs/>
        </w:rPr>
        <w:t>U</w:t>
      </w:r>
      <w:r>
        <w:t>:</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D34093" w:rsidRPr="00D34093" w14:paraId="46812AF5" w14:textId="77777777" w:rsidTr="00DE0988">
        <w:tc>
          <w:tcPr>
            <w:tcW w:w="7938" w:type="dxa"/>
            <w:tcMar>
              <w:left w:w="28" w:type="dxa"/>
              <w:right w:w="28" w:type="dxa"/>
            </w:tcMar>
            <w:vAlign w:val="center"/>
          </w:tcPr>
          <w:p w14:paraId="27571F5E" w14:textId="4FCC447E" w:rsidR="00D34093" w:rsidRPr="00D34093" w:rsidRDefault="00000000" w:rsidP="00E45E28">
            <w:pPr>
              <w:spacing w:before="60" w:after="60"/>
              <w:rPr>
                <w:bCs/>
                <w:sz w:val="20"/>
                <w:szCs w:val="20"/>
              </w:rPr>
            </w:pPr>
            <m:oMathPara>
              <m:oMath>
                <m:sSub>
                  <m:sSubPr>
                    <m:ctrlPr>
                      <w:rPr>
                        <w:rFonts w:ascii="Cambria Math" w:hAnsi="Cambria Math"/>
                        <w:i/>
                        <w:sz w:val="20"/>
                        <w:szCs w:val="20"/>
                      </w:rPr>
                    </m:ctrlPr>
                  </m:sSubPr>
                  <m:e>
                    <m:r>
                      <w:rPr>
                        <w:rFonts w:ascii="Cambria Math" w:hAnsi="Cambria Math"/>
                        <w:sz w:val="20"/>
                        <w:szCs w:val="20"/>
                      </w:rPr>
                      <m:t>E</m:t>
                    </m:r>
                  </m:e>
                  <m:sub>
                    <m:r>
                      <m:rPr>
                        <m:sty m:val="p"/>
                      </m:rPr>
                      <w:rPr>
                        <w:rFonts w:ascii="Cambria Math" w:hAnsi="Cambria Math"/>
                        <w:sz w:val="20"/>
                        <w:szCs w:val="20"/>
                      </w:rPr>
                      <m:t>a</m:t>
                    </m:r>
                  </m:sub>
                </m:sSub>
                <m:r>
                  <w:rPr>
                    <w:rFonts w:ascii="Cambria Math" w:hAnsi="Cambria Math"/>
                    <w:sz w:val="20"/>
                    <w:szCs w:val="20"/>
                  </w:rPr>
                  <m:t xml:space="preserve">(U) = </m:t>
                </m:r>
                <m:sSub>
                  <m:sSubPr>
                    <m:ctrlPr>
                      <w:rPr>
                        <w:rFonts w:ascii="Cambria Math" w:hAnsi="Cambria Math"/>
                        <w:i/>
                        <w:sz w:val="20"/>
                        <w:szCs w:val="20"/>
                      </w:rPr>
                    </m:ctrlPr>
                  </m:sSubPr>
                  <m:e>
                    <m:r>
                      <w:rPr>
                        <w:rFonts w:ascii="Cambria Math" w:hAnsi="Cambria Math"/>
                        <w:sz w:val="20"/>
                        <w:szCs w:val="20"/>
                      </w:rPr>
                      <m:t>E</m:t>
                    </m:r>
                  </m:e>
                  <m:sub>
                    <m:r>
                      <m:rPr>
                        <m:sty m:val="p"/>
                      </m:rPr>
                      <w:rPr>
                        <w:rFonts w:ascii="Cambria Math" w:hAnsi="Cambria Math"/>
                        <w:sz w:val="20"/>
                        <w:szCs w:val="20"/>
                      </w:rPr>
                      <m:t>a</m:t>
                    </m:r>
                  </m:sub>
                </m:sSub>
                <m:r>
                  <w:rPr>
                    <w:rFonts w:ascii="Cambria Math" w:hAnsi="Cambria Math"/>
                    <w:sz w:val="20"/>
                    <w:szCs w:val="20"/>
                  </w:rPr>
                  <m:t>(</m:t>
                </m:r>
                <m:sSup>
                  <m:sSupPr>
                    <m:ctrlPr>
                      <w:rPr>
                        <w:rFonts w:ascii="Cambria Math" w:hAnsi="Cambria Math"/>
                        <w:i/>
                        <w:sz w:val="20"/>
                        <w:szCs w:val="20"/>
                      </w:rPr>
                    </m:ctrlPr>
                  </m:sSupPr>
                  <m:e>
                    <m:r>
                      <w:rPr>
                        <w:rFonts w:ascii="Cambria Math" w:hAnsi="Cambria Math"/>
                        <w:sz w:val="20"/>
                        <w:szCs w:val="20"/>
                      </w:rPr>
                      <m:t>U</m:t>
                    </m:r>
                  </m:e>
                  <m:sup>
                    <m:r>
                      <w:rPr>
                        <w:rFonts w:ascii="Cambria Math" w:hAnsi="Cambria Math"/>
                        <w:sz w:val="20"/>
                        <w:szCs w:val="20"/>
                      </w:rPr>
                      <m:t>0</m:t>
                    </m:r>
                  </m:sup>
                </m:sSup>
                <m:r>
                  <w:rPr>
                    <w:rFonts w:ascii="Cambria Math" w:hAnsi="Cambria Math"/>
                    <w:sz w:val="20"/>
                    <w:szCs w:val="20"/>
                  </w:rPr>
                  <m:t>)+</m:t>
                </m:r>
                <m:sSup>
                  <m:sSupPr>
                    <m:ctrlPr>
                      <w:rPr>
                        <w:rFonts w:ascii="Cambria Math" w:hAnsi="Cambria Math"/>
                        <w:i/>
                        <w:sz w:val="20"/>
                        <w:szCs w:val="20"/>
                      </w:rPr>
                    </m:ctrlPr>
                  </m:sSupPr>
                  <m:e>
                    <m:r>
                      <w:rPr>
                        <w:rFonts w:ascii="Cambria Math" w:hAnsi="Cambria Math"/>
                        <w:sz w:val="20"/>
                        <w:szCs w:val="20"/>
                      </w:rPr>
                      <m:t>β</m:t>
                    </m:r>
                  </m:e>
                  <m:sup>
                    <m:r>
                      <w:rPr>
                        <w:rFonts w:ascii="Cambria Math" w:hAnsi="Cambria Math"/>
                        <w:sz w:val="20"/>
                        <w:szCs w:val="20"/>
                      </w:rPr>
                      <m:t>'</m:t>
                    </m:r>
                  </m:sup>
                </m:sSup>
                <m:r>
                  <w:rPr>
                    <w:rFonts w:ascii="Cambria Math" w:hAnsi="Cambria Math"/>
                    <w:sz w:val="20"/>
                    <w:szCs w:val="20"/>
                  </w:rPr>
                  <m:t>(U-</m:t>
                </m:r>
                <m:sSup>
                  <m:sSupPr>
                    <m:ctrlPr>
                      <w:rPr>
                        <w:rFonts w:ascii="Cambria Math" w:hAnsi="Cambria Math"/>
                        <w:i/>
                        <w:sz w:val="20"/>
                        <w:szCs w:val="20"/>
                      </w:rPr>
                    </m:ctrlPr>
                  </m:sSupPr>
                  <m:e>
                    <m:r>
                      <w:rPr>
                        <w:rFonts w:ascii="Cambria Math" w:hAnsi="Cambria Math"/>
                        <w:sz w:val="20"/>
                        <w:szCs w:val="20"/>
                      </w:rPr>
                      <m:t>U</m:t>
                    </m:r>
                  </m:e>
                  <m:sup>
                    <m:r>
                      <w:rPr>
                        <w:rFonts w:ascii="Cambria Math" w:hAnsi="Cambria Math"/>
                        <w:sz w:val="20"/>
                        <w:szCs w:val="20"/>
                      </w:rPr>
                      <m:t>0</m:t>
                    </m:r>
                  </m:sup>
                </m:sSup>
                <m:r>
                  <w:rPr>
                    <w:rFonts w:ascii="Cambria Math" w:hAnsi="Cambria Math"/>
                    <w:sz w:val="20"/>
                    <w:szCs w:val="20"/>
                  </w:rPr>
                  <m:t>)</m:t>
                </m:r>
              </m:oMath>
            </m:oMathPara>
          </w:p>
        </w:tc>
        <w:tc>
          <w:tcPr>
            <w:tcW w:w="1134" w:type="dxa"/>
            <w:tcMar>
              <w:left w:w="28" w:type="dxa"/>
              <w:right w:w="28" w:type="dxa"/>
            </w:tcMar>
            <w:vAlign w:val="center"/>
          </w:tcPr>
          <w:p w14:paraId="545B1D55" w14:textId="7B8F3A3C" w:rsidR="00D34093" w:rsidRPr="00D34093" w:rsidRDefault="00D34093" w:rsidP="00E45E28">
            <w:pPr>
              <w:keepNext/>
              <w:jc w:val="right"/>
              <w:rPr>
                <w:bCs/>
                <w:sz w:val="20"/>
                <w:szCs w:val="20"/>
              </w:rPr>
            </w:pPr>
            <w:r w:rsidRPr="00D34093">
              <w:rPr>
                <w:sz w:val="20"/>
                <w:szCs w:val="20"/>
              </w:rPr>
              <w:t xml:space="preserve">Equation </w:t>
            </w:r>
            <w:r w:rsidRPr="00D34093">
              <w:rPr>
                <w:sz w:val="20"/>
                <w:szCs w:val="20"/>
              </w:rPr>
              <w:fldChar w:fldCharType="begin"/>
            </w:r>
            <w:r w:rsidRPr="00D34093">
              <w:rPr>
                <w:sz w:val="20"/>
                <w:szCs w:val="20"/>
              </w:rPr>
              <w:instrText xml:space="preserve"> SEQ Equation \* ARABIC </w:instrText>
            </w:r>
            <w:r w:rsidRPr="00D34093">
              <w:rPr>
                <w:sz w:val="20"/>
                <w:szCs w:val="20"/>
              </w:rPr>
              <w:fldChar w:fldCharType="separate"/>
            </w:r>
            <w:r w:rsidR="00B7319C">
              <w:rPr>
                <w:noProof/>
                <w:sz w:val="20"/>
                <w:szCs w:val="20"/>
              </w:rPr>
              <w:t>82</w:t>
            </w:r>
            <w:r w:rsidRPr="00D34093">
              <w:rPr>
                <w:sz w:val="20"/>
                <w:szCs w:val="20"/>
              </w:rPr>
              <w:fldChar w:fldCharType="end"/>
            </w:r>
          </w:p>
        </w:tc>
      </w:tr>
    </w:tbl>
    <w:p w14:paraId="3D6F8374" w14:textId="1600D988" w:rsidR="00B4084C" w:rsidRDefault="00B4084C" w:rsidP="00B4084C">
      <w:pPr>
        <w:rPr>
          <w:rFonts w:eastAsiaTheme="minorEastAsia"/>
        </w:rPr>
      </w:pPr>
      <w:r>
        <w:t xml:space="preserve">where </w:t>
      </w:r>
      <m:oMath>
        <m:sSup>
          <m:sSupPr>
            <m:ctrlPr>
              <w:rPr>
                <w:rFonts w:ascii="Cambria Math" w:hAnsi="Cambria Math"/>
                <w:i/>
              </w:rPr>
            </m:ctrlPr>
          </m:sSupPr>
          <m:e>
            <m:r>
              <w:rPr>
                <w:rFonts w:ascii="Cambria Math" w:hAnsi="Cambria Math"/>
              </w:rPr>
              <m:t>U</m:t>
            </m:r>
          </m:e>
          <m:sup>
            <m:r>
              <w:rPr>
                <w:rFonts w:ascii="Cambria Math" w:hAnsi="Cambria Math"/>
              </w:rPr>
              <m:t>0</m:t>
            </m:r>
          </m:sup>
        </m:sSup>
      </m:oMath>
      <w:r>
        <w:rPr>
          <w:rFonts w:eastAsiaTheme="minorEastAsia"/>
        </w:rPr>
        <w:t xml:space="preserve"> is the equilibrium potential for the reductive adsorption of a proton and </w:t>
      </w:r>
      <m:oMath>
        <m:sSup>
          <m:sSupPr>
            <m:ctrlPr>
              <w:rPr>
                <w:rFonts w:ascii="Cambria Math" w:hAnsi="Cambria Math"/>
                <w:i/>
              </w:rPr>
            </m:ctrlPr>
          </m:sSupPr>
          <m:e>
            <m:r>
              <w:rPr>
                <w:rFonts w:ascii="Cambria Math" w:hAnsi="Cambria Math"/>
              </w:rPr>
              <m:t>β</m:t>
            </m:r>
          </m:e>
          <m:sup>
            <m:r>
              <w:rPr>
                <w:rFonts w:ascii="Cambria Math" w:hAnsi="Cambria Math"/>
              </w:rPr>
              <m:t>'</m:t>
            </m:r>
          </m:sup>
        </m:sSup>
      </m:oMath>
      <w:r>
        <w:rPr>
          <w:rFonts w:eastAsiaTheme="minorEastAsia"/>
        </w:rPr>
        <w:t>, the symmetry factor or transfer coefficient</w:t>
      </w:r>
      <w:r>
        <w:rPr>
          <w:rFonts w:eastAsiaTheme="minorEastAsia"/>
        </w:rPr>
        <w:fldChar w:fldCharType="begin"/>
      </w:r>
      <w:r w:rsidR="00FC5BEB">
        <w:rPr>
          <w:rFonts w:eastAsiaTheme="minorEastAsia"/>
        </w:rPr>
        <w:instrText xml:space="preserve"> ADDIN EN.CITE &lt;EndNote&gt;&lt;Cite&gt;&lt;Author&gt;Guidelli&lt;/Author&gt;&lt;Year&gt;2014&lt;/Year&gt;&lt;RecNum&gt;79&lt;/RecNum&gt;&lt;DisplayText&gt;&lt;style face="superscript"&gt;81&lt;/style&gt;&lt;/DisplayText&gt;&lt;record&gt;&lt;rec-number&gt;79&lt;/rec-number&gt;&lt;foreign-keys&gt;&lt;key app="EN" db-id="2xex0erf4eexr4e2dpbxpdd829xttesxxxdr" timestamp="1715075296"&gt;79&lt;/key&gt;&lt;/foreign-keys&gt;&lt;ref-type name="Journal Article"&gt;17&lt;/ref-type&gt;&lt;contributors&gt;&lt;authors&gt;&lt;author&gt;Rolando Guidelli&lt;/author&gt;&lt;author&gt;Richard G. Compton&lt;/author&gt;&lt;author&gt;Juan M. Feliu&lt;/author&gt;&lt;author&gt;Eliezer Gileadi&lt;/author&gt;&lt;author&gt;Jacek Lipkowski&lt;/author&gt;&lt;author&gt;Wolfgang Schmickler&lt;/author&gt;&lt;author&gt;Sergio Trasatti&lt;/author&gt;&lt;/authors&gt;&lt;/contributors&gt;&lt;titles&gt;&lt;title&gt;Defining the transfer coefficient in electrochemistry: An assessment (IUPAC Technical Report)&lt;/title&gt;&lt;secondary-title&gt;Pure and Applied Chemistry&lt;/secondary-title&gt;&lt;/titles&gt;&lt;periodical&gt;&lt;full-title&gt;Pure and Applied Chemistry&lt;/full-title&gt;&lt;abbr-1&gt;Pure Appl. Chem.&lt;/abbr-1&gt;&lt;abbr-2&gt;Pure Appl Chem&lt;/abbr-2&gt;&lt;/periodical&gt;&lt;pages&gt;245-258&lt;/pages&gt;&lt;volume&gt;86&lt;/volume&gt;&lt;number&gt;2&lt;/number&gt;&lt;dates&gt;&lt;year&gt;2014&lt;/year&gt;&lt;/dates&gt;&lt;urls&gt;&lt;related-urls&gt;&lt;url&gt;https://doi.org/10.1515/pac-2014-5026&lt;/url&gt;&lt;/related-urls&gt;&lt;/urls&gt;&lt;electronic-resource-num&gt;doi:10.1515/pac-2014-5026&lt;/electronic-resource-num&gt;&lt;access-date&gt;2023-11-15&lt;/access-date&gt;&lt;/record&gt;&lt;/Cite&gt;&lt;/EndNote&gt;</w:instrText>
      </w:r>
      <w:r>
        <w:rPr>
          <w:rFonts w:eastAsiaTheme="minorEastAsia"/>
        </w:rPr>
        <w:fldChar w:fldCharType="separate"/>
      </w:r>
      <w:r w:rsidR="00FC5BEB" w:rsidRPr="00FC5BEB">
        <w:rPr>
          <w:rFonts w:eastAsiaTheme="minorEastAsia"/>
          <w:noProof/>
          <w:vertAlign w:val="superscript"/>
        </w:rPr>
        <w:t>81</w:t>
      </w:r>
      <w:r>
        <w:rPr>
          <w:rFonts w:eastAsiaTheme="minorEastAsia"/>
        </w:rPr>
        <w:fldChar w:fldCharType="end"/>
      </w:r>
      <w:r>
        <w:rPr>
          <w:rFonts w:eastAsiaTheme="minorEastAsia"/>
        </w:rPr>
        <w:t xml:space="preserve"> (i.e. the fraction of the applied potential by which the barrier is lowered), is approximated via </w:t>
      </w:r>
      <m:oMath>
        <m:sSup>
          <m:sSupPr>
            <m:ctrlPr>
              <w:rPr>
                <w:rFonts w:ascii="Cambria Math" w:hAnsi="Cambria Math"/>
                <w:i/>
              </w:rPr>
            </m:ctrlPr>
          </m:sSupPr>
          <m:e>
            <m:r>
              <w:rPr>
                <w:rFonts w:ascii="Cambria Math" w:hAnsi="Cambria Math"/>
              </w:rPr>
              <m:t>β</m:t>
            </m:r>
          </m:e>
          <m:sup>
            <m:r>
              <w:rPr>
                <w:rFonts w:ascii="Cambria Math" w:hAnsi="Cambria Math"/>
              </w:rPr>
              <m:t>'</m:t>
            </m:r>
          </m:sup>
        </m:sSup>
        <m:r>
          <w:rPr>
            <w:rFonts w:ascii="Cambria Math" w:hAnsi="Cambria Math"/>
          </w:rPr>
          <m:t>= 0.5+(</m:t>
        </m:r>
        <m:sSub>
          <m:sSubPr>
            <m:ctrlPr>
              <w:rPr>
                <w:rFonts w:ascii="Cambria Math" w:hAnsi="Cambria Math"/>
                <w:i/>
              </w:rPr>
            </m:ctrlPr>
          </m:sSubPr>
          <m:e>
            <m:r>
              <w:rPr>
                <w:rFonts w:ascii="Cambria Math" w:hAnsi="Cambria Math"/>
              </w:rPr>
              <m:t>μ</m:t>
            </m:r>
          </m:e>
          <m:sub>
            <m:r>
              <w:rPr>
                <w:rFonts w:ascii="Cambria Math" w:hAnsi="Cambria Math"/>
              </w:rPr>
              <m:t>TS</m:t>
            </m:r>
          </m:sub>
        </m:sSub>
        <m:r>
          <w:rPr>
            <w:rFonts w:ascii="Cambria Math" w:hAnsi="Cambria Math"/>
          </w:rPr>
          <m:t>-</m:t>
        </m:r>
        <m:sSub>
          <m:sSubPr>
            <m:ctrlPr>
              <w:rPr>
                <w:rFonts w:ascii="Cambria Math" w:hAnsi="Cambria Math"/>
                <w:i/>
              </w:rPr>
            </m:ctrlPr>
          </m:sSubPr>
          <m:e>
            <m:r>
              <w:rPr>
                <w:rFonts w:ascii="Cambria Math" w:hAnsi="Cambria Math"/>
              </w:rPr>
              <m:t>μ</m:t>
            </m:r>
          </m:e>
          <m:sub>
            <m:r>
              <m:rPr>
                <m:sty m:val="p"/>
              </m:rPr>
              <w:rPr>
                <w:rFonts w:ascii="Cambria Math" w:hAnsi="Cambria Math"/>
              </w:rPr>
              <m:t>reactant</m:t>
            </m:r>
          </m:sub>
        </m:sSub>
        <m:r>
          <w:rPr>
            <w:rFonts w:ascii="Cambria Math" w:hAnsi="Cambria Math"/>
          </w:rPr>
          <m:t>)/d</m:t>
        </m:r>
      </m:oMath>
      <w:r>
        <w:rPr>
          <w:rFonts w:eastAsiaTheme="minorEastAsia"/>
        </w:rPr>
        <w:t xml:space="preserve">. Here </w:t>
      </w:r>
      <m:oMath>
        <m:r>
          <w:rPr>
            <w:rFonts w:ascii="Cambria Math" w:hAnsi="Cambria Math"/>
          </w:rPr>
          <m:t>μ</m:t>
        </m:r>
      </m:oMath>
      <w:r>
        <w:rPr>
          <w:rFonts w:eastAsiaTheme="minorEastAsia"/>
        </w:rPr>
        <w:t xml:space="preserve"> is the dipole moment and </w:t>
      </w:r>
      <m:oMath>
        <m:r>
          <w:rPr>
            <w:rFonts w:ascii="Cambria Math" w:hAnsi="Cambria Math"/>
          </w:rPr>
          <m:t>d</m:t>
        </m:r>
      </m:oMath>
      <w:r>
        <w:rPr>
          <w:rFonts w:eastAsiaTheme="minorEastAsia"/>
        </w:rPr>
        <w:t xml:space="preserve"> is the double layer thickness, assumed to be 3 Å. The authors found that the effect of the 1-2 water molecules added to model the solvent is minor; moreover, the symmetry factor </w:t>
      </w:r>
      <m:oMath>
        <m:sSup>
          <m:sSupPr>
            <m:ctrlPr>
              <w:rPr>
                <w:rFonts w:ascii="Cambria Math" w:hAnsi="Cambria Math"/>
                <w:i/>
              </w:rPr>
            </m:ctrlPr>
          </m:sSupPr>
          <m:e>
            <m:r>
              <w:rPr>
                <w:rFonts w:ascii="Cambria Math" w:hAnsi="Cambria Math"/>
              </w:rPr>
              <m:t>β</m:t>
            </m:r>
          </m:e>
          <m:sup>
            <m:r>
              <w:rPr>
                <w:rFonts w:ascii="Cambria Math" w:hAnsi="Cambria Math"/>
              </w:rPr>
              <m:t>'</m:t>
            </m:r>
          </m:sup>
        </m:sSup>
      </m:oMath>
      <w:r>
        <w:rPr>
          <w:rFonts w:eastAsiaTheme="minorEastAsia"/>
        </w:rPr>
        <w:t xml:space="preserve"> is determined to be in the range 0.4-0.6, i.e. it does not deviate substantially from 0.5. This, however, is not always the case: Kastlunger et al.</w:t>
      </w:r>
      <w:r>
        <w:rPr>
          <w:rFonts w:eastAsiaTheme="minorEastAsia"/>
        </w:rPr>
        <w:fldChar w:fldCharType="begin"/>
      </w:r>
      <w:r w:rsidR="00FC5BEB">
        <w:rPr>
          <w:rFonts w:eastAsiaTheme="minorEastAsia"/>
        </w:rPr>
        <w:instrText xml:space="preserve"> ADDIN EN.CITE &lt;EndNote&gt;&lt;Cite&gt;&lt;Author&gt;Kastlunger&lt;/Author&gt;&lt;Year&gt;2018&lt;/Year&gt;&lt;RecNum&gt;499&lt;/RecNum&gt;&lt;DisplayText&gt;&lt;style face="superscript"&gt;501&lt;/style&gt;&lt;/DisplayText&gt;&lt;record&gt;&lt;rec-number&gt;499&lt;/rec-number&gt;&lt;foreign-keys&gt;&lt;key app="EN" db-id="2xex0erf4eexr4e2dpbxpdd829xttesxxxdr" timestamp="1715075297"&gt;499&lt;/key&gt;&lt;/foreign-keys&gt;&lt;ref-type name="Journal Article"&gt;17&lt;/ref-type&gt;&lt;contributors&gt;&lt;authors&gt;&lt;author&gt;Kastlunger, Georg&lt;/author&gt;&lt;author&gt;Lindgren, Per&lt;/author&gt;&lt;author&gt;Peterson, Andrew A.&lt;/author&gt;&lt;/authors&gt;&lt;/contributors&gt;&lt;titles&gt;&lt;title&gt;Controlled-Potential Simulation of Elementary Electrochemical Reactions: Proton Discharge on Metal Surfaces&lt;/title&gt;&lt;secondary-title&gt;Journal of Physical Chemistry C&lt;/secondary-title&gt;&lt;/titles&gt;&lt;periodical&gt;&lt;full-title&gt;Journal of Physical Chemistry C&lt;/full-title&gt;&lt;abbr-1&gt;J. Phys. Chem. C&lt;/abbr-1&gt;&lt;/periodical&gt;&lt;pages&gt;12771-12781&lt;/pages&gt;&lt;volume&gt;122&lt;/volume&gt;&lt;number&gt;24&lt;/number&gt;&lt;dates&gt;&lt;year&gt;2018&lt;/year&gt;&lt;/dates&gt;&lt;publisher&gt;American Chemical Society&lt;/publisher&gt;&lt;urls&gt;&lt;related-urls&gt;&lt;url&gt;https://pubs.acs.org/doi/pdf/10.1021/acs.jpcc.8b02465&lt;/url&gt;&lt;/related-urls&gt;&lt;pdf-urls&gt;&lt;url&gt;file://localhost/localhost/Users/piccinin/Literature/acs.jpcc.8b02465.pdf&lt;/url&gt;&lt;/pdf-urls&gt;&lt;/urls&gt;&lt;electronic-resource-num&gt;10.1021/acs.jpcc.8b02465&lt;/electronic-resource-num&gt;&lt;/record&gt;&lt;/Cite&gt;&lt;/EndNote&gt;</w:instrText>
      </w:r>
      <w:r>
        <w:rPr>
          <w:rFonts w:eastAsiaTheme="minorEastAsia"/>
        </w:rPr>
        <w:fldChar w:fldCharType="separate"/>
      </w:r>
      <w:r w:rsidR="00FC5BEB" w:rsidRPr="00FC5BEB">
        <w:rPr>
          <w:rFonts w:eastAsiaTheme="minorEastAsia"/>
          <w:noProof/>
          <w:vertAlign w:val="superscript"/>
        </w:rPr>
        <w:t>501</w:t>
      </w:r>
      <w:r>
        <w:rPr>
          <w:rFonts w:eastAsiaTheme="minorEastAsia"/>
        </w:rPr>
        <w:fldChar w:fldCharType="end"/>
      </w:r>
      <w:r>
        <w:rPr>
          <w:rFonts w:eastAsiaTheme="minorEastAsia"/>
        </w:rPr>
        <w:t xml:space="preserve">, for example, have shown that the Volmer step </w:t>
      </w:r>
      <w:r>
        <w:t>(* + H</w:t>
      </w:r>
      <w:r w:rsidRPr="00B851D0">
        <w:rPr>
          <w:vertAlign w:val="superscript"/>
        </w:rPr>
        <w:t>+</w:t>
      </w:r>
      <w:r>
        <w:t xml:space="preserve"> + </w:t>
      </w:r>
      <w:r w:rsidRPr="00EF55AE">
        <w:t>e</w:t>
      </w:r>
      <w:r w:rsidRPr="00BB64DB">
        <w:rPr>
          <w:vertAlign w:val="superscript"/>
        </w:rPr>
        <w:t>-</w:t>
      </w:r>
      <w:r>
        <w:t xml:space="preserve"> </w:t>
      </w:r>
      <w:r>
        <w:sym w:font="Symbol" w:char="F0AE"/>
      </w:r>
      <w:r>
        <w:t xml:space="preserve"> *H</w:t>
      </w:r>
      <w:r>
        <w:rPr>
          <w:rFonts w:eastAsiaTheme="minorEastAsia"/>
        </w:rPr>
        <w:t>) in the HER on Au(111) has a symmetry factor close to unity.</w:t>
      </w:r>
    </w:p>
    <w:p w14:paraId="7A12C4BD" w14:textId="77777777" w:rsidR="00B4084C" w:rsidRDefault="00B4084C" w:rsidP="00B4084C"/>
    <w:p w14:paraId="3D12916E" w14:textId="50A913E9" w:rsidR="00B4084C" w:rsidRDefault="00B4084C" w:rsidP="00D34093">
      <w:pPr>
        <w:ind w:firstLine="720"/>
        <w:rPr>
          <w:rFonts w:eastAsiaTheme="minorEastAsia"/>
        </w:rPr>
      </w:pPr>
      <w:r>
        <w:t>A system where several groups adopted an explicit and dynamical model of the solvent is the photoelectrochemical OER on TiO</w:t>
      </w:r>
      <w:r w:rsidRPr="00480BD1">
        <w:rPr>
          <w:vertAlign w:val="subscript"/>
        </w:rPr>
        <w:t>2</w:t>
      </w:r>
      <w:r>
        <w:t>. Chen et al.</w:t>
      </w:r>
      <w:r>
        <w:fldChar w:fldCharType="begin"/>
      </w:r>
      <w:r w:rsidR="00FC5BEB">
        <w:instrText xml:space="preserve"> ADDIN EN.CITE &lt;EndNote&gt;&lt;Cite&gt;&lt;Author&gt;Chen&lt;/Author&gt;&lt;Year&gt;2013&lt;/Year&gt;&lt;RecNum&gt;500&lt;/RecNum&gt;&lt;DisplayText&gt;&lt;style face="superscript"&gt;502&lt;/style&gt;&lt;/DisplayText&gt;&lt;record&gt;&lt;rec-number&gt;500&lt;/rec-number&gt;&lt;foreign-keys&gt;&lt;key app="EN" db-id="2xex0erf4eexr4e2dpbxpdd829xttesxxxdr" timestamp="1715075297"&gt;500&lt;/key&gt;&lt;/foreign-keys&gt;&lt;ref-type name="Journal Article"&gt;17&lt;/ref-type&gt;&lt;contributors&gt;&lt;authors&gt;&lt;author&gt;Chen, Jia&lt;/author&gt;&lt;author&gt;Li, Ye-Fei&lt;/author&gt;&lt;author&gt;Sit, Patrick&lt;/author&gt;&lt;author&gt;Selloni, Annabella&lt;/author&gt;&lt;/authors&gt;&lt;/contributors&gt;&lt;titles&gt;&lt;title&gt;Chemical Dynamics of the First Proton-Coupled Electron Transfer of Water Oxidation on TiO2 Anatase&lt;/title&gt;&lt;secondary-title&gt;Journal of the American Chemical Society&lt;/secondary-title&gt;&lt;/titles&gt;&lt;periodical&gt;&lt;full-title&gt;Journal of the American Chemical Society&lt;/full-title&gt;&lt;abbr-1&gt;J. Am. Chem. Soc.&lt;/abbr-1&gt;&lt;abbr-2&gt;J Am Chem Soc&lt;/abbr-2&gt;&lt;/periodical&gt;&lt;pages&gt;18774-18777&lt;/pages&gt;&lt;volume&gt;135&lt;/volume&gt;&lt;number&gt;50&lt;/number&gt;&lt;dates&gt;&lt;year&gt;2013&lt;/year&gt;&lt;pub-dates&gt;&lt;date&gt;2013/12/18&lt;/date&gt;&lt;/pub-dates&gt;&lt;/dates&gt;&lt;publisher&gt;American Chemical Society&lt;/publisher&gt;&lt;isbn&gt;0002-7863&lt;/isbn&gt;&lt;urls&gt;&lt;related-urls&gt;&lt;url&gt;https://doi.org/10.1021/ja410685m&lt;/url&gt;&lt;/related-urls&gt;&lt;/urls&gt;&lt;electronic-resource-num&gt;10.1021/ja410685m&lt;/electronic-resource-num&gt;&lt;/record&gt;&lt;/Cite&gt;&lt;/EndNote&gt;</w:instrText>
      </w:r>
      <w:r>
        <w:fldChar w:fldCharType="separate"/>
      </w:r>
      <w:r w:rsidR="00FC5BEB" w:rsidRPr="00FC5BEB">
        <w:rPr>
          <w:noProof/>
          <w:vertAlign w:val="superscript"/>
        </w:rPr>
        <w:t>502</w:t>
      </w:r>
      <w:r>
        <w:fldChar w:fldCharType="end"/>
      </w:r>
      <w:r>
        <w:t xml:space="preserve"> focused on the kinetics of the first PCET step, H</w:t>
      </w:r>
      <w:r w:rsidRPr="00B95332">
        <w:rPr>
          <w:vertAlign w:val="subscript"/>
        </w:rPr>
        <w:t>2</w:t>
      </w:r>
      <w:r>
        <w:t>O* + h</w:t>
      </w:r>
      <w:r w:rsidRPr="00B95332">
        <w:rPr>
          <w:vertAlign w:val="superscript"/>
        </w:rPr>
        <w:t>+</w:t>
      </w:r>
      <w:r>
        <w:t xml:space="preserve"> </w:t>
      </w:r>
      <w:r>
        <w:sym w:font="Symbol" w:char="F0AE"/>
      </w:r>
      <w:r>
        <w:t xml:space="preserve"> *OH + H</w:t>
      </w:r>
      <w:r w:rsidRPr="00B95332">
        <w:rPr>
          <w:vertAlign w:val="superscript"/>
        </w:rPr>
        <w:t>+</w:t>
      </w:r>
      <w:r>
        <w:t>(</w:t>
      </w:r>
      <w:proofErr w:type="spellStart"/>
      <w:r>
        <w:t>aq</w:t>
      </w:r>
      <w:proofErr w:type="spellEnd"/>
      <w:r>
        <w:t>),</w:t>
      </w:r>
      <w:r>
        <w:rPr>
          <w:rFonts w:eastAsiaTheme="minorEastAsia"/>
        </w:rPr>
        <w:t xml:space="preserve"> which is generally expected to be rate determining.</w:t>
      </w:r>
      <w:r>
        <w:rPr>
          <w:rFonts w:eastAsiaTheme="minorEastAsia"/>
        </w:rPr>
        <w:fldChar w:fldCharType="begin">
          <w:fldData xml:space="preserve">PEVuZE5vdGU+PENpdGU+PEF1dGhvcj5PYmVyaG9mZXI8L0F1dGhvcj48WWVhcj4yMDEzPC9ZZWFy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</w:fldData>
        </w:fldChar>
      </w:r>
      <w:r w:rsidR="00FC5BEB">
        <w:rPr>
          <w:rFonts w:eastAsiaTheme="minorEastAsia"/>
        </w:rPr>
        <w:instrText xml:space="preserve"> ADDIN EN.CITE </w:instrText>
      </w:r>
      <w:r w:rsidR="00FC5BEB">
        <w:rPr>
          <w:rFonts w:eastAsiaTheme="minorEastAsia"/>
        </w:rPr>
        <w:fldChar w:fldCharType="begin">
          <w:fldData xml:space="preserve">PEVuZE5vdGU+PENpdGU+PEF1dGhvcj5PYmVyaG9mZXI8L0F1dGhvcj48WWVhcj4yMDEzPC9ZZWFy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</w:fldData>
        </w:fldChar>
      </w:r>
      <w:r w:rsidR="00FC5BEB">
        <w:rPr>
          <w:rFonts w:eastAsiaTheme="minorEastAsia"/>
        </w:rPr>
        <w:instrText xml:space="preserve"> ADDIN EN.CITE.DATA </w:instrText>
      </w:r>
      <w:r w:rsidR="00FC5BEB">
        <w:rPr>
          <w:rFonts w:eastAsiaTheme="minorEastAsia"/>
        </w:rPr>
      </w:r>
      <w:r w:rsidR="00FC5BEB">
        <w:rPr>
          <w:rFonts w:eastAsiaTheme="minorEastAsia"/>
        </w:rPr>
        <w:fldChar w:fldCharType="end"/>
      </w:r>
      <w:r>
        <w:rPr>
          <w:rFonts w:eastAsiaTheme="minorEastAsia"/>
        </w:rPr>
      </w:r>
      <w:r>
        <w:rPr>
          <w:rFonts w:eastAsiaTheme="minorEastAsia"/>
        </w:rPr>
        <w:fldChar w:fldCharType="separate"/>
      </w:r>
      <w:r w:rsidR="00FC5BEB" w:rsidRPr="00FC5BEB">
        <w:rPr>
          <w:rFonts w:eastAsiaTheme="minorEastAsia"/>
          <w:noProof/>
          <w:vertAlign w:val="superscript"/>
        </w:rPr>
        <w:t>201, 503</w:t>
      </w:r>
      <w:r>
        <w:rPr>
          <w:rFonts w:eastAsiaTheme="minorEastAsia"/>
        </w:rPr>
        <w:fldChar w:fldCharType="end"/>
      </w:r>
      <w:r>
        <w:rPr>
          <w:rFonts w:eastAsiaTheme="minorEastAsia"/>
        </w:rPr>
        <w:t xml:space="preserve"> They considered the anatase (101) surface, first </w:t>
      </w:r>
      <w:r w:rsidR="002A338C">
        <w:rPr>
          <w:rFonts w:eastAsiaTheme="minorEastAsia"/>
        </w:rPr>
        <w:t>modeling</w:t>
      </w:r>
      <w:r>
        <w:rPr>
          <w:rFonts w:eastAsiaTheme="minorEastAsia"/>
        </w:rPr>
        <w:t xml:space="preserve"> the system via FPMD, then they selected three snapshots, removed one electron from the systems and optimized the geometry using hybrid functionals, which leads to hole localization on a surface oxygen atom. From these geometries they calculated the energy profile for proton transfer in two electronic configurations, one where the hole remains localized on the surface, and one where the hole is transferred to the water ligand (see </w:t>
      </w:r>
      <w:r>
        <w:rPr>
          <w:rFonts w:eastAsiaTheme="minorEastAsia"/>
        </w:rPr>
        <w:fldChar w:fldCharType="begin"/>
      </w:r>
      <w:r>
        <w:rPr>
          <w:rFonts w:eastAsiaTheme="minorEastAsia"/>
        </w:rPr>
        <w:instrText xml:space="preserve"> REF _Ref152071340 \h </w:instrText>
      </w:r>
      <w:r>
        <w:rPr>
          <w:rFonts w:eastAsiaTheme="minorEastAsia"/>
        </w:rPr>
      </w:r>
      <w:r>
        <w:rPr>
          <w:rFonts w:eastAsiaTheme="minorEastAsia"/>
        </w:rPr>
        <w:fldChar w:fldCharType="separate"/>
      </w:r>
      <w:r w:rsidR="00B7319C" w:rsidRPr="00D34093">
        <w:rPr>
          <w:b/>
        </w:rPr>
        <w:t xml:space="preserve">Figure </w:t>
      </w:r>
      <w:r w:rsidR="00B7319C">
        <w:rPr>
          <w:b/>
          <w:bCs/>
          <w:noProof/>
        </w:rPr>
        <w:t>48</w:t>
      </w:r>
      <w:r>
        <w:rPr>
          <w:rFonts w:eastAsiaTheme="minorEastAsia"/>
        </w:rPr>
        <w:fldChar w:fldCharType="end"/>
      </w:r>
      <w:r>
        <w:rPr>
          <w:rFonts w:eastAsiaTheme="minorEastAsia"/>
        </w:rPr>
        <w:t xml:space="preserve">). These two electronic configurations mimic the diabatic states corresponding to hole transfer. The reaction coordinate adopted for the proton transfer is the difference in the distance between the proton and two O atoms (one of the surface water ligands and one of the solvent water molecules the proton transfers to), and the energy profile is obtained via a structural optimization with a constraint on the reaction coordinate. </w:t>
      </w:r>
    </w:p>
    <w:p w14:paraId="0C61EBBA" w14:textId="77777777" w:rsidR="00B4084C" w:rsidRDefault="00B4084C" w:rsidP="00B4084C"/>
    <w:p w14:paraId="239CEBFB" w14:textId="77777777" w:rsidR="00B4084C" w:rsidRDefault="00B4084C" w:rsidP="001C1AC5">
      <w:pPr>
        <w:keepNext/>
        <w:jc w:val="center"/>
      </w:pPr>
      <w:r>
        <w:rPr>
          <w:noProof/>
        </w:rPr>
        <w:drawing>
          <wp:inline distT="0" distB="0" distL="0" distR="0" wp14:anchorId="3DACBA8B" wp14:editId="5C4F9A86">
            <wp:extent cx="2048000" cy="2880000"/>
            <wp:effectExtent l="0" t="0" r="0" b="317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Chen_JACS2013_Fig2_exp.jp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2048000" cy="2880000"/>
                    </a:xfrm>
                    <a:prstGeom prst="rect">
                      <a:avLst/>
                    </a:prstGeom>
                  </pic:spPr>
                </pic:pic>
              </a:graphicData>
            </a:graphic>
          </wp:inline>
        </w:drawing>
      </w:r>
    </w:p>
    <w:p w14:paraId="5615B281" w14:textId="6779660A" w:rsidR="00B4084C" w:rsidRDefault="00B4084C" w:rsidP="00B4084C">
      <w:pPr>
        <w:pStyle w:val="Caption"/>
      </w:pPr>
      <w:bookmarkStart w:id="149" w:name="_Ref152071340"/>
      <w:r w:rsidRPr="00D34093">
        <w:rPr>
          <w:b/>
          <w:bCs w:val="0"/>
          <w:sz w:val="22"/>
        </w:rPr>
        <w:t xml:space="preserve">Figure </w:t>
      </w:r>
      <w:r w:rsidRPr="00D34093">
        <w:rPr>
          <w:b/>
          <w:bCs w:val="0"/>
          <w:sz w:val="22"/>
        </w:rPr>
        <w:fldChar w:fldCharType="begin"/>
      </w:r>
      <w:r w:rsidRPr="00D34093">
        <w:rPr>
          <w:b/>
          <w:bCs w:val="0"/>
          <w:sz w:val="22"/>
        </w:rPr>
        <w:instrText xml:space="preserve"> SEQ Figure \* ARABIC </w:instrText>
      </w:r>
      <w:r w:rsidRPr="00D34093">
        <w:rPr>
          <w:b/>
          <w:bCs w:val="0"/>
          <w:sz w:val="22"/>
        </w:rPr>
        <w:fldChar w:fldCharType="separate"/>
      </w:r>
      <w:r w:rsidR="00B7319C">
        <w:rPr>
          <w:b/>
          <w:bCs w:val="0"/>
          <w:noProof/>
          <w:sz w:val="22"/>
        </w:rPr>
        <w:t>48</w:t>
      </w:r>
      <w:r w:rsidRPr="00D34093">
        <w:rPr>
          <w:b/>
          <w:bCs w:val="0"/>
          <w:noProof/>
          <w:sz w:val="22"/>
        </w:rPr>
        <w:fldChar w:fldCharType="end"/>
      </w:r>
      <w:bookmarkEnd w:id="149"/>
      <w:r w:rsidRPr="00913589">
        <w:t xml:space="preserve"> (Top) PT energy profiles in the surface-hole (</w:t>
      </w:r>
      <w:proofErr w:type="spellStart"/>
      <w:proofErr w:type="gramStart"/>
      <w:r>
        <w:t>a,b</w:t>
      </w:r>
      <w:proofErr w:type="spellEnd"/>
      <w:proofErr w:type="gramEnd"/>
      <w:r w:rsidRPr="00913589">
        <w:t>) and water-hole (</w:t>
      </w:r>
      <w:proofErr w:type="spellStart"/>
      <w:r>
        <w:t>c,d</w:t>
      </w:r>
      <w:proofErr w:type="spellEnd"/>
      <w:r w:rsidRPr="00913589">
        <w:t>) states for a selected configuration along the FPMD trajectory of an anatase TiO</w:t>
      </w:r>
      <w:r w:rsidRPr="00D716F8">
        <w:rPr>
          <w:vertAlign w:val="subscript"/>
        </w:rPr>
        <w:t>2</w:t>
      </w:r>
      <w:r w:rsidRPr="00913589">
        <w:t>(101) slab in contact with liquid water. (Bottom) Spin density (0.01 au contour) of the water-hole and surface-hole states before and after the proton transfer.</w:t>
      </w:r>
      <w:r>
        <w:t xml:space="preserve"> Adapted </w:t>
      </w:r>
      <w:r w:rsidR="00672CE6">
        <w:t xml:space="preserve">with permission </w:t>
      </w:r>
      <w:r>
        <w:t>from Ref.</w:t>
      </w:r>
      <w:r>
        <w:fldChar w:fldCharType="begin"/>
      </w:r>
      <w:r w:rsidR="00FC5BEB">
        <w:instrText xml:space="preserve"> ADDIN EN.CITE &lt;EndNote&gt;&lt;Cite&gt;&lt;Author&gt;Chen&lt;/Author&gt;&lt;Year&gt;2013&lt;/Year&gt;&lt;RecNum&gt;500&lt;/RecNum&gt;&lt;DisplayText&gt;&lt;style face="superscript"&gt;502&lt;/style&gt;&lt;/DisplayText&gt;&lt;record&gt;&lt;rec-number&gt;500&lt;/rec-number&gt;&lt;foreign-keys&gt;&lt;key app="EN" db-id="2xex0erf4eexr4e2dpbxpdd829xttesxxxdr" timestamp="1715075297"&gt;500&lt;/key&gt;&lt;/foreign-keys&gt;&lt;ref-type name="Journal Article"&gt;17&lt;/ref-type&gt;&lt;contributors&gt;&lt;authors&gt;&lt;author&gt;Chen, Jia&lt;/author&gt;&lt;author&gt;Li, Ye-Fei&lt;/author&gt;&lt;author&gt;Sit, Patrick&lt;/author&gt;&lt;author&gt;Selloni, Annabella&lt;/author&gt;&lt;/authors&gt;&lt;/contributors&gt;&lt;titles&gt;&lt;title&gt;Chemical Dynamics of the First Proton-Coupled Electron Transfer of Water Oxidation on TiO2 Anatase&lt;/title&gt;&lt;secondary-title&gt;Journal of the American Chemical Society&lt;/secondary-title&gt;&lt;/titles&gt;&lt;periodical&gt;&lt;full-title&gt;Journal of the American Chemical Society&lt;/full-title&gt;&lt;abbr-1&gt;J. Am. Chem. Soc.&lt;/abbr-1&gt;&lt;abbr-2&gt;J Am Chem Soc&lt;/abbr-2&gt;&lt;/periodical&gt;&lt;pages&gt;18774-18777&lt;/pages&gt;&lt;volume&gt;135&lt;/volume&gt;&lt;number&gt;50&lt;/number&gt;&lt;dates&gt;&lt;year&gt;2013&lt;/year&gt;&lt;pub-dates&gt;&lt;date&gt;2013/12/18&lt;/date&gt;&lt;/pub-dates&gt;&lt;/dates&gt;&lt;publisher&gt;American Chemical Society&lt;/publisher&gt;&lt;isbn&gt;0002-7863&lt;/isbn&gt;&lt;urls&gt;&lt;related-urls&gt;&lt;url&gt;https://doi.org/10.1021/ja410685m&lt;/url&gt;&lt;/related-urls&gt;&lt;/urls&gt;&lt;electronic-resource-num&gt;10.1021/ja410685m&lt;/electronic-resource-num&gt;&lt;/record&gt;&lt;/Cite&gt;&lt;/EndNote&gt;</w:instrText>
      </w:r>
      <w:r>
        <w:fldChar w:fldCharType="separate"/>
      </w:r>
      <w:r w:rsidR="00FC5BEB" w:rsidRPr="00FC5BEB">
        <w:rPr>
          <w:noProof/>
          <w:vertAlign w:val="superscript"/>
        </w:rPr>
        <w:t>502</w:t>
      </w:r>
      <w:r>
        <w:fldChar w:fldCharType="end"/>
      </w:r>
      <w:r w:rsidR="00C90528">
        <w:t xml:space="preserve"> </w:t>
      </w:r>
      <w:r w:rsidR="00C90528" w:rsidRPr="00C90528">
        <w:rPr>
          <w:lang w:val="en-US"/>
        </w:rPr>
        <w:t>Copyright 2013 American Chemical Society</w:t>
      </w:r>
      <w:r w:rsidR="00C90528">
        <w:rPr>
          <w:lang w:val="en-US"/>
        </w:rPr>
        <w:t>.</w:t>
      </w:r>
    </w:p>
    <w:p w14:paraId="196DF328" w14:textId="42BB31A0" w:rsidR="00B4084C" w:rsidRDefault="00B4084C" w:rsidP="00B4084C">
      <w:pPr>
        <w:rPr>
          <w:rFonts w:eastAsiaTheme="minorEastAsia"/>
        </w:rPr>
      </w:pPr>
      <w:r>
        <w:rPr>
          <w:rFonts w:eastAsiaTheme="minorEastAsia"/>
        </w:rPr>
        <w:t xml:space="preserve">Given the fact that the two potential energy curves intersect only once the proton transfer is completed, the authors conclude that the PCET is in fact not concerted but sequential, with hole transfer to form the hydroxyl radical following the proton transfer, which has a barrier of around 0.2-0.5 eV, depending on which of the three snapshots is considered. This combination of FPMD, employed to generate equilibrated structures, and transition state searches starting from snapshots of the MD and adopting a static description of the solvent, has been used also by </w:t>
      </w:r>
      <w:proofErr w:type="spellStart"/>
      <w:r>
        <w:rPr>
          <w:rFonts w:eastAsiaTheme="minorEastAsia"/>
        </w:rPr>
        <w:t>Righi</w:t>
      </w:r>
      <w:proofErr w:type="spellEnd"/>
      <w:r>
        <w:rPr>
          <w:rFonts w:eastAsiaTheme="minorEastAsia"/>
        </w:rPr>
        <w:t xml:space="preserve"> et al.</w:t>
      </w:r>
      <w:r>
        <w:rPr>
          <w:rFonts w:eastAsiaTheme="minorEastAsia"/>
        </w:rPr>
        <w:fldChar w:fldCharType="begin"/>
      </w:r>
      <w:r w:rsidR="009F6662">
        <w:rPr>
          <w:rFonts w:eastAsiaTheme="minorEastAsia"/>
        </w:rPr>
        <w:instrText xml:space="preserve"> ADDIN EN.CITE &lt;EndNote&gt;&lt;Cite&gt;&lt;Author&gt;Righi&lt;/Author&gt;&lt;Year&gt;2022&lt;/Year&gt;&lt;RecNum&gt;66&lt;/RecNum&gt;&lt;DisplayText&gt;&lt;style face="superscript"&gt;66&lt;/style&gt;&lt;/DisplayText&gt;&lt;record&gt;&lt;rec-number&gt;66&lt;/rec-number&gt;&lt;foreign-keys&gt;&lt;key app="EN" db-id="2xex0erf4eexr4e2dpbxpdd829xttesxxxdr" timestamp="1715075296"&gt;66&lt;/key&gt;&lt;/foreign-keys&gt;&lt;ref-type name="Journal Article"&gt;17&lt;/ref-type&gt;&lt;contributors&gt;&lt;authors&gt;&lt;author&gt;Righi, Giulia&lt;/author&gt;&lt;author&gt;Plescher, Julius&lt;/author&gt;&lt;author&gt;Schmidt, Franz-Philipp&lt;/author&gt;&lt;author&gt;Campen, R. Kramer&lt;/author&gt;&lt;author&gt;Fabris, Stefano&lt;/author&gt;&lt;author&gt;Knop-Gericke, Axel&lt;/author&gt;&lt;author&gt;Schlögl, Robert&lt;/author&gt;&lt;author&gt;Jones, Travis E.&lt;/author&gt;&lt;author&gt;Teschner, Detre&lt;/author&gt;&lt;author&gt;Piccinin, Simone&lt;/author&gt;&lt;/authors&gt;&lt;/contributors&gt;&lt;titles&gt;&lt;title&gt;On the origin of multihole oxygen evolution in haematite photoanodes&lt;/title&gt;&lt;secondary-title&gt;Nat. Catal.&lt;/secondary-title&gt;&lt;/titles&gt;&lt;periodical&gt;&lt;full-title&gt;Nat. Catal.&lt;/full-title&gt;&lt;abbr-1&gt;Nat. Catal.&lt;/abbr-1&gt;&lt;/periodical&gt;&lt;pages&gt;888-899&lt;/pages&gt;&lt;volume&gt;5&lt;/volume&gt;&lt;number&gt;10&lt;/number&gt;&lt;dates&gt;&lt;year&gt;2022&lt;/year&gt;&lt;/dates&gt;&lt;urls&gt;&lt;related-urls&gt;&lt;url&gt;https://doi.org/10.1038/s41929-022-00845-9&lt;/url&gt;&lt;/related-urls&gt;&lt;/urls&gt;&lt;electronic-resource-num&gt;10.1038/s41929-022-00845-9&lt;/electronic-resource-num&gt;&lt;/record&gt;&lt;/Cite&gt;&lt;/EndNote&gt;</w:instrText>
      </w:r>
      <w:r>
        <w:rPr>
          <w:rFonts w:eastAsiaTheme="minorEastAsia"/>
        </w:rPr>
        <w:fldChar w:fldCharType="separate"/>
      </w:r>
      <w:r w:rsidR="009F6662" w:rsidRPr="009F6662">
        <w:rPr>
          <w:rFonts w:eastAsiaTheme="minorEastAsia"/>
          <w:noProof/>
          <w:vertAlign w:val="superscript"/>
        </w:rPr>
        <w:t>66</w:t>
      </w:r>
      <w:r>
        <w:rPr>
          <w:rFonts w:eastAsiaTheme="minorEastAsia"/>
        </w:rPr>
        <w:fldChar w:fldCharType="end"/>
      </w:r>
      <w:r>
        <w:rPr>
          <w:rFonts w:eastAsiaTheme="minorEastAsia"/>
        </w:rPr>
        <w:t xml:space="preserve"> for the OER on Fe</w:t>
      </w:r>
      <w:r w:rsidRPr="000C08DB">
        <w:rPr>
          <w:rFonts w:eastAsiaTheme="minorEastAsia"/>
          <w:vertAlign w:val="subscript"/>
        </w:rPr>
        <w:t>2</w:t>
      </w:r>
      <w:r>
        <w:rPr>
          <w:rFonts w:eastAsiaTheme="minorEastAsia"/>
        </w:rPr>
        <w:t>O</w:t>
      </w:r>
      <w:r w:rsidRPr="000C08DB">
        <w:rPr>
          <w:rFonts w:eastAsiaTheme="minorEastAsia"/>
          <w:vertAlign w:val="subscript"/>
        </w:rPr>
        <w:t>3</w:t>
      </w:r>
      <w:r>
        <w:rPr>
          <w:rFonts w:eastAsiaTheme="minorEastAsia"/>
        </w:rPr>
        <w:t xml:space="preserve">(0001) and by </w:t>
      </w:r>
      <w:proofErr w:type="spellStart"/>
      <w:r>
        <w:t>Lyu</w:t>
      </w:r>
      <w:proofErr w:type="spellEnd"/>
      <w:r>
        <w:t xml:space="preserve"> et al.</w:t>
      </w:r>
      <w:r w:rsidRPr="00183E4C">
        <w:t xml:space="preserve"> </w:t>
      </w:r>
      <w:r>
        <w:t xml:space="preserve">for the OER </w:t>
      </w:r>
      <w:r w:rsidRPr="00183E4C">
        <w:t>on BiVO</w:t>
      </w:r>
      <w:r w:rsidRPr="000C08DB">
        <w:rPr>
          <w:vertAlign w:val="subscript"/>
        </w:rPr>
        <w:t>4</w:t>
      </w:r>
      <w:r>
        <w:t>.</w:t>
      </w:r>
      <w:r>
        <w:fldChar w:fldCharType="begin"/>
      </w:r>
      <w:r w:rsidR="00FC5BEB">
        <w:instrText xml:space="preserve"> ADDIN EN.CITE &lt;EndNote&gt;&lt;Cite&gt;&lt;Author&gt;Lyu&lt;/Author&gt;&lt;Year&gt;2022&lt;/Year&gt;&lt;RecNum&gt;502&lt;/RecNum&gt;&lt;DisplayText&gt;&lt;style face="superscript"&gt;504&lt;/style&gt;&lt;/DisplayText&gt;&lt;record&gt;&lt;rec-number&gt;502&lt;/rec-number&gt;&lt;foreign-keys&gt;&lt;key app="EN" db-id="2xex0erf4eexr4e2dpbxpdd829xttesxxxdr" timestamp="1715075297"&gt;502&lt;/key&gt;&lt;/foreign-keys&gt;&lt;ref-type name="Journal Article"&gt;17&lt;/ref-type&gt;&lt;contributors&gt;&lt;authors&gt;&lt;author&gt;Lyu, Sai&lt;/author&gt;&lt;author&gt;Wiktor, Julia&lt;/author&gt;&lt;author&gt;Pasquarello, Alfredo&lt;/author&gt;&lt;/authors&gt;&lt;/contributors&gt;&lt;titles&gt;&lt;title&gt;Oxygen Evolution at the BiVO4-Water Interface: Mechanism of the Water Dehydrogenation Reaction&lt;/title&gt;&lt;secondary-title&gt;ACS Catal.&lt;/secondary-title&gt;&lt;/titles&gt;&lt;periodical&gt;&lt;full-title&gt;ACS Catal.&lt;/full-title&gt;&lt;/periodical&gt;&lt;pages&gt;11734-11742&lt;/pages&gt;&lt;volume&gt;12&lt;/volume&gt;&lt;number&gt;19&lt;/number&gt;&lt;keywords&gt;&lt;keyword&gt;bismuth vanadium oxide&lt;/keyword&gt;&lt;keyword&gt;nudged-elastic-band calculations&lt;/keyword&gt;&lt;keyword&gt;photocatalytic water splitting&lt;/keyword&gt;&lt;keyword&gt;water oxidation kinetics&lt;/keyword&gt;&lt;keyword&gt;water radical cation&lt;/keyword&gt;&lt;/keywords&gt;&lt;dates&gt;&lt;year&gt;2022&lt;/year&gt;&lt;/dates&gt;&lt;publisher&gt;American Chemical Society&lt;/publisher&gt;&lt;urls&gt;&lt;related-urls&gt;&lt;url&gt;https://pubs.acs.org/doi/pdf/10.1021/acscatal.2c03331&lt;/url&gt;&lt;/related-urls&gt;&lt;pdf-urls&gt;&lt;url&gt;file://localhost/localhost/localhost/Users/piccinin/Library/Application%252520Support/Mendeley%252520Desktop/Downloaded/Lyu,%252520Wiktor,%252520Pasquarello%252520-%2525202022%252520-%252520Oxygen%252520Evolution%252520at%252520the%252520BiVO4-Water%252520Interface%252520Mechanism%252520of%252520the%252520Water%252520Dehydrogenation%252520Reaction.pdf&lt;/url&gt;&lt;/pdf-urls&gt;&lt;/urls&gt;&lt;electronic-resource-num&gt;10.1021/acscatal.2c03331&lt;/electronic-resource-num&gt;&lt;/record&gt;&lt;/Cite&gt;&lt;/EndNote&gt;</w:instrText>
      </w:r>
      <w:r>
        <w:fldChar w:fldCharType="separate"/>
      </w:r>
      <w:r w:rsidR="00FC5BEB" w:rsidRPr="00FC5BEB">
        <w:rPr>
          <w:noProof/>
          <w:vertAlign w:val="superscript"/>
        </w:rPr>
        <w:t>504</w:t>
      </w:r>
      <w:r>
        <w:fldChar w:fldCharType="end"/>
      </w:r>
      <w:r>
        <w:t xml:space="preserve"> The significant effect of the </w:t>
      </w:r>
      <w:r>
        <w:rPr>
          <w:rFonts w:eastAsiaTheme="minorEastAsia"/>
        </w:rPr>
        <w:t xml:space="preserve">solvent configuration on the kinetics of proton transfer found by </w:t>
      </w:r>
      <w:r>
        <w:t>Chen et al.</w:t>
      </w:r>
      <w:r>
        <w:fldChar w:fldCharType="begin"/>
      </w:r>
      <w:r w:rsidR="00FC5BEB">
        <w:instrText xml:space="preserve"> ADDIN EN.CITE &lt;EndNote&gt;&lt;Cite&gt;&lt;Author&gt;Chen&lt;/Author&gt;&lt;Year&gt;2013&lt;/Year&gt;&lt;RecNum&gt;500&lt;/RecNum&gt;&lt;DisplayText&gt;&lt;style face="superscript"&gt;502&lt;/style&gt;&lt;/DisplayText&gt;&lt;record&gt;&lt;rec-number&gt;500&lt;/rec-number&gt;&lt;foreign-keys&gt;&lt;key app="EN" db-id="2xex0erf4eexr4e2dpbxpdd829xttesxxxdr" timestamp="1715075297"&gt;500&lt;/key&gt;&lt;/foreign-keys&gt;&lt;ref-type name="Journal Article"&gt;17&lt;/ref-type&gt;&lt;contributors&gt;&lt;authors&gt;&lt;author&gt;Chen, Jia&lt;/author&gt;&lt;author&gt;Li, Ye-Fei&lt;/author&gt;&lt;author&gt;Sit, Patrick&lt;/author&gt;&lt;author&gt;Selloni, Annabella&lt;/author&gt;&lt;/authors&gt;&lt;/contributors&gt;&lt;titles&gt;&lt;title&gt;Chemical Dynamics of the First Proton-Coupled Electron Transfer of Water Oxidation on TiO2 Anatase&lt;/title&gt;&lt;secondary-title&gt;Journal of the American Chemical Society&lt;/secondary-title&gt;&lt;/titles&gt;&lt;periodical&gt;&lt;full-title&gt;Journal of the American Chemical Society&lt;/full-title&gt;&lt;abbr-1&gt;J. Am. Chem. Soc.&lt;/abbr-1&gt;&lt;abbr-2&gt;J Am Chem Soc&lt;/abbr-2&gt;&lt;/periodical&gt;&lt;pages&gt;18774-18777&lt;/pages&gt;&lt;volume&gt;135&lt;/volume&gt;&lt;number&gt;50&lt;/number&gt;&lt;dates&gt;&lt;year&gt;2013&lt;/year&gt;&lt;pub-dates&gt;&lt;date&gt;2013/12/18&lt;/date&gt;&lt;/pub-dates&gt;&lt;/dates&gt;&lt;publisher&gt;American Chemical Society&lt;/publisher&gt;&lt;isbn&gt;0002-7863&lt;/isbn&gt;&lt;urls&gt;&lt;related-urls&gt;&lt;url&gt;https://doi.org/10.1021/ja410685m&lt;/url&gt;&lt;/related-urls&gt;&lt;/urls&gt;&lt;electronic-resource-num&gt;10.1021/ja410685m&lt;/electronic-resource-num&gt;&lt;/record&gt;&lt;/Cite&gt;&lt;/EndNote&gt;</w:instrText>
      </w:r>
      <w:r>
        <w:fldChar w:fldCharType="separate"/>
      </w:r>
      <w:r w:rsidR="00FC5BEB" w:rsidRPr="00FC5BEB">
        <w:rPr>
          <w:noProof/>
          <w:vertAlign w:val="superscript"/>
        </w:rPr>
        <w:t>502</w:t>
      </w:r>
      <w:r>
        <w:fldChar w:fldCharType="end"/>
      </w:r>
      <w:r>
        <w:t>, however, warrants some caution on the error bar associated to barriers extracted from a static description of the solvent and calls for a</w:t>
      </w:r>
      <w:r>
        <w:rPr>
          <w:rFonts w:eastAsiaTheme="minorEastAsia"/>
        </w:rPr>
        <w:t xml:space="preserve"> fully dynamical approach that accurately samples the degrees of freedom of the solvent molecules.</w:t>
      </w:r>
    </w:p>
    <w:p w14:paraId="2A15F569" w14:textId="77777777" w:rsidR="00B4084C" w:rsidRDefault="00B4084C" w:rsidP="00B4084C"/>
    <w:p w14:paraId="2774999C" w14:textId="7683EDED" w:rsidR="00B4084C" w:rsidRDefault="00B4084C" w:rsidP="00D34093">
      <w:pPr>
        <w:ind w:firstLine="720"/>
      </w:pPr>
      <w:r>
        <w:t>Wang et al.</w:t>
      </w:r>
      <w:r>
        <w:fldChar w:fldCharType="begin"/>
      </w:r>
      <w:r w:rsidR="00FC5BEB">
        <w:instrText xml:space="preserve"> ADDIN EN.CITE &lt;EndNote&gt;&lt;Cite&gt;&lt;Author&gt;Wang&lt;/Author&gt;&lt;Year&gt;2018&lt;/Year&gt;&lt;RecNum&gt;454&lt;/RecNum&gt;&lt;DisplayText&gt;&lt;style face="superscript"&gt;456&lt;/style&gt;&lt;/DisplayText&gt;&lt;record&gt;&lt;rec-number&gt;454&lt;/rec-number&gt;&lt;foreign-keys&gt;&lt;key app="EN" db-id="2xex0erf4eexr4e2dpbxpdd829xttesxxxdr" timestamp="1715075297"&gt;454&lt;/key&gt;&lt;/foreign-keys&gt;&lt;ref-type name="Journal Article"&gt;17&lt;/ref-type&gt;&lt;contributors&gt;&lt;authors&gt;&lt;author&gt;Wang, Dong&lt;/author&gt;&lt;author&gt;Sheng, Tian&lt;/author&gt;&lt;author&gt;Chen, Jianfu&lt;/author&gt;&lt;author&gt;Wang, Hai Feng&lt;/author&gt;&lt;author&gt;Hu, P.&lt;/author&gt;&lt;/authors&gt;&lt;/contributors&gt;&lt;titles&gt;&lt;title&gt;Identifying the key obstacle in photocatalytic oxygen evolution on rutile TiO2&lt;/title&gt;&lt;secondary-title&gt;Nat. Catal.&lt;/secondary-title&gt;&lt;/titles&gt;&lt;periodical&gt;&lt;full-title&gt;Nat. Catal.&lt;/full-title&gt;&lt;abbr-1&gt;Nat. Catal.&lt;/abbr-1&gt;&lt;/periodical&gt;&lt;pages&gt;291-299&lt;/pages&gt;&lt;volume&gt;1&lt;/volume&gt;&lt;number&gt;4&lt;/number&gt;&lt;dates&gt;&lt;year&gt;2018&lt;/year&gt;&lt;/dates&gt;&lt;urls&gt;&lt;related-urls&gt;&lt;url&gt;https://www.nature.com/articles/s41929-018-0055-z.pdf&lt;/url&gt;&lt;/related-urls&gt;&lt;pdf-urls&gt;&lt;url&gt;file://localhost/localhost/localhost/Users/piccinin/Literature/Nature%252520Catalysis%252520Volume%2525201%252520issue%2525204%2525202018%252520%25255Bdoi%25252010.1038%252525252Fs41929-018-0055-z%25255D%252520Wang,%252520Dong&lt;/url&gt;&lt;/pdf-urls&gt;&lt;/urls&gt;&lt;electronic-resource-num&gt;10.1038/s41929-018-0055-z&lt;/electronic-resource-num&gt;&lt;/record&gt;&lt;/Cite&gt;&lt;/EndNote&gt;</w:instrText>
      </w:r>
      <w:r>
        <w:fldChar w:fldCharType="separate"/>
      </w:r>
      <w:r w:rsidR="00FC5BEB" w:rsidRPr="00FC5BEB">
        <w:rPr>
          <w:noProof/>
          <w:vertAlign w:val="superscript"/>
        </w:rPr>
        <w:t>456</w:t>
      </w:r>
      <w:r>
        <w:fldChar w:fldCharType="end"/>
      </w:r>
      <w:r>
        <w:t xml:space="preserve"> addressed this problem using the averaging techniques already discussed earlier in the context of solvation effects. They focused on the OER on rutile TiO</w:t>
      </w:r>
      <w:r w:rsidRPr="00B464E2">
        <w:rPr>
          <w:vertAlign w:val="subscript"/>
        </w:rPr>
        <w:t>2</w:t>
      </w:r>
      <w:r>
        <w:t xml:space="preserve">(110) and considered the full catalytic process, not just the first PCET. To compute the activation energy and reaction energy of the elementary steps they first identified the initial, transition and final states (even though the way in which transition states were located in not described in their work) for all steps and then computed solvation effects running FPMD, selecting and optimizing around 15 snapshots and computing the average interaction between solvent and reactants. This approach was validated against the computationally much more demanding constrained MD technique, yielding errors on barriers in the range of 0.05 eV or less.  </w:t>
      </w:r>
    </w:p>
    <w:p w14:paraId="3F35AEB1" w14:textId="77777777" w:rsidR="00B4084C" w:rsidRDefault="00B4084C" w:rsidP="00B4084C"/>
    <w:p w14:paraId="097B9EE9" w14:textId="322B65EB" w:rsidR="00B4084C" w:rsidRDefault="00B4084C" w:rsidP="00D34093">
      <w:pPr>
        <w:ind w:firstLine="720"/>
      </w:pPr>
      <w:proofErr w:type="spellStart"/>
      <w:r>
        <w:t>Stecher</w:t>
      </w:r>
      <w:proofErr w:type="spellEnd"/>
      <w:r>
        <w:t>, Reuter and Oberhofer</w:t>
      </w:r>
      <w:r>
        <w:fldChar w:fldCharType="begin"/>
      </w:r>
      <w:r w:rsidR="00FC5BEB">
        <w:instrText xml:space="preserve"> ADDIN EN.CITE &lt;EndNote&gt;&lt;Cite&gt;&lt;Author&gt;Stecher&lt;/Author&gt;&lt;Year&gt;2016&lt;/Year&gt;&lt;RecNum&gt;503&lt;/RecNum&gt;&lt;DisplayText&gt;&lt;style face="superscript"&gt;505&lt;/style&gt;&lt;/DisplayText&gt;&lt;record&gt;&lt;rec-number&gt;503&lt;/rec-number&gt;&lt;foreign-keys&gt;&lt;key app="EN" db-id="2xex0erf4eexr4e2dpbxpdd829xttesxxxdr" timestamp="1715075297"&gt;503&lt;/key&gt;&lt;/foreign-keys&gt;&lt;ref-type name="Journal Article"&gt;17&lt;/ref-type&gt;&lt;contributors&gt;&lt;authors&gt;&lt;author&gt;Stecher, Thomas&lt;/author&gt;&lt;author&gt;Reuter, Karsten&lt;/author&gt;&lt;author&gt;Oberhofer, Harald&lt;/author&gt;&lt;/authors&gt;&lt;/contributors&gt;&lt;titles&gt;&lt;title&gt;First-Principles Free-Energy Barriers for Photoelectrochemical Surface Reactions: Proton Abstraction at TiO2(110)&lt;/title&gt;&lt;secondary-title&gt;Physical Review Letters&lt;/secondary-title&gt;&lt;/titles&gt;&lt;periodical&gt;&lt;full-title&gt;Physical Review Letters&lt;/full-title&gt;&lt;abbr-1&gt;Phys. Rev. Lett.&lt;/abbr-1&gt;&lt;abbr-2&gt;Phys Rev Lett&lt;/abbr-2&gt;&lt;/periodical&gt;&lt;pages&gt;276001&lt;/pages&gt;&lt;volume&gt;117&lt;/volume&gt;&lt;number&gt;27&lt;/number&gt;&lt;dates&gt;&lt;year&gt;2016&lt;/year&gt;&lt;pub-dates&gt;&lt;date&gt;12/29/&lt;/date&gt;&lt;/pub-dates&gt;&lt;/dates&gt;&lt;publisher&gt;American Physical Society&lt;/publisher&gt;&lt;urls&gt;&lt;related-urls&gt;&lt;url&gt;https://link.aps.org/doi/10.1103/PhysRevLett.117.276001&lt;/url&gt;&lt;/related-urls&gt;&lt;/urls&gt;&lt;electronic-resource-num&gt;10.1103/PhysRevLett.117.276001&lt;/electronic-resource-num&gt;&lt;/record&gt;&lt;/Cite&gt;&lt;/EndNote&gt;</w:instrText>
      </w:r>
      <w:r>
        <w:fldChar w:fldCharType="separate"/>
      </w:r>
      <w:r w:rsidR="00FC5BEB" w:rsidRPr="00FC5BEB">
        <w:rPr>
          <w:noProof/>
          <w:vertAlign w:val="superscript"/>
        </w:rPr>
        <w:t>505</w:t>
      </w:r>
      <w:r>
        <w:fldChar w:fldCharType="end"/>
      </w:r>
      <w:r>
        <w:t xml:space="preserve"> proposed a different approach, rooted in Marcus theory of electron transfer and derived from techniques normally adopted to model the free energy surface of electrochemical steps taking place in solvated molecular systems. Similar to the work of Chen et al., the authors focused on the proton transfer reaction between a water ligand bound to rutile TiO</w:t>
      </w:r>
      <w:r w:rsidRPr="00480BD1">
        <w:rPr>
          <w:vertAlign w:val="subscript"/>
        </w:rPr>
        <w:t>2</w:t>
      </w:r>
      <w:r>
        <w:t>(110) and the water solvent:</w:t>
      </w:r>
      <w:r w:rsidRPr="00B95332">
        <w:t xml:space="preserve"> </w:t>
      </w:r>
      <w:r>
        <w:t>H</w:t>
      </w:r>
      <w:r w:rsidRPr="00B95332">
        <w:rPr>
          <w:vertAlign w:val="subscript"/>
        </w:rPr>
        <w:t>2</w:t>
      </w:r>
      <w:r>
        <w:t>O*</w:t>
      </w:r>
      <w:r w:rsidRPr="00B95332">
        <w:rPr>
          <w:vertAlign w:val="superscript"/>
        </w:rPr>
        <w:t>+</w:t>
      </w:r>
      <w:r>
        <w:t xml:space="preserve"> </w:t>
      </w:r>
      <w:r>
        <w:sym w:font="Symbol" w:char="F0AE"/>
      </w:r>
      <w:r>
        <w:t xml:space="preserve"> *OH + H</w:t>
      </w:r>
      <w:r w:rsidRPr="00B95332">
        <w:rPr>
          <w:vertAlign w:val="superscript"/>
        </w:rPr>
        <w:t>+</w:t>
      </w:r>
      <w:r>
        <w:t>(</w:t>
      </w:r>
      <w:proofErr w:type="spellStart"/>
      <w:r>
        <w:t>aq</w:t>
      </w:r>
      <w:proofErr w:type="spellEnd"/>
      <w:r>
        <w:t>),</w:t>
      </w:r>
      <w:r>
        <w:rPr>
          <w:rFonts w:eastAsiaTheme="minorEastAsia"/>
        </w:rPr>
        <w:t xml:space="preserve"> where an electron has been removed from the system. The authors considered two diabatic states corresponding to the proton being bound to the surface water ligand (initial state) or to a solvent water molecule in the second solvation shell of the resulting surface *OH (final state). For these two states, they derived two different empirical force field</w:t>
      </w:r>
      <w:r w:rsidR="003F2E5D">
        <w:rPr>
          <w:rFonts w:eastAsiaTheme="minorEastAsia"/>
        </w:rPr>
        <w:t>s</w:t>
      </w:r>
      <w:r>
        <w:rPr>
          <w:rFonts w:eastAsiaTheme="minorEastAsia"/>
        </w:rPr>
        <w:t xml:space="preserve"> based on a mixture of core-shell model</w:t>
      </w:r>
      <w:r w:rsidR="000A700A">
        <w:rPr>
          <w:rFonts w:eastAsiaTheme="minorEastAsia"/>
        </w:rPr>
        <w:t>s</w:t>
      </w:r>
      <w:r>
        <w:rPr>
          <w:rFonts w:eastAsiaTheme="minorEastAsia"/>
        </w:rPr>
        <w:t xml:space="preserve"> for TiO</w:t>
      </w:r>
      <w:r w:rsidRPr="00480BD1">
        <w:rPr>
          <w:rFonts w:eastAsiaTheme="minorEastAsia"/>
          <w:vertAlign w:val="subscript"/>
        </w:rPr>
        <w:t>2</w:t>
      </w:r>
      <w:r>
        <w:rPr>
          <w:rFonts w:eastAsiaTheme="minorEastAsia"/>
        </w:rPr>
        <w:t>, SPC/Fw</w:t>
      </w:r>
      <w:r>
        <w:rPr>
          <w:rFonts w:eastAsiaTheme="minorEastAsia"/>
        </w:rPr>
        <w:fldChar w:fldCharType="begin"/>
      </w:r>
      <w:r w:rsidR="00FC5BEB">
        <w:rPr>
          <w:rFonts w:eastAsiaTheme="minorEastAsia"/>
        </w:rPr>
        <w:instrText xml:space="preserve"> ADDIN EN.CITE &lt;EndNote&gt;&lt;Cite&gt;&lt;Author&gt;Wu&lt;/Author&gt;&lt;Year&gt;2006&lt;/Year&gt;&lt;RecNum&gt;504&lt;/RecNum&gt;&lt;DisplayText&gt;&lt;style face="superscript"&gt;506&lt;/style&gt;&lt;/DisplayText&gt;&lt;record&gt;&lt;rec-number&gt;504&lt;/rec-number&gt;&lt;foreign-keys&gt;&lt;key app="EN" db-id="2xex0erf4eexr4e2dpbxpdd829xttesxxxdr" timestamp="1715075297"&gt;504&lt;/key&gt;&lt;/foreign-keys&gt;&lt;ref-type name="Journal Article"&gt;17&lt;/ref-type&gt;&lt;contributors&gt;&lt;authors&gt;&lt;author&gt;Wu, Yujie&lt;/author&gt;&lt;author&gt;Tepper, Harald L.&lt;/author&gt;&lt;author&gt;Voth, Gregory A.&lt;/author&gt;&lt;/authors&gt;&lt;/contributors&gt;&lt;titles&gt;&lt;title&gt;Flexible simple point-charge water model with improved liquid-state properties&lt;/title&gt;&lt;secondary-title&gt;Journal of Chemical Physics&lt;/secondary-title&gt;&lt;/titles&gt;&lt;periodical&gt;&lt;full-title&gt;Journal of Chemical Physics&lt;/full-title&gt;&lt;abbr-1&gt;J. Chem. Phys.&lt;/abbr-1&gt;&lt;abbr-2&gt;J Chem Phys&lt;/abbr-2&gt;&lt;/periodical&gt;&lt;pages&gt;024503&lt;/pages&gt;&lt;volume&gt;124&lt;/volume&gt;&lt;number&gt;2&lt;/number&gt;&lt;dates&gt;&lt;year&gt;2006&lt;/year&gt;&lt;/dates&gt;&lt;urls&gt;&lt;related-urls&gt;&lt;url&gt;https://doi.org/10.1063/1.2136877&lt;/url&gt;&lt;/related-urls&gt;&lt;/urls&gt;&lt;electronic-resource-num&gt;10.1063/1.2136877&lt;/electronic-resource-num&gt;&lt;/record&gt;&lt;/Cite&gt;&lt;/EndNote&gt;</w:instrText>
      </w:r>
      <w:r>
        <w:rPr>
          <w:rFonts w:eastAsiaTheme="minorEastAsia"/>
        </w:rPr>
        <w:fldChar w:fldCharType="separate"/>
      </w:r>
      <w:r w:rsidR="00FC5BEB" w:rsidRPr="00FC5BEB">
        <w:rPr>
          <w:rFonts w:eastAsiaTheme="minorEastAsia"/>
          <w:noProof/>
          <w:vertAlign w:val="superscript"/>
        </w:rPr>
        <w:t>506</w:t>
      </w:r>
      <w:r>
        <w:rPr>
          <w:rFonts w:eastAsiaTheme="minorEastAsia"/>
        </w:rPr>
        <w:fldChar w:fldCharType="end"/>
      </w:r>
      <w:r>
        <w:rPr>
          <w:rFonts w:eastAsiaTheme="minorEastAsia"/>
        </w:rPr>
        <w:t xml:space="preserve"> for water and </w:t>
      </w:r>
      <w:r w:rsidRPr="00480BD1">
        <w:rPr>
          <w:rFonts w:eastAsiaTheme="minorEastAsia"/>
        </w:rPr>
        <w:t>a Buckingham potential</w:t>
      </w:r>
      <w:r>
        <w:rPr>
          <w:rFonts w:eastAsiaTheme="minorEastAsia"/>
        </w:rPr>
        <w:t xml:space="preserve"> for the </w:t>
      </w:r>
      <w:proofErr w:type="spellStart"/>
      <w:r>
        <w:rPr>
          <w:rFonts w:eastAsiaTheme="minorEastAsia"/>
        </w:rPr>
        <w:lastRenderedPageBreak/>
        <w:t>Ti</w:t>
      </w:r>
      <w:proofErr w:type="spellEnd"/>
      <w:r>
        <w:rPr>
          <w:rFonts w:eastAsiaTheme="minorEastAsia"/>
        </w:rPr>
        <w:t>-O(water) interactions. The reaction coordinate employed was the energy gap, i.e. the energy difference obtained with the two force fields for initial and final states on the same geometry along trajectories generated with</w:t>
      </w:r>
      <w:r w:rsidR="003B7F63">
        <w:rPr>
          <w:rFonts w:eastAsiaTheme="minorEastAsia"/>
        </w:rPr>
        <w:t xml:space="preserve"> </w:t>
      </w:r>
      <w:r w:rsidR="003B7F63" w:rsidRPr="003B7F63">
        <w:rPr>
          <w:rFonts w:eastAsiaTheme="minorEastAsia"/>
        </w:rPr>
        <w:t>quantum mechanics/molecular mechanics</w:t>
      </w:r>
      <w:r>
        <w:rPr>
          <w:rFonts w:eastAsiaTheme="minorEastAsia"/>
        </w:rPr>
        <w:t xml:space="preserve"> </w:t>
      </w:r>
      <w:r w:rsidR="003B7F63">
        <w:rPr>
          <w:rFonts w:eastAsiaTheme="minorEastAsia"/>
        </w:rPr>
        <w:t>(</w:t>
      </w:r>
      <w:r>
        <w:rPr>
          <w:rFonts w:eastAsiaTheme="minorEastAsia"/>
        </w:rPr>
        <w:t>QM/MM</w:t>
      </w:r>
      <w:r w:rsidR="003B7F63">
        <w:rPr>
          <w:rFonts w:eastAsiaTheme="minorEastAsia"/>
        </w:rPr>
        <w:t>)</w:t>
      </w:r>
      <w:r>
        <w:rPr>
          <w:rFonts w:eastAsiaTheme="minorEastAsia"/>
        </w:rPr>
        <w:t xml:space="preserve"> simulations, where the QM calculations was performed with hybrid functional DFT calculations. The authors performed umbrella sampling simulations to sample windows of the reaction coordinate and obtained an energy barrier for proton transfer of around 0.2 eV, within the range derived by </w:t>
      </w:r>
      <w:r>
        <w:t>Chen et al. on anatase</w:t>
      </w:r>
      <w:r>
        <w:rPr>
          <w:rFonts w:eastAsiaTheme="minorEastAsia"/>
        </w:rPr>
        <w:t>.</w:t>
      </w:r>
      <w:r>
        <w:rPr>
          <w:rFonts w:eastAsiaTheme="minorEastAsia"/>
        </w:rPr>
        <w:fldChar w:fldCharType="begin"/>
      </w:r>
      <w:r w:rsidR="00FC5BEB">
        <w:rPr>
          <w:rFonts w:eastAsiaTheme="minorEastAsia"/>
        </w:rPr>
        <w:instrText xml:space="preserve"> ADDIN EN.CITE &lt;EndNote&gt;&lt;Cite&gt;&lt;Author&gt;Chen&lt;/Author&gt;&lt;Year&gt;2013&lt;/Year&gt;&lt;RecNum&gt;500&lt;/RecNum&gt;&lt;DisplayText&gt;&lt;style face="superscript"&gt;502&lt;/style&gt;&lt;/DisplayText&gt;&lt;record&gt;&lt;rec-number&gt;500&lt;/rec-number&gt;&lt;foreign-keys&gt;&lt;key app="EN" db-id="2xex0erf4eexr4e2dpbxpdd829xttesxxxdr" timestamp="1715075297"&gt;500&lt;/key&gt;&lt;/foreign-keys&gt;&lt;ref-type name="Journal Article"&gt;17&lt;/ref-type&gt;&lt;contributors&gt;&lt;authors&gt;&lt;author&gt;Chen, Jia&lt;/author&gt;&lt;author&gt;Li, Ye-Fei&lt;/author&gt;&lt;author&gt;Sit, Patrick&lt;/author&gt;&lt;author&gt;Selloni, Annabella&lt;/author&gt;&lt;/authors&gt;&lt;/contributors&gt;&lt;titles&gt;&lt;title&gt;Chemical Dynamics of the First Proton-Coupled Electron Transfer of Water Oxidation on TiO2 Anatase&lt;/title&gt;&lt;secondary-title&gt;Journal of the American Chemical Society&lt;/secondary-title&gt;&lt;/titles&gt;&lt;periodical&gt;&lt;full-title&gt;Journal of the American Chemical Society&lt;/full-title&gt;&lt;abbr-1&gt;J. Am. Chem. Soc.&lt;/abbr-1&gt;&lt;abbr-2&gt;J Am Chem Soc&lt;/abbr-2&gt;&lt;/periodical&gt;&lt;pages&gt;18774-18777&lt;/pages&gt;&lt;volume&gt;135&lt;/volume&gt;&lt;number&gt;50&lt;/number&gt;&lt;dates&gt;&lt;year&gt;2013&lt;/year&gt;&lt;pub-dates&gt;&lt;date&gt;2013/12/18&lt;/date&gt;&lt;/pub-dates&gt;&lt;/dates&gt;&lt;publisher&gt;American Chemical Society&lt;/publisher&gt;&lt;isbn&gt;0002-7863&lt;/isbn&gt;&lt;urls&gt;&lt;related-urls&gt;&lt;url&gt;https://doi.org/10.1021/ja410685m&lt;/url&gt;&lt;/related-urls&gt;&lt;/urls&gt;&lt;electronic-resource-num&gt;10.1021/ja410685m&lt;/electronic-resource-num&gt;&lt;/record&gt;&lt;/Cite&gt;&lt;/EndNote&gt;</w:instrText>
      </w:r>
      <w:r>
        <w:rPr>
          <w:rFonts w:eastAsiaTheme="minorEastAsia"/>
        </w:rPr>
        <w:fldChar w:fldCharType="separate"/>
      </w:r>
      <w:r w:rsidR="00FC5BEB" w:rsidRPr="00FC5BEB">
        <w:rPr>
          <w:rFonts w:eastAsiaTheme="minorEastAsia"/>
          <w:noProof/>
          <w:vertAlign w:val="superscript"/>
        </w:rPr>
        <w:t>502</w:t>
      </w:r>
      <w:r>
        <w:rPr>
          <w:rFonts w:eastAsiaTheme="minorEastAsia"/>
        </w:rPr>
        <w:fldChar w:fldCharType="end"/>
      </w:r>
      <w:r>
        <w:rPr>
          <w:rFonts w:eastAsiaTheme="minorEastAsia"/>
        </w:rPr>
        <w:t xml:space="preserve"> This kinetic barrier adds to the thermodynamic barrier computed via approaches like the computational hydrogen electrode, or other techniques to compute reaction energies. Among these, a</w:t>
      </w:r>
      <w:r>
        <w:t xml:space="preserve"> related approach is the one developed by </w:t>
      </w:r>
      <w:proofErr w:type="spellStart"/>
      <w:r>
        <w:t>Sprik</w:t>
      </w:r>
      <w:proofErr w:type="spellEnd"/>
      <w:r>
        <w:t xml:space="preserve"> and co-workers</w:t>
      </w:r>
      <w:r>
        <w:fldChar w:fldCharType="begin"/>
      </w:r>
      <w:r w:rsidR="00FC5BEB">
        <w:instrText xml:space="preserve"> ADDIN EN.CITE &lt;EndNote&gt;&lt;Cite&gt;&lt;Author&gt;Cheng&lt;/Author&gt;&lt;Year&gt;2012&lt;/Year&gt;&lt;RecNum&gt;505&lt;/RecNum&gt;&lt;DisplayText&gt;&lt;style face="superscript"&gt;507&lt;/style&gt;&lt;/DisplayText&gt;&lt;record&gt;&lt;rec-number&gt;505&lt;/rec-number&gt;&lt;foreign-keys&gt;&lt;key app="EN" db-id="2xex0erf4eexr4e2dpbxpdd829xttesxxxdr" timestamp="1715075297"&gt;505&lt;/key&gt;&lt;/foreign-keys&gt;&lt;ref-type name="Journal Article"&gt;17&lt;/ref-type&gt;&lt;contributors&gt;&lt;authors&gt;&lt;author&gt;Cheng, Jun&lt;/author&gt;&lt;author&gt;Sulpizi, Marialore&lt;/author&gt;&lt;author&gt;Vandevondele, Joost&lt;/author&gt;&lt;author&gt;Sprik, Michiel&lt;/author&gt;&lt;/authors&gt;&lt;/contributors&gt;&lt;titles&gt;&lt;title&gt;Hole Localization and Thermochemistry of Oxidative Dehydrogenation of Aqueous Rutile TiO2(110)&lt;/title&gt;&lt;secondary-title&gt;ChemCatChem&lt;/secondary-title&gt;&lt;/titles&gt;&lt;pages&gt;636-640&lt;/pages&gt;&lt;volume&gt;4&lt;/volume&gt;&lt;number&gt;5&lt;/number&gt;&lt;keywords&gt;&lt;keyword&gt;Density functional theory&lt;/keyword&gt;&lt;keyword&gt;Free energy calculations&lt;/keyword&gt;&lt;keyword&gt;Proton coupled electron transfer&lt;/keyword&gt;&lt;keyword&gt;Water oxidation&lt;/keyword&gt;&lt;/keywords&gt;&lt;dates&gt;&lt;year&gt;2012&lt;/year&gt;&lt;/dates&gt;&lt;isbn&gt;1867-3899&lt;/isbn&gt;&lt;urls&gt;&lt;related-urls&gt;&lt;url&gt;https://chemistry-europe.onlinelibrary.wiley.com/doi/pdfdirect/10.1002/cctc.201100498?download=true&lt;/url&gt;&lt;/related-urls&gt;&lt;pdf-urls&gt;&lt;url&gt;file://localhost/localhost/localhost/Users/piccinin/Literature/636_ftp.pdf&lt;/url&gt;&lt;/pdf-urls&gt;&lt;/urls&gt;&lt;electronic-resource-num&gt;10.1002/cctc.201100498&lt;/electronic-resource-num&gt;&lt;/record&gt;&lt;/Cite&gt;&lt;/EndNote&gt;</w:instrText>
      </w:r>
      <w:r>
        <w:fldChar w:fldCharType="separate"/>
      </w:r>
      <w:r w:rsidR="00FC5BEB" w:rsidRPr="00FC5BEB">
        <w:rPr>
          <w:noProof/>
          <w:vertAlign w:val="superscript"/>
        </w:rPr>
        <w:t>507</w:t>
      </w:r>
      <w:r>
        <w:fldChar w:fldCharType="end"/>
      </w:r>
      <w:r>
        <w:t xml:space="preserve"> using the energy gap as the central quantity in a free energy perturbation approach. This method has been used to compute the free energy cost to dehydrogenate a water ligand bound to rutile TiO</w:t>
      </w:r>
      <w:r w:rsidRPr="00480BD1">
        <w:rPr>
          <w:vertAlign w:val="subscript"/>
        </w:rPr>
        <w:t>2</w:t>
      </w:r>
      <w:r>
        <w:t xml:space="preserve">(110), computing separately the reaction free energy for the electron removal, the proton removal and the combined proton and electron transfer.  </w:t>
      </w:r>
    </w:p>
    <w:p w14:paraId="668C059E" w14:textId="77777777" w:rsidR="00B4084C" w:rsidRDefault="00B4084C" w:rsidP="00B4084C"/>
    <w:p w14:paraId="24C06859" w14:textId="5F2A2E26" w:rsidR="00B4084C" w:rsidRDefault="00B4084C" w:rsidP="00BC7855">
      <w:pPr>
        <w:pStyle w:val="Heading2"/>
      </w:pPr>
      <w:bookmarkStart w:id="150" w:name="_Toc166441749"/>
      <w:r w:rsidRPr="005A4BFE">
        <w:t xml:space="preserve">Barriers obtained from constant </w:t>
      </w:r>
      <w:r>
        <w:t>potential</w:t>
      </w:r>
      <w:r w:rsidRPr="005A4BFE">
        <w:t xml:space="preserve"> calculations</w:t>
      </w:r>
      <w:bookmarkEnd w:id="150"/>
    </w:p>
    <w:p w14:paraId="046FF208" w14:textId="77777777" w:rsidR="00B4084C" w:rsidRDefault="00B4084C" w:rsidP="00B4084C"/>
    <w:p w14:paraId="55A4CC43" w14:textId="67FEEA00" w:rsidR="00B4084C" w:rsidRDefault="00B4084C" w:rsidP="00AE3115">
      <w:pPr>
        <w:ind w:firstLine="720"/>
      </w:pPr>
      <w:r>
        <w:t xml:space="preserve">Some of the grand canonical approaches </w:t>
      </w:r>
      <w:r w:rsidRPr="00886953">
        <w:rPr>
          <w:color w:val="000000" w:themeColor="text1"/>
        </w:rPr>
        <w:t xml:space="preserve">described in Section </w:t>
      </w:r>
      <w:r w:rsidR="00C80B22">
        <w:rPr>
          <w:color w:val="000000" w:themeColor="text1"/>
        </w:rPr>
        <w:fldChar w:fldCharType="begin"/>
      </w:r>
      <w:r w:rsidR="00C80B22">
        <w:rPr>
          <w:color w:val="000000" w:themeColor="text1"/>
        </w:rPr>
        <w:instrText xml:space="preserve"> REF _Ref159838967 \r \h </w:instrText>
      </w:r>
      <w:r w:rsidR="00C80B22">
        <w:rPr>
          <w:color w:val="000000" w:themeColor="text1"/>
        </w:rPr>
      </w:r>
      <w:r w:rsidR="00C80B22">
        <w:rPr>
          <w:color w:val="000000" w:themeColor="text1"/>
        </w:rPr>
        <w:fldChar w:fldCharType="separate"/>
      </w:r>
      <w:r w:rsidR="00B7319C">
        <w:rPr>
          <w:color w:val="000000" w:themeColor="text1"/>
        </w:rPr>
        <w:t>5.2</w:t>
      </w:r>
      <w:r w:rsidR="00C80B22">
        <w:rPr>
          <w:color w:val="000000" w:themeColor="text1"/>
        </w:rPr>
        <w:fldChar w:fldCharType="end"/>
      </w:r>
      <w:r w:rsidRPr="00886953">
        <w:rPr>
          <w:color w:val="000000" w:themeColor="text1"/>
        </w:rPr>
        <w:t xml:space="preserve"> have been used not only to predict reaction energies but also activation energies at constant potential. The </w:t>
      </w:r>
      <w:r>
        <w:t>constant potential approach of Arias and co-workers</w:t>
      </w:r>
      <w:r>
        <w:fldChar w:fldCharType="begin">
          <w:fldData xml:space="preserve">PEVuZE5vdGU+PENpdGU+PEF1dGhvcj5MZXRjaHdvcnRoLVdlYXZlcjwvQXV0aG9yPjxZZWFyPjIw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</w:fldData>
        </w:fldChar>
      </w:r>
      <w:r w:rsidR="00FC5BEB">
        <w:instrText xml:space="preserve"> ADDIN EN.CITE </w:instrText>
      </w:r>
      <w:r w:rsidR="00FC5BEB">
        <w:fldChar w:fldCharType="begin">
          <w:fldData xml:space="preserve">PEVuZE5vdGU+PENpdGU+PEF1dGhvcj5MZXRjaHdvcnRoLVdlYXZlcjwvQXV0aG9yPjxZZWFyPjIw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</w:fldData>
        </w:fldChar>
      </w:r>
      <w:r w:rsidR="00FC5BEB">
        <w:instrText xml:space="preserve"> ADDIN EN.CITE.DATA </w:instrText>
      </w:r>
      <w:r w:rsidR="00FC5BEB">
        <w:fldChar w:fldCharType="end"/>
      </w:r>
      <w:r>
        <w:fldChar w:fldCharType="separate"/>
      </w:r>
      <w:r w:rsidR="00FC5BEB" w:rsidRPr="00FC5BEB">
        <w:rPr>
          <w:noProof/>
          <w:vertAlign w:val="superscript"/>
        </w:rPr>
        <w:t>460, 482</w:t>
      </w:r>
      <w:r>
        <w:fldChar w:fldCharType="end"/>
      </w:r>
      <w:r>
        <w:t>, coupled with the CANDLE</w:t>
      </w:r>
      <w:r>
        <w:fldChar w:fldCharType="begin"/>
      </w:r>
      <w:r w:rsidR="00FC5BEB">
        <w:instrText xml:space="preserve"> ADDIN EN.CITE &lt;EndNote&gt;&lt;Cite&gt;&lt;Author&gt;Sundararaman&lt;/Author&gt;&lt;Year&gt;2015&lt;/Year&gt;&lt;RecNum&gt;464&lt;/RecNum&gt;&lt;DisplayText&gt;&lt;style face="superscript"&gt;466&lt;/style&gt;&lt;/DisplayText&gt;&lt;record&gt;&lt;rec-number&gt;464&lt;/rec-number&gt;&lt;foreign-keys&gt;&lt;key app="EN" db-id="2xex0erf4eexr4e2dpbxpdd829xttesxxxdr" timestamp="1715075297"&gt;464&lt;/key&gt;&lt;/foreign-keys&gt;&lt;ref-type name="Journal Article"&gt;17&lt;/ref-type&gt;&lt;contributors&gt;&lt;authors&gt;&lt;author&gt;Sundararaman, Ravishankar&lt;/author&gt;&lt;author&gt;Goddard, William A., III&lt;/author&gt;&lt;/authors&gt;&lt;/contributors&gt;&lt;titles&gt;&lt;title&gt;The charge-asymmetric nonlocally determined local-electric (CANDLE) solvation model&lt;/title&gt;&lt;secondary-title&gt;Journal of Chemical Physics&lt;/secondary-title&gt;&lt;/titles&gt;&lt;periodical&gt;&lt;full-title&gt;Journal of Chemical Physics&lt;/full-title&gt;&lt;abbr-1&gt;J. Chem. Phys.&lt;/abbr-1&gt;&lt;abbr-2&gt;J Chem Phys&lt;/abbr-2&gt;&lt;/periodical&gt;&lt;pages&gt;064107&lt;/pages&gt;&lt;volume&gt;142&lt;/volume&gt;&lt;number&gt;6&lt;/number&gt;&lt;dates&gt;&lt;year&gt;2015&lt;/year&gt;&lt;/dates&gt;&lt;isbn&gt;0021-9606&lt;/isbn&gt;&lt;urls&gt;&lt;related-urls&gt;&lt;url&gt;https://doi.org/10.1063/1.4907731&lt;/url&gt;&lt;/related-urls&gt;&lt;/urls&gt;&lt;custom1&gt;064107&lt;/custom1&gt;&lt;electronic-resource-num&gt;10.1063/1.4907731&lt;/electronic-resource-num&gt;&lt;access-date&gt;10/30/2023&lt;/access-date&gt;&lt;/record&gt;&lt;/Cite&gt;&lt;/EndNote&gt;</w:instrText>
      </w:r>
      <w:r>
        <w:fldChar w:fldCharType="separate"/>
      </w:r>
      <w:r w:rsidR="00FC5BEB" w:rsidRPr="00FC5BEB">
        <w:rPr>
          <w:noProof/>
          <w:vertAlign w:val="superscript"/>
        </w:rPr>
        <w:t>466</w:t>
      </w:r>
      <w:r>
        <w:fldChar w:fldCharType="end"/>
      </w:r>
      <w:r>
        <w:t xml:space="preserve"> implicit solvent model and a linearized Poisson-Boltzmann equation</w:t>
      </w:r>
      <w:r w:rsidR="00AE3115">
        <w:t>.</w:t>
      </w:r>
      <w:r>
        <w:t xml:space="preserve"> </w:t>
      </w:r>
      <w:r w:rsidR="00AE3115">
        <w:t>I</w:t>
      </w:r>
      <w:r>
        <w:t xml:space="preserve">n particular, </w:t>
      </w:r>
      <w:r w:rsidR="00AE3115">
        <w:t xml:space="preserve">this approach </w:t>
      </w:r>
      <w:r>
        <w:t>has been used by Goddard and co-workers first to model CO reduction on Cu(111)</w:t>
      </w:r>
      <w:r>
        <w:fldChar w:fldCharType="begin"/>
      </w:r>
      <w:r w:rsidR="00FC5BEB">
        <w:instrText xml:space="preserve"> ADDIN EN.CITE &lt;EndNote&gt;&lt;Cite&gt;&lt;Author&gt;Xiao&lt;/Author&gt;&lt;Year&gt;2016&lt;/Year&gt;&lt;RecNum&gt;506&lt;/RecNum&gt;&lt;DisplayText&gt;&lt;style face="superscript"&gt;508&lt;/style&gt;&lt;/DisplayText&gt;&lt;record&gt;&lt;rec-number&gt;506&lt;/rec-number&gt;&lt;foreign-keys&gt;&lt;key app="EN" db-id="2xex0erf4eexr4e2dpbxpdd829xttesxxxdr" timestamp="1715075297"&gt;506&lt;/key&gt;&lt;/foreign-keys&gt;&lt;ref-type name="Journal Article"&gt;17&lt;/ref-type&gt;&lt;contributors&gt;&lt;authors&gt;&lt;author&gt;Xiao, Hai&lt;/author&gt;&lt;author&gt;Cheng, Tao&lt;/author&gt;&lt;author&gt;Goddard, William A.&lt;/author&gt;&lt;author&gt;Sundararaman, Ravishankar&lt;/author&gt;&lt;/authors&gt;&lt;/contributors&gt;&lt;titles&gt;&lt;title&gt;Mechanistic Explanation of the pH Dependence and Onset Potentials for Hydrocarbon Products from Electrochemical Reduction of CO on Cu (111)&lt;/title&gt;&lt;secondary-title&gt;Journal of the American Chemical Society&lt;/secondary-title&gt;&lt;/titles&gt;&lt;periodical&gt;&lt;full-title&gt;Journal of the American Chemical Society&lt;/full-title&gt;&lt;abbr-1&gt;J. Am. Chem. Soc.&lt;/abbr-1&gt;&lt;abbr-2&gt;J Am Chem Soc&lt;/abbr-2&gt;&lt;/periodical&gt;&lt;pages&gt;483-486&lt;/pages&gt;&lt;volume&gt;138&lt;/volume&gt;&lt;number&gt;2&lt;/number&gt;&lt;dates&gt;&lt;year&gt;2016&lt;/year&gt;&lt;/dates&gt;&lt;urls&gt;&lt;related-urls&gt;&lt;url&gt;https://pubs.acs.org/doi/pdf/10.1021/jacs.5b11390&lt;/url&gt;&lt;/related-urls&gt;&lt;pdf-urls&gt;&lt;url&gt;file://localhost/localhost/Users/piccinin/Literature/xiao-et-al-2016-mechanistic-explanation-of-the-ph-dependence-and-onset-potentials-for-hydrocarbon-products-from.pdf&lt;/url&gt;&lt;/pdf-urls&gt;&lt;/urls&gt;&lt;electronic-resource-num&gt;10.1021/jacs.5b11390&lt;/electronic-resource-num&gt;&lt;/record&gt;&lt;/Cite&gt;&lt;/EndNote&gt;</w:instrText>
      </w:r>
      <w:r>
        <w:fldChar w:fldCharType="separate"/>
      </w:r>
      <w:r w:rsidR="00FC5BEB" w:rsidRPr="00FC5BEB">
        <w:rPr>
          <w:noProof/>
          <w:vertAlign w:val="superscript"/>
        </w:rPr>
        <w:t>508</w:t>
      </w:r>
      <w:r>
        <w:fldChar w:fldCharType="end"/>
      </w:r>
      <w:r>
        <w:t xml:space="preserve"> and then the OER of IrO</w:t>
      </w:r>
      <w:r w:rsidRPr="00990710">
        <w:rPr>
          <w:vertAlign w:val="subscript"/>
        </w:rPr>
        <w:t>2</w:t>
      </w:r>
      <w:r>
        <w:t>(1</w:t>
      </w:r>
      <w:r w:rsidR="003D306B">
        <w:t>10</w:t>
      </w:r>
      <w:r>
        <w:t>)</w:t>
      </w:r>
      <w:r>
        <w:fldChar w:fldCharType="begin"/>
      </w:r>
      <w:r w:rsidR="00FC5BEB">
        <w:instrText xml:space="preserve"> ADDIN EN.CITE &lt;EndNote&gt;&lt;Cite&gt;&lt;Author&gt;Ping&lt;/Author&gt;&lt;Year&gt;2017&lt;/Year&gt;&lt;RecNum&gt;263&lt;/RecNum&gt;&lt;DisplayText&gt;&lt;style face="superscript"&gt;265&lt;/style&gt;&lt;/DisplayText&gt;&lt;record&gt;&lt;rec-number&gt;263&lt;/rec-number&gt;&lt;foreign-keys&gt;&lt;key app="EN" db-id="2xex0erf4eexr4e2dpbxpdd829xttesxxxdr" timestamp="1715075296"&gt;263&lt;/key&gt;&lt;/foreign-keys&gt;&lt;ref-type name="Journal Article"&gt;17&lt;/ref-type&gt;&lt;contributors&gt;&lt;authors&gt;&lt;author&gt;Ping, Yuan&lt;/author&gt;&lt;author&gt;Nielsen, Robert J.&lt;/author&gt;&lt;author&gt;Goddard, William A., III&lt;/author&gt;&lt;/authors&gt;&lt;/contributors&gt;&lt;titles&gt;&lt;title&gt;The Reaction Mechanism with Free Energy Barriers at Constant Potentials for the Oxygen Evolution Reaction at the IrO2 (110) Surface&lt;/title&gt;&lt;secondary-title&gt;Journal of the American Chemical Society&lt;/secondary-title&gt;&lt;/titles&gt;&lt;periodical&gt;&lt;full-title&gt;Journal of the American Chemical Society&lt;/full-title&gt;&lt;abbr-1&gt;J. Am. Chem. Soc.&lt;/abbr-1&gt;&lt;abbr-2&gt;J Am Chem Soc&lt;/abbr-2&gt;&lt;/periodical&gt;&lt;pages&gt;149-155&lt;/pages&gt;&lt;volume&gt;139&lt;/volume&gt;&lt;number&gt;1&lt;/number&gt;&lt;dates&gt;&lt;year&gt;2017&lt;/year&gt;&lt;pub-dates&gt;&lt;date&gt;2017/01/11&lt;/date&gt;&lt;/pub-dates&gt;&lt;/dates&gt;&lt;publisher&gt;American Chemical Society&lt;/publisher&gt;&lt;isbn&gt;0002-7863&lt;/isbn&gt;&lt;urls&gt;&lt;related-urls&gt;&lt;url&gt;https://doi.org/10.1021/jacs.6b07557&lt;/url&gt;&lt;/related-urls&gt;&lt;/urls&gt;&lt;electronic-resource-num&gt;10.1021/jacs.6b07557&lt;/electronic-resource-num&gt;&lt;/record&gt;&lt;/Cite&gt;&lt;/EndNote&gt;</w:instrText>
      </w:r>
      <w:r>
        <w:fldChar w:fldCharType="separate"/>
      </w:r>
      <w:r w:rsidR="00FC5BEB" w:rsidRPr="00FC5BEB">
        <w:rPr>
          <w:noProof/>
          <w:vertAlign w:val="superscript"/>
        </w:rPr>
        <w:t>265</w:t>
      </w:r>
      <w:r>
        <w:fldChar w:fldCharType="end"/>
      </w:r>
      <w:r>
        <w:t>. In the first work</w:t>
      </w:r>
      <w:r w:rsidR="00AE3115">
        <w:t>—which while on CO reduction rather than the OER, is worth discussing to highlight the gen</w:t>
      </w:r>
      <w:r w:rsidR="00E45E28">
        <w:t>e</w:t>
      </w:r>
      <w:r w:rsidR="00AE3115">
        <w:t>rality of the method—</w:t>
      </w:r>
      <w:r>
        <w:t>the authors used the NEB algorithm to locate the transition states of the elementary steps, treating the PCET hydrogenation steps via the inclusion of a surface H adsorbate and then using the CHE approach to correct the energy of the initial state. In the second work, the authors computed the barriers for two non-electrochemical steps, the dissociation of water, leading to a *OOH intermediate at a CUS site and *OH intermediate at a bridge site, and the release of molecular oxygen from the CUS site, applying their grand canonical scheme to evaluate the influence of the applied bias on the activation energies. The very same approach has also been used by Zhou et al.</w:t>
      </w:r>
      <w:r>
        <w:fldChar w:fldCharType="begin"/>
      </w:r>
      <w:r w:rsidR="00FC5BEB">
        <w:instrText xml:space="preserve"> ADDIN EN.CITE &lt;EndNote&gt;&lt;Cite&gt;&lt;Author&gt;Zhou&lt;/Author&gt;&lt;Year&gt;2023&lt;/Year&gt;&lt;RecNum&gt;481&lt;/RecNum&gt;&lt;DisplayText&gt;&lt;style face="superscript"&gt;483&lt;/style&gt;&lt;/DisplayText&gt;&lt;record&gt;&lt;rec-number&gt;481&lt;/rec-number&gt;&lt;foreign-keys&gt;&lt;key app="EN" db-id="2xex0erf4eexr4e2dpbxpdd829xttesxxxdr" timestamp="1715075297"&gt;481&lt;/key&gt;&lt;/foreign-keys&gt;&lt;ref-type name="Journal Article"&gt;17&lt;/ref-type&gt;&lt;contributors&gt;&lt;authors&gt;&lt;author&gt;Zhou, Zeying&lt;/author&gt;&lt;author&gt;Kan, Erjun&lt;/author&gt;&lt;author&gt;Deng, Kaiming&lt;/author&gt;&lt;author&gt;Ogitsu, Tadashi&lt;/author&gt;&lt;author&gt;Pham, Tuan Anh&lt;/author&gt;&lt;author&gt;Zhan, Cheng&lt;/author&gt;&lt;/authors&gt;&lt;/contributors&gt;&lt;titles&gt;&lt;title&gt;Synergic Effects of Surface Chemistry and Applied Potentials on the Kinetics of the Electrocatalytic Oxygen Evolution Reaction in IrO2&lt;/title&gt;&lt;secondary-title&gt;ACS Appl. Energy Mater.&lt;/secondary-title&gt;&lt;/titles&gt;&lt;periodical&gt;&lt;full-title&gt;ACS Appl. Energy Mater.&lt;/full-title&gt;&lt;/periodical&gt;&lt;pages&gt;11963-11972&lt;/pages&gt;&lt;volume&gt;6&lt;/volume&gt;&lt;dates&gt;&lt;year&gt;2023&lt;/year&gt;&lt;pub-dates&gt;&lt;date&gt;2023/11/20&lt;/date&gt;&lt;/pub-dates&gt;&lt;/dates&gt;&lt;publisher&gt;American Chemical Society&lt;/publisher&gt;&lt;urls&gt;&lt;related-urls&gt;&lt;url&gt;https://doi.org/10.1021/acsaem.3c02136&lt;/url&gt;&lt;/related-urls&gt;&lt;/urls&gt;&lt;electronic-resource-num&gt;10.1021/acsaem.3c02136&lt;/electronic-resource-num&gt;&lt;/record&gt;&lt;/Cite&gt;&lt;/EndNote&gt;</w:instrText>
      </w:r>
      <w:r>
        <w:fldChar w:fldCharType="separate"/>
      </w:r>
      <w:r w:rsidR="00FC5BEB" w:rsidRPr="00FC5BEB">
        <w:rPr>
          <w:noProof/>
          <w:vertAlign w:val="superscript"/>
        </w:rPr>
        <w:t>483</w:t>
      </w:r>
      <w:r>
        <w:fldChar w:fldCharType="end"/>
      </w:r>
      <w:r>
        <w:t>, also in this case to model the OER on IrO</w:t>
      </w:r>
      <w:r w:rsidRPr="00F866FF">
        <w:rPr>
          <w:vertAlign w:val="subscript"/>
        </w:rPr>
        <w:t>2</w:t>
      </w:r>
      <w:r>
        <w:t>(110) via the mechanism proposed by Ping et al.</w:t>
      </w:r>
      <w:r>
        <w:fldChar w:fldCharType="begin"/>
      </w:r>
      <w:r w:rsidR="00FC5BEB">
        <w:instrText xml:space="preserve"> ADDIN EN.CITE &lt;EndNote&gt;&lt;Cite&gt;&lt;Author&gt;Ping&lt;/Author&gt;&lt;Year&gt;2017&lt;/Year&gt;&lt;RecNum&gt;263&lt;/RecNum&gt;&lt;DisplayText&gt;&lt;style face="superscript"&gt;265&lt;/style&gt;&lt;/DisplayText&gt;&lt;record&gt;&lt;rec-number&gt;263&lt;/rec-number&gt;&lt;foreign-keys&gt;&lt;key app="EN" db-id="2xex0erf4eexr4e2dpbxpdd829xttesxxxdr" timestamp="1715075296"&gt;263&lt;/key&gt;&lt;/foreign-keys&gt;&lt;ref-type name="Journal Article"&gt;17&lt;/ref-type&gt;&lt;contributors&gt;&lt;authors&gt;&lt;author&gt;Ping, Yuan&lt;/author&gt;&lt;author&gt;Nielsen, Robert J.&lt;/author&gt;&lt;author&gt;Goddard, William A., III&lt;/author&gt;&lt;/authors&gt;&lt;/contributors&gt;&lt;titles&gt;&lt;title&gt;The Reaction Mechanism with Free Energy Barriers at Constant Potentials for the Oxygen Evolution Reaction at the IrO2 (110) Surface&lt;/title&gt;&lt;secondary-title&gt;Journal of the American Chemical Society&lt;/secondary-title&gt;&lt;/titles&gt;&lt;periodical&gt;&lt;full-title&gt;Journal of the American Chemical Society&lt;/full-title&gt;&lt;abbr-1&gt;J. Am. Chem. Soc.&lt;/abbr-1&gt;&lt;abbr-2&gt;J Am Chem Soc&lt;/abbr-2&gt;&lt;/periodical&gt;&lt;pages&gt;149-155&lt;/pages&gt;&lt;volume&gt;139&lt;/volume&gt;&lt;number&gt;1&lt;/number&gt;&lt;dates&gt;&lt;year&gt;2017&lt;/year&gt;&lt;pub-dates&gt;&lt;date&gt;2017/01/11&lt;/date&gt;&lt;/pub-dates&gt;&lt;/dates&gt;&lt;publisher&gt;American Chemical Society&lt;/publisher&gt;&lt;isbn&gt;0002-7863&lt;/isbn&gt;&lt;urls&gt;&lt;related-urls&gt;&lt;url&gt;https://doi.org/10.1021/jacs.6b07557&lt;/url&gt;&lt;/related-urls&gt;&lt;/urls&gt;&lt;electronic-resource-num&gt;10.1021/jacs.6b07557&lt;/electronic-resource-num&gt;&lt;/record&gt;&lt;/Cite&gt;&lt;/EndNote&gt;</w:instrText>
      </w:r>
      <w:r>
        <w:fldChar w:fldCharType="separate"/>
      </w:r>
      <w:r w:rsidR="00FC5BEB" w:rsidRPr="00FC5BEB">
        <w:rPr>
          <w:noProof/>
          <w:vertAlign w:val="superscript"/>
        </w:rPr>
        <w:t>265</w:t>
      </w:r>
      <w:r>
        <w:fldChar w:fldCharType="end"/>
      </w:r>
      <w:r>
        <w:t xml:space="preserve">, obtaining very similar results. </w:t>
      </w:r>
      <w:r>
        <w:fldChar w:fldCharType="begin"/>
      </w:r>
      <w:r>
        <w:instrText xml:space="preserve"> REF _Ref156470631 \h </w:instrText>
      </w:r>
      <w:r>
        <w:fldChar w:fldCharType="separate"/>
      </w:r>
      <w:r w:rsidR="00B7319C" w:rsidRPr="00D34093">
        <w:rPr>
          <w:b/>
        </w:rPr>
        <w:t xml:space="preserve">Figure </w:t>
      </w:r>
      <w:r w:rsidR="00B7319C">
        <w:rPr>
          <w:b/>
          <w:bCs/>
          <w:noProof/>
        </w:rPr>
        <w:t>49</w:t>
      </w:r>
      <w:r>
        <w:fldChar w:fldCharType="end"/>
      </w:r>
      <w:r>
        <w:t xml:space="preserve"> shows a comparison of the free energy profile for the OER on IrO</w:t>
      </w:r>
      <w:r w:rsidRPr="00F866FF">
        <w:rPr>
          <w:vertAlign w:val="subscript"/>
        </w:rPr>
        <w:t>2</w:t>
      </w:r>
      <w:r>
        <w:t>(110) obtained by Zhou et al.</w:t>
      </w:r>
      <w:r>
        <w:fldChar w:fldCharType="begin"/>
      </w:r>
      <w:r w:rsidR="00FC5BEB">
        <w:instrText xml:space="preserve"> ADDIN EN.CITE &lt;EndNote&gt;&lt;Cite&gt;&lt;Author&gt;Zhou&lt;/Author&gt;&lt;Year&gt;2023&lt;/Year&gt;&lt;RecNum&gt;481&lt;/RecNum&gt;&lt;DisplayText&gt;&lt;style face="superscript"&gt;483&lt;/style&gt;&lt;/DisplayText&gt;&lt;record&gt;&lt;rec-number&gt;481&lt;/rec-number&gt;&lt;foreign-keys&gt;&lt;key app="EN" db-id="2xex0erf4eexr4e2dpbxpdd829xttesxxxdr" timestamp="1715075297"&gt;481&lt;/key&gt;&lt;/foreign-keys&gt;&lt;ref-type name="Journal Article"&gt;17&lt;/ref-type&gt;&lt;contributors&gt;&lt;authors&gt;&lt;author&gt;Zhou, Zeying&lt;/author&gt;&lt;author&gt;Kan, Erjun&lt;/author&gt;&lt;author&gt;Deng, Kaiming&lt;/author&gt;&lt;author&gt;Ogitsu, Tadashi&lt;/author&gt;&lt;author&gt;Pham, Tuan Anh&lt;/author&gt;&lt;author&gt;Zhan, Cheng&lt;/author&gt;&lt;/authors&gt;&lt;/contributors&gt;&lt;titles&gt;&lt;title&gt;Synergic Effects of Surface Chemistry and Applied Potentials on the Kinetics of the Electrocatalytic Oxygen Evolution Reaction in IrO2&lt;/title&gt;&lt;secondary-title&gt;ACS Appl. Energy Mater.&lt;/secondary-title&gt;&lt;/titles&gt;&lt;periodical&gt;&lt;full-title&gt;ACS Appl. Energy Mater.&lt;/full-title&gt;&lt;/periodical&gt;&lt;pages&gt;11963-11972&lt;/pages&gt;&lt;volume&gt;6&lt;/volume&gt;&lt;dates&gt;&lt;year&gt;2023&lt;/year&gt;&lt;pub-dates&gt;&lt;date&gt;2023/11/20&lt;/date&gt;&lt;/pub-dates&gt;&lt;/dates&gt;&lt;publisher&gt;American Chemical Society&lt;/publisher&gt;&lt;urls&gt;&lt;related-urls&gt;&lt;url&gt;https://doi.org/10.1021/acsaem.3c02136&lt;/url&gt;&lt;/related-urls&gt;&lt;/urls&gt;&lt;electronic-resource-num&gt;10.1021/acsaem.3c02136&lt;/electronic-resource-num&gt;&lt;/record&gt;&lt;/Cite&gt;&lt;/EndNote&gt;</w:instrText>
      </w:r>
      <w:r>
        <w:fldChar w:fldCharType="separate"/>
      </w:r>
      <w:r w:rsidR="00FC5BEB" w:rsidRPr="00FC5BEB">
        <w:rPr>
          <w:noProof/>
          <w:vertAlign w:val="superscript"/>
        </w:rPr>
        <w:t>483</w:t>
      </w:r>
      <w:r>
        <w:fldChar w:fldCharType="end"/>
      </w:r>
      <w:r>
        <w:t>, including the transition states for water dissociation (TS1) and oxygen release (TS2). While differences between constant charge and constant potential simulations are as large as 0.2 eV at low applied potentials (1.3 V</w:t>
      </w:r>
      <w:r w:rsidRPr="002C7D02">
        <w:rPr>
          <w:vertAlign w:val="subscript"/>
        </w:rPr>
        <w:t>SHE</w:t>
      </w:r>
      <w:r>
        <w:t>), the differences are negligibly small at higher potentials (1.8 V</w:t>
      </w:r>
      <w:r w:rsidRPr="002C7D02">
        <w:rPr>
          <w:vertAlign w:val="subscript"/>
        </w:rPr>
        <w:t>SHE</w:t>
      </w:r>
      <w:r>
        <w:t xml:space="preserve">), for reasons that have not been clarified. </w:t>
      </w:r>
    </w:p>
    <w:p w14:paraId="2E3CF863" w14:textId="77777777" w:rsidR="00B4084C" w:rsidRDefault="00B4084C" w:rsidP="00B4084C"/>
    <w:p w14:paraId="7411C3D4" w14:textId="77777777" w:rsidR="00B4084C" w:rsidRDefault="00B4084C" w:rsidP="001C1AC5">
      <w:pPr>
        <w:keepNext/>
        <w:jc w:val="center"/>
      </w:pPr>
      <w:r>
        <w:rPr>
          <w:noProof/>
        </w:rPr>
        <w:drawing>
          <wp:inline distT="0" distB="0" distL="0" distR="0" wp14:anchorId="2E229487" wp14:editId="05E2792E">
            <wp:extent cx="2880000" cy="2346769"/>
            <wp:effectExtent l="0" t="0" r="3175" b="3175"/>
            <wp:docPr id="138547807" name="Picture 138547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Screen Shot 2024-01-18 at 10.30.48.pn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2880000" cy="2346769"/>
                    </a:xfrm>
                    <a:prstGeom prst="rect">
                      <a:avLst/>
                    </a:prstGeom>
                  </pic:spPr>
                </pic:pic>
              </a:graphicData>
            </a:graphic>
          </wp:inline>
        </w:drawing>
      </w:r>
    </w:p>
    <w:p w14:paraId="6892A25C" w14:textId="374C8837" w:rsidR="00B4084C" w:rsidRPr="004F21B7" w:rsidRDefault="00B4084C" w:rsidP="00B4084C">
      <w:pPr>
        <w:pStyle w:val="Caption"/>
      </w:pPr>
      <w:bookmarkStart w:id="151" w:name="_Ref156470631"/>
      <w:r w:rsidRPr="00D34093">
        <w:rPr>
          <w:b/>
          <w:bCs w:val="0"/>
          <w:sz w:val="22"/>
        </w:rPr>
        <w:t xml:space="preserve">Figure </w:t>
      </w:r>
      <w:r w:rsidRPr="00D34093">
        <w:rPr>
          <w:b/>
          <w:bCs w:val="0"/>
          <w:sz w:val="22"/>
        </w:rPr>
        <w:fldChar w:fldCharType="begin"/>
      </w:r>
      <w:r w:rsidRPr="00D34093">
        <w:rPr>
          <w:b/>
          <w:bCs w:val="0"/>
          <w:sz w:val="22"/>
        </w:rPr>
        <w:instrText xml:space="preserve"> SEQ Figure \* ARABIC </w:instrText>
      </w:r>
      <w:r w:rsidRPr="00D34093">
        <w:rPr>
          <w:b/>
          <w:bCs w:val="0"/>
          <w:sz w:val="22"/>
        </w:rPr>
        <w:fldChar w:fldCharType="separate"/>
      </w:r>
      <w:r w:rsidR="00B7319C">
        <w:rPr>
          <w:b/>
          <w:bCs w:val="0"/>
          <w:noProof/>
          <w:sz w:val="22"/>
        </w:rPr>
        <w:t>49</w:t>
      </w:r>
      <w:r w:rsidRPr="00D34093">
        <w:rPr>
          <w:b/>
          <w:bCs w:val="0"/>
          <w:noProof/>
          <w:sz w:val="22"/>
        </w:rPr>
        <w:fldChar w:fldCharType="end"/>
      </w:r>
      <w:bookmarkEnd w:id="151"/>
      <w:r w:rsidRPr="004F21B7">
        <w:t xml:space="preserve"> </w:t>
      </w:r>
      <w:r>
        <w:t xml:space="preserve">Comparison of reaction free energy profile (Path A) from constant-potential and constant-charge at (a) 1.3 V vs. SHE and (b) 1.8 V vs. SHE. Reproduced </w:t>
      </w:r>
      <w:r w:rsidR="00386F81">
        <w:t xml:space="preserve">with permission </w:t>
      </w:r>
      <w:r>
        <w:t>from Ref.</w:t>
      </w:r>
      <w:r>
        <w:fldChar w:fldCharType="begin"/>
      </w:r>
      <w:r w:rsidR="00FC5BEB">
        <w:instrText xml:space="preserve"> ADDIN EN.CITE &lt;EndNote&gt;&lt;Cite&gt;&lt;Author&gt;Zhou&lt;/Author&gt;&lt;Year&gt;2023&lt;/Year&gt;&lt;RecNum&gt;481&lt;/RecNum&gt;&lt;DisplayText&gt;&lt;style face="superscript"&gt;483&lt;/style&gt;&lt;/DisplayText&gt;&lt;record&gt;&lt;rec-number&gt;481&lt;/rec-number&gt;&lt;foreign-keys&gt;&lt;key app="EN" db-id="2xex0erf4eexr4e2dpbxpdd829xttesxxxdr" timestamp="1715075297"&gt;481&lt;/key&gt;&lt;/foreign-keys&gt;&lt;ref-type name="Journal Article"&gt;17&lt;/ref-type&gt;&lt;contributors&gt;&lt;authors&gt;&lt;author&gt;Zhou, Zeying&lt;/author&gt;&lt;author&gt;Kan, Erjun&lt;/author&gt;&lt;author&gt;Deng, Kaiming&lt;/author&gt;&lt;author&gt;Ogitsu, Tadashi&lt;/author&gt;&lt;author&gt;Pham, Tuan Anh&lt;/author&gt;&lt;author&gt;Zhan, Cheng&lt;/author&gt;&lt;/authors&gt;&lt;/contributors&gt;&lt;titles&gt;&lt;title&gt;Synergic Effects of Surface Chemistry and Applied Potentials on the Kinetics of the Electrocatalytic Oxygen Evolution Reaction in IrO2&lt;/title&gt;&lt;secondary-title&gt;ACS Appl. Energy Mater.&lt;/secondary-title&gt;&lt;/titles&gt;&lt;periodical&gt;&lt;full-title&gt;ACS Appl. Energy Mater.&lt;/full-title&gt;&lt;/periodical&gt;&lt;pages&gt;11963-11972&lt;/pages&gt;&lt;volume&gt;6&lt;/volume&gt;&lt;dates&gt;&lt;year&gt;2023&lt;/year&gt;&lt;pub-dates&gt;&lt;date&gt;2023/11/20&lt;/date&gt;&lt;/pub-dates&gt;&lt;/dates&gt;&lt;publisher&gt;American Chemical Society&lt;/publisher&gt;&lt;urls&gt;&lt;related-urls&gt;&lt;url&gt;https://doi.org/10.1021/acsaem.3c02136&lt;/url&gt;&lt;/related-urls&gt;&lt;/urls&gt;&lt;electronic-resource-num&gt;10.1021/acsaem.3c02136&lt;/electronic-resource-num&gt;&lt;/record&gt;&lt;/Cite&gt;&lt;/EndNote&gt;</w:instrText>
      </w:r>
      <w:r>
        <w:fldChar w:fldCharType="separate"/>
      </w:r>
      <w:r w:rsidR="00FC5BEB" w:rsidRPr="00FC5BEB">
        <w:rPr>
          <w:noProof/>
          <w:vertAlign w:val="superscript"/>
        </w:rPr>
        <w:t>483</w:t>
      </w:r>
      <w:r>
        <w:fldChar w:fldCharType="end"/>
      </w:r>
      <w:r w:rsidR="00B04621">
        <w:t xml:space="preserve"> </w:t>
      </w:r>
      <w:r w:rsidR="00B04621" w:rsidRPr="00B04621">
        <w:rPr>
          <w:lang w:val="en-US"/>
        </w:rPr>
        <w:t>Copyright 2023 American Chemical Society</w:t>
      </w:r>
      <w:r w:rsidR="00B04621">
        <w:rPr>
          <w:lang w:val="en-US"/>
        </w:rPr>
        <w:t>.</w:t>
      </w:r>
    </w:p>
    <w:p w14:paraId="5C6B977C" w14:textId="72470FC5" w:rsidR="00B4084C" w:rsidRDefault="00B4084C" w:rsidP="00D34093">
      <w:pPr>
        <w:ind w:firstLine="720"/>
      </w:pPr>
      <w:r>
        <w:lastRenderedPageBreak/>
        <w:t>Duan and Xiao</w:t>
      </w:r>
      <w:r>
        <w:fldChar w:fldCharType="begin"/>
      </w:r>
      <w:r w:rsidR="00FC5BEB">
        <w:instrText xml:space="preserve"> ADDIN EN.CITE &lt;EndNote&gt;&lt;Cite&gt;&lt;Author&gt;Duan&lt;/Author&gt;&lt;Year&gt;2021&lt;/Year&gt;&lt;RecNum&gt;507&lt;/RecNum&gt;&lt;DisplayText&gt;&lt;style face="superscript"&gt;509&lt;/style&gt;&lt;/DisplayText&gt;&lt;record&gt;&lt;rec-number&gt;507&lt;/rec-number&gt;&lt;foreign-keys&gt;&lt;key app="EN" db-id="2xex0erf4eexr4e2dpbxpdd829xttesxxxdr" timestamp="1715075297"&gt;507&lt;/key&gt;&lt;/foreign-keys&gt;&lt;ref-type name="Journal Article"&gt;17&lt;/ref-type&gt;&lt;contributors&gt;&lt;authors&gt;&lt;author&gt;Duan, Zhiyao&lt;/author&gt;&lt;author&gt;Xiao, Penghao&lt;/author&gt;&lt;/authors&gt;&lt;/contributors&gt;&lt;titles&gt;&lt;title&gt;Simulation of Potential-Dependent Activation Energies in Electrocatalysis: Mechanism of O-O Bond Formation on RuO2&lt;/title&gt;&lt;secondary-title&gt;Journal of Physical Chemistry C&lt;/secondary-title&gt;&lt;/titles&gt;&lt;periodical&gt;&lt;full-title&gt;Journal of Physical Chemistry C&lt;/full-title&gt;&lt;abbr-1&gt;J. Phys. Chem. C&lt;/abbr-1&gt;&lt;/periodical&gt;&lt;pages&gt;15243-15250&lt;/pages&gt;&lt;volume&gt;125&lt;/volume&gt;&lt;number&gt;28&lt;/number&gt;&lt;dates&gt;&lt;year&gt;2021&lt;/year&gt;&lt;/dates&gt;&lt;urls&gt;&lt;related-urls&gt;&lt;url&gt;https://pubs.acs.org/doi/pdf/10.1021/acs.jpcc.1c02998&lt;/url&gt;&lt;/related-urls&gt;&lt;pdf-urls&gt;&lt;url&gt;file://localhost/localhost/Users/piccinin/Literature/duan-xiao-2021-simulation-of-potential-dependent-activation-energies-in-electrocatalysis-mechanism-of-o-o-bond.pdf&lt;/url&gt;&lt;/pdf-urls&gt;&lt;/urls&gt;&lt;electronic-resource-num&gt;10.1021/acs.jpcc.1c02998&lt;/electronic-resource-num&gt;&lt;/record&gt;&lt;/Cite&gt;&lt;/EndNote&gt;</w:instrText>
      </w:r>
      <w:r>
        <w:fldChar w:fldCharType="separate"/>
      </w:r>
      <w:r w:rsidR="00FC5BEB" w:rsidRPr="00FC5BEB">
        <w:rPr>
          <w:noProof/>
          <w:vertAlign w:val="superscript"/>
        </w:rPr>
        <w:t>509</w:t>
      </w:r>
      <w:r>
        <w:fldChar w:fldCharType="end"/>
      </w:r>
      <w:r>
        <w:t xml:space="preserve"> introduced a grand canonical scheme for transition state searches in simulations at constant bias. They defined a generalized force </w:t>
      </w:r>
      <w:r w:rsidRPr="00886953">
        <w:rPr>
          <w:b/>
          <w:i/>
          <w:iCs/>
        </w:rPr>
        <w:t>F</w:t>
      </w:r>
      <w:proofErr w:type="gramStart"/>
      <w:r>
        <w:t>=(</w:t>
      </w:r>
      <w:proofErr w:type="gramEnd"/>
      <w:r w:rsidRPr="00886953">
        <w:rPr>
          <w:b/>
          <w:i/>
          <w:iCs/>
        </w:rPr>
        <w:t>f</w:t>
      </w:r>
      <w:r>
        <w:t>, -</w:t>
      </w:r>
      <w:r w:rsidRPr="00886953">
        <w:rPr>
          <w:rFonts w:ascii="Symbol" w:hAnsi="Symbol"/>
          <w:i/>
          <w:iCs/>
        </w:rPr>
        <w:t></w:t>
      </w:r>
      <w:r w:rsidR="00AE3115" w:rsidRPr="00EF55AE">
        <w:rPr>
          <w:vertAlign w:val="subscript"/>
        </w:rPr>
        <w:t>e</w:t>
      </w:r>
      <w:r w:rsidR="00AE3115">
        <w:rPr>
          <w:i/>
          <w:iCs/>
          <w:vertAlign w:val="subscript"/>
        </w:rPr>
        <w:t>-</w:t>
      </w:r>
      <w:r>
        <w:t xml:space="preserve">), where </w:t>
      </w:r>
      <w:r w:rsidRPr="00886953">
        <w:rPr>
          <w:b/>
          <w:i/>
          <w:iCs/>
        </w:rPr>
        <w:t>f</w:t>
      </w:r>
      <w:r>
        <w:t>=(-</w:t>
      </w:r>
      <m:oMath>
        <m:r>
          <m:rPr>
            <m:sty m:val="p"/>
          </m:rPr>
          <w:rPr>
            <w:rFonts w:ascii="Cambria Math" w:hAnsi="Cambria Math"/>
          </w:rPr>
          <m:t>∂</m:t>
        </m:r>
        <m:r>
          <w:rPr>
            <w:rFonts w:ascii="Cambria Math" w:hAnsi="Cambria Math"/>
          </w:rPr>
          <m:t>H/</m:t>
        </m:r>
        <m:r>
          <m:rPr>
            <m:sty m:val="p"/>
          </m:rPr>
          <w:rPr>
            <w:rFonts w:ascii="Cambria Math" w:hAnsi="Cambria Math"/>
          </w:rPr>
          <m:t>∂</m:t>
        </m:r>
        <m:r>
          <m:rPr>
            <m:sty m:val="bi"/>
          </m:rPr>
          <w:rPr>
            <w:rFonts w:ascii="Cambria Math" w:hAnsi="Cambria Math"/>
          </w:rPr>
          <m:t>r</m:t>
        </m:r>
      </m:oMath>
      <w:r>
        <w:t xml:space="preserve">) is the atomic force vector and </w:t>
      </w:r>
      <w:r w:rsidRPr="00886953">
        <w:rPr>
          <w:rFonts w:ascii="Symbol" w:hAnsi="Symbol"/>
          <w:i/>
          <w:iCs/>
        </w:rPr>
        <w:t></w:t>
      </w:r>
      <w:r w:rsidR="00AE3115" w:rsidRPr="00EF55AE">
        <w:rPr>
          <w:vertAlign w:val="subscript"/>
        </w:rPr>
        <w:t>e</w:t>
      </w:r>
      <w:r w:rsidR="00AE3115">
        <w:rPr>
          <w:i/>
          <w:iCs/>
          <w:vertAlign w:val="subscript"/>
        </w:rPr>
        <w:t>-</w:t>
      </w:r>
      <w:r>
        <w:rPr>
          <w:rFonts w:ascii="Symbol" w:hAnsi="Symbol"/>
        </w:rPr>
        <w:t></w:t>
      </w:r>
      <w:r>
        <w:t>(-</w:t>
      </w:r>
      <m:oMath>
        <m:r>
          <m:rPr>
            <m:sty m:val="p"/>
          </m:rPr>
          <w:rPr>
            <w:rFonts w:ascii="Cambria Math" w:hAnsi="Cambria Math"/>
          </w:rPr>
          <m:t>∂</m:t>
        </m:r>
        <m:r>
          <w:rPr>
            <w:rFonts w:ascii="Cambria Math" w:hAnsi="Cambria Math"/>
          </w:rPr>
          <m:t>H/</m:t>
        </m:r>
        <m:r>
          <m:rPr>
            <m:sty m:val="p"/>
          </m:rPr>
          <w:rPr>
            <w:rFonts w:ascii="Cambria Math" w:hAnsi="Cambria Math"/>
          </w:rPr>
          <m:t>∂</m:t>
        </m:r>
        <m:r>
          <w:rPr>
            <w:rFonts w:ascii="Cambria Math" w:hAnsi="Cambria Math"/>
          </w:rPr>
          <m:t>n</m:t>
        </m:r>
      </m:oMath>
      <w:r>
        <w:t xml:space="preserve">) is the electron chemical potential, </w:t>
      </w:r>
      <w:r w:rsidRPr="00886953">
        <w:rPr>
          <w:i/>
          <w:iCs/>
        </w:rPr>
        <w:t>H</w:t>
      </w:r>
      <w:r>
        <w:t>(</w:t>
      </w:r>
      <w:r w:rsidRPr="00886953">
        <w:rPr>
          <w:b/>
          <w:i/>
          <w:iCs/>
        </w:rPr>
        <w:t>r</w:t>
      </w:r>
      <w:r>
        <w:rPr>
          <w:b/>
        </w:rPr>
        <w:t xml:space="preserve">, </w:t>
      </w:r>
      <w:r w:rsidRPr="00B84862">
        <w:rPr>
          <w:i/>
        </w:rPr>
        <w:t>n</w:t>
      </w:r>
      <w:r>
        <w:t xml:space="preserve">) is the enthalpy and </w:t>
      </w:r>
      <w:r w:rsidRPr="00B84862">
        <w:rPr>
          <w:i/>
        </w:rPr>
        <w:t>n</w:t>
      </w:r>
      <w:r>
        <w:t xml:space="preserve"> is the total charge. The transition state search is performed via the NEB algorithm, where the path is now defined via projections of the generalized force </w:t>
      </w:r>
      <w:r w:rsidRPr="00886953">
        <w:rPr>
          <w:b/>
          <w:i/>
          <w:iCs/>
        </w:rPr>
        <w:t>F</w:t>
      </w:r>
      <w:r>
        <w:t>, hence the number of electrons varies along the path to keep the electron chemical potential constant. The authors modeled the OER on RuO</w:t>
      </w:r>
      <w:r w:rsidRPr="00B97C3E">
        <w:rPr>
          <w:vertAlign w:val="subscript"/>
        </w:rPr>
        <w:t>2</w:t>
      </w:r>
      <w:r>
        <w:t>(110), coupling DFT calculations with a continuum solvent model (VASPsol</w:t>
      </w:r>
      <w:r>
        <w:fldChar w:fldCharType="begin"/>
      </w:r>
      <w:r w:rsidR="00FC5BEB">
        <w:instrText xml:space="preserve"> ADDIN EN.CITE &lt;EndNote&gt;&lt;Cite&gt;&lt;Author&gt;Mathew&lt;/Author&gt;&lt;Year&gt;2014&lt;/Year&gt;&lt;RecNum&gt;508&lt;/RecNum&gt;&lt;DisplayText&gt;&lt;style face="superscript"&gt;510&lt;/style&gt;&lt;/DisplayText&gt;&lt;record&gt;&lt;rec-number&gt;508&lt;/rec-number&gt;&lt;foreign-keys&gt;&lt;key app="EN" db-id="2xex0erf4eexr4e2dpbxpdd829xttesxxxdr" timestamp="1715075297"&gt;508&lt;/key&gt;&lt;/foreign-keys&gt;&lt;ref-type name="Journal Article"&gt;17&lt;/ref-type&gt;&lt;contributors&gt;&lt;authors&gt;&lt;author&gt;Mathew, Kiran&lt;/author&gt;&lt;author&gt;Sundararaman, Ravishankar&lt;/author&gt;&lt;author&gt;Letchworth-Weaver, Kendra&lt;/author&gt;&lt;author&gt;Arias, T. A.&lt;/author&gt;&lt;author&gt;Hennig, Richard G.&lt;/author&gt;&lt;/authors&gt;&lt;/contributors&gt;&lt;titles&gt;&lt;title&gt;Implicit solvation model for density-functional study of nanocrystal surfaces and reaction pathways&lt;/title&gt;&lt;secondary-title&gt;Journal of Chemical Physics&lt;/secondary-title&gt;&lt;/titles&gt;&lt;periodical&gt;&lt;full-title&gt;Journal of Chemical Physics&lt;/full-title&gt;&lt;abbr-1&gt;J. Chem. Phys.&lt;/abbr-1&gt;&lt;abbr-2&gt;J Chem Phys&lt;/abbr-2&gt;&lt;/periodical&gt;&lt;pages&gt;084106&lt;/pages&gt;&lt;volume&gt;140&lt;/volume&gt;&lt;number&gt;8&lt;/number&gt;&lt;dates&gt;&lt;year&gt;2014&lt;/year&gt;&lt;/dates&gt;&lt;urls&gt;&lt;related-urls&gt;&lt;url&gt;https://pubs.aip.org/aip/jcp/article/140/8/084106/1003843/Implicit-solvation-model-for-density-functional&lt;/url&gt;&lt;/related-urls&gt;&lt;pdf-urls&gt;&lt;url&gt;file://localhost/localhost/localhost/Users/piccinin/Literature/084106_1_online.pdf&lt;/url&gt;&lt;/pdf-urls&gt;&lt;/urls&gt;&lt;electronic-resource-num&gt;10.1063/1.4865107&lt;/electronic-resource-num&gt;&lt;/record&gt;&lt;/Cite&gt;&lt;/EndNote&gt;</w:instrText>
      </w:r>
      <w:r>
        <w:fldChar w:fldCharType="separate"/>
      </w:r>
      <w:r w:rsidR="00FC5BEB" w:rsidRPr="00FC5BEB">
        <w:rPr>
          <w:noProof/>
          <w:vertAlign w:val="superscript"/>
        </w:rPr>
        <w:t>510</w:t>
      </w:r>
      <w:r>
        <w:fldChar w:fldCharType="end"/>
      </w:r>
      <w:r>
        <w:t>). Also</w:t>
      </w:r>
      <w:r w:rsidR="008870C7">
        <w:t>,</w:t>
      </w:r>
      <w:r>
        <w:t xml:space="preserve"> in this case the first step evaluated was the dissociation of water leading to a *OOH intermediate at a CUS site, and the dependence of the energy profile as a function of the applied bias is displayed in </w:t>
      </w:r>
      <w:r>
        <w:fldChar w:fldCharType="begin"/>
      </w:r>
      <w:r>
        <w:instrText xml:space="preserve"> REF _Ref156477730 \h </w:instrText>
      </w:r>
      <w:r>
        <w:fldChar w:fldCharType="separate"/>
      </w:r>
      <w:r w:rsidR="00B7319C" w:rsidRPr="00D34093">
        <w:rPr>
          <w:b/>
        </w:rPr>
        <w:t xml:space="preserve">Figure </w:t>
      </w:r>
      <w:r w:rsidR="00B7319C">
        <w:rPr>
          <w:b/>
          <w:bCs/>
          <w:noProof/>
        </w:rPr>
        <w:t>50</w:t>
      </w:r>
      <w:r>
        <w:fldChar w:fldCharType="end"/>
      </w:r>
      <w:r w:rsidRPr="00044BFD">
        <w:rPr>
          <w:b/>
          <w:bCs/>
        </w:rPr>
        <w:t>a-c</w:t>
      </w:r>
      <w:r>
        <w:t xml:space="preserve">. </w:t>
      </w:r>
    </w:p>
    <w:p w14:paraId="412F49BD" w14:textId="77777777" w:rsidR="001C1AC5" w:rsidRDefault="001C1AC5" w:rsidP="00D34093">
      <w:pPr>
        <w:ind w:firstLine="720"/>
      </w:pPr>
    </w:p>
    <w:p w14:paraId="269F57C0" w14:textId="77777777" w:rsidR="00B4084C" w:rsidRDefault="00B4084C" w:rsidP="001C1AC5">
      <w:pPr>
        <w:keepNext/>
        <w:jc w:val="center"/>
      </w:pPr>
      <w:r>
        <w:rPr>
          <w:noProof/>
        </w:rPr>
        <w:drawing>
          <wp:inline distT="0" distB="0" distL="0" distR="0" wp14:anchorId="09A99DE4" wp14:editId="0199D73A">
            <wp:extent cx="3909616" cy="2880000"/>
            <wp:effectExtent l="0" t="0" r="2540" b="3175"/>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Duan_JPCC2021_Fig3-4_exp.jp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3909616" cy="2880000"/>
                    </a:xfrm>
                    <a:prstGeom prst="rect">
                      <a:avLst/>
                    </a:prstGeom>
                  </pic:spPr>
                </pic:pic>
              </a:graphicData>
            </a:graphic>
          </wp:inline>
        </w:drawing>
      </w:r>
    </w:p>
    <w:p w14:paraId="49F62336" w14:textId="0E12861E" w:rsidR="00B4084C" w:rsidRPr="00B339D1" w:rsidRDefault="00B4084C" w:rsidP="00B4084C">
      <w:pPr>
        <w:pStyle w:val="Caption"/>
      </w:pPr>
      <w:bookmarkStart w:id="152" w:name="_Ref156477730"/>
      <w:r w:rsidRPr="00D34093">
        <w:rPr>
          <w:b/>
          <w:bCs w:val="0"/>
          <w:sz w:val="22"/>
        </w:rPr>
        <w:t xml:space="preserve">Figure </w:t>
      </w:r>
      <w:r w:rsidRPr="00D34093">
        <w:rPr>
          <w:b/>
          <w:bCs w:val="0"/>
          <w:sz w:val="22"/>
        </w:rPr>
        <w:fldChar w:fldCharType="begin"/>
      </w:r>
      <w:r w:rsidRPr="00D34093">
        <w:rPr>
          <w:b/>
          <w:bCs w:val="0"/>
          <w:sz w:val="22"/>
        </w:rPr>
        <w:instrText xml:space="preserve"> SEQ Figure \* ARABIC </w:instrText>
      </w:r>
      <w:r w:rsidRPr="00D34093">
        <w:rPr>
          <w:b/>
          <w:bCs w:val="0"/>
          <w:sz w:val="22"/>
        </w:rPr>
        <w:fldChar w:fldCharType="separate"/>
      </w:r>
      <w:r w:rsidR="00B7319C">
        <w:rPr>
          <w:b/>
          <w:bCs w:val="0"/>
          <w:noProof/>
          <w:sz w:val="22"/>
        </w:rPr>
        <w:t>50</w:t>
      </w:r>
      <w:r w:rsidRPr="00D34093">
        <w:rPr>
          <w:b/>
          <w:bCs w:val="0"/>
          <w:noProof/>
          <w:sz w:val="22"/>
        </w:rPr>
        <w:fldChar w:fldCharType="end"/>
      </w:r>
      <w:bookmarkEnd w:id="152"/>
      <w:r w:rsidRPr="00B339D1">
        <w:rPr>
          <w:rFonts w:ascii="Roboto" w:hAnsi="Roboto"/>
          <w:color w:val="000000"/>
          <w:sz w:val="26"/>
          <w:szCs w:val="26"/>
          <w:shd w:val="clear" w:color="auto" w:fill="FFFFFF"/>
        </w:rPr>
        <w:t xml:space="preserve"> </w:t>
      </w:r>
      <w:r>
        <w:t>(a-c): W</w:t>
      </w:r>
      <w:r w:rsidRPr="00B339D1">
        <w:t>ater dissociation pathway at different voltages. The IS, TS, and final state (FS) optimized at </w:t>
      </w:r>
      <w:r w:rsidRPr="00E45E28">
        <w:rPr>
          <w:i/>
          <w:iCs/>
        </w:rPr>
        <w:t>U</w:t>
      </w:r>
      <w:r w:rsidRPr="00B339D1">
        <w:t> = 1.6 V are shown in (a). In (b), the energy profiles along reaction coordinates at different potentials are shown. In (c), the potential dependences of activation barriers (</w:t>
      </w:r>
      <w:proofErr w:type="spellStart"/>
      <w:r w:rsidRPr="00E45E28">
        <w:rPr>
          <w:i/>
          <w:iCs/>
        </w:rPr>
        <w:t>E</w:t>
      </w:r>
      <w:r w:rsidRPr="00B339D1">
        <w:rPr>
          <w:vertAlign w:val="subscript"/>
        </w:rPr>
        <w:t>a</w:t>
      </w:r>
      <w:proofErr w:type="spellEnd"/>
      <w:r w:rsidRPr="00B339D1">
        <w:t>) and reaction energies (Δ</w:t>
      </w:r>
      <w:r w:rsidRPr="00E45E28">
        <w:rPr>
          <w:i/>
          <w:iCs/>
        </w:rPr>
        <w:t>E</w:t>
      </w:r>
      <w:r w:rsidRPr="00B339D1">
        <w:t>) are shown.</w:t>
      </w:r>
      <w:r>
        <w:t xml:space="preserve"> (d-f): </w:t>
      </w:r>
      <w:r w:rsidRPr="001846B1">
        <w:t>PCET pathway at different voltages. The IS, TS, and FS optimized at </w:t>
      </w:r>
      <w:r w:rsidRPr="00E45E28">
        <w:rPr>
          <w:i/>
          <w:iCs/>
        </w:rPr>
        <w:t>U </w:t>
      </w:r>
      <w:r w:rsidRPr="001846B1">
        <w:t>= 1.6 V are shown in (</w:t>
      </w:r>
      <w:r>
        <w:t>d</w:t>
      </w:r>
      <w:r w:rsidRPr="001846B1">
        <w:t>). In (</w:t>
      </w:r>
      <w:r>
        <w:t>e</w:t>
      </w:r>
      <w:r w:rsidRPr="001846B1">
        <w:t>), the energy profiles along reaction coordinates at different potentials are shown. In (</w:t>
      </w:r>
      <w:r>
        <w:t>f</w:t>
      </w:r>
      <w:r w:rsidRPr="001846B1">
        <w:t>), the potential dependences of activation barriers (</w:t>
      </w:r>
      <w:proofErr w:type="spellStart"/>
      <w:r w:rsidRPr="00E45E28">
        <w:rPr>
          <w:i/>
          <w:iCs/>
        </w:rPr>
        <w:t>E</w:t>
      </w:r>
      <w:r w:rsidRPr="001846B1">
        <w:rPr>
          <w:vertAlign w:val="subscript"/>
        </w:rPr>
        <w:t>a</w:t>
      </w:r>
      <w:proofErr w:type="spellEnd"/>
      <w:r w:rsidRPr="001846B1">
        <w:t>) and reaction energies (Δ</w:t>
      </w:r>
      <w:r w:rsidRPr="00E45E28">
        <w:rPr>
          <w:i/>
          <w:iCs/>
        </w:rPr>
        <w:t>E</w:t>
      </w:r>
      <w:r w:rsidRPr="001846B1">
        <w:t>) are shown</w:t>
      </w:r>
      <w:r>
        <w:t>. Adapted</w:t>
      </w:r>
      <w:r w:rsidR="00AD7298">
        <w:t xml:space="preserve"> with permission</w:t>
      </w:r>
      <w:r>
        <w:t xml:space="preserve"> from Ref.</w:t>
      </w:r>
      <w:r>
        <w:fldChar w:fldCharType="begin"/>
      </w:r>
      <w:r w:rsidR="00FC5BEB">
        <w:instrText xml:space="preserve"> ADDIN EN.CITE &lt;EndNote&gt;&lt;Cite&gt;&lt;Author&gt;Duan&lt;/Author&gt;&lt;Year&gt;2021&lt;/Year&gt;&lt;RecNum&gt;507&lt;/RecNum&gt;&lt;DisplayText&gt;&lt;style face="superscript"&gt;509&lt;/style&gt;&lt;/DisplayText&gt;&lt;record&gt;&lt;rec-number&gt;507&lt;/rec-number&gt;&lt;foreign-keys&gt;&lt;key app="EN" db-id="2xex0erf4eexr4e2dpbxpdd829xttesxxxdr" timestamp="1715075297"&gt;507&lt;/key&gt;&lt;/foreign-keys&gt;&lt;ref-type name="Journal Article"&gt;17&lt;/ref-type&gt;&lt;contributors&gt;&lt;authors&gt;&lt;author&gt;Duan, Zhiyao&lt;/author&gt;&lt;author&gt;Xiao, Penghao&lt;/author&gt;&lt;/authors&gt;&lt;/contributors&gt;&lt;titles&gt;&lt;title&gt;Simulation of Potential-Dependent Activation Energies in Electrocatalysis: Mechanism of O-O Bond Formation on RuO2&lt;/title&gt;&lt;secondary-title&gt;Journal of Physical Chemistry C&lt;/secondary-title&gt;&lt;/titles&gt;&lt;periodical&gt;&lt;full-title&gt;Journal of Physical Chemistry C&lt;/full-title&gt;&lt;abbr-1&gt;J. Phys. Chem. C&lt;/abbr-1&gt;&lt;/periodical&gt;&lt;pages&gt;15243-15250&lt;/pages&gt;&lt;volume&gt;125&lt;/volume&gt;&lt;number&gt;28&lt;/number&gt;&lt;dates&gt;&lt;year&gt;2021&lt;/year&gt;&lt;/dates&gt;&lt;urls&gt;&lt;related-urls&gt;&lt;url&gt;https://pubs.acs.org/doi/pdf/10.1021/acs.jpcc.1c02998&lt;/url&gt;&lt;/related-urls&gt;&lt;pdf-urls&gt;&lt;url&gt;file://localhost/localhost/Users/piccinin/Literature/duan-xiao-2021-simulation-of-potential-dependent-activation-energies-in-electrocatalysis-mechanism-of-o-o-bond.pdf&lt;/url&gt;&lt;/pdf-urls&gt;&lt;/urls&gt;&lt;electronic-resource-num&gt;10.1021/acs.jpcc.1c02998&lt;/electronic-resource-num&gt;&lt;/record&gt;&lt;/Cite&gt;&lt;/EndNote&gt;</w:instrText>
      </w:r>
      <w:r>
        <w:fldChar w:fldCharType="separate"/>
      </w:r>
      <w:r w:rsidR="00FC5BEB" w:rsidRPr="00FC5BEB">
        <w:rPr>
          <w:noProof/>
          <w:vertAlign w:val="superscript"/>
        </w:rPr>
        <w:t>509</w:t>
      </w:r>
      <w:r>
        <w:fldChar w:fldCharType="end"/>
      </w:r>
      <w:r w:rsidR="006567E9">
        <w:t xml:space="preserve"> </w:t>
      </w:r>
      <w:r w:rsidR="006567E9" w:rsidRPr="006567E9">
        <w:rPr>
          <w:lang w:val="en-US"/>
        </w:rPr>
        <w:t>Copyright 2021 American Chemical Society</w:t>
      </w:r>
      <w:r w:rsidR="006567E9">
        <w:rPr>
          <w:lang w:val="en-US"/>
        </w:rPr>
        <w:t>.</w:t>
      </w:r>
    </w:p>
    <w:p w14:paraId="02B1ACE2" w14:textId="16B3CC96" w:rsidR="00B4084C" w:rsidRDefault="00B4084C" w:rsidP="00B4084C">
      <w:pPr>
        <w:pStyle w:val="Caption"/>
        <w:rPr>
          <w:i/>
          <w:sz w:val="24"/>
          <w:szCs w:val="24"/>
        </w:rPr>
      </w:pPr>
      <w:r w:rsidRPr="00B339D1">
        <w:rPr>
          <w:sz w:val="24"/>
          <w:szCs w:val="24"/>
        </w:rPr>
        <w:t>Simi</w:t>
      </w:r>
      <w:r>
        <w:rPr>
          <w:sz w:val="24"/>
          <w:szCs w:val="24"/>
        </w:rPr>
        <w:t xml:space="preserve">larly to what </w:t>
      </w:r>
      <w:r w:rsidR="00886953">
        <w:rPr>
          <w:sz w:val="24"/>
          <w:szCs w:val="24"/>
        </w:rPr>
        <w:t xml:space="preserve">was </w:t>
      </w:r>
      <w:r>
        <w:rPr>
          <w:sz w:val="24"/>
          <w:szCs w:val="24"/>
        </w:rPr>
        <w:t>found by Ping et al.</w:t>
      </w:r>
      <w:r>
        <w:rPr>
          <w:i/>
          <w:sz w:val="24"/>
          <w:szCs w:val="24"/>
        </w:rPr>
        <w:fldChar w:fldCharType="begin"/>
      </w:r>
      <w:r w:rsidR="00FC5BEB">
        <w:rPr>
          <w:i/>
          <w:sz w:val="24"/>
          <w:szCs w:val="24"/>
        </w:rPr>
        <w:instrText xml:space="preserve"> ADDIN EN.CITE &lt;EndNote&gt;&lt;Cite&gt;&lt;Author&gt;Ping&lt;/Author&gt;&lt;Year&gt;2017&lt;/Year&gt;&lt;RecNum&gt;263&lt;/RecNum&gt;&lt;DisplayText&gt;&lt;style face="superscript"&gt;265&lt;/style&gt;&lt;/DisplayText&gt;&lt;record&gt;&lt;rec-number&gt;263&lt;/rec-number&gt;&lt;foreign-keys&gt;&lt;key app="EN" db-id="2xex0erf4eexr4e2dpbxpdd829xttesxxxdr" timestamp="1715075296"&gt;263&lt;/key&gt;&lt;/foreign-keys&gt;&lt;ref-type name="Journal Article"&gt;17&lt;/ref-type&gt;&lt;contributors&gt;&lt;authors&gt;&lt;author&gt;Ping, Yuan&lt;/author&gt;&lt;author&gt;Nielsen, Robert J.&lt;/author&gt;&lt;author&gt;Goddard, William A., III&lt;/author&gt;&lt;/authors&gt;&lt;/contributors&gt;&lt;titles&gt;&lt;title&gt;The Reaction Mechanism with Free Energy Barriers at Constant Potentials for the Oxygen Evolution Reaction at the IrO2 (110) Surface&lt;/title&gt;&lt;secondary-title&gt;Journal of the American Chemical Society&lt;/secondary-title&gt;&lt;/titles&gt;&lt;periodical&gt;&lt;full-title&gt;Journal of the American Chemical Society&lt;/full-title&gt;&lt;abbr-1&gt;J. Am. Chem. Soc.&lt;/abbr-1&gt;&lt;abbr-2&gt;J Am Chem Soc&lt;/abbr-2&gt;&lt;/periodical&gt;&lt;pages&gt;149-155&lt;/pages&gt;&lt;volume&gt;139&lt;/volume&gt;&lt;number&gt;1&lt;/number&gt;&lt;dates&gt;&lt;year&gt;2017&lt;/year&gt;&lt;pub-dates&gt;&lt;date&gt;2017/01/11&lt;/date&gt;&lt;/pub-dates&gt;&lt;/dates&gt;&lt;publisher&gt;American Chemical Society&lt;/publisher&gt;&lt;isbn&gt;0002-7863&lt;/isbn&gt;&lt;urls&gt;&lt;related-urls&gt;&lt;url&gt;https://doi.org/10.1021/jacs.6b07557&lt;/url&gt;&lt;/related-urls&gt;&lt;/urls&gt;&lt;electronic-resource-num&gt;10.1021/jacs.6b07557&lt;/electronic-resource-num&gt;&lt;/record&gt;&lt;/Cite&gt;&lt;/EndNote&gt;</w:instrText>
      </w:r>
      <w:r>
        <w:rPr>
          <w:i/>
          <w:sz w:val="24"/>
          <w:szCs w:val="24"/>
        </w:rPr>
        <w:fldChar w:fldCharType="separate"/>
      </w:r>
      <w:r w:rsidR="00FC5BEB" w:rsidRPr="00FC5BEB">
        <w:rPr>
          <w:i/>
          <w:noProof/>
          <w:sz w:val="24"/>
          <w:szCs w:val="24"/>
          <w:vertAlign w:val="superscript"/>
        </w:rPr>
        <w:t>265</w:t>
      </w:r>
      <w:r>
        <w:rPr>
          <w:i/>
          <w:sz w:val="24"/>
          <w:szCs w:val="24"/>
        </w:rPr>
        <w:fldChar w:fldCharType="end"/>
      </w:r>
      <w:r>
        <w:rPr>
          <w:sz w:val="24"/>
          <w:szCs w:val="24"/>
        </w:rPr>
        <w:t>, there is a strong dependence of both the reaction and activation energies on the applied bias, even though this is a non-electrochemical step. This finding has been rationalized on the basis of a sizeable charge transfer between the reactants and the catalyst surface. The authors then considered the formation of the O-O via a PCET step, as displayed</w:t>
      </w:r>
      <w:r w:rsidRPr="00FA6781">
        <w:rPr>
          <w:sz w:val="24"/>
          <w:szCs w:val="24"/>
        </w:rPr>
        <w:t xml:space="preserve"> </w:t>
      </w:r>
      <w:r w:rsidRPr="00012947">
        <w:rPr>
          <w:sz w:val="24"/>
          <w:szCs w:val="24"/>
        </w:rPr>
        <w:t xml:space="preserve">in </w:t>
      </w:r>
      <w:r w:rsidRPr="003C6532">
        <w:rPr>
          <w:i/>
          <w:sz w:val="24"/>
          <w:szCs w:val="24"/>
        </w:rPr>
        <w:fldChar w:fldCharType="begin"/>
      </w:r>
      <w:r w:rsidRPr="003C6532">
        <w:rPr>
          <w:sz w:val="24"/>
          <w:szCs w:val="24"/>
        </w:rPr>
        <w:instrText xml:space="preserve"> REF _Ref156477730 \h </w:instrText>
      </w:r>
      <w:r w:rsidRPr="003C6532">
        <w:rPr>
          <w:i/>
          <w:sz w:val="24"/>
          <w:szCs w:val="24"/>
        </w:rPr>
      </w:r>
      <w:r w:rsidRPr="003C6532">
        <w:rPr>
          <w:i/>
          <w:sz w:val="24"/>
          <w:szCs w:val="24"/>
        </w:rPr>
        <w:fldChar w:fldCharType="separate"/>
      </w:r>
      <w:r w:rsidR="00B7319C" w:rsidRPr="00D34093">
        <w:rPr>
          <w:b/>
          <w:bCs w:val="0"/>
          <w:sz w:val="22"/>
        </w:rPr>
        <w:t xml:space="preserve">Figure </w:t>
      </w:r>
      <w:r w:rsidR="00B7319C">
        <w:rPr>
          <w:b/>
          <w:bCs w:val="0"/>
          <w:noProof/>
          <w:sz w:val="22"/>
        </w:rPr>
        <w:t>50</w:t>
      </w:r>
      <w:r w:rsidRPr="003C6532">
        <w:rPr>
          <w:i/>
          <w:sz w:val="24"/>
          <w:szCs w:val="24"/>
        </w:rPr>
        <w:fldChar w:fldCharType="end"/>
      </w:r>
      <w:r w:rsidRPr="00044BFD">
        <w:rPr>
          <w:b/>
          <w:bCs w:val="0"/>
          <w:sz w:val="24"/>
          <w:szCs w:val="24"/>
        </w:rPr>
        <w:t>d-f</w:t>
      </w:r>
      <w:r w:rsidRPr="003C6532">
        <w:rPr>
          <w:sz w:val="24"/>
          <w:szCs w:val="24"/>
        </w:rPr>
        <w:t xml:space="preserve">. </w:t>
      </w:r>
      <w:r>
        <w:rPr>
          <w:sz w:val="24"/>
          <w:szCs w:val="24"/>
        </w:rPr>
        <w:t xml:space="preserve">In this case the *OOH is not a stable intermediate and the proton is transferred spontaneously to a </w:t>
      </w:r>
      <w:proofErr w:type="spellStart"/>
      <w:r>
        <w:rPr>
          <w:sz w:val="24"/>
          <w:szCs w:val="24"/>
        </w:rPr>
        <w:t>neighboring</w:t>
      </w:r>
      <w:proofErr w:type="spellEnd"/>
      <w:r>
        <w:rPr>
          <w:sz w:val="24"/>
          <w:szCs w:val="24"/>
        </w:rPr>
        <w:t xml:space="preserve"> </w:t>
      </w:r>
      <w:r w:rsidRPr="00FA6781">
        <w:rPr>
          <w:rFonts w:ascii="Symbol" w:hAnsi="Symbol"/>
          <w:sz w:val="24"/>
          <w:szCs w:val="24"/>
        </w:rPr>
        <w:t></w:t>
      </w:r>
      <w:r w:rsidRPr="00FA6781">
        <w:rPr>
          <w:sz w:val="24"/>
          <w:szCs w:val="24"/>
          <w:vertAlign w:val="subscript"/>
        </w:rPr>
        <w:t>2</w:t>
      </w:r>
      <w:r>
        <w:rPr>
          <w:sz w:val="24"/>
          <w:szCs w:val="24"/>
        </w:rPr>
        <w:t>-O site. The dependence of the barrier on the applied bias is in this case considerably more pronounced. At a fixed applied voltage (1.6 V</w:t>
      </w:r>
      <w:r w:rsidRPr="006E5D52">
        <w:rPr>
          <w:sz w:val="24"/>
          <w:szCs w:val="24"/>
          <w:vertAlign w:val="subscript"/>
        </w:rPr>
        <w:t>SHE</w:t>
      </w:r>
      <w:r>
        <w:rPr>
          <w:sz w:val="24"/>
          <w:szCs w:val="24"/>
        </w:rPr>
        <w:t xml:space="preserve">) the barrier for the O-O bond formation via the PCET step (0.44 eV) is lower than the non-electrochemical water dissociation step (0.68 eV), suggesting the PCET mechanism is the preferred route for this key step of the OER. </w:t>
      </w:r>
    </w:p>
    <w:p w14:paraId="7541FA8B" w14:textId="77777777" w:rsidR="00B4084C" w:rsidRDefault="00B4084C" w:rsidP="00B4084C">
      <w:pPr>
        <w:keepNext/>
      </w:pPr>
      <w:r>
        <w:rPr>
          <w:noProof/>
        </w:rPr>
        <w:lastRenderedPageBreak/>
        <w:drawing>
          <wp:inline distT="0" distB="0" distL="0" distR="0" wp14:anchorId="64395536" wp14:editId="68A1C5EE">
            <wp:extent cx="5411925" cy="2880000"/>
            <wp:effectExtent l="0" t="0" r="0" b="3175"/>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Beinlich_JCTC2023_Fig1-2_exp.jp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411925" cy="2880000"/>
                    </a:xfrm>
                    <a:prstGeom prst="rect">
                      <a:avLst/>
                    </a:prstGeom>
                  </pic:spPr>
                </pic:pic>
              </a:graphicData>
            </a:graphic>
          </wp:inline>
        </w:drawing>
      </w:r>
    </w:p>
    <w:p w14:paraId="7F359949" w14:textId="3181B193" w:rsidR="00B4084C" w:rsidRPr="00F03600" w:rsidRDefault="00B4084C" w:rsidP="00B4084C">
      <w:pPr>
        <w:pStyle w:val="Caption"/>
      </w:pPr>
      <w:bookmarkStart w:id="153" w:name="_Ref156212000"/>
      <w:r w:rsidRPr="00D34093">
        <w:rPr>
          <w:b/>
          <w:bCs w:val="0"/>
          <w:sz w:val="22"/>
        </w:rPr>
        <w:t xml:space="preserve">Figure </w:t>
      </w:r>
      <w:r w:rsidRPr="00D34093">
        <w:rPr>
          <w:b/>
          <w:bCs w:val="0"/>
          <w:sz w:val="22"/>
        </w:rPr>
        <w:fldChar w:fldCharType="begin"/>
      </w:r>
      <w:r w:rsidRPr="00D34093">
        <w:rPr>
          <w:b/>
          <w:bCs w:val="0"/>
          <w:sz w:val="22"/>
        </w:rPr>
        <w:instrText xml:space="preserve"> SEQ Figure \* ARABIC </w:instrText>
      </w:r>
      <w:r w:rsidRPr="00D34093">
        <w:rPr>
          <w:b/>
          <w:bCs w:val="0"/>
          <w:sz w:val="22"/>
        </w:rPr>
        <w:fldChar w:fldCharType="separate"/>
      </w:r>
      <w:r w:rsidR="00B7319C">
        <w:rPr>
          <w:b/>
          <w:bCs w:val="0"/>
          <w:noProof/>
          <w:sz w:val="22"/>
        </w:rPr>
        <w:t>51</w:t>
      </w:r>
      <w:r w:rsidRPr="00D34093">
        <w:rPr>
          <w:b/>
          <w:bCs w:val="0"/>
          <w:noProof/>
          <w:sz w:val="22"/>
        </w:rPr>
        <w:fldChar w:fldCharType="end"/>
      </w:r>
      <w:bookmarkEnd w:id="153"/>
      <w:r w:rsidRPr="00F03600">
        <w:rPr>
          <w:rFonts w:ascii="Roboto" w:hAnsi="Roboto"/>
          <w:color w:val="000000"/>
          <w:sz w:val="26"/>
          <w:szCs w:val="26"/>
          <w:shd w:val="clear" w:color="auto" w:fill="FFFFFF"/>
        </w:rPr>
        <w:t xml:space="preserve"> </w:t>
      </w:r>
      <w:r>
        <w:t>(a) I</w:t>
      </w:r>
      <w:r w:rsidRPr="00F03600">
        <w:t>llustration of the absolute grand canonical PES along the reaction path in dependence of absolute electrode potential </w:t>
      </w:r>
      <w:r w:rsidRPr="00886953">
        <w:rPr>
          <w:i/>
          <w:iCs/>
        </w:rPr>
        <w:t>U</w:t>
      </w:r>
      <w:r w:rsidRPr="00F03600">
        <w:t>. Constant potential paths are shown as bright green lines, and constant charge paths are shown as orange lines. Note the slight shift of the transition state position r</w:t>
      </w:r>
      <w:r w:rsidRPr="00F03600">
        <w:rPr>
          <w:rFonts w:ascii="Cambria Math" w:hAnsi="Cambria Math" w:cs="Cambria Math"/>
        </w:rPr>
        <w:t>⃗</w:t>
      </w:r>
      <w:r w:rsidRPr="00F03600">
        <w:rPr>
          <w:rFonts w:ascii="Cambria Math" w:hAnsi="Cambria Math" w:cs="Cambria Math"/>
          <w:vertAlign w:val="subscript"/>
        </w:rPr>
        <w:t>∥</w:t>
      </w:r>
      <w:r w:rsidRPr="00F03600">
        <w:rPr>
          <w:vertAlign w:val="superscript"/>
        </w:rPr>
        <w:t>TS</w:t>
      </w:r>
      <w:r w:rsidRPr="00F03600">
        <w:t> indicated by points along each path.</w:t>
      </w:r>
      <w:r>
        <w:t xml:space="preserve"> (b)</w:t>
      </w:r>
      <w:r w:rsidRPr="00376838">
        <w:t xml:space="preserve"> Inter-/extrapolated grand canonical energies of initial, transition, and final state as a function of absolute electrode potential derived from eight constant charge climbing image NEBs for q = −0.555, −0,444, ..., 0.222 </w:t>
      </w:r>
      <w:r w:rsidRPr="00EF55AE">
        <w:t>e</w:t>
      </w:r>
      <w:r w:rsidR="00DF6AF1">
        <w:rPr>
          <w:vertAlign w:val="superscript"/>
        </w:rPr>
        <w:t>-</w:t>
      </w:r>
      <w:r w:rsidRPr="00376838">
        <w:t xml:space="preserve"> (from left to right) in comparison with </w:t>
      </w:r>
      <w:proofErr w:type="spellStart"/>
      <w:r w:rsidRPr="00376838">
        <w:t>potentiostat</w:t>
      </w:r>
      <w:proofErr w:type="spellEnd"/>
      <w:r w:rsidRPr="00376838">
        <w:t xml:space="preserve"> results (diamonds). Cubic Hermite spline interpolation as solid lines, quadratic extrapolation as light solid</w:t>
      </w:r>
      <w:r>
        <w:t xml:space="preserve"> </w:t>
      </w:r>
      <w:r w:rsidRPr="00376838">
        <w:t>lines.</w:t>
      </w:r>
      <w:r w:rsidRPr="00F03600">
        <w:t> </w:t>
      </w:r>
      <w:r>
        <w:t>Adapted from Ref.</w:t>
      </w:r>
      <w:r>
        <w:fldChar w:fldCharType="begin"/>
      </w:r>
      <w:r w:rsidR="00FC5BEB">
        <w:instrText xml:space="preserve"> ADDIN EN.CITE &lt;EndNote&gt;&lt;Cite&gt;&lt;Author&gt;Beinlich&lt;/Author&gt;&lt;Year&gt;2023&lt;/Year&gt;&lt;RecNum&gt;509&lt;/RecNum&gt;&lt;DisplayText&gt;&lt;style face="superscript"&gt;511&lt;/style&gt;&lt;/DisplayText&gt;&lt;record&gt;&lt;rec-number&gt;509&lt;/rec-number&gt;&lt;foreign-keys&gt;&lt;key app="EN" db-id="2xex0erf4eexr4e2dpbxpdd829xttesxxxdr" timestamp="1715075297"&gt;509&lt;/key&gt;&lt;/foreign-keys&gt;&lt;ref-type name="Journal Article"&gt;17&lt;/ref-type&gt;&lt;contributors&gt;&lt;authors&gt;&lt;author&gt;Beinlich, Simeon D.&lt;/author&gt;&lt;author&gt;Kastlunger, Georg&lt;/author&gt;&lt;author&gt;Reuter, Karsten&lt;/author&gt;&lt;author&gt;Hörmann, Nicolas G.&lt;/author&gt;&lt;/authors&gt;&lt;/contributors&gt;&lt;titles&gt;&lt;title&gt;Controlled Electrochemical Barrier Calculations without Potential Control&lt;/title&gt;&lt;secondary-title&gt;J. Chem. Theory Comput.&lt;/secondary-title&gt;&lt;/titles&gt;&lt;periodical&gt;&lt;full-title&gt;J. Chem. Theory Comput.&lt;/full-title&gt;&lt;/periodical&gt;&lt;pages&gt;8323-8331&lt;/pages&gt;&lt;volume&gt;19&lt;/volume&gt;&lt;number&gt;22&lt;/number&gt;&lt;dates&gt;&lt;year&gt;2023&lt;/year&gt;&lt;/dates&gt;&lt;urls&gt;&lt;related-urls&gt;&lt;url&gt;https://www.ncbi.nlm.nih.gov/pmc/articles/PMC10688182/pdf/ct3c00836.pdf&lt;/url&gt;&lt;/related-urls&gt;&lt;/urls&gt;&lt;electronic-resource-num&gt;10.1021/acs.jctc.3c00836&lt;/electronic-resource-num&gt;&lt;/record&gt;&lt;/Cite&gt;&lt;/EndNote&gt;</w:instrText>
      </w:r>
      <w:r>
        <w:fldChar w:fldCharType="separate"/>
      </w:r>
      <w:r w:rsidR="00FC5BEB" w:rsidRPr="00FC5BEB">
        <w:rPr>
          <w:noProof/>
          <w:vertAlign w:val="superscript"/>
        </w:rPr>
        <w:t>511</w:t>
      </w:r>
      <w:r>
        <w:fldChar w:fldCharType="end"/>
      </w:r>
      <w:r w:rsidR="00F245C9">
        <w:t xml:space="preserve"> </w:t>
      </w:r>
      <w:r w:rsidR="00F245C9" w:rsidRPr="00F245C9">
        <w:rPr>
          <w:lang w:val="en-US"/>
        </w:rPr>
        <w:t xml:space="preserve">under the Creative Commons Attribution </w:t>
      </w:r>
      <w:r w:rsidR="00F245C9">
        <w:rPr>
          <w:lang w:val="en-US"/>
        </w:rPr>
        <w:t>4</w:t>
      </w:r>
      <w:r w:rsidR="00F245C9" w:rsidRPr="00F245C9">
        <w:rPr>
          <w:lang w:val="en-US"/>
        </w:rPr>
        <w:t>.0 License.</w:t>
      </w:r>
    </w:p>
    <w:p w14:paraId="19C7247E" w14:textId="417419E4" w:rsidR="00B4084C" w:rsidRPr="00C82AD1" w:rsidRDefault="00713258" w:rsidP="00B4084C">
      <w:r>
        <w:t>While not on the OER, a</w:t>
      </w:r>
      <w:r w:rsidR="00B4084C">
        <w:t xml:space="preserve"> recent work by </w:t>
      </w:r>
      <w:proofErr w:type="spellStart"/>
      <w:r w:rsidR="00B4084C">
        <w:t>Beinlich</w:t>
      </w:r>
      <w:proofErr w:type="spellEnd"/>
      <w:r w:rsidR="00B4084C">
        <w:t xml:space="preserve"> et al.</w:t>
      </w:r>
      <w:r w:rsidR="00B4084C">
        <w:fldChar w:fldCharType="begin"/>
      </w:r>
      <w:r w:rsidR="00FC5BEB">
        <w:instrText xml:space="preserve"> ADDIN EN.CITE &lt;EndNote&gt;&lt;Cite&gt;&lt;Author&gt;Beinlich&lt;/Author&gt;&lt;Year&gt;2023&lt;/Year&gt;&lt;RecNum&gt;509&lt;/RecNum&gt;&lt;DisplayText&gt;&lt;style face="superscript"&gt;511&lt;/style&gt;&lt;/DisplayText&gt;&lt;record&gt;&lt;rec-number&gt;509&lt;/rec-number&gt;&lt;foreign-keys&gt;&lt;key app="EN" db-id="2xex0erf4eexr4e2dpbxpdd829xttesxxxdr" timestamp="1715075297"&gt;509&lt;/key&gt;&lt;/foreign-keys&gt;&lt;ref-type name="Journal Article"&gt;17&lt;/ref-type&gt;&lt;contributors&gt;&lt;authors&gt;&lt;author&gt;Beinlich, Simeon D.&lt;/author&gt;&lt;author&gt;Kastlunger, Georg&lt;/author&gt;&lt;author&gt;Reuter, Karsten&lt;/author&gt;&lt;author&gt;Hörmann, Nicolas G.&lt;/author&gt;&lt;/authors&gt;&lt;/contributors&gt;&lt;titles&gt;&lt;title&gt;Controlled Electrochemical Barrier Calculations without Potential Control&lt;/title&gt;&lt;secondary-title&gt;J. Chem. Theory Comput.&lt;/secondary-title&gt;&lt;/titles&gt;&lt;periodical&gt;&lt;full-title&gt;J. Chem. Theory Comput.&lt;/full-title&gt;&lt;/periodical&gt;&lt;pages&gt;8323-8331&lt;/pages&gt;&lt;volume&gt;19&lt;/volume&gt;&lt;number&gt;22&lt;/number&gt;&lt;dates&gt;&lt;year&gt;2023&lt;/year&gt;&lt;/dates&gt;&lt;urls&gt;&lt;related-urls&gt;&lt;url&gt;https://www.ncbi.nlm.nih.gov/pmc/articles/PMC10688182/pdf/ct3c00836.pdf&lt;/url&gt;&lt;/related-urls&gt;&lt;/urls&gt;&lt;electronic-resource-num&gt;10.1021/acs.jctc.3c00836&lt;/electronic-resource-num&gt;&lt;/record&gt;&lt;/Cite&gt;&lt;/EndNote&gt;</w:instrText>
      </w:r>
      <w:r w:rsidR="00B4084C">
        <w:fldChar w:fldCharType="separate"/>
      </w:r>
      <w:r w:rsidR="00FC5BEB" w:rsidRPr="00FC5BEB">
        <w:rPr>
          <w:noProof/>
          <w:vertAlign w:val="superscript"/>
        </w:rPr>
        <w:t>511</w:t>
      </w:r>
      <w:r w:rsidR="00B4084C">
        <w:fldChar w:fldCharType="end"/>
      </w:r>
      <w:r w:rsidR="00B4084C">
        <w:t xml:space="preserve"> </w:t>
      </w:r>
      <w:r>
        <w:t xml:space="preserve">is worth mentioning. These authors </w:t>
      </w:r>
      <w:r w:rsidR="00B4084C">
        <w:t>modeled the kinetics of the Volmer step of the HER (* + H</w:t>
      </w:r>
      <w:r w:rsidR="00B4084C" w:rsidRPr="00B851D0">
        <w:rPr>
          <w:vertAlign w:val="superscript"/>
        </w:rPr>
        <w:t>+</w:t>
      </w:r>
      <w:r w:rsidR="00B4084C">
        <w:t xml:space="preserve"> + </w:t>
      </w:r>
      <w:r w:rsidR="00B4084C" w:rsidRPr="00EF55AE">
        <w:t>e</w:t>
      </w:r>
      <w:r w:rsidR="00B4084C" w:rsidRPr="00BB64DB">
        <w:rPr>
          <w:vertAlign w:val="superscript"/>
        </w:rPr>
        <w:t>-</w:t>
      </w:r>
      <w:r w:rsidR="00B4084C">
        <w:t xml:space="preserve"> </w:t>
      </w:r>
      <w:r w:rsidR="00B4084C">
        <w:sym w:font="Symbol" w:char="F0AE"/>
      </w:r>
      <w:r w:rsidR="00B4084C">
        <w:t xml:space="preserve"> *H) on </w:t>
      </w:r>
      <w:proofErr w:type="gramStart"/>
      <w:r w:rsidR="00B4084C">
        <w:t>Au(</w:t>
      </w:r>
      <w:proofErr w:type="gramEnd"/>
      <w:r w:rsidR="00B4084C">
        <w:t>111) comparing results obtained from constant potential and constant charge NEB calculations. The solvent was modeled implicitly, with the Solvated Jellium Model</w:t>
      </w:r>
      <w:r w:rsidR="00B4084C">
        <w:fldChar w:fldCharType="begin"/>
      </w:r>
      <w:r w:rsidR="00FC5BEB">
        <w:instrText xml:space="preserve"> ADDIN EN.CITE &lt;EndNote&gt;&lt;Cite&gt;&lt;Author&gt;Kastlunger&lt;/Author&gt;&lt;Year&gt;2018&lt;/Year&gt;&lt;RecNum&gt;499&lt;/RecNum&gt;&lt;DisplayText&gt;&lt;style face="superscript"&gt;501&lt;/style&gt;&lt;/DisplayText&gt;&lt;record&gt;&lt;rec-number&gt;499&lt;/rec-number&gt;&lt;foreign-keys&gt;&lt;key app="EN" db-id="2xex0erf4eexr4e2dpbxpdd829xttesxxxdr" timestamp="1715075297"&gt;499&lt;/key&gt;&lt;/foreign-keys&gt;&lt;ref-type name="Journal Article"&gt;17&lt;/ref-type&gt;&lt;contributors&gt;&lt;authors&gt;&lt;author&gt;Kastlunger, Georg&lt;/author&gt;&lt;author&gt;Lindgren, Per&lt;/author&gt;&lt;author&gt;Peterson, Andrew A.&lt;/author&gt;&lt;/authors&gt;&lt;/contributors&gt;&lt;titles&gt;&lt;title&gt;Controlled-Potential Simulation of Elementary Electrochemical Reactions: Proton Discharge on Metal Surfaces&lt;/title&gt;&lt;secondary-title&gt;Journal of Physical Chemistry C&lt;/secondary-title&gt;&lt;/titles&gt;&lt;periodical&gt;&lt;full-title&gt;Journal of Physical Chemistry C&lt;/full-title&gt;&lt;abbr-1&gt;J. Phys. Chem. C&lt;/abbr-1&gt;&lt;/periodical&gt;&lt;pages&gt;12771-12781&lt;/pages&gt;&lt;volume&gt;122&lt;/volume&gt;&lt;number&gt;24&lt;/number&gt;&lt;dates&gt;&lt;year&gt;2018&lt;/year&gt;&lt;/dates&gt;&lt;publisher&gt;American Chemical Society&lt;/publisher&gt;&lt;urls&gt;&lt;related-urls&gt;&lt;url&gt;https://pubs.acs.org/doi/pdf/10.1021/acs.jpcc.8b02465&lt;/url&gt;&lt;/related-urls&gt;&lt;pdf-urls&gt;&lt;url&gt;file://localhost/localhost/Users/piccinin/Literature/acs.jpcc.8b02465.pdf&lt;/url&gt;&lt;/pdf-urls&gt;&lt;/urls&gt;&lt;electronic-resource-num&gt;10.1021/acs.jpcc.8b02465&lt;/electronic-resource-num&gt;&lt;/record&gt;&lt;/Cite&gt;&lt;/EndNote&gt;</w:instrText>
      </w:r>
      <w:r w:rsidR="00B4084C">
        <w:fldChar w:fldCharType="separate"/>
      </w:r>
      <w:r w:rsidR="00FC5BEB" w:rsidRPr="00FC5BEB">
        <w:rPr>
          <w:noProof/>
          <w:vertAlign w:val="superscript"/>
        </w:rPr>
        <w:t>501</w:t>
      </w:r>
      <w:r w:rsidR="00B4084C">
        <w:fldChar w:fldCharType="end"/>
      </w:r>
      <w:r w:rsidR="00B4084C">
        <w:t xml:space="preserve"> and the proton is attached to a single interface water molecule. Building on previous works by </w:t>
      </w:r>
      <w:proofErr w:type="spellStart"/>
      <w:r w:rsidR="00B4084C">
        <w:t>Hörmann</w:t>
      </w:r>
      <w:proofErr w:type="spellEnd"/>
      <w:r w:rsidR="00B4084C">
        <w:t xml:space="preserve"> and co-workers</w:t>
      </w:r>
      <w:r w:rsidR="00B4084C">
        <w:fldChar w:fldCharType="begin">
          <w:fldData xml:space="preserve">PEVuZE5vdGU+PENpdGU+PEF1dGhvcj5Iw7ZybWFubjwvQXV0aG9yPjxZZWFyPjIwMTk8L1llYXI+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</w:fldData>
        </w:fldChar>
      </w:r>
      <w:r w:rsidR="00FC5BEB">
        <w:instrText xml:space="preserve"> ADDIN EN.CITE </w:instrText>
      </w:r>
      <w:r w:rsidR="00FC5BEB">
        <w:fldChar w:fldCharType="begin">
          <w:fldData xml:space="preserve">PEVuZE5vdGU+PENpdGU+PEF1dGhvcj5Iw7ZybWFubjwvQXV0aG9yPjxZZWFyPjIwMTk8L1llYXI+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</w:fldData>
        </w:fldChar>
      </w:r>
      <w:r w:rsidR="00FC5BEB">
        <w:instrText xml:space="preserve"> ADDIN EN.CITE.DATA </w:instrText>
      </w:r>
      <w:r w:rsidR="00FC5BEB">
        <w:fldChar w:fldCharType="end"/>
      </w:r>
      <w:r w:rsidR="00B4084C">
        <w:fldChar w:fldCharType="separate"/>
      </w:r>
      <w:r w:rsidR="00FC5BEB" w:rsidRPr="00FC5BEB">
        <w:rPr>
          <w:noProof/>
          <w:vertAlign w:val="superscript"/>
        </w:rPr>
        <w:t>489, 512</w:t>
      </w:r>
      <w:r w:rsidR="00B4084C">
        <w:fldChar w:fldCharType="end"/>
      </w:r>
      <w:r w:rsidR="00B4084C">
        <w:t>, the authors argued that while constant potential calculations map the grand canonical potential energy surface (</w:t>
      </w:r>
      <w:proofErr w:type="spellStart"/>
      <w:r w:rsidR="00B4084C">
        <w:t>gcPES</w:t>
      </w:r>
      <w:proofErr w:type="spellEnd"/>
      <w:r w:rsidR="00B4084C">
        <w:t xml:space="preserve">) along straight constant potential lines (see green lines in </w:t>
      </w:r>
      <w:r w:rsidR="00B4084C">
        <w:fldChar w:fldCharType="begin"/>
      </w:r>
      <w:r w:rsidR="00B4084C">
        <w:instrText xml:space="preserve"> REF _Ref156212000 \h </w:instrText>
      </w:r>
      <w:r w:rsidR="00B4084C">
        <w:fldChar w:fldCharType="separate"/>
      </w:r>
      <w:r w:rsidR="00B7319C" w:rsidRPr="00D34093">
        <w:rPr>
          <w:b/>
        </w:rPr>
        <w:t xml:space="preserve">Figure </w:t>
      </w:r>
      <w:r w:rsidR="00B7319C">
        <w:rPr>
          <w:b/>
          <w:bCs/>
          <w:noProof/>
        </w:rPr>
        <w:t>51</w:t>
      </w:r>
      <w:r w:rsidR="00B4084C">
        <w:fldChar w:fldCharType="end"/>
      </w:r>
      <w:r w:rsidR="00044BFD" w:rsidRPr="00044BFD">
        <w:rPr>
          <w:b/>
          <w:bCs/>
        </w:rPr>
        <w:t>a</w:t>
      </w:r>
      <w:r w:rsidR="00B4084C">
        <w:t xml:space="preserve">, the same surface can be explored via grand canonical energies derived from constant charge calculations (orange lines in </w:t>
      </w:r>
      <w:r w:rsidR="00B4084C">
        <w:fldChar w:fldCharType="begin"/>
      </w:r>
      <w:r w:rsidR="00B4084C">
        <w:instrText xml:space="preserve"> REF _Ref156212000 \h </w:instrText>
      </w:r>
      <w:r w:rsidR="00B4084C">
        <w:fldChar w:fldCharType="separate"/>
      </w:r>
      <w:r w:rsidR="00B7319C" w:rsidRPr="00D34093">
        <w:rPr>
          <w:b/>
        </w:rPr>
        <w:t xml:space="preserve">Figure </w:t>
      </w:r>
      <w:r w:rsidR="00B7319C">
        <w:rPr>
          <w:b/>
          <w:bCs/>
          <w:noProof/>
        </w:rPr>
        <w:t>51</w:t>
      </w:r>
      <w:r w:rsidR="00B4084C">
        <w:fldChar w:fldCharType="end"/>
      </w:r>
      <w:r w:rsidR="00044BFD" w:rsidRPr="00044BFD">
        <w:rPr>
          <w:b/>
          <w:bCs/>
        </w:rPr>
        <w:t>a</w:t>
      </w:r>
      <w:r w:rsidR="00B4084C">
        <w:t xml:space="preserve">. To this end, the authors introduce a Legendre transform to map the constant charge energy, </w:t>
      </w:r>
      <m:oMath>
        <m:r>
          <w:rPr>
            <w:rFonts w:ascii="Cambria Math" w:hAnsi="Cambria Math"/>
          </w:rPr>
          <m:t xml:space="preserve">E(q, </m:t>
        </m:r>
        <m:acc>
          <m:accPr>
            <m:chr m:val="⃗"/>
            <m:ctrlPr>
              <w:rPr>
                <w:rFonts w:ascii="Cambria Math" w:hAnsi="Cambria Math"/>
                <w:i/>
              </w:rPr>
            </m:ctrlPr>
          </m:accPr>
          <m:e>
            <m:r>
              <w:rPr>
                <w:rFonts w:ascii="Cambria Math" w:hAnsi="Cambria Math"/>
              </w:rPr>
              <m:t>r</m:t>
            </m:r>
          </m:e>
        </m:acc>
        <m:r>
          <w:rPr>
            <w:rFonts w:ascii="Cambria Math" w:hAnsi="Cambria Math"/>
          </w:rPr>
          <m:t>)</m:t>
        </m:r>
      </m:oMath>
      <w:r w:rsidR="00B4084C">
        <w:t xml:space="preserve">, at a given excess charge </w:t>
      </w:r>
      <w:r w:rsidR="00B4084C" w:rsidRPr="00574B9B">
        <w:rPr>
          <w:i/>
        </w:rPr>
        <w:t>q</w:t>
      </w:r>
      <w:r w:rsidR="00B4084C">
        <w:t xml:space="preserve">, to the grand canonical energy, </w:t>
      </w:r>
      <m:oMath>
        <m:r>
          <w:rPr>
            <w:rFonts w:ascii="Cambria Math" w:hAnsi="Cambria Math"/>
          </w:rPr>
          <m:t xml:space="preserve">ℇ(q, </m:t>
        </m:r>
        <m:acc>
          <m:accPr>
            <m:chr m:val="⃗"/>
            <m:ctrlPr>
              <w:rPr>
                <w:rFonts w:ascii="Cambria Math" w:hAnsi="Cambria Math"/>
                <w:i/>
              </w:rPr>
            </m:ctrlPr>
          </m:accPr>
          <m:e>
            <m:r>
              <w:rPr>
                <w:rFonts w:ascii="Cambria Math" w:hAnsi="Cambria Math"/>
              </w:rPr>
              <m:t>r</m:t>
            </m:r>
          </m:e>
        </m:acc>
        <m:r>
          <w:rPr>
            <w:rFonts w:ascii="Cambria Math" w:hAnsi="Cambria Math"/>
          </w:rPr>
          <m:t>)</m:t>
        </m:r>
      </m:oMath>
      <w:r w:rsidR="00B4084C">
        <w:t xml:space="preserve"> at the respective electrode potential </w:t>
      </w:r>
      <m:oMath>
        <m:r>
          <w:rPr>
            <w:rFonts w:ascii="Cambria Math" w:hAnsi="Cambria Math"/>
          </w:rPr>
          <m:t>U(q,</m:t>
        </m:r>
        <m:acc>
          <m:accPr>
            <m:chr m:val="⃗"/>
            <m:ctrlPr>
              <w:rPr>
                <w:rFonts w:ascii="Cambria Math" w:hAnsi="Cambria Math"/>
                <w:i/>
              </w:rPr>
            </m:ctrlPr>
          </m:accPr>
          <m:e>
            <m:r>
              <w:rPr>
                <w:rFonts w:ascii="Cambria Math" w:hAnsi="Cambria Math"/>
              </w:rPr>
              <m:t>r</m:t>
            </m:r>
          </m:e>
        </m:acc>
        <m:r>
          <w:rPr>
            <w:rFonts w:ascii="Cambria Math" w:hAnsi="Cambria Math"/>
          </w:rPr>
          <m:t>)=</m:t>
        </m:r>
        <m:f>
          <m:fPr>
            <m:ctrlPr>
              <w:rPr>
                <w:rFonts w:ascii="Cambria Math" w:hAnsi="Cambria Math"/>
                <w:i/>
              </w:rPr>
            </m:ctrlPr>
          </m:fPr>
          <m:num>
            <m:r>
              <m:rPr>
                <m:sty m:val="p"/>
              </m:rPr>
              <w:rPr>
                <w:rFonts w:ascii="Cambria Math" w:hAnsi="Cambria Math"/>
              </w:rPr>
              <m:t>∂</m:t>
            </m:r>
            <m:r>
              <w:rPr>
                <w:rFonts w:ascii="Cambria Math" w:hAnsi="Cambria Math"/>
              </w:rPr>
              <m:t>E</m:t>
            </m:r>
          </m:num>
          <m:den>
            <m:r>
              <m:rPr>
                <m:sty m:val="p"/>
              </m:rPr>
              <w:rPr>
                <w:rFonts w:ascii="Cambria Math" w:hAnsi="Cambria Math"/>
              </w:rPr>
              <m:t>∂</m:t>
            </m:r>
            <m:r>
              <w:rPr>
                <w:rFonts w:ascii="Cambria Math" w:hAnsi="Cambria Math"/>
              </w:rPr>
              <m:t>q</m:t>
            </m:r>
          </m:den>
        </m:f>
        <m:r>
          <w:rPr>
            <w:rFonts w:ascii="Cambria Math" w:hAnsi="Cambria Math"/>
          </w:rPr>
          <m:t>(q,</m:t>
        </m:r>
        <m:acc>
          <m:accPr>
            <m:chr m:val="⃗"/>
            <m:ctrlPr>
              <w:rPr>
                <w:rFonts w:ascii="Cambria Math" w:hAnsi="Cambria Math"/>
                <w:i/>
              </w:rPr>
            </m:ctrlPr>
          </m:accPr>
          <m:e>
            <m:r>
              <w:rPr>
                <w:rFonts w:ascii="Cambria Math" w:hAnsi="Cambria Math"/>
              </w:rPr>
              <m:t>r</m:t>
            </m:r>
          </m:e>
        </m:acc>
        <m:r>
          <w:rPr>
            <w:rFonts w:ascii="Cambria Math" w:hAnsi="Cambria Math"/>
          </w:rPr>
          <m:t>)</m:t>
        </m:r>
      </m:oMath>
      <w:r w:rsidR="00B4084C">
        <w:t>,</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7655"/>
        <w:gridCol w:w="1417"/>
      </w:tblGrid>
      <w:tr w:rsidR="00D34093" w:rsidRPr="00D34093" w14:paraId="48F444C4" w14:textId="77777777" w:rsidTr="008333D5">
        <w:tc>
          <w:tcPr>
            <w:tcW w:w="7655" w:type="dxa"/>
            <w:vAlign w:val="center"/>
          </w:tcPr>
          <w:p w14:paraId="0C1D4E5F" w14:textId="0E650E1A" w:rsidR="00D34093" w:rsidRPr="00D34093" w:rsidRDefault="00D34093" w:rsidP="00D34093">
            <w:pPr>
              <w:rPr>
                <w:sz w:val="20"/>
                <w:szCs w:val="20"/>
              </w:rPr>
            </w:pPr>
            <m:oMathPara>
              <m:oMath>
                <m:r>
                  <w:rPr>
                    <w:rFonts w:ascii="Cambria Math" w:hAnsi="Cambria Math"/>
                    <w:sz w:val="20"/>
                    <w:szCs w:val="20"/>
                  </w:rPr>
                  <m:t>ℇ(U,</m:t>
                </m:r>
                <m:acc>
                  <m:accPr>
                    <m:chr m:val="⃗"/>
                    <m:ctrlPr>
                      <w:rPr>
                        <w:rFonts w:ascii="Cambria Math" w:hAnsi="Cambria Math"/>
                        <w:i/>
                        <w:sz w:val="20"/>
                        <w:szCs w:val="20"/>
                      </w:rPr>
                    </m:ctrlPr>
                  </m:accPr>
                  <m:e>
                    <m:r>
                      <w:rPr>
                        <w:rFonts w:ascii="Cambria Math" w:hAnsi="Cambria Math"/>
                        <w:sz w:val="20"/>
                        <w:szCs w:val="20"/>
                      </w:rPr>
                      <m:t>r</m:t>
                    </m:r>
                  </m:e>
                </m:acc>
                <m:r>
                  <w:rPr>
                    <w:rFonts w:ascii="Cambria Math" w:hAnsi="Cambria Math"/>
                    <w:sz w:val="20"/>
                    <w:szCs w:val="20"/>
                  </w:rPr>
                  <m:t>)=E(q(U),</m:t>
                </m:r>
                <m:acc>
                  <m:accPr>
                    <m:chr m:val="⃗"/>
                    <m:ctrlPr>
                      <w:rPr>
                        <w:rFonts w:ascii="Cambria Math" w:hAnsi="Cambria Math"/>
                        <w:i/>
                        <w:sz w:val="20"/>
                        <w:szCs w:val="20"/>
                      </w:rPr>
                    </m:ctrlPr>
                  </m:accPr>
                  <m:e>
                    <m:r>
                      <w:rPr>
                        <w:rFonts w:ascii="Cambria Math" w:hAnsi="Cambria Math"/>
                        <w:sz w:val="20"/>
                        <w:szCs w:val="20"/>
                      </w:rPr>
                      <m:t>r</m:t>
                    </m:r>
                  </m:e>
                </m:acc>
                <m:r>
                  <w:rPr>
                    <w:rFonts w:ascii="Cambria Math" w:hAnsi="Cambria Math"/>
                    <w:sz w:val="20"/>
                    <w:szCs w:val="20"/>
                  </w:rPr>
                  <m:t>)-q(U)U</m:t>
                </m:r>
              </m:oMath>
            </m:oMathPara>
          </w:p>
        </w:tc>
        <w:tc>
          <w:tcPr>
            <w:tcW w:w="1417" w:type="dxa"/>
            <w:vAlign w:val="center"/>
          </w:tcPr>
          <w:p w14:paraId="5B5437F9" w14:textId="35843083" w:rsidR="00D34093" w:rsidRPr="00D34093" w:rsidRDefault="00D34093" w:rsidP="00E45E28">
            <w:pPr>
              <w:keepNext/>
              <w:jc w:val="right"/>
              <w:rPr>
                <w:bCs/>
                <w:sz w:val="20"/>
                <w:szCs w:val="20"/>
              </w:rPr>
            </w:pPr>
            <w:r w:rsidRPr="00D34093">
              <w:rPr>
                <w:sz w:val="20"/>
                <w:szCs w:val="20"/>
              </w:rPr>
              <w:t xml:space="preserve">Equation </w:t>
            </w:r>
            <w:r w:rsidRPr="00D34093">
              <w:rPr>
                <w:sz w:val="20"/>
                <w:szCs w:val="20"/>
              </w:rPr>
              <w:fldChar w:fldCharType="begin"/>
            </w:r>
            <w:r w:rsidRPr="00D34093">
              <w:rPr>
                <w:sz w:val="20"/>
                <w:szCs w:val="20"/>
              </w:rPr>
              <w:instrText xml:space="preserve"> SEQ Equation \* ARABIC </w:instrText>
            </w:r>
            <w:r w:rsidRPr="00D34093">
              <w:rPr>
                <w:sz w:val="20"/>
                <w:szCs w:val="20"/>
              </w:rPr>
              <w:fldChar w:fldCharType="separate"/>
            </w:r>
            <w:r w:rsidR="00B7319C">
              <w:rPr>
                <w:noProof/>
                <w:sz w:val="20"/>
                <w:szCs w:val="20"/>
              </w:rPr>
              <w:t>83</w:t>
            </w:r>
            <w:r w:rsidRPr="00D34093">
              <w:rPr>
                <w:sz w:val="20"/>
                <w:szCs w:val="20"/>
              </w:rPr>
              <w:fldChar w:fldCharType="end"/>
            </w:r>
          </w:p>
        </w:tc>
      </w:tr>
    </w:tbl>
    <w:p w14:paraId="07CFB338" w14:textId="14C5F40B" w:rsidR="00B4084C" w:rsidRDefault="00B4084C" w:rsidP="00B4084C">
      <w:r>
        <w:t xml:space="preserve">The authors show that since the canonical forces </w:t>
      </w:r>
      <m:oMath>
        <m:acc>
          <m:accPr>
            <m:chr m:val="⃗"/>
            <m:ctrlPr>
              <w:rPr>
                <w:rFonts w:ascii="Cambria Math" w:hAnsi="Cambria Math"/>
                <w:i/>
              </w:rPr>
            </m:ctrlPr>
          </m:accPr>
          <m:e>
            <m:r>
              <w:rPr>
                <w:rFonts w:ascii="Cambria Math" w:hAnsi="Cambria Math"/>
              </w:rPr>
              <m:t>F</m:t>
            </m:r>
          </m:e>
        </m:acc>
      </m:oMath>
      <w:r>
        <w:t xml:space="preserve"> computed at constant charge </w:t>
      </w:r>
      <w:r w:rsidRPr="00C82AD1">
        <w:rPr>
          <w:i/>
        </w:rPr>
        <w:t>q</w:t>
      </w:r>
      <w:r>
        <w:t xml:space="preserve"> are identical to the grand canonical forces </w:t>
      </w:r>
      <m:oMath>
        <m:acc>
          <m:accPr>
            <m:chr m:val="⃗"/>
            <m:ctrlPr>
              <w:rPr>
                <w:rFonts w:ascii="Cambria Math" w:hAnsi="Cambria Math"/>
                <w:i/>
              </w:rPr>
            </m:ctrlPr>
          </m:accPr>
          <m:e>
            <m:r>
              <m:rPr>
                <m:scr m:val="script"/>
              </m:rPr>
              <w:rPr>
                <w:rFonts w:ascii="Cambria Math" w:hAnsi="Cambria Math"/>
              </w:rPr>
              <m:t>F</m:t>
            </m:r>
          </m:e>
        </m:acc>
      </m:oMath>
      <w:r>
        <w:t xml:space="preserve"> at the respective potential </w:t>
      </w:r>
      <w:r w:rsidRPr="00C82AD1">
        <w:rPr>
          <w:i/>
        </w:rPr>
        <w:t>U(q),</w:t>
      </w:r>
      <w:r>
        <w:t xml:space="preserve"> a stationary point (initial, final or transition state) computed on the canonical PES (</w:t>
      </w:r>
      <w:proofErr w:type="spellStart"/>
      <w:r>
        <w:t>cPES</w:t>
      </w:r>
      <w:proofErr w:type="spellEnd"/>
      <w:r>
        <w:t xml:space="preserve">) is also a stationary point on the </w:t>
      </w:r>
      <w:proofErr w:type="spellStart"/>
      <w:r>
        <w:t>gcPES</w:t>
      </w:r>
      <w:proofErr w:type="spellEnd"/>
      <w:r>
        <w:t xml:space="preserve">. This allows the authors to evaluate stationary points on the </w:t>
      </w:r>
      <w:proofErr w:type="spellStart"/>
      <w:r>
        <w:t>cPES</w:t>
      </w:r>
      <w:proofErr w:type="spellEnd"/>
      <w:r>
        <w:t xml:space="preserve"> at a certain excess charge </w:t>
      </w:r>
      <w:r w:rsidRPr="00376838">
        <w:rPr>
          <w:i/>
        </w:rPr>
        <w:t>q</w:t>
      </w:r>
      <w:r>
        <w:t xml:space="preserve"> using traditional codes and algorithms like NEB to obtain their geometries </w:t>
      </w:r>
      <m:oMath>
        <m:sSubSup>
          <m:sSubSupPr>
            <m:ctrlPr>
              <w:rPr>
                <w:rFonts w:ascii="Cambria Math" w:hAnsi="Cambria Math"/>
                <w:i/>
              </w:rPr>
            </m:ctrlPr>
          </m:sSubSupPr>
          <m:e>
            <m:acc>
              <m:accPr>
                <m:chr m:val="⃗"/>
                <m:ctrlPr>
                  <w:rPr>
                    <w:rFonts w:ascii="Cambria Math" w:hAnsi="Cambria Math"/>
                    <w:i/>
                  </w:rPr>
                </m:ctrlPr>
              </m:accPr>
              <m:e>
                <m:r>
                  <w:rPr>
                    <w:rFonts w:ascii="Cambria Math" w:hAnsi="Cambria Math"/>
                  </w:rPr>
                  <m:t>r</m:t>
                </m:r>
              </m:e>
            </m:acc>
          </m:e>
          <m:sub>
            <m:r>
              <w:rPr>
                <w:rFonts w:ascii="Cambria Math" w:hAnsi="Cambria Math"/>
              </w:rPr>
              <m:t>i</m:t>
            </m:r>
          </m:sub>
          <m:sup>
            <m:r>
              <w:rPr>
                <w:rFonts w:ascii="Cambria Math" w:hAnsi="Cambria Math"/>
              </w:rPr>
              <m:t>*</m:t>
            </m:r>
          </m:sup>
        </m:sSubSup>
      </m:oMath>
      <w:r>
        <w:t xml:space="preserve"> and potentials </w:t>
      </w:r>
      <m:oMath>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m:t>
            </m:r>
          </m:sup>
        </m:sSubSup>
      </m:oMath>
      <w:r>
        <w:t xml:space="preserve">, and Legendre transform their energies </w:t>
      </w:r>
      <m:oMath>
        <m:sSubSup>
          <m:sSubSupPr>
            <m:ctrlPr>
              <w:rPr>
                <w:rFonts w:ascii="Cambria Math" w:hAnsi="Cambria Math"/>
                <w:i/>
              </w:rPr>
            </m:ctrlPr>
          </m:sSubSupPr>
          <m:e>
            <m:r>
              <w:rPr>
                <w:rFonts w:ascii="Cambria Math" w:hAnsi="Cambria Math"/>
              </w:rPr>
              <m:t>E</m:t>
            </m:r>
          </m:e>
          <m:sub>
            <m:r>
              <w:rPr>
                <w:rFonts w:ascii="Cambria Math" w:hAnsi="Cambria Math"/>
              </w:rPr>
              <m:t>i</m:t>
            </m:r>
          </m:sub>
          <m:sup>
            <m:r>
              <w:rPr>
                <w:rFonts w:ascii="Cambria Math" w:hAnsi="Cambria Math"/>
              </w:rPr>
              <m:t>*</m:t>
            </m:r>
          </m:sup>
        </m:sSubSup>
        <m:r>
          <w:rPr>
            <w:rFonts w:ascii="Cambria Math" w:hAnsi="Cambria Math"/>
          </w:rPr>
          <m:t>=E(q,</m:t>
        </m:r>
        <m:sSubSup>
          <m:sSubSupPr>
            <m:ctrlPr>
              <w:rPr>
                <w:rFonts w:ascii="Cambria Math" w:hAnsi="Cambria Math"/>
                <w:i/>
              </w:rPr>
            </m:ctrlPr>
          </m:sSubSupPr>
          <m:e>
            <m:acc>
              <m:accPr>
                <m:chr m:val="⃗"/>
                <m:ctrlPr>
                  <w:rPr>
                    <w:rFonts w:ascii="Cambria Math" w:hAnsi="Cambria Math"/>
                    <w:i/>
                  </w:rPr>
                </m:ctrlPr>
              </m:accPr>
              <m:e>
                <m:r>
                  <w:rPr>
                    <w:rFonts w:ascii="Cambria Math" w:hAnsi="Cambria Math"/>
                  </w:rPr>
                  <m:t>r</m:t>
                </m:r>
              </m:e>
            </m:acc>
          </m:e>
          <m:sub>
            <m:r>
              <w:rPr>
                <w:rFonts w:ascii="Cambria Math" w:hAnsi="Cambria Math"/>
              </w:rPr>
              <m:t>i</m:t>
            </m:r>
          </m:sub>
          <m:sup>
            <m:r>
              <w:rPr>
                <w:rFonts w:ascii="Cambria Math" w:hAnsi="Cambria Math"/>
              </w:rPr>
              <m:t>*</m:t>
            </m:r>
          </m:sup>
        </m:sSubSup>
        <m:r>
          <w:rPr>
            <w:rFonts w:ascii="Cambria Math" w:hAnsi="Cambria Math"/>
          </w:rPr>
          <m:t>)</m:t>
        </m:r>
      </m:oMath>
      <w:r>
        <w:t xml:space="preserve"> to </w:t>
      </w:r>
      <m:oMath>
        <m:sSubSup>
          <m:sSubSupPr>
            <m:ctrlPr>
              <w:rPr>
                <w:rFonts w:ascii="Cambria Math" w:hAnsi="Cambria Math"/>
                <w:i/>
              </w:rPr>
            </m:ctrlPr>
          </m:sSubSupPr>
          <m:e>
            <m:r>
              <w:rPr>
                <w:rFonts w:ascii="Cambria Math" w:hAnsi="Cambria Math"/>
              </w:rPr>
              <m:t>ℇ</m:t>
            </m:r>
          </m:e>
          <m:sub>
            <m:r>
              <w:rPr>
                <w:rFonts w:ascii="Cambria Math" w:hAnsi="Cambria Math"/>
              </w:rPr>
              <m:t>i</m:t>
            </m:r>
          </m:sub>
          <m:sup>
            <m:r>
              <w:rPr>
                <w:rFonts w:ascii="Cambria Math" w:hAnsi="Cambria Math"/>
              </w:rPr>
              <m:t>*</m:t>
            </m:r>
          </m:sup>
        </m:sSubSup>
        <m:r>
          <w:rPr>
            <w:rFonts w:ascii="Cambria Math" w:hAnsi="Cambria Math"/>
          </w:rPr>
          <m:t>=ℇ(U,</m:t>
        </m:r>
        <m:sSubSup>
          <m:sSubSupPr>
            <m:ctrlPr>
              <w:rPr>
                <w:rFonts w:ascii="Cambria Math" w:hAnsi="Cambria Math"/>
                <w:i/>
              </w:rPr>
            </m:ctrlPr>
          </m:sSubSupPr>
          <m:e>
            <m:acc>
              <m:accPr>
                <m:chr m:val="⃗"/>
                <m:ctrlPr>
                  <w:rPr>
                    <w:rFonts w:ascii="Cambria Math" w:hAnsi="Cambria Math"/>
                    <w:i/>
                  </w:rPr>
                </m:ctrlPr>
              </m:accPr>
              <m:e>
                <m:r>
                  <w:rPr>
                    <w:rFonts w:ascii="Cambria Math" w:hAnsi="Cambria Math"/>
                  </w:rPr>
                  <m:t>r</m:t>
                </m:r>
              </m:e>
            </m:acc>
          </m:e>
          <m:sub>
            <m:r>
              <w:rPr>
                <w:rFonts w:ascii="Cambria Math" w:hAnsi="Cambria Math"/>
              </w:rPr>
              <m:t>i</m:t>
            </m:r>
          </m:sub>
          <m:sup>
            <m:r>
              <w:rPr>
                <w:rFonts w:ascii="Cambria Math" w:hAnsi="Cambria Math"/>
              </w:rPr>
              <m:t>*</m:t>
            </m:r>
          </m:sup>
        </m:sSubSup>
        <m:r>
          <w:rPr>
            <w:rFonts w:ascii="Cambria Math" w:hAnsi="Cambria Math"/>
          </w:rPr>
          <m:t>)</m:t>
        </m:r>
      </m:oMath>
      <w:r>
        <w:t xml:space="preserve">. This is shown in </w:t>
      </w:r>
      <w:r>
        <w:fldChar w:fldCharType="begin"/>
      </w:r>
      <w:r>
        <w:instrText xml:space="preserve"> REF _Ref156212000 \h </w:instrText>
      </w:r>
      <w:r>
        <w:fldChar w:fldCharType="separate"/>
      </w:r>
      <w:r w:rsidR="00B7319C" w:rsidRPr="00D34093">
        <w:rPr>
          <w:b/>
        </w:rPr>
        <w:t xml:space="preserve">Figure </w:t>
      </w:r>
      <w:r w:rsidR="00B7319C">
        <w:rPr>
          <w:b/>
          <w:bCs/>
          <w:noProof/>
        </w:rPr>
        <w:t>51</w:t>
      </w:r>
      <w:r>
        <w:fldChar w:fldCharType="end"/>
      </w:r>
      <w:r w:rsidR="00044BFD" w:rsidRPr="00044BFD">
        <w:rPr>
          <w:b/>
          <w:bCs/>
        </w:rPr>
        <w:t>b</w:t>
      </w:r>
      <w:r>
        <w:t xml:space="preserve">. The authors therefore show how it is possible to use multiple NEB calculations at various values of excess charge </w:t>
      </w:r>
      <w:r w:rsidRPr="00BC4CFB">
        <w:rPr>
          <w:i/>
        </w:rPr>
        <w:t>q</w:t>
      </w:r>
      <w:r>
        <w:t xml:space="preserve"> to obtain the same information extracted from multiple NEB calculations at various values of the applied bias </w:t>
      </w:r>
      <w:r w:rsidRPr="00BC4CFB">
        <w:rPr>
          <w:i/>
        </w:rPr>
        <w:t>U</w:t>
      </w:r>
      <w:r>
        <w:t>. Furthermore, the authors of Ref.</w:t>
      </w:r>
      <w:r>
        <w:fldChar w:fldCharType="begin"/>
      </w:r>
      <w:r w:rsidR="00FC5BEB">
        <w:instrText xml:space="preserve"> ADDIN EN.CITE &lt;EndNote&gt;&lt;Cite&gt;&lt;Author&gt;Beinlich&lt;/Author&gt;&lt;Year&gt;2023&lt;/Year&gt;&lt;RecNum&gt;509&lt;/RecNum&gt;&lt;DisplayText&gt;&lt;style face="superscript"&gt;511&lt;/style&gt;&lt;/DisplayText&gt;&lt;record&gt;&lt;rec-number&gt;509&lt;/rec-number&gt;&lt;foreign-keys&gt;&lt;key app="EN" db-id="2xex0erf4eexr4e2dpbxpdd829xttesxxxdr" timestamp="1715075297"&gt;509&lt;/key&gt;&lt;/foreign-keys&gt;&lt;ref-type name="Journal Article"&gt;17&lt;/ref-type&gt;&lt;contributors&gt;&lt;authors&gt;&lt;author&gt;Beinlich, Simeon D.&lt;/author&gt;&lt;author&gt;Kastlunger, Georg&lt;/author&gt;&lt;author&gt;Reuter, Karsten&lt;/author&gt;&lt;author&gt;Hörmann, Nicolas G.&lt;/author&gt;&lt;/authors&gt;&lt;/contributors&gt;&lt;titles&gt;&lt;title&gt;Controlled Electrochemical Barrier Calculations without Potential Control&lt;/title&gt;&lt;secondary-title&gt;J. Chem. Theory Comput.&lt;/secondary-title&gt;&lt;/titles&gt;&lt;periodical&gt;&lt;full-title&gt;J. Chem. Theory Comput.&lt;/full-title&gt;&lt;/periodical&gt;&lt;pages&gt;8323-8331&lt;/pages&gt;&lt;volume&gt;19&lt;/volume&gt;&lt;number&gt;22&lt;/number&gt;&lt;dates&gt;&lt;year&gt;2023&lt;/year&gt;&lt;/dates&gt;&lt;urls&gt;&lt;related-urls&gt;&lt;url&gt;https://www.ncbi.nlm.nih.gov/pmc/articles/PMC10688182/pdf/ct3c00836.pdf&lt;/url&gt;&lt;/related-urls&gt;&lt;/urls&gt;&lt;electronic-resource-num&gt;10.1021/acs.jctc.3c00836&lt;/electronic-resource-num&gt;&lt;/record&gt;&lt;/Cite&gt;&lt;/EndNote&gt;</w:instrText>
      </w:r>
      <w:r>
        <w:fldChar w:fldCharType="separate"/>
      </w:r>
      <w:r w:rsidR="00FC5BEB" w:rsidRPr="00FC5BEB">
        <w:rPr>
          <w:noProof/>
          <w:vertAlign w:val="superscript"/>
        </w:rPr>
        <w:t>511</w:t>
      </w:r>
      <w:r>
        <w:fldChar w:fldCharType="end"/>
      </w:r>
      <w:r>
        <w:t xml:space="preserve"> discuss how a single constant charge NEB calculation can suffice, if both the electronic and geometric dependence of the stationary points on the applied bias can be approximated, resulting in a sizeable reduction of the number of calculations necessary to compute the bias dependency of the barriers. We refer the reader to the original publication</w:t>
      </w:r>
      <w:r>
        <w:fldChar w:fldCharType="begin"/>
      </w:r>
      <w:r w:rsidR="00FC5BEB">
        <w:instrText xml:space="preserve"> ADDIN EN.CITE &lt;EndNote&gt;&lt;Cite&gt;&lt;Author&gt;Beinlich&lt;/Author&gt;&lt;Year&gt;2023&lt;/Year&gt;&lt;RecNum&gt;509&lt;/RecNum&gt;&lt;DisplayText&gt;&lt;style face="superscript"&gt;511&lt;/style&gt;&lt;/DisplayText&gt;&lt;record&gt;&lt;rec-number&gt;509&lt;/rec-number&gt;&lt;foreign-keys&gt;&lt;key app="EN" db-id="2xex0erf4eexr4e2dpbxpdd829xttesxxxdr" timestamp="1715075297"&gt;509&lt;/key&gt;&lt;/foreign-keys&gt;&lt;ref-type name="Journal Article"&gt;17&lt;/ref-type&gt;&lt;contributors&gt;&lt;authors&gt;&lt;author&gt;Beinlich, Simeon D.&lt;/author&gt;&lt;author&gt;Kastlunger, Georg&lt;/author&gt;&lt;author&gt;Reuter, Karsten&lt;/author&gt;&lt;author&gt;Hörmann, Nicolas G.&lt;/author&gt;&lt;/authors&gt;&lt;/contributors&gt;&lt;titles&gt;&lt;title&gt;Controlled Electrochemical Barrier Calculations without Potential Control&lt;/title&gt;&lt;secondary-title&gt;J. Chem. Theory Comput.&lt;/secondary-title&gt;&lt;/titles&gt;&lt;periodical&gt;&lt;full-title&gt;J. Chem. Theory Comput.&lt;/full-title&gt;&lt;/periodical&gt;&lt;pages&gt;8323-8331&lt;/pages&gt;&lt;volume&gt;19&lt;/volume&gt;&lt;number&gt;22&lt;/number&gt;&lt;dates&gt;&lt;year&gt;2023&lt;/year&gt;&lt;/dates&gt;&lt;urls&gt;&lt;related-urls&gt;&lt;url&gt;https://www.ncbi.nlm.nih.gov/pmc/articles/PMC10688182/pdf/ct3c00836.pdf&lt;/url&gt;&lt;/related-urls&gt;&lt;/urls&gt;&lt;electronic-resource-num&gt;10.1021/acs.jctc.3c00836&lt;/electronic-resource-num&gt;&lt;/record&gt;&lt;/Cite&gt;&lt;/EndNote&gt;</w:instrText>
      </w:r>
      <w:r>
        <w:fldChar w:fldCharType="separate"/>
      </w:r>
      <w:r w:rsidR="00FC5BEB" w:rsidRPr="00FC5BEB">
        <w:rPr>
          <w:noProof/>
          <w:vertAlign w:val="superscript"/>
        </w:rPr>
        <w:t>511</w:t>
      </w:r>
      <w:r>
        <w:fldChar w:fldCharType="end"/>
      </w:r>
      <w:r>
        <w:t xml:space="preserve"> for further details and we note that a similar analysis had already been made in work by Duan and Xiao</w:t>
      </w:r>
      <w:r>
        <w:fldChar w:fldCharType="begin"/>
      </w:r>
      <w:r w:rsidR="00FC5BEB">
        <w:instrText xml:space="preserve"> ADDIN EN.CITE &lt;EndNote&gt;&lt;Cite&gt;&lt;Author&gt;Duan&lt;/Author&gt;&lt;Year&gt;2021&lt;/Year&gt;&lt;RecNum&gt;507&lt;/RecNum&gt;&lt;DisplayText&gt;&lt;style face="superscript"&gt;509&lt;/style&gt;&lt;/DisplayText&gt;&lt;record&gt;&lt;rec-number&gt;507&lt;/rec-number&gt;&lt;foreign-keys&gt;&lt;key app="EN" db-id="2xex0erf4eexr4e2dpbxpdd829xttesxxxdr" timestamp="1715075297"&gt;507&lt;/key&gt;&lt;/foreign-keys&gt;&lt;ref-type name="Journal Article"&gt;17&lt;/ref-type&gt;&lt;contributors&gt;&lt;authors&gt;&lt;author&gt;Duan, Zhiyao&lt;/author&gt;&lt;author&gt;Xiao, Penghao&lt;/author&gt;&lt;/authors&gt;&lt;/contributors&gt;&lt;titles&gt;&lt;title&gt;Simulation of Potential-Dependent Activation Energies in Electrocatalysis: Mechanism of O-O Bond Formation on RuO2&lt;/title&gt;&lt;secondary-title&gt;Journal of Physical Chemistry C&lt;/secondary-title&gt;&lt;/titles&gt;&lt;periodical&gt;&lt;full-title&gt;Journal of Physical Chemistry C&lt;/full-title&gt;&lt;abbr-1&gt;J. Phys. Chem. C&lt;/abbr-1&gt;&lt;/periodical&gt;&lt;pages&gt;15243-15250&lt;/pages&gt;&lt;volume&gt;125&lt;/volume&gt;&lt;number&gt;28&lt;/number&gt;&lt;dates&gt;&lt;year&gt;2021&lt;/year&gt;&lt;/dates&gt;&lt;urls&gt;&lt;related-urls&gt;&lt;url&gt;https://pubs.acs.org/doi/pdf/10.1021/acs.jpcc.1c02998&lt;/url&gt;&lt;/related-urls&gt;&lt;pdf-urls&gt;&lt;url&gt;file://localhost/localhost/Users/piccinin/Literature/duan-xiao-2021-simulation-of-potential-dependent-activation-energies-in-electrocatalysis-mechanism-of-o-o-bond.pdf&lt;/url&gt;&lt;/pdf-urls&gt;&lt;/urls&gt;&lt;electronic-resource-num&gt;10.1021/acs.jpcc.1c02998&lt;/electronic-resource-num&gt;&lt;/record&gt;&lt;/Cite&gt;&lt;/EndNote&gt;</w:instrText>
      </w:r>
      <w:r>
        <w:fldChar w:fldCharType="separate"/>
      </w:r>
      <w:r w:rsidR="00FC5BEB" w:rsidRPr="00FC5BEB">
        <w:rPr>
          <w:noProof/>
          <w:vertAlign w:val="superscript"/>
        </w:rPr>
        <w:t>509</w:t>
      </w:r>
      <w:r>
        <w:fldChar w:fldCharType="end"/>
      </w:r>
      <w:r>
        <w:t xml:space="preserve"> discussed earlier.  </w:t>
      </w:r>
    </w:p>
    <w:p w14:paraId="461B1CB9" w14:textId="77777777" w:rsidR="00B4084C" w:rsidRDefault="00B4084C" w:rsidP="00B4084C"/>
    <w:p w14:paraId="1929B396" w14:textId="77777777" w:rsidR="00B4084C" w:rsidRPr="001846B1" w:rsidRDefault="00B4084C" w:rsidP="00B4084C"/>
    <w:p w14:paraId="6FDB34D1" w14:textId="77777777" w:rsidR="00B4084C" w:rsidRDefault="00B4084C" w:rsidP="001C1AC5">
      <w:pPr>
        <w:jc w:val="center"/>
      </w:pPr>
      <w:r>
        <w:rPr>
          <w:noProof/>
        </w:rPr>
        <w:drawing>
          <wp:inline distT="0" distB="0" distL="0" distR="0" wp14:anchorId="7E8C556E" wp14:editId="780CDE65">
            <wp:extent cx="3086421" cy="2880000"/>
            <wp:effectExtent l="0" t="0" r="0" b="3175"/>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Zhao_JACS2021_Fig1-2_exp.jp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3086421" cy="2880000"/>
                    </a:xfrm>
                    <a:prstGeom prst="rect">
                      <a:avLst/>
                    </a:prstGeom>
                  </pic:spPr>
                </pic:pic>
              </a:graphicData>
            </a:graphic>
          </wp:inline>
        </w:drawing>
      </w:r>
    </w:p>
    <w:p w14:paraId="47862006" w14:textId="57861BCF" w:rsidR="00B4084C" w:rsidRDefault="00B4084C" w:rsidP="00B4084C">
      <w:pPr>
        <w:pStyle w:val="Caption"/>
      </w:pPr>
      <w:bookmarkStart w:id="154" w:name="_Ref153979613"/>
      <w:r w:rsidRPr="00D34093">
        <w:rPr>
          <w:b/>
          <w:bCs w:val="0"/>
          <w:sz w:val="22"/>
        </w:rPr>
        <w:t xml:space="preserve">Figure </w:t>
      </w:r>
      <w:r w:rsidRPr="00D34093">
        <w:rPr>
          <w:b/>
          <w:bCs w:val="0"/>
          <w:sz w:val="22"/>
        </w:rPr>
        <w:fldChar w:fldCharType="begin"/>
      </w:r>
      <w:r w:rsidRPr="00D34093">
        <w:rPr>
          <w:b/>
          <w:bCs w:val="0"/>
          <w:sz w:val="22"/>
        </w:rPr>
        <w:instrText xml:space="preserve"> SEQ Figure \* ARABIC </w:instrText>
      </w:r>
      <w:r w:rsidRPr="00D34093">
        <w:rPr>
          <w:b/>
          <w:bCs w:val="0"/>
          <w:sz w:val="22"/>
        </w:rPr>
        <w:fldChar w:fldCharType="separate"/>
      </w:r>
      <w:r w:rsidR="00B7319C">
        <w:rPr>
          <w:b/>
          <w:bCs w:val="0"/>
          <w:noProof/>
          <w:sz w:val="22"/>
        </w:rPr>
        <w:t>52</w:t>
      </w:r>
      <w:r w:rsidRPr="00D34093">
        <w:rPr>
          <w:b/>
          <w:bCs w:val="0"/>
          <w:noProof/>
          <w:sz w:val="22"/>
        </w:rPr>
        <w:fldChar w:fldCharType="end"/>
      </w:r>
      <w:bookmarkEnd w:id="154"/>
      <w:r>
        <w:t xml:space="preserve"> Left:</w:t>
      </w:r>
      <w:r w:rsidRPr="00EE6431">
        <w:t xml:space="preserve"> (a) Pathways of ORR illustrated on a single cobalt atom embedded in nitrogen doped graphene (Co–N–C). They split after *–O–OH (highlighted) through *–O breaking or O–OH breaking: Co, pink; C, </w:t>
      </w:r>
      <w:proofErr w:type="spellStart"/>
      <w:r w:rsidRPr="00EE6431">
        <w:t>gray</w:t>
      </w:r>
      <w:proofErr w:type="spellEnd"/>
      <w:r w:rsidRPr="00EE6431">
        <w:t>; O, red; H, white. (b) Free energy diagrams of the ORR on Co–N–C, calculated using different models, both indicating a strong thermodynamic preference for the O–OH breaking.</w:t>
      </w:r>
      <w:r>
        <w:t xml:space="preserve"> </w:t>
      </w:r>
      <w:r w:rsidRPr="006354C9">
        <w:t>Free energy profile (</w:t>
      </w:r>
      <w:r>
        <w:t>c</w:t>
      </w:r>
      <w:r w:rsidRPr="006354C9">
        <w:t>) and net electron evolution (</w:t>
      </w:r>
      <w:r>
        <w:t>d</w:t>
      </w:r>
      <w:r w:rsidRPr="006354C9">
        <w:t>) during the bond breakings under V</w:t>
      </w:r>
      <w:r w:rsidRPr="00886953">
        <w:rPr>
          <w:vertAlign w:val="subscript"/>
        </w:rPr>
        <w:t>RHE</w:t>
      </w:r>
      <w:r w:rsidRPr="006354C9">
        <w:t xml:space="preserve"> = 0.5 V. (</w:t>
      </w:r>
      <w:r>
        <w:t>e</w:t>
      </w:r>
      <w:r w:rsidRPr="006354C9">
        <w:t>) Activation energies for *–O and O–OH breakings under different potentials. These kinetics are calculated using CP-HS-DM.</w:t>
      </w:r>
      <w:r>
        <w:t xml:space="preserve"> Adapted </w:t>
      </w:r>
      <w:r w:rsidR="008D0436">
        <w:t xml:space="preserve">with permission </w:t>
      </w:r>
      <w:r>
        <w:t>from Ref.</w:t>
      </w:r>
      <w:r>
        <w:fldChar w:fldCharType="begin"/>
      </w:r>
      <w:r w:rsidR="00FC5BEB">
        <w:instrText xml:space="preserve"> ADDIN EN.CITE &lt;EndNote&gt;&lt;Cite&gt;&lt;Author&gt;Zhao&lt;/Author&gt;&lt;Year&gt;2021&lt;/Year&gt;&lt;RecNum&gt;511&lt;/RecNum&gt;&lt;DisplayText&gt;&lt;style face="superscript"&gt;513&lt;/style&gt;&lt;/DisplayText&gt;&lt;record&gt;&lt;rec-number&gt;511&lt;/rec-number&gt;&lt;foreign-keys&gt;&lt;key app="EN" db-id="2xex0erf4eexr4e2dpbxpdd829xttesxxxdr" timestamp="1715075297"&gt;511&lt;/key&gt;&lt;/foreign-keys&gt;&lt;ref-type name="Journal Article"&gt;17&lt;/ref-type&gt;&lt;contributors&gt;&lt;authors&gt;&lt;author&gt;Zhao, Xunhua&lt;/author&gt;&lt;author&gt;Liu, Yuanyue&lt;/author&gt;&lt;/authors&gt;&lt;/contributors&gt;&lt;titles&gt;&lt;title&gt;Origin of Selective Production of Hydrogen Peroxide by Electrochemical Oxygen Reduction&lt;/title&gt;&lt;secondary-title&gt;Journal of the American Chemical Society&lt;/secondary-title&gt;&lt;/titles&gt;&lt;periodical&gt;&lt;full-title&gt;Journal of the American Chemical Society&lt;/full-title&gt;&lt;abbr-1&gt;J. Am. Chem. Soc.&lt;/abbr-1&gt;&lt;abbr-2&gt;J Am Chem Soc&lt;/abbr-2&gt;&lt;/periodical&gt;&lt;pages&gt;9423-9428&lt;/pages&gt;&lt;volume&gt;143&lt;/volume&gt;&lt;number&gt;25&lt;/number&gt;&lt;dates&gt;&lt;year&gt;2021&lt;/year&gt;&lt;pub-dates&gt;&lt;date&gt;2021/06/30&lt;/date&gt;&lt;/pub-dates&gt;&lt;/dates&gt;&lt;publisher&gt;American Chemical Society&lt;/publisher&gt;&lt;isbn&gt;0002-7863&lt;/isbn&gt;&lt;urls&gt;&lt;related-urls&gt;&lt;url&gt;https://doi.org/10.1021/jacs.1c02186&lt;/url&gt;&lt;/related-urls&gt;&lt;/urls&gt;&lt;electronic-resource-num&gt;10.1021/jacs.1c02186&lt;/electronic-resource-num&gt;&lt;/record&gt;&lt;/Cite&gt;&lt;/EndNote&gt;</w:instrText>
      </w:r>
      <w:r>
        <w:fldChar w:fldCharType="separate"/>
      </w:r>
      <w:r w:rsidR="00FC5BEB" w:rsidRPr="00FC5BEB">
        <w:rPr>
          <w:noProof/>
          <w:vertAlign w:val="superscript"/>
        </w:rPr>
        <w:t>513</w:t>
      </w:r>
      <w:r>
        <w:fldChar w:fldCharType="end"/>
      </w:r>
      <w:r w:rsidR="00934192">
        <w:t xml:space="preserve"> </w:t>
      </w:r>
      <w:r w:rsidR="00934192" w:rsidRPr="00934192">
        <w:rPr>
          <w:lang w:val="en-US"/>
        </w:rPr>
        <w:t>Copyright 2021 American Chemical Society</w:t>
      </w:r>
      <w:r w:rsidR="00934192">
        <w:rPr>
          <w:lang w:val="en-US"/>
        </w:rPr>
        <w:t>.</w:t>
      </w:r>
    </w:p>
    <w:p w14:paraId="7F8767CF" w14:textId="143C6A9D" w:rsidR="00B4084C" w:rsidRDefault="00B4084C" w:rsidP="00D34093">
      <w:pPr>
        <w:ind w:firstLine="720"/>
      </w:pPr>
      <w:r>
        <w:t>One of the most sophisticated approach</w:t>
      </w:r>
      <w:r w:rsidR="00CD2CB6">
        <w:t>e</w:t>
      </w:r>
      <w:r w:rsidR="002965C9">
        <w:t>s</w:t>
      </w:r>
      <w:r>
        <w:t xml:space="preserve"> to simulate the kinetics of elementary electrochemical steps is the one adopted by Zhao and Liu</w:t>
      </w:r>
      <w:r>
        <w:fldChar w:fldCharType="begin"/>
      </w:r>
      <w:r w:rsidR="00FC5BEB">
        <w:instrText xml:space="preserve"> ADDIN EN.CITE &lt;EndNote&gt;&lt;Cite&gt;&lt;Author&gt;Zhao&lt;/Author&gt;&lt;Year&gt;2021&lt;/Year&gt;&lt;RecNum&gt;511&lt;/RecNum&gt;&lt;DisplayText&gt;&lt;style face="superscript"&gt;513&lt;/style&gt;&lt;/DisplayText&gt;&lt;record&gt;&lt;rec-number&gt;511&lt;/rec-number&gt;&lt;foreign-keys&gt;&lt;key app="EN" db-id="2xex0erf4eexr4e2dpbxpdd829xttesxxxdr" timestamp="1715075297"&gt;511&lt;/key&gt;&lt;/foreign-keys&gt;&lt;ref-type name="Journal Article"&gt;17&lt;/ref-type&gt;&lt;contributors&gt;&lt;authors&gt;&lt;author&gt;Zhao, Xunhua&lt;/author&gt;&lt;author&gt;Liu, Yuanyue&lt;/author&gt;&lt;/authors&gt;&lt;/contributors&gt;&lt;titles&gt;&lt;title&gt;Origin of Selective Production of Hydrogen Peroxide by Electrochemical Oxygen Reduction&lt;/title&gt;&lt;secondary-title&gt;Journal of the American Chemical Society&lt;/secondary-title&gt;&lt;/titles&gt;&lt;periodical&gt;&lt;full-title&gt;Journal of the American Chemical Society&lt;/full-title&gt;&lt;abbr-1&gt;J. Am. Chem. Soc.&lt;/abbr-1&gt;&lt;abbr-2&gt;J Am Chem Soc&lt;/abbr-2&gt;&lt;/periodical&gt;&lt;pages&gt;9423-9428&lt;/pages&gt;&lt;volume&gt;143&lt;/volume&gt;&lt;number&gt;25&lt;/number&gt;&lt;dates&gt;&lt;year&gt;2021&lt;/year&gt;&lt;pub-dates&gt;&lt;date&gt;2021/06/30&lt;/date&gt;&lt;/pub-dates&gt;&lt;/dates&gt;&lt;publisher&gt;American Chemical Society&lt;/publisher&gt;&lt;isbn&gt;0002-7863&lt;/isbn&gt;&lt;urls&gt;&lt;related-urls&gt;&lt;url&gt;https://doi.org/10.1021/jacs.1c02186&lt;/url&gt;&lt;/related-urls&gt;&lt;/urls&gt;&lt;electronic-resource-num&gt;10.1021/jacs.1c02186&lt;/electronic-resource-num&gt;&lt;/record&gt;&lt;/Cite&gt;&lt;/EndNote&gt;</w:instrText>
      </w:r>
      <w:r>
        <w:fldChar w:fldCharType="separate"/>
      </w:r>
      <w:r w:rsidR="00FC5BEB" w:rsidRPr="00FC5BEB">
        <w:rPr>
          <w:noProof/>
          <w:vertAlign w:val="superscript"/>
        </w:rPr>
        <w:t>513</w:t>
      </w:r>
      <w:r>
        <w:fldChar w:fldCharType="end"/>
      </w:r>
      <w:r>
        <w:t xml:space="preserve"> to model the oxygen reduction reaction on N-doped graphene containing a single Co atom. The method, named </w:t>
      </w:r>
      <w:r w:rsidRPr="00286A8C">
        <w:t>“constant-potential hybrid-solvation dynamic model” (CP-HS-DM)</w:t>
      </w:r>
      <w:r>
        <w:t xml:space="preserve">, combines an approach inspired by the </w:t>
      </w:r>
      <w:proofErr w:type="spellStart"/>
      <w:r>
        <w:t>potentiostat</w:t>
      </w:r>
      <w:proofErr w:type="spellEnd"/>
      <w:r>
        <w:t xml:space="preserve"> of Bonnet et al.</w:t>
      </w:r>
      <w:r>
        <w:fldChar w:fldCharType="begin"/>
      </w:r>
      <w:r w:rsidR="00FC5BEB">
        <w:instrText xml:space="preserve"> ADDIN EN.CITE &lt;EndNote&gt;&lt;Cite&gt;&lt;Author&gt;Bonnet&lt;/Author&gt;&lt;Year&gt;2012&lt;/Year&gt;&lt;RecNum&gt;472&lt;/RecNum&gt;&lt;DisplayText&gt;&lt;style face="superscript"&gt;474&lt;/style&gt;&lt;/DisplayText&gt;&lt;record&gt;&lt;rec-number&gt;472&lt;/rec-number&gt;&lt;foreign-keys&gt;&lt;key app="EN" db-id="2xex0erf4eexr4e2dpbxpdd829xttesxxxdr" timestamp="1715075297"&gt;472&lt;/key&gt;&lt;/foreign-keys&gt;&lt;ref-type name="Journal Article"&gt;17&lt;/ref-type&gt;&lt;contributors&gt;&lt;authors&gt;&lt;author&gt;Bonnet, Nicephore&lt;/author&gt;&lt;author&gt;Morishita, Tetsuya&lt;/author&gt;&lt;author&gt;Sugino, Osamu&lt;/author&gt;&lt;author&gt;Otani, Minoru&lt;/author&gt;&lt;/authors&gt;&lt;/contributors&gt;&lt;titles&gt;&lt;title&gt;First-principles molecular dynamics at a constant electrode potential&lt;/title&gt;&lt;secondary-title&gt;Physical Review Letters&lt;/secondary-title&gt;&lt;/titles&gt;&lt;periodical&gt;&lt;full-title&gt;Physical Review Letters&lt;/full-title&gt;&lt;abbr-1&gt;Phys. Rev. Lett.&lt;/abbr-1&gt;&lt;abbr-2&gt;Phys Rev Lett&lt;/abbr-2&gt;&lt;/periodical&gt;&lt;pages&gt;1-5&lt;/pages&gt;&lt;volume&gt;109&lt;/volume&gt;&lt;dates&gt;&lt;year&gt;2012&lt;/year&gt;&lt;/dates&gt;&lt;accession-num&gt;23368585&lt;/accession-num&gt;&lt;label&gt;OER_Review&lt;/label&gt;&lt;urls&gt;&lt;/urls&gt;&lt;electronic-resource-num&gt;10.1103/PhysRevLett.109.266101&lt;/electronic-resource-num&gt;&lt;/record&gt;&lt;/Cite&gt;&lt;/EndNote&gt;</w:instrText>
      </w:r>
      <w:r>
        <w:fldChar w:fldCharType="separate"/>
      </w:r>
      <w:r w:rsidR="00FC5BEB" w:rsidRPr="00FC5BEB">
        <w:rPr>
          <w:noProof/>
          <w:vertAlign w:val="superscript"/>
        </w:rPr>
        <w:t>474</w:t>
      </w:r>
      <w:r>
        <w:fldChar w:fldCharType="end"/>
      </w:r>
      <w:r>
        <w:t xml:space="preserve"> to perform </w:t>
      </w:r>
      <w:r w:rsidR="009829BB">
        <w:t>MD</w:t>
      </w:r>
      <w:r>
        <w:t xml:space="preserve"> at constant potential, an explicit description of a few water layers of the solvent in contact with the electrode and an implicit description of the bulk electrolyte containing the countercharge. To obtain the barriers, the authors adopted a free energy approach based on thermodynamic integration, the slow growth approach, where a constraint on a single reaction coordinate is linearly varied with time, and the resulting mean force is integrated to obtain the free energy profile along the reaction coordinate. With this approach the authors </w:t>
      </w:r>
      <w:r w:rsidRPr="006354C9">
        <w:t xml:space="preserve">explained </w:t>
      </w:r>
      <w:r>
        <w:t>why some c</w:t>
      </w:r>
      <w:r w:rsidRPr="006354C9">
        <w:t xml:space="preserve">atalysts, </w:t>
      </w:r>
      <w:r>
        <w:t>while having a</w:t>
      </w:r>
      <w:r w:rsidRPr="006354C9">
        <w:t xml:space="preserve"> strong thermodynamic preference for </w:t>
      </w:r>
      <w:r>
        <w:t xml:space="preserve">breaking the O-OH bond of the hydroperoxide intermediate (see </w:t>
      </w:r>
      <w:r>
        <w:fldChar w:fldCharType="begin"/>
      </w:r>
      <w:r>
        <w:instrText xml:space="preserve"> REF _Ref153979613 \h </w:instrText>
      </w:r>
      <w:r>
        <w:fldChar w:fldCharType="separate"/>
      </w:r>
      <w:r w:rsidR="00B7319C" w:rsidRPr="00D34093">
        <w:rPr>
          <w:b/>
        </w:rPr>
        <w:t xml:space="preserve">Figure </w:t>
      </w:r>
      <w:r w:rsidR="00B7319C">
        <w:rPr>
          <w:b/>
          <w:bCs/>
          <w:noProof/>
        </w:rPr>
        <w:t>52</w:t>
      </w:r>
      <w:r>
        <w:fldChar w:fldCharType="end"/>
      </w:r>
      <w:r>
        <w:t xml:space="preserve">), </w:t>
      </w:r>
      <w:r w:rsidRPr="006354C9">
        <w:t>exhibit high selectivity for hydrogen peroxide</w:t>
      </w:r>
      <w:r>
        <w:t xml:space="preserve">. The reason, the authors argue, has to do with the kinetics of the *-O vs. the O-OH bond breaking step: As shown in </w:t>
      </w:r>
      <w:r>
        <w:fldChar w:fldCharType="begin"/>
      </w:r>
      <w:r>
        <w:instrText xml:space="preserve"> REF _Ref153979613 \h </w:instrText>
      </w:r>
      <w:r>
        <w:fldChar w:fldCharType="separate"/>
      </w:r>
      <w:r w:rsidR="00B7319C" w:rsidRPr="00D34093">
        <w:rPr>
          <w:b/>
        </w:rPr>
        <w:t xml:space="preserve">Figure </w:t>
      </w:r>
      <w:r w:rsidR="00B7319C">
        <w:rPr>
          <w:b/>
          <w:bCs/>
          <w:noProof/>
        </w:rPr>
        <w:t>52</w:t>
      </w:r>
      <w:r>
        <w:fldChar w:fldCharType="end"/>
      </w:r>
      <w:r>
        <w:t xml:space="preserve">, the calculations reveal that that activation energy for breaking the O-OH bond can be larger than the energy required to break the *-O bond. Moreover, this study stresses that the </w:t>
      </w:r>
      <w:r w:rsidRPr="006354C9">
        <w:t>selectivity depend</w:t>
      </w:r>
      <w:r>
        <w:t>s</w:t>
      </w:r>
      <w:r w:rsidRPr="006354C9">
        <w:t xml:space="preserve"> on </w:t>
      </w:r>
      <w:r>
        <w:t xml:space="preserve">both applied </w:t>
      </w:r>
      <w:r w:rsidRPr="006354C9">
        <w:t xml:space="preserve">potential and </w:t>
      </w:r>
      <w:proofErr w:type="spellStart"/>
      <w:r w:rsidRPr="006354C9">
        <w:t>pH</w:t>
      </w:r>
      <w:r>
        <w:t>.</w:t>
      </w:r>
      <w:proofErr w:type="spellEnd"/>
    </w:p>
    <w:p w14:paraId="08A6640B" w14:textId="77777777" w:rsidR="00B4084C" w:rsidRDefault="00B4084C" w:rsidP="00B4084C"/>
    <w:p w14:paraId="7258A66D" w14:textId="0A7C7BDC" w:rsidR="00B4084C" w:rsidRPr="00F16F56" w:rsidRDefault="00B4084C" w:rsidP="00B4084C">
      <w:r>
        <w:t xml:space="preserve">Finally, it is worth stressing that the algorithms that impose a constant electron chemical potential can suffer from numerical instabilities. These issues </w:t>
      </w:r>
      <w:r w:rsidR="00D34093">
        <w:t>have</w:t>
      </w:r>
      <w:r>
        <w:t xml:space="preserve"> been discussed in detail in recent works.</w:t>
      </w:r>
      <w:r>
        <w:fldChar w:fldCharType="begin">
          <w:fldData xml:space="preserve">PEVuZE5vdGU+PENpdGU+PEF1dGhvcj5TdW5kYXJhcmFtYW48L0F1dGhvcj48WWVhcj4yMDE3PC9Z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</w:fldData>
        </w:fldChar>
      </w:r>
      <w:r w:rsidR="00FC5BEB">
        <w:instrText xml:space="preserve"> ADDIN EN.CITE </w:instrText>
      </w:r>
      <w:r w:rsidR="00FC5BEB">
        <w:fldChar w:fldCharType="begin">
          <w:fldData xml:space="preserve">PEVuZE5vdGU+PENpdGU+PEF1dGhvcj5TdW5kYXJhcmFtYW48L0F1dGhvcj48WWVhcj4yMDE3PC9Z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</w:fldData>
        </w:fldChar>
      </w:r>
      <w:r w:rsidR="00FC5BEB">
        <w:instrText xml:space="preserve"> ADDIN EN.CITE.DATA </w:instrText>
      </w:r>
      <w:r w:rsidR="00FC5BEB">
        <w:fldChar w:fldCharType="end"/>
      </w:r>
      <w:r>
        <w:fldChar w:fldCharType="separate"/>
      </w:r>
      <w:r w:rsidR="00FC5BEB" w:rsidRPr="00FC5BEB">
        <w:rPr>
          <w:noProof/>
          <w:vertAlign w:val="superscript"/>
        </w:rPr>
        <w:t>482, 514</w:t>
      </w:r>
      <w:r>
        <w:fldChar w:fldCharType="end"/>
      </w:r>
    </w:p>
    <w:p w14:paraId="6B3AE2A6" w14:textId="24D3634F" w:rsidR="004E483C" w:rsidRDefault="004E483C">
      <w:pPr>
        <w:rPr>
          <w:rFonts w:eastAsiaTheme="majorEastAsia" w:cstheme="majorBidi"/>
          <w:b/>
          <w:color w:val="000000" w:themeColor="text1"/>
          <w:sz w:val="24"/>
          <w:szCs w:val="32"/>
        </w:rPr>
      </w:pPr>
    </w:p>
    <w:p w14:paraId="16F5689D" w14:textId="3B3C7497" w:rsidR="004E483C" w:rsidRDefault="004E483C" w:rsidP="00577291">
      <w:pPr>
        <w:pStyle w:val="Heading1"/>
        <w:numPr>
          <w:ilvl w:val="0"/>
          <w:numId w:val="17"/>
        </w:numPr>
      </w:pPr>
      <w:bookmarkStart w:id="155" w:name="_Ref159882369"/>
      <w:bookmarkStart w:id="156" w:name="_Ref159882582"/>
      <w:bookmarkStart w:id="157" w:name="_Toc166441750"/>
      <w:r w:rsidRPr="00C01A2E">
        <w:t>Microkinetic models</w:t>
      </w:r>
      <w:bookmarkEnd w:id="155"/>
      <w:bookmarkEnd w:id="156"/>
      <w:bookmarkEnd w:id="157"/>
    </w:p>
    <w:p w14:paraId="5FBB026F" w14:textId="77777777" w:rsidR="004E483C" w:rsidRDefault="004E483C" w:rsidP="004E483C">
      <w:pPr>
        <w:rPr>
          <w:b/>
        </w:rPr>
      </w:pPr>
    </w:p>
    <w:p w14:paraId="24594D65" w14:textId="149AFB03" w:rsidR="004E483C" w:rsidRDefault="004E483C" w:rsidP="004E483C">
      <w:pPr>
        <w:ind w:firstLine="720"/>
      </w:pPr>
      <w:r>
        <w:t>A powerful approach to model electrochemical process</w:t>
      </w:r>
      <w:r w:rsidR="00333D70">
        <w:t>es</w:t>
      </w:r>
      <w:r>
        <w:t xml:space="preserve"> consists of combining the methodologies described in the previous sections to compute the thermodynamics and the kinetics of elementary steps with m</w:t>
      </w:r>
      <w:r w:rsidRPr="001C3378">
        <w:t>icroki</w:t>
      </w:r>
      <w:r>
        <w:t>ne</w:t>
      </w:r>
      <w:r w:rsidRPr="001C3378">
        <w:t>t</w:t>
      </w:r>
      <w:r>
        <w:t>i</w:t>
      </w:r>
      <w:r w:rsidRPr="001C3378">
        <w:t>c model</w:t>
      </w:r>
      <w:r>
        <w:t xml:space="preserve">s that describe the interplay of multiple steps. </w:t>
      </w:r>
      <w:r w:rsidRPr="00D356A0">
        <w:t xml:space="preserve"> </w:t>
      </w:r>
      <w:r>
        <w:t>As for the case of thermal catalysis</w:t>
      </w:r>
      <w:r>
        <w:fldChar w:fldCharType="begin"/>
      </w:r>
      <w:r w:rsidR="00FC5BEB">
        <w:instrText xml:space="preserve"> ADDIN EN.CITE &lt;EndNote&gt;&lt;Cite&gt;&lt;Author&gt;Motagamwala&lt;/Author&gt;&lt;Year&gt;2021&lt;/Year&gt;&lt;RecNum&gt;513&lt;/RecNum&gt;&lt;DisplayText&gt;&lt;style face="superscript"&gt;515&lt;/style&gt;&lt;/DisplayText&gt;&lt;record&gt;&lt;rec-number&gt;513&lt;/rec-number&gt;&lt;foreign-keys&gt;&lt;key app="EN" db-id="2xex0erf4eexr4e2dpbxpdd829xttesxxxdr" timestamp="1715075297"&gt;513&lt;/key&gt;&lt;/foreign-keys&gt;&lt;ref-type name="Journal Article"&gt;17&lt;/ref-type&gt;&lt;contributors&gt;&lt;authors&gt;&lt;author&gt;Motagamwala, Ali Hussain&lt;/author&gt;&lt;author&gt;Dumesic, James A.&lt;/author&gt;&lt;/authors&gt;&lt;/contributors&gt;&lt;titles&gt;&lt;title&gt;Microkinetic Modeling: A Tool for Rational Catalyst Design&lt;/title&gt;&lt;secondary-title&gt;Chemical Reviews&lt;/secondary-title&gt;&lt;/titles&gt;&lt;periodical&gt;&lt;full-title&gt;Chemical Reviews&lt;/full-title&gt;&lt;abbr-1&gt;Chem. Rev.&lt;/abbr-1&gt;&lt;abbr-2&gt;Chem Rev&lt;/abbr-2&gt;&lt;/periodical&gt;&lt;pages&gt;1049-1076&lt;/pages&gt;&lt;volume&gt;121&lt;/volume&gt;&lt;number&gt;2&lt;/number&gt;&lt;dates&gt;&lt;year&gt;2021&lt;/year&gt;&lt;/dates&gt;&lt;publisher&gt;American Chemical Society&lt;/publisher&gt;&lt;urls&gt;&lt;related-urls&gt;&lt;url&gt;https://doi.org/10.1021/acs.chemrev.0c00394&lt;/url&gt;&lt;/related-urls&gt;&lt;/urls&gt;&lt;electronic-resource-num&gt;10.1021/acs.chemrev.0c00394&lt;/electronic-resource-num&gt;&lt;/record&gt;&lt;/Cite&gt;&lt;/EndNote&gt;</w:instrText>
      </w:r>
      <w:r>
        <w:fldChar w:fldCharType="separate"/>
      </w:r>
      <w:r w:rsidR="00FC5BEB" w:rsidRPr="00FC5BEB">
        <w:rPr>
          <w:noProof/>
          <w:vertAlign w:val="superscript"/>
        </w:rPr>
        <w:t>515</w:t>
      </w:r>
      <w:r>
        <w:fldChar w:fldCharType="end"/>
      </w:r>
      <w:r>
        <w:t xml:space="preserve">, a microkinetic model consists </w:t>
      </w:r>
      <w:r w:rsidR="00AB5CEB">
        <w:t xml:space="preserve">of </w:t>
      </w:r>
      <w:r>
        <w:t>a series of elementary steps, whose rate constants for the forward and backward reactions are usually estimated using transition state theory</w:t>
      </w:r>
      <w:r w:rsidR="003D306B">
        <w:t xml:space="preserve"> </w:t>
      </w:r>
      <w:r w:rsidR="003D306B">
        <w:lastRenderedPageBreak/>
        <w:t>(</w:t>
      </w:r>
      <w:r w:rsidR="003D306B">
        <w:fldChar w:fldCharType="begin"/>
      </w:r>
      <w:r w:rsidR="003D306B">
        <w:instrText xml:space="preserve"> REF _Ref159096580 \h </w:instrText>
      </w:r>
      <w:r w:rsidR="003D306B">
        <w:fldChar w:fldCharType="separate"/>
      </w:r>
      <w:r w:rsidR="00B7319C" w:rsidRPr="00DE0988">
        <w:rPr>
          <w:sz w:val="20"/>
          <w:szCs w:val="20"/>
        </w:rPr>
        <w:t xml:space="preserve">Equation </w:t>
      </w:r>
      <w:r w:rsidR="00B7319C">
        <w:rPr>
          <w:noProof/>
          <w:sz w:val="20"/>
          <w:szCs w:val="20"/>
        </w:rPr>
        <w:t>4</w:t>
      </w:r>
      <w:r w:rsidR="003D306B">
        <w:fldChar w:fldCharType="end"/>
      </w:r>
      <w:r w:rsidR="003D306B">
        <w:t>)</w:t>
      </w:r>
      <w:r>
        <w:t xml:space="preserve">. The equations are typically solved for the steady state, </w:t>
      </w:r>
      <w:r w:rsidRPr="00756DE4">
        <w:t>in the mean-field approximation</w:t>
      </w:r>
      <w:r>
        <w:t>,</w:t>
      </w:r>
      <w:r w:rsidRPr="00756DE4">
        <w:t xml:space="preserve"> </w:t>
      </w:r>
      <w:r>
        <w:t>where the unknowns are the surface coverages of the intermediates. This allows one to predict the rate of the overall process as a function of applied bias (and pH, in some cases) and to establish a direct link with experimental measurements, which typically report polarization curves (i.e. currents vs. applied bias, often assuming 100% Faradaic efficiency), Tafel slopes and exchange currents. In case of competing mechanisms, by comparing the rates of the elementary steps</w:t>
      </w:r>
      <w:r w:rsidRPr="00756DE4">
        <w:t xml:space="preserve"> </w:t>
      </w:r>
      <w:r>
        <w:t>microkinetic models allow to determine which path dominates, not simply on the basis of the activation energies but accounting also for the steady state coverages of the intermediates.</w:t>
      </w:r>
    </w:p>
    <w:p w14:paraId="10FAD2D8" w14:textId="77777777" w:rsidR="004E483C" w:rsidRDefault="004E483C" w:rsidP="004E483C"/>
    <w:p w14:paraId="01774FF6" w14:textId="01CEACEF" w:rsidR="004E483C" w:rsidRPr="00D14A7E" w:rsidRDefault="004E483C" w:rsidP="004E483C">
      <w:pPr>
        <w:ind w:firstLine="720"/>
      </w:pPr>
      <w:r>
        <w:t>A distinct advantage of predictions based on a microkinetic model compared to those based on the CHE is that both chemical steps and electrochemical steps can be treated on the same footing, provided one can compute accurately the kinetics of both kinds of elementary steps. Furthermore, the potential determining step identified via CHE calculations and the RDS identified via microkinetic modeling, might not coincide. For these particular cases, ranking the performance of various catalysts on the basis of the PDS rather than the RDS might lead to differences.</w:t>
      </w:r>
      <w:r>
        <w:fldChar w:fldCharType="begin"/>
      </w:r>
      <w:r w:rsidR="00FC5BEB">
        <w:instrText xml:space="preserve"> ADDIN EN.CITE &lt;EndNote&gt;&lt;Cite&gt;&lt;Author&gt;Mefford&lt;/Author&gt;&lt;Year&gt;2020&lt;/Year&gt;&lt;RecNum&gt;514&lt;/RecNum&gt;&lt;DisplayText&gt;&lt;style face="superscript"&gt;516&lt;/style&gt;&lt;/DisplayText&gt;&lt;record&gt;&lt;rec-number&gt;514&lt;/rec-number&gt;&lt;foreign-keys&gt;&lt;key app="EN" db-id="2xex0erf4eexr4e2dpbxpdd829xttesxxxdr" timestamp="1715075297"&gt;514&lt;/key&gt;&lt;/foreign-keys&gt;&lt;ref-type name="Journal Article"&gt;17&lt;/ref-type&gt;&lt;contributors&gt;&lt;authors&gt;&lt;author&gt;Mefford, J. Tyler&lt;/author&gt;&lt;author&gt;Zhao, Zhenghang&lt;/author&gt;&lt;author&gt;Bajdich, Michal&lt;/author&gt;&lt;author&gt;Chueh, William C.&lt;/author&gt;&lt;/authors&gt;&lt;/contributors&gt;&lt;titles&gt;&lt;title&gt;Interpreting Tafel behavior of consecutive electrochemical reactions through combined thermodynamic and steady state microkinetic approaches&lt;/title&gt;&lt;secondary-title&gt;Energy Environ. Sci.&lt;/secondary-title&gt;&lt;/titles&gt;&lt;periodical&gt;&lt;full-title&gt;Energy Environ. Sci.&lt;/full-title&gt;&lt;/periodical&gt;&lt;pages&gt;622-634&lt;/pages&gt;&lt;volume&gt;13&lt;/volume&gt;&lt;number&gt;2&lt;/number&gt;&lt;dates&gt;&lt;year&gt;2020&lt;/year&gt;&lt;/dates&gt;&lt;publisher&gt;Royal Society of Chemistry&lt;/publisher&gt;&lt;urls&gt;&lt;related-urls&gt;&lt;url&gt;https://pubs.rsc.org/en/content/articlepdf/2020/ee/c9ee02697e&lt;/url&gt;&lt;/related-urls&gt;&lt;pdf-urls&gt;&lt;url&gt;file://localhost/localhost/localhost/Users/piccinin/Literature/c9ee02697e.pdf&lt;/url&gt;&lt;/pdf-urls&gt;&lt;/urls&gt;&lt;electronic-resource-num&gt;10.1039/c9ee02697e&lt;/electronic-resource-num&gt;&lt;/record&gt;&lt;/Cite&gt;&lt;/EndNote&gt;</w:instrText>
      </w:r>
      <w:r>
        <w:fldChar w:fldCharType="separate"/>
      </w:r>
      <w:r w:rsidR="00FC5BEB" w:rsidRPr="00FC5BEB">
        <w:rPr>
          <w:noProof/>
          <w:vertAlign w:val="superscript"/>
        </w:rPr>
        <w:t>516</w:t>
      </w:r>
      <w:r>
        <w:fldChar w:fldCharType="end"/>
      </w:r>
      <w:r>
        <w:t xml:space="preserve">  </w:t>
      </w:r>
    </w:p>
    <w:p w14:paraId="59433947" w14:textId="77777777" w:rsidR="004E483C" w:rsidRDefault="004E483C" w:rsidP="004E483C"/>
    <w:p w14:paraId="02F93961" w14:textId="354ACA3B" w:rsidR="004E483C" w:rsidRDefault="004E483C" w:rsidP="004E483C">
      <w:pPr>
        <w:ind w:firstLine="720"/>
      </w:pPr>
      <w:r w:rsidRPr="001C3378">
        <w:t>Microki</w:t>
      </w:r>
      <w:r>
        <w:t>ne</w:t>
      </w:r>
      <w:r w:rsidRPr="001C3378">
        <w:t>t</w:t>
      </w:r>
      <w:r>
        <w:t>i</w:t>
      </w:r>
      <w:r w:rsidRPr="001C3378">
        <w:t>c modeling in electrochemistry has been recently reviewed by</w:t>
      </w:r>
      <w:r>
        <w:t xml:space="preserve"> Marshall</w:t>
      </w:r>
      <w:r>
        <w:fldChar w:fldCharType="begin"/>
      </w:r>
      <w:r w:rsidR="00FC5BEB">
        <w:instrText xml:space="preserve"> ADDIN EN.CITE &lt;EndNote&gt;&lt;Cite&gt;&lt;Author&gt;Marshall&lt;/Author&gt;&lt;Year&gt;2018&lt;/Year&gt;&lt;RecNum&gt;515&lt;/RecNum&gt;&lt;DisplayText&gt;&lt;style face="superscript"&gt;517&lt;/style&gt;&lt;/DisplayText&gt;&lt;record&gt;&lt;rec-number&gt;515&lt;/rec-number&gt;&lt;foreign-keys&gt;&lt;key app="EN" db-id="2xex0erf4eexr4e2dpbxpdd829xttesxxxdr" timestamp="1715075297"&gt;515&lt;/key&gt;&lt;/foreign-keys&gt;&lt;ref-type name="Journal Article"&gt;17&lt;/ref-type&gt;&lt;contributors&gt;&lt;authors&gt;&lt;author&gt;Marshall, Aaron T.&lt;/author&gt;&lt;/authors&gt;&lt;/contributors&gt;&lt;titles&gt;&lt;title&gt;Using microkinetic models to understand electrocatalytic reactions&lt;/title&gt;&lt;secondary-title&gt;Curr. Opin. Electrochem.&lt;/secondary-title&gt;&lt;/titles&gt;&lt;periodical&gt;&lt;full-title&gt;Curr. Opin. Electrochem.&lt;/full-title&gt;&lt;/periodical&gt;&lt;pages&gt;75-80&lt;/pages&gt;&lt;volume&gt;7&lt;/volume&gt;&lt;number&gt;5&lt;/number&gt;&lt;dates&gt;&lt;year&gt;2018&lt;/year&gt;&lt;/dates&gt;&lt;publisher&gt;Elsevier B.V.&lt;/publisher&gt;&lt;urls&gt;&lt;related-urls&gt;&lt;url&gt;https://doi.org/10.1016/j.coelec.2017.10.024&lt;/url&gt;&lt;url&gt;https://www.sciencedirect.com/science/article/pii/S2451910317301497?via%3Dihub&lt;/url&gt;&lt;/related-urls&gt;&lt;pdf-urls&gt;&lt;url&gt;file://localhost/localhost/localhost/Users/piccinin/Literature/1-s2.0-S2451910317301497-main.pdf&lt;/url&gt;&lt;/pdf-urls&gt;&lt;/urls&gt;&lt;electronic-resource-num&gt;10.1016/j.coelec.2017.10.024&lt;/electronic-resource-num&gt;&lt;/record&gt;&lt;/Cite&gt;&lt;/EndNote&gt;</w:instrText>
      </w:r>
      <w:r>
        <w:fldChar w:fldCharType="separate"/>
      </w:r>
      <w:r w:rsidR="00FC5BEB" w:rsidRPr="00FC5BEB">
        <w:rPr>
          <w:noProof/>
          <w:vertAlign w:val="superscript"/>
        </w:rPr>
        <w:t>517</w:t>
      </w:r>
      <w:r>
        <w:fldChar w:fldCharType="end"/>
      </w:r>
      <w:r>
        <w:t xml:space="preserve"> and by</w:t>
      </w:r>
      <w:r w:rsidRPr="001C3378">
        <w:t xml:space="preserve"> </w:t>
      </w:r>
      <w:proofErr w:type="spellStart"/>
      <w:r w:rsidRPr="001C3378">
        <w:t>Linic</w:t>
      </w:r>
      <w:proofErr w:type="spellEnd"/>
      <w:r>
        <w:t xml:space="preserve"> and co-workers</w:t>
      </w:r>
      <w:r>
        <w:fldChar w:fldCharType="begin"/>
      </w:r>
      <w:r w:rsidR="00FC5BEB">
        <w:instrText xml:space="preserve"> ADDIN EN.CITE &lt;EndNote&gt;&lt;Cite&gt;&lt;Author&gt;Baz&lt;/Author&gt;&lt;Year&gt;2021&lt;/Year&gt;&lt;RecNum&gt;516&lt;/RecNum&gt;&lt;DisplayText&gt;&lt;style face="superscript"&gt;518&lt;/style&gt;&lt;/DisplayText&gt;&lt;record&gt;&lt;rec-number&gt;516&lt;/rec-number&gt;&lt;foreign-keys&gt;&lt;key app="EN" db-id="2xex0erf4eexr4e2dpbxpdd829xttesxxxdr" timestamp="1715075297"&gt;516&lt;/key&gt;&lt;/foreign-keys&gt;&lt;ref-type name="Journal Article"&gt;17&lt;/ref-type&gt;&lt;contributors&gt;&lt;authors&gt;&lt;author&gt;Baz, Adam&lt;/author&gt;&lt;author&gt;Dix, Sean T.&lt;/author&gt;&lt;author&gt;Holewinski, Adam&lt;/author&gt;&lt;author&gt;Linic, Suljo&lt;/author&gt;&lt;/authors&gt;&lt;/contributors&gt;&lt;titles&gt;&lt;title&gt;Microkinetic modeling in electrocatalysis: Applications, limitations, and recommendations for reliable mechanistic insights&lt;/title&gt;&lt;secondary-title&gt;Journal of Catalysis&lt;/secondary-title&gt;&lt;/titles&gt;&lt;periodical&gt;&lt;full-title&gt;Journal of Catalysis&lt;/full-title&gt;&lt;abbr-1&gt;J. Catal.&lt;/abbr-1&gt;&lt;abbr-2&gt;J Catal&lt;/abbr-2&gt;&lt;/periodical&gt;&lt;pages&gt;864-872&lt;/pages&gt;&lt;volume&gt;404&lt;/volume&gt;&lt;dates&gt;&lt;year&gt;2021&lt;/year&gt;&lt;/dates&gt;&lt;publisher&gt;Elsevier Inc.&lt;/publisher&gt;&lt;urls&gt;&lt;related-urls&gt;&lt;url&gt;https://doi.org/10.1016/j.jcat.2021.08.043&lt;/url&gt;&lt;/related-urls&gt;&lt;pdf-urls&gt;&lt;url&gt;file://localhost/Users/piccinin/Literature/1-s2.0-S0021951721003523-main.pdf&lt;/url&gt;&lt;/pdf-urls&gt;&lt;/urls&gt;&lt;electronic-resource-num&gt;10.1016/j.jcat.2021.08.043&lt;/electronic-resource-num&gt;&lt;/record&gt;&lt;/Cite&gt;&lt;/EndNote&gt;</w:instrText>
      </w:r>
      <w:r>
        <w:fldChar w:fldCharType="separate"/>
      </w:r>
      <w:r w:rsidR="00FC5BEB" w:rsidRPr="00FC5BEB">
        <w:rPr>
          <w:noProof/>
          <w:vertAlign w:val="superscript"/>
        </w:rPr>
        <w:t>518</w:t>
      </w:r>
      <w:r>
        <w:fldChar w:fldCharType="end"/>
      </w:r>
      <w:r>
        <w:t>, and here we will discuss some relevant applications to the OER. A point worth stressing is the use of the quasi-equilibrium approximation. At the steady state, the net rate (i.e. the difference between the forward and backward rates) of each elementary step comprising the reaction mechanism is the same, and the step with the smallest forward rate is identified as the RDS</w:t>
      </w:r>
      <w:r>
        <w:fldChar w:fldCharType="begin"/>
      </w:r>
      <w:r w:rsidR="00FC5BEB">
        <w:instrText xml:space="preserve"> ADDIN EN.CITE &lt;EndNote&gt;&lt;Cite&gt;&lt;Author&gt;Marshall&lt;/Author&gt;&lt;Year&gt;2015&lt;/Year&gt;&lt;RecNum&gt;517&lt;/RecNum&gt;&lt;DisplayText&gt;&lt;style face="superscript"&gt;519&lt;/style&gt;&lt;/DisplayText&gt;&lt;record&gt;&lt;rec-number&gt;517&lt;/rec-number&gt;&lt;foreign-keys&gt;&lt;key app="EN" db-id="2xex0erf4eexr4e2dpbxpdd829xttesxxxdr" timestamp="1715075297"&gt;517&lt;/key&gt;&lt;/foreign-keys&gt;&lt;ref-type name="Journal Article"&gt;17&lt;/ref-type&gt;&lt;contributors&gt;&lt;authors&gt;&lt;author&gt;Marshall, Aaron T.&lt;/author&gt;&lt;author&gt;Vaisson-Béthune, Laurent&lt;/author&gt;&lt;/authors&gt;&lt;/contributors&gt;&lt;titles&gt;&lt;title&gt;Avoid the quasi-equilibrium assumption when evaluating the electrocatalytic oxygen evolution reaction mechanism by Tafel slope analysis&lt;/title&gt;&lt;secondary-title&gt;Electrochemistry Communications&lt;/secondary-title&gt;&lt;/titles&gt;&lt;periodical&gt;&lt;full-title&gt;Electrochemistry Communications&lt;/full-title&gt;&lt;abbr-1&gt;Electrochem. Commun.&lt;/abbr-1&gt;&lt;abbr-2&gt;Electrochem Commun&lt;/abbr-2&gt;&lt;/periodical&gt;&lt;pages&gt;23-26&lt;/pages&gt;&lt;volume&gt;61&lt;/volume&gt;&lt;keywords&gt;&lt;keyword&gt;Oxygen evolution reaction&lt;/keyword&gt;&lt;keyword&gt;Tafel slope&lt;/keyword&gt;&lt;keyword&gt;Reaction mechanism&lt;/keyword&gt;&lt;keyword&gt;Quasi-equilibrium&lt;/keyword&gt;&lt;keyword&gt;Electrocatalysis&lt;/keyword&gt;&lt;/keywords&gt;&lt;dates&gt;&lt;year&gt;2015&lt;/year&gt;&lt;pub-dates&gt;&lt;date&gt;2015/12/01/&lt;/date&gt;&lt;/pub-dates&gt;&lt;/dates&gt;&lt;isbn&gt;1388-2481&lt;/isbn&gt;&lt;urls&gt;&lt;related-urls&gt;&lt;url&gt;https://www.sciencedirect.com/science/article/pii/S1388248115002635&lt;/url&gt;&lt;/related-urls&gt;&lt;/urls&gt;&lt;electronic-resource-num&gt;https://doi.org/10.1016/j.elecom.2015.09.019&lt;/electronic-resource-num&gt;&lt;/record&gt;&lt;/Cite&gt;&lt;/EndNote&gt;</w:instrText>
      </w:r>
      <w:r>
        <w:fldChar w:fldCharType="separate"/>
      </w:r>
      <w:r w:rsidR="00FC5BEB" w:rsidRPr="00FC5BEB">
        <w:rPr>
          <w:noProof/>
          <w:vertAlign w:val="superscript"/>
        </w:rPr>
        <w:t>519</w:t>
      </w:r>
      <w:r>
        <w:fldChar w:fldCharType="end"/>
      </w:r>
      <w:r w:rsidRPr="00D14A7E">
        <w:t>. When the</w:t>
      </w:r>
      <w:r>
        <w:t xml:space="preserve"> forward rate is orders of magnitudes larger than the net rate, one can safely assume that the forward and backward rates for that step are equal, i.e. the step is quasi-equilibrated. In this case, the concentrations (or coverages) of reactants and products can be determined from the equilibrium constant of that step. If one assumes that one particular step is the RDS while the other steps are quasi-equilibrated, the calculations are considerably simplified, since the barriers need to be computed only for the RDS. While this approximation is often adopted in m</w:t>
      </w:r>
      <w:r w:rsidRPr="001C3378">
        <w:t>icroki</w:t>
      </w:r>
      <w:r>
        <w:t>ne</w:t>
      </w:r>
      <w:r w:rsidRPr="001C3378">
        <w:t>t</w:t>
      </w:r>
      <w:r>
        <w:t>i</w:t>
      </w:r>
      <w:r w:rsidRPr="001C3378">
        <w:t>c modeling</w:t>
      </w:r>
      <w:r>
        <w:t xml:space="preserve">, </w:t>
      </w:r>
      <w:r w:rsidRPr="00D14A7E">
        <w:t xml:space="preserve">Marshall and </w:t>
      </w:r>
      <w:proofErr w:type="spellStart"/>
      <w:r w:rsidRPr="00D14A7E">
        <w:t>Vaisson-Béthune</w:t>
      </w:r>
      <w:proofErr w:type="spellEnd"/>
      <w:r w:rsidRPr="00D14A7E">
        <w:t xml:space="preserve"> </w:t>
      </w:r>
      <w:r>
        <w:t>showed that the quasi-equilibrium assumption is not always justified for the OER of IrO</w:t>
      </w:r>
      <w:r w:rsidRPr="00D14A7E">
        <w:rPr>
          <w:vertAlign w:val="subscript"/>
        </w:rPr>
        <w:t>2</w:t>
      </w:r>
      <w:r>
        <w:t xml:space="preserve"> and RuO</w:t>
      </w:r>
      <w:r w:rsidRPr="00D14A7E">
        <w:rPr>
          <w:vertAlign w:val="subscript"/>
        </w:rPr>
        <w:t>2</w:t>
      </w:r>
      <w:r w:rsidRPr="00D14A7E">
        <w:t>.</w:t>
      </w:r>
      <w:r>
        <w:fldChar w:fldCharType="begin"/>
      </w:r>
      <w:r w:rsidR="00FC5BEB">
        <w:instrText xml:space="preserve"> ADDIN EN.CITE &lt;EndNote&gt;&lt;Cite&gt;&lt;Author&gt;Marshall&lt;/Author&gt;&lt;Year&gt;2015&lt;/Year&gt;&lt;RecNum&gt;517&lt;/RecNum&gt;&lt;DisplayText&gt;&lt;style face="superscript"&gt;519&lt;/style&gt;&lt;/DisplayText&gt;&lt;record&gt;&lt;rec-number&gt;517&lt;/rec-number&gt;&lt;foreign-keys&gt;&lt;key app="EN" db-id="2xex0erf4eexr4e2dpbxpdd829xttesxxxdr" timestamp="1715075297"&gt;517&lt;/key&gt;&lt;/foreign-keys&gt;&lt;ref-type name="Journal Article"&gt;17&lt;/ref-type&gt;&lt;contributors&gt;&lt;authors&gt;&lt;author&gt;Marshall, Aaron T.&lt;/author&gt;&lt;author&gt;Vaisson-Béthune, Laurent&lt;/author&gt;&lt;/authors&gt;&lt;/contributors&gt;&lt;titles&gt;&lt;title&gt;Avoid the quasi-equilibrium assumption when evaluating the electrocatalytic oxygen evolution reaction mechanism by Tafel slope analysis&lt;/title&gt;&lt;secondary-title&gt;Electrochemistry Communications&lt;/secondary-title&gt;&lt;/titles&gt;&lt;periodical&gt;&lt;full-title&gt;Electrochemistry Communications&lt;/full-title&gt;&lt;abbr-1&gt;Electrochem. Commun.&lt;/abbr-1&gt;&lt;abbr-2&gt;Electrochem Commun&lt;/abbr-2&gt;&lt;/periodical&gt;&lt;pages&gt;23-26&lt;/pages&gt;&lt;volume&gt;61&lt;/volume&gt;&lt;keywords&gt;&lt;keyword&gt;Oxygen evolution reaction&lt;/keyword&gt;&lt;keyword&gt;Tafel slope&lt;/keyword&gt;&lt;keyword&gt;Reaction mechanism&lt;/keyword&gt;&lt;keyword&gt;Quasi-equilibrium&lt;/keyword&gt;&lt;keyword&gt;Electrocatalysis&lt;/keyword&gt;&lt;/keywords&gt;&lt;dates&gt;&lt;year&gt;2015&lt;/year&gt;&lt;pub-dates&gt;&lt;date&gt;2015/12/01/&lt;/date&gt;&lt;/pub-dates&gt;&lt;/dates&gt;&lt;isbn&gt;1388-2481&lt;/isbn&gt;&lt;urls&gt;&lt;related-urls&gt;&lt;url&gt;https://www.sciencedirect.com/science/article/pii/S1388248115002635&lt;/url&gt;&lt;/related-urls&gt;&lt;/urls&gt;&lt;electronic-resource-num&gt;https://doi.org/10.1016/j.elecom.2015.09.019&lt;/electronic-resource-num&gt;&lt;/record&gt;&lt;/Cite&gt;&lt;/EndNote&gt;</w:instrText>
      </w:r>
      <w:r>
        <w:fldChar w:fldCharType="separate"/>
      </w:r>
      <w:r w:rsidR="00FC5BEB" w:rsidRPr="00FC5BEB">
        <w:rPr>
          <w:noProof/>
          <w:vertAlign w:val="superscript"/>
        </w:rPr>
        <w:t>519</w:t>
      </w:r>
      <w:r>
        <w:fldChar w:fldCharType="end"/>
      </w:r>
      <w:r>
        <w:t xml:space="preserve"> Similar conclusions were drawn by </w:t>
      </w:r>
      <w:proofErr w:type="spellStart"/>
      <w:r>
        <w:rPr>
          <w:rFonts w:eastAsiaTheme="minorEastAsia"/>
        </w:rPr>
        <w:t>Mefford</w:t>
      </w:r>
      <w:proofErr w:type="spellEnd"/>
      <w:r>
        <w:rPr>
          <w:rFonts w:eastAsiaTheme="minorEastAsia"/>
        </w:rPr>
        <w:t xml:space="preserve"> and co-workers for the OER on Co-based (oxy)hydroxides</w:t>
      </w:r>
      <w:r>
        <w:rPr>
          <w:rFonts w:eastAsiaTheme="minorEastAsia"/>
        </w:rPr>
        <w:fldChar w:fldCharType="begin"/>
      </w:r>
      <w:r w:rsidR="00FC5BEB">
        <w:rPr>
          <w:rFonts w:eastAsiaTheme="minorEastAsia"/>
        </w:rPr>
        <w:instrText xml:space="preserve"> ADDIN EN.CITE &lt;EndNote&gt;&lt;Cite&gt;&lt;Author&gt;Mefford&lt;/Author&gt;&lt;Year&gt;2020&lt;/Year&gt;&lt;RecNum&gt;514&lt;/RecNum&gt;&lt;DisplayText&gt;&lt;style face="superscript"&gt;516&lt;/style&gt;&lt;/DisplayText&gt;&lt;record&gt;&lt;rec-number&gt;514&lt;/rec-number&gt;&lt;foreign-keys&gt;&lt;key app="EN" db-id="2xex0erf4eexr4e2dpbxpdd829xttesxxxdr" timestamp="1715075297"&gt;514&lt;/key&gt;&lt;/foreign-keys&gt;&lt;ref-type name="Journal Article"&gt;17&lt;/ref-type&gt;&lt;contributors&gt;&lt;authors&gt;&lt;author&gt;Mefford, J. Tyler&lt;/author&gt;&lt;author&gt;Zhao, Zhenghang&lt;/author&gt;&lt;author&gt;Bajdich, Michal&lt;/author&gt;&lt;author&gt;Chueh, William C.&lt;/author&gt;&lt;/authors&gt;&lt;/contributors&gt;&lt;titles&gt;&lt;title&gt;Interpreting Tafel behavior of consecutive electrochemical reactions through combined thermodynamic and steady state microkinetic approaches&lt;/title&gt;&lt;secondary-title&gt;Energy Environ. Sci.&lt;/secondary-title&gt;&lt;/titles&gt;&lt;periodical&gt;&lt;full-title&gt;Energy Environ. Sci.&lt;/full-title&gt;&lt;/periodical&gt;&lt;pages&gt;622-634&lt;/pages&gt;&lt;volume&gt;13&lt;/volume&gt;&lt;number&gt;2&lt;/number&gt;&lt;dates&gt;&lt;year&gt;2020&lt;/year&gt;&lt;/dates&gt;&lt;publisher&gt;Royal Society of Chemistry&lt;/publisher&gt;&lt;urls&gt;&lt;related-urls&gt;&lt;url&gt;https://pubs.rsc.org/en/content/articlepdf/2020/ee/c9ee02697e&lt;/url&gt;&lt;/related-urls&gt;&lt;pdf-urls&gt;&lt;url&gt;file://localhost/localhost/localhost/Users/piccinin/Literature/c9ee02697e.pdf&lt;/url&gt;&lt;/pdf-urls&gt;&lt;/urls&gt;&lt;electronic-resource-num&gt;10.1039/c9ee02697e&lt;/electronic-resource-num&gt;&lt;/record&gt;&lt;/Cite&gt;&lt;/EndNote&gt;</w:instrText>
      </w:r>
      <w:r>
        <w:rPr>
          <w:rFonts w:eastAsiaTheme="minorEastAsia"/>
        </w:rPr>
        <w:fldChar w:fldCharType="separate"/>
      </w:r>
      <w:r w:rsidR="00FC5BEB" w:rsidRPr="00FC5BEB">
        <w:rPr>
          <w:rFonts w:eastAsiaTheme="minorEastAsia"/>
          <w:noProof/>
          <w:vertAlign w:val="superscript"/>
        </w:rPr>
        <w:t>516</w:t>
      </w:r>
      <w:r>
        <w:rPr>
          <w:rFonts w:eastAsiaTheme="minorEastAsia"/>
        </w:rPr>
        <w:fldChar w:fldCharType="end"/>
      </w:r>
      <w:r>
        <w:t>.</w:t>
      </w:r>
      <w:r w:rsidR="00FA0887">
        <w:t xml:space="preserve"> See also some discussion in Section </w:t>
      </w:r>
      <w:r w:rsidR="00FA0887">
        <w:fldChar w:fldCharType="begin"/>
      </w:r>
      <w:r w:rsidR="00FA0887">
        <w:instrText xml:space="preserve"> REF _Ref159882298 \r \h </w:instrText>
      </w:r>
      <w:r w:rsidR="00FA0887">
        <w:fldChar w:fldCharType="separate"/>
      </w:r>
      <w:r w:rsidR="00B7319C">
        <w:t>2</w:t>
      </w:r>
      <w:r w:rsidR="00FA0887">
        <w:fldChar w:fldCharType="end"/>
      </w:r>
      <w:r w:rsidR="00FA0887">
        <w:t>.</w:t>
      </w:r>
    </w:p>
    <w:p w14:paraId="2E1B0259" w14:textId="77777777" w:rsidR="004E483C" w:rsidRDefault="004E483C" w:rsidP="004E483C"/>
    <w:p w14:paraId="5D35EE71" w14:textId="30F5C242" w:rsidR="004E483C" w:rsidRPr="002C1460" w:rsidRDefault="004E483C" w:rsidP="00BC7855">
      <w:pPr>
        <w:pStyle w:val="Heading2"/>
      </w:pPr>
      <w:bookmarkStart w:id="158" w:name="_Toc166441751"/>
      <w:r w:rsidRPr="002C1460">
        <w:t>Rutile oxides</w:t>
      </w:r>
      <w:bookmarkEnd w:id="158"/>
    </w:p>
    <w:p w14:paraId="79095B49" w14:textId="77777777" w:rsidR="004E483C" w:rsidRDefault="004E483C" w:rsidP="004E483C"/>
    <w:p w14:paraId="76FFF17C" w14:textId="377AF95A" w:rsidR="004E483C" w:rsidRDefault="004E483C" w:rsidP="004E483C">
      <w:pPr>
        <w:ind w:firstLine="720"/>
      </w:pPr>
      <w:r>
        <w:t>Fang and Liu</w:t>
      </w:r>
      <w:r w:rsidR="0045783A">
        <w:fldChar w:fldCharType="begin">
          <w:fldData xml:space="preserve">PEVuZE5vdGU+PENpdGU+PEF1dGhvcj5GYW5nPC9BdXRob3I+PFllYXI+MjAxMDwvWWVhcj48UmVj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</w:fldData>
        </w:fldChar>
      </w:r>
      <w:r w:rsidR="009F6662">
        <w:instrText xml:space="preserve"> ADDIN EN.CITE </w:instrText>
      </w:r>
      <w:r w:rsidR="009F6662">
        <w:fldChar w:fldCharType="begin">
          <w:fldData xml:space="preserve">PEVuZE5vdGU+PENpdGU+PEF1dGhvcj5GYW5nPC9BdXRob3I+PFllYXI+MjAxMDwvWWVhcj48UmVj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</w:fldData>
        </w:fldChar>
      </w:r>
      <w:r w:rsidR="009F6662">
        <w:instrText xml:space="preserve"> ADDIN EN.CITE.DATA </w:instrText>
      </w:r>
      <w:r w:rsidR="009F6662">
        <w:fldChar w:fldCharType="end"/>
      </w:r>
      <w:r w:rsidR="0045783A">
        <w:fldChar w:fldCharType="separate"/>
      </w:r>
      <w:r w:rsidR="009F6662" w:rsidRPr="009F6662">
        <w:rPr>
          <w:noProof/>
          <w:vertAlign w:val="superscript"/>
        </w:rPr>
        <w:t>23, 64</w:t>
      </w:r>
      <w:r w:rsidR="0045783A">
        <w:fldChar w:fldCharType="end"/>
      </w:r>
      <w:r>
        <w:t xml:space="preserve"> modeled the OER on RuO</w:t>
      </w:r>
      <w:r w:rsidRPr="00554B5A">
        <w:rPr>
          <w:vertAlign w:val="subscript"/>
        </w:rPr>
        <w:t>2</w:t>
      </w:r>
      <w:r>
        <w:t xml:space="preserve">(110) using DFT-PBE calculations coupled with a modified Poisson-Boltzmann description of the electrolyte. The authors first constructed the surface </w:t>
      </w:r>
      <w:proofErr w:type="spellStart"/>
      <w:r>
        <w:t>Pourbaix</w:t>
      </w:r>
      <w:proofErr w:type="spellEnd"/>
      <w:r>
        <w:t xml:space="preserve"> diagram, showing that at low overpotentials the surface O bridge atoms are partially protonated while the O atoms at the Ru CUS sites are deprotonated, and above 1.58 V(SHE) the surface is fully deprotonated. The authors considered two possible mechanisms for the O-O bond formation, namely the nucleophilic attack of a water molecule forming a *OOH intermediate at the CUS site and a *OH at bridge site, and the direct coupling of two *O atoms at neighboring CUS sites. While the second step has a large and essentially bias-independent activation energy, the first mechanism has a barrier that depends linearly on the applied bias, with a coefficient of -0.57 eV/V when the overpotential exceeds 0.3 V (see </w:t>
      </w:r>
      <w:r>
        <w:fldChar w:fldCharType="begin"/>
      </w:r>
      <w:r>
        <w:instrText xml:space="preserve"> REF _Ref153975592 \h </w:instrText>
      </w:r>
      <w:r>
        <w:fldChar w:fldCharType="separate"/>
      </w:r>
      <w:r w:rsidR="00B7319C" w:rsidRPr="004E483C">
        <w:rPr>
          <w:b/>
        </w:rPr>
        <w:t xml:space="preserve">Figure </w:t>
      </w:r>
      <w:r w:rsidR="00B7319C">
        <w:rPr>
          <w:b/>
          <w:bCs/>
          <w:noProof/>
        </w:rPr>
        <w:t>53</w:t>
      </w:r>
      <w:r>
        <w:fldChar w:fldCharType="end"/>
      </w:r>
      <w:r>
        <w:t xml:space="preserve"> inset) and is fairly constant at lower overpotentials. Notice that the authors here neglected the fact that barriers were computed at constant charge rather than at constant </w:t>
      </w:r>
      <w:proofErr w:type="gramStart"/>
      <w:r>
        <w:t>potential, and</w:t>
      </w:r>
      <w:proofErr w:type="gramEnd"/>
      <w:r>
        <w:t xml:space="preserve"> assumed that the relevant potential for the estimate of the barrier is the one of the initial state. On the basis of these findings, the authors proposed a microkinetic model with a single RDS, obtaining a change in the Tafel slope around 1.58 V(SHE) due to the change of the surface structure: below this threshold potential, the surface needs first to be deprotonated and then the O-O bond takes place with a barrier that is nearly independent of the applied bias; above this potential the surface is fully oxidized and the barrier for the RDS has a strong bias dependence. The resulting Tafel slopes (55 mV/dec and 105 mV/dec) are in good agreement with experiments (59 mV/dec and 120 mV/dec) (see </w:t>
      </w:r>
      <w:r>
        <w:fldChar w:fldCharType="begin"/>
      </w:r>
      <w:r>
        <w:instrText xml:space="preserve"> REF _Ref153975592 \h </w:instrText>
      </w:r>
      <w:r>
        <w:fldChar w:fldCharType="separate"/>
      </w:r>
      <w:r w:rsidR="00B7319C" w:rsidRPr="004E483C">
        <w:rPr>
          <w:b/>
        </w:rPr>
        <w:t xml:space="preserve">Figure </w:t>
      </w:r>
      <w:r w:rsidR="00B7319C">
        <w:rPr>
          <w:b/>
          <w:bCs/>
          <w:noProof/>
        </w:rPr>
        <w:t>53</w:t>
      </w:r>
      <w:r>
        <w:fldChar w:fldCharType="end"/>
      </w:r>
      <w:r>
        <w:t xml:space="preserve">). </w:t>
      </w:r>
    </w:p>
    <w:p w14:paraId="2ABF5304" w14:textId="77777777" w:rsidR="001C1AC5" w:rsidRDefault="001C1AC5" w:rsidP="004E483C">
      <w:pPr>
        <w:ind w:firstLine="720"/>
      </w:pPr>
    </w:p>
    <w:p w14:paraId="53E00686" w14:textId="77777777" w:rsidR="004E483C" w:rsidRDefault="004E483C" w:rsidP="001C1AC5">
      <w:pPr>
        <w:keepNext/>
        <w:jc w:val="center"/>
      </w:pPr>
      <w:r>
        <w:rPr>
          <w:noProof/>
        </w:rPr>
        <w:lastRenderedPageBreak/>
        <w:drawing>
          <wp:inline distT="0" distB="0" distL="0" distR="0" wp14:anchorId="1F6D3D1B" wp14:editId="3FB14DEF">
            <wp:extent cx="2501327" cy="2880000"/>
            <wp:effectExtent l="0" t="0" r="635" b="317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ang_JACS2014_Fig4_exp.jp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2501327" cy="2880000"/>
                    </a:xfrm>
                    <a:prstGeom prst="rect">
                      <a:avLst/>
                    </a:prstGeom>
                  </pic:spPr>
                </pic:pic>
              </a:graphicData>
            </a:graphic>
          </wp:inline>
        </w:drawing>
      </w:r>
    </w:p>
    <w:p w14:paraId="546732D9" w14:textId="69AC0C8A" w:rsidR="004E483C" w:rsidRDefault="004E483C" w:rsidP="004E483C">
      <w:pPr>
        <w:pStyle w:val="Caption"/>
      </w:pPr>
      <w:bookmarkStart w:id="159" w:name="_Ref153975592"/>
      <w:r w:rsidRPr="004E483C">
        <w:rPr>
          <w:b/>
          <w:bCs w:val="0"/>
          <w:sz w:val="22"/>
        </w:rPr>
        <w:t xml:space="preserve">Figure </w:t>
      </w:r>
      <w:r w:rsidRPr="004E483C">
        <w:rPr>
          <w:b/>
          <w:bCs w:val="0"/>
          <w:sz w:val="22"/>
        </w:rPr>
        <w:fldChar w:fldCharType="begin"/>
      </w:r>
      <w:r w:rsidRPr="004E483C">
        <w:rPr>
          <w:b/>
          <w:bCs w:val="0"/>
          <w:sz w:val="22"/>
        </w:rPr>
        <w:instrText xml:space="preserve"> SEQ Figure \* ARABIC </w:instrText>
      </w:r>
      <w:r w:rsidRPr="004E483C">
        <w:rPr>
          <w:b/>
          <w:bCs w:val="0"/>
          <w:sz w:val="22"/>
        </w:rPr>
        <w:fldChar w:fldCharType="separate"/>
      </w:r>
      <w:r w:rsidR="00B7319C">
        <w:rPr>
          <w:b/>
          <w:bCs w:val="0"/>
          <w:noProof/>
          <w:sz w:val="22"/>
        </w:rPr>
        <w:t>53</w:t>
      </w:r>
      <w:r w:rsidRPr="004E483C">
        <w:rPr>
          <w:b/>
          <w:bCs w:val="0"/>
          <w:noProof/>
          <w:sz w:val="22"/>
        </w:rPr>
        <w:fldChar w:fldCharType="end"/>
      </w:r>
      <w:bookmarkEnd w:id="159"/>
      <w:r w:rsidRPr="000D648A">
        <w:t xml:space="preserve"> OER kinetics on RuO</w:t>
      </w:r>
      <w:r w:rsidRPr="00CA6B77">
        <w:rPr>
          <w:vertAlign w:val="subscript"/>
        </w:rPr>
        <w:t>2</w:t>
      </w:r>
      <w:r w:rsidRPr="000D648A">
        <w:t xml:space="preserve">(110) from DFT/CM-MPB method. (a) Plot of reaction barrier </w:t>
      </w:r>
      <w:proofErr w:type="spellStart"/>
      <w:r w:rsidRPr="00E45E28">
        <w:rPr>
          <w:i/>
          <w:iCs/>
        </w:rPr>
        <w:t>E</w:t>
      </w:r>
      <w:r w:rsidRPr="00CA6B77">
        <w:rPr>
          <w:vertAlign w:val="subscript"/>
        </w:rPr>
        <w:t>a</w:t>
      </w:r>
      <w:proofErr w:type="spellEnd"/>
      <w:r w:rsidRPr="000D648A">
        <w:t xml:space="preserve"> against the overpotential η for the water dissociation and the surface oxygen coupling on the O-terminated phase of RuO</w:t>
      </w:r>
      <w:r w:rsidRPr="00CA6B77">
        <w:rPr>
          <w:vertAlign w:val="subscript"/>
        </w:rPr>
        <w:t>2</w:t>
      </w:r>
      <w:r w:rsidRPr="000D648A">
        <w:t>(110). Inset in (a) shows the calculated Tafel lines (log(</w:t>
      </w:r>
      <w:r w:rsidRPr="00E45E28">
        <w:rPr>
          <w:i/>
          <w:iCs/>
        </w:rPr>
        <w:t>j</w:t>
      </w:r>
      <w:r w:rsidRPr="000D648A">
        <w:t xml:space="preserve">) </w:t>
      </w:r>
      <w:r w:rsidRPr="000D648A">
        <w:rPr>
          <w:rFonts w:ascii="Cambria Math" w:hAnsi="Cambria Math" w:cs="Cambria Math"/>
        </w:rPr>
        <w:t>∼</w:t>
      </w:r>
      <w:r w:rsidRPr="000D648A">
        <w:t xml:space="preserve"> </w:t>
      </w:r>
      <w:r w:rsidRPr="00E45E28">
        <w:rPr>
          <w:i/>
          <w:iCs/>
        </w:rPr>
        <w:t>η</w:t>
      </w:r>
      <w:r w:rsidRPr="000D648A">
        <w:t xml:space="preserve"> plot) for OER on RuO</w:t>
      </w:r>
      <w:r w:rsidRPr="00CA6B77">
        <w:rPr>
          <w:vertAlign w:val="subscript"/>
        </w:rPr>
        <w:t>2</w:t>
      </w:r>
      <w:r w:rsidRPr="000D648A">
        <w:t xml:space="preserve">(110). The slopes, </w:t>
      </w:r>
      <w:r w:rsidRPr="00E45E28">
        <w:rPr>
          <w:i/>
          <w:iCs/>
        </w:rPr>
        <w:t>b</w:t>
      </w:r>
      <w:r w:rsidRPr="000D648A">
        <w:t xml:space="preserve"> = ∂</w:t>
      </w:r>
      <w:r w:rsidRPr="00E45E28">
        <w:rPr>
          <w:i/>
          <w:iCs/>
        </w:rPr>
        <w:t>η</w:t>
      </w:r>
      <w:r w:rsidRPr="000D648A">
        <w:t>/∂log(</w:t>
      </w:r>
      <w:r w:rsidRPr="00E45E28">
        <w:rPr>
          <w:i/>
          <w:iCs/>
        </w:rPr>
        <w:t>j</w:t>
      </w:r>
      <w:r w:rsidRPr="000D648A">
        <w:t>), of the fitted lines are indicated. (b) and (c) are TS structures of the water dissociation and surface oxygen coupling on the O-terminated phase of RuO</w:t>
      </w:r>
      <w:r w:rsidRPr="00CA6B77">
        <w:rPr>
          <w:vertAlign w:val="subscript"/>
        </w:rPr>
        <w:t>2</w:t>
      </w:r>
      <w:r w:rsidRPr="000D648A">
        <w:t xml:space="preserve">(110) respectively. All the distances </w:t>
      </w:r>
      <w:proofErr w:type="spellStart"/>
      <w:r w:rsidR="002A09AD">
        <w:t>labeled</w:t>
      </w:r>
      <w:proofErr w:type="spellEnd"/>
      <w:r w:rsidRPr="000D648A">
        <w:t xml:space="preserve"> are in Angstrom. O: red ball; H: white ball; Ru: green ball. Figures </w:t>
      </w:r>
      <w:r>
        <w:t>adapted</w:t>
      </w:r>
      <w:r w:rsidRPr="000D648A">
        <w:t xml:space="preserve"> </w:t>
      </w:r>
      <w:r w:rsidR="00CB6942">
        <w:t>with permission</w:t>
      </w:r>
      <w:r w:rsidR="00221826">
        <w:fldChar w:fldCharType="begin"/>
      </w:r>
      <w:r w:rsidR="00221826">
        <w:instrText xml:space="preserve"> ADDIN EN.CITE &lt;EndNote&gt;&lt;Cite&gt;&lt;Author&gt;Fang&lt;/Author&gt;&lt;Year&gt;2010&lt;/Year&gt;&lt;RecNum&gt;64&lt;/RecNum&gt;&lt;DisplayText&gt;&lt;style face="superscript"&gt;64&lt;/style&gt;&lt;/DisplayText&gt;&lt;record&gt;&lt;rec-number&gt;64&lt;/rec-number&gt;&lt;foreign-keys&gt;&lt;key app="EN" db-id="2xex0erf4eexr4e2dpbxpdd829xttesxxxdr" timestamp="1715075296"&gt;64&lt;/key&gt;&lt;/foreign-keys&gt;&lt;ref-type name="Journal Article"&gt;17&lt;/ref-type&gt;&lt;contributors&gt;&lt;authors&gt;&lt;author&gt;Fang, Ya-Hui&lt;/author&gt;&lt;author&gt;Liu, Zhi-Pan&lt;/author&gt;&lt;/authors&gt;&lt;/contributors&gt;&lt;titles&gt;&lt;title&gt;Mechanism and Tafel Lines of Electro-Oxidation of Water to Oxygen on RuO2(110)&lt;/title&gt;&lt;secondary-title&gt;Journal of the American Chemical Society&lt;/secondary-title&gt;&lt;/titles&gt;&lt;periodical&gt;&lt;full-title&gt;Journal of the American Chemical Society&lt;/full-title&gt;&lt;abbr-1&gt;J. Am. Chem. Soc.&lt;/abbr-1&gt;&lt;abbr-2&gt;J Am Chem Soc&lt;/abbr-2&gt;&lt;/periodical&gt;&lt;pages&gt;18214-18222&lt;/pages&gt;&lt;volume&gt;132&lt;/volume&gt;&lt;number&gt;51&lt;/number&gt;&lt;dates&gt;&lt;year&gt;2010&lt;/year&gt;&lt;pub-dates&gt;&lt;date&gt;2010/12/29&lt;/date&gt;&lt;/pub-dates&gt;&lt;/dates&gt;&lt;publisher&gt;American Chemical Society&lt;/publisher&gt;&lt;isbn&gt;0002-7863&lt;/isbn&gt;&lt;urls&gt;&lt;related-urls&gt;&lt;url&gt;https://doi.org/10.1021/ja1069272&lt;/url&gt;&lt;/related-urls&gt;&lt;/urls&gt;&lt;electronic-resource-num&gt;10.1021/ja1069272&lt;/electronic-resource-num&gt;&lt;/record&gt;&lt;/Cite&gt;&lt;/EndNote&gt;</w:instrText>
      </w:r>
      <w:r w:rsidR="00221826">
        <w:fldChar w:fldCharType="separate"/>
      </w:r>
      <w:r w:rsidR="00221826" w:rsidRPr="009F6662">
        <w:rPr>
          <w:noProof/>
          <w:vertAlign w:val="superscript"/>
        </w:rPr>
        <w:t>64</w:t>
      </w:r>
      <w:r w:rsidR="00221826">
        <w:fldChar w:fldCharType="end"/>
      </w:r>
      <w:r w:rsidR="00CB6942">
        <w:t xml:space="preserve"> </w:t>
      </w:r>
      <w:r w:rsidR="001F447C" w:rsidRPr="001F447C">
        <w:rPr>
          <w:lang w:val="en-US"/>
        </w:rPr>
        <w:t>Copyright 2010 American Chemical Society.</w:t>
      </w:r>
    </w:p>
    <w:p w14:paraId="16168574" w14:textId="4800A855" w:rsidR="004E483C" w:rsidRDefault="004E483C" w:rsidP="004E483C">
      <w:r>
        <w:t>The work of Exner and co-workers focused on RuO</w:t>
      </w:r>
      <w:r w:rsidRPr="00741905">
        <w:rPr>
          <w:vertAlign w:val="subscript"/>
        </w:rPr>
        <w:t>2</w:t>
      </w:r>
      <w:r>
        <w:t>(110) too, and presents an analysis on the basis of the Butler-Volmer theory for electron transfer and microkinetic modeling, assuming a single RDS while all other steps are treated as quasi-equilibrated.</w:t>
      </w:r>
      <w:r w:rsidR="00886953">
        <w:fldChar w:fldCharType="begin"/>
      </w:r>
      <w:r w:rsidR="00FC5BEB">
        <w:instrText xml:space="preserve"> ADDIN EN.CITE &lt;EndNote&gt;&lt;Cite&gt;&lt;Author&gt;Exner&lt;/Author&gt;&lt;Year&gt;2018&lt;/Year&gt;&lt;RecNum&gt;518&lt;/RecNum&gt;&lt;DisplayText&gt;&lt;style face="superscript"&gt;520&lt;/style&gt;&lt;/DisplayText&gt;&lt;record&gt;&lt;rec-number&gt;518&lt;/rec-number&gt;&lt;foreign-keys&gt;&lt;key app="EN" db-id="2xex0erf4eexr4e2dpbxpdd829xttesxxxdr" timestamp="1715075297"&gt;518&lt;/key&gt;&lt;/foreign-keys&gt;&lt;ref-type name="Journal Article"&gt;17&lt;/ref-type&gt;&lt;contributors&gt;&lt;authors&gt;&lt;author&gt;Exner, Kai S.&lt;/author&gt;&lt;author&gt;Sohrabnejad-Eskan, Iman&lt;/author&gt;&lt;author&gt;Over, Herbert&lt;/author&gt;&lt;/authors&gt;&lt;/contributors&gt;&lt;titles&gt;&lt;title&gt;A Universal Approach To Determine the Free Energy Diagram of an Electrocatalytic Reaction&lt;/title&gt;&lt;secondary-title&gt;ACS Catal.&lt;/secondary-title&gt;&lt;/titles&gt;&lt;periodical&gt;&lt;full-title&gt;ACS Catal.&lt;/full-title&gt;&lt;/periodical&gt;&lt;pages&gt;1864-1879&lt;/pages&gt;&lt;volume&gt;8&lt;/volume&gt;&lt;number&gt;3&lt;/number&gt;&lt;dates&gt;&lt;year&gt;2018&lt;/year&gt;&lt;pub-dates&gt;&lt;date&gt;2018/03/02&lt;/date&gt;&lt;/pub-dates&gt;&lt;/dates&gt;&lt;publisher&gt;American Chemical Society&lt;/publisher&gt;&lt;urls&gt;&lt;related-urls&gt;&lt;url&gt;https://doi.org/10.1021/acscatal.7b03142&lt;/url&gt;&lt;/related-urls&gt;&lt;/urls&gt;&lt;electronic-resource-num&gt;10.1021/acscatal.7b03142&lt;/electronic-resource-num&gt;&lt;/record&gt;&lt;/Cite&gt;&lt;/EndNote&gt;</w:instrText>
      </w:r>
      <w:r w:rsidR="00886953">
        <w:fldChar w:fldCharType="separate"/>
      </w:r>
      <w:r w:rsidR="00FC5BEB" w:rsidRPr="00FC5BEB">
        <w:rPr>
          <w:noProof/>
          <w:vertAlign w:val="superscript"/>
        </w:rPr>
        <w:t>520</w:t>
      </w:r>
      <w:r w:rsidR="00886953">
        <w:fldChar w:fldCharType="end"/>
      </w:r>
      <w:r>
        <w:t xml:space="preserve"> The authors derived analytical expressions to determine the parameters of the model (for example transfer coefficients and the energy of the transition state of the RDS) using as input theoretical information on the surface </w:t>
      </w:r>
      <w:proofErr w:type="spellStart"/>
      <w:r>
        <w:t>Pourbaix</w:t>
      </w:r>
      <w:proofErr w:type="spellEnd"/>
      <w:r>
        <w:t xml:space="preserve"> diagram and the experimental Tafel slopes and exchange currents. On this basis the authors propose, in agreement with Fang and Liu</w:t>
      </w:r>
      <w:r>
        <w:fldChar w:fldCharType="begin"/>
      </w:r>
      <w:r w:rsidR="009F6662">
        <w:instrText xml:space="preserve"> ADDIN EN.CITE &lt;EndNote&gt;&lt;Cite&gt;&lt;Author&gt;Fang&lt;/Author&gt;&lt;Year&gt;2010&lt;/Year&gt;&lt;RecNum&gt;64&lt;/RecNum&gt;&lt;DisplayText&gt;&lt;style face="superscript"&gt;64&lt;/style&gt;&lt;/DisplayText&gt;&lt;record&gt;&lt;rec-number&gt;64&lt;/rec-number&gt;&lt;foreign-keys&gt;&lt;key app="EN" db-id="2xex0erf4eexr4e2dpbxpdd829xttesxxxdr" timestamp="1715075296"&gt;64&lt;/key&gt;&lt;/foreign-keys&gt;&lt;ref-type name="Journal Article"&gt;17&lt;/ref-type&gt;&lt;contributors&gt;&lt;authors&gt;&lt;author&gt;Fang, Ya-Hui&lt;/author&gt;&lt;author&gt;Liu, Zhi-Pan&lt;/author&gt;&lt;/authors&gt;&lt;/contributors&gt;&lt;titles&gt;&lt;title&gt;Mechanism and Tafel Lines of Electro-Oxidation of Water to Oxygen on RuO2(110)&lt;/title&gt;&lt;secondary-title&gt;Journal of the American Chemical Society&lt;/secondary-title&gt;&lt;/titles&gt;&lt;periodical&gt;&lt;full-title&gt;Journal of the American Chemical Society&lt;/full-title&gt;&lt;abbr-1&gt;J. Am. Chem. Soc.&lt;/abbr-1&gt;&lt;abbr-2&gt;J Am Chem Soc&lt;/abbr-2&gt;&lt;/periodical&gt;&lt;pages&gt;18214-18222&lt;/pages&gt;&lt;volume&gt;132&lt;/volume&gt;&lt;number&gt;51&lt;/number&gt;&lt;dates&gt;&lt;year&gt;2010&lt;/year&gt;&lt;pub-dates&gt;&lt;date&gt;2010/12/29&lt;/date&gt;&lt;/pub-dates&gt;&lt;/dates&gt;&lt;publisher&gt;American Chemical Society&lt;/publisher&gt;&lt;isbn&gt;0002-7863&lt;/isbn&gt;&lt;urls&gt;&lt;related-urls&gt;&lt;url&gt;https://doi.org/10.1021/ja1069272&lt;/url&gt;&lt;/related-urls&gt;&lt;/urls&gt;&lt;electronic-resource-num&gt;10.1021/ja1069272&lt;/electronic-resource-num&gt;&lt;/record&gt;&lt;/Cite&gt;&lt;/EndNote&gt;</w:instrText>
      </w:r>
      <w:r>
        <w:fldChar w:fldCharType="separate"/>
      </w:r>
      <w:r w:rsidR="009F6662" w:rsidRPr="009F6662">
        <w:rPr>
          <w:noProof/>
          <w:vertAlign w:val="superscript"/>
        </w:rPr>
        <w:t>64</w:t>
      </w:r>
      <w:r>
        <w:fldChar w:fldCharType="end"/>
      </w:r>
      <w:r>
        <w:t>, that the reaction proceeds through the formation of the *OOH intermediate; however, while at overpotentials below 0.35 V(SHE) the reaction proceeds via a chemical step (the dissociation of water, leading to a H atom being transferred to a bridge O), above this value it proceeds with a PCET electrochemical step, where the proton is therefore released to the electrolyte and an electron to external circuit. It is not clear what drives this change of mechanism.</w:t>
      </w:r>
    </w:p>
    <w:p w14:paraId="790A65B7" w14:textId="77777777" w:rsidR="004E483C" w:rsidRDefault="004E483C" w:rsidP="004E483C">
      <w:r>
        <w:t xml:space="preserve">      </w:t>
      </w:r>
    </w:p>
    <w:p w14:paraId="3D1FDE18" w14:textId="370940A6" w:rsidR="004E483C" w:rsidRDefault="004E483C" w:rsidP="004E483C">
      <w:r>
        <w:t>Dickens and co-workers</w:t>
      </w:r>
      <w:r>
        <w:fldChar w:fldCharType="begin"/>
      </w:r>
      <w:r w:rsidR="00FC5BEB">
        <w:instrText xml:space="preserve"> ADDIN EN.CITE &lt;EndNote&gt;&lt;Cite&gt;&lt;Author&gt;Dickens&lt;/Author&gt;&lt;Year&gt;2019&lt;/Year&gt;&lt;RecNum&gt;397&lt;/RecNum&gt;&lt;DisplayText&gt;&lt;style face="superscript"&gt;399&lt;/style&gt;&lt;/DisplayText&gt;&lt;record&gt;&lt;rec-number&gt;397&lt;/rec-number&gt;&lt;foreign-keys&gt;&lt;key app="EN" db-id="2xex0erf4eexr4e2dpbxpdd829xttesxxxdr" timestamp="1715075297"&gt;397&lt;/key&gt;&lt;/foreign-keys&gt;&lt;ref-type name="Journal Article"&gt;17&lt;/ref-type&gt;&lt;contributors&gt;&lt;authors&gt;&lt;author&gt;Dickens, Colin F.&lt;/author&gt;&lt;author&gt;Kirk, Charlotte&lt;/author&gt;&lt;author&gt;Nørskov, Jens K.&lt;/author&gt;&lt;/authors&gt;&lt;/contributors&gt;&lt;titles&gt;&lt;title&gt;Insights into the Electrochemical Oxygen Evolution Reaction with ab Initio Calculations and Microkinetic Modeling: Beyond the Limiting Potential Volcano&lt;/title&gt;&lt;secondary-title&gt;Journal of Physical Chemistry C&lt;/secondary-title&gt;&lt;/titles&gt;&lt;periodical&gt;&lt;full-title&gt;Journal of Physical Chemistry C&lt;/full-title&gt;&lt;abbr-1&gt;J. Phys. Chem. C&lt;/abbr-1&gt;&lt;/periodical&gt;&lt;pages&gt;18960-18977&lt;/pages&gt;&lt;volume&gt;123&lt;/volume&gt;&lt;number&gt;31&lt;/number&gt;&lt;dates&gt;&lt;year&gt;2019&lt;/year&gt;&lt;pub-dates&gt;&lt;date&gt;2019/08/08&lt;/date&gt;&lt;/pub-dates&gt;&lt;/dates&gt;&lt;publisher&gt;American Chemical Society&lt;/publisher&gt;&lt;isbn&gt;1932-7447&lt;/isbn&gt;&lt;urls&gt;&lt;related-urls&gt;&lt;url&gt;https://doi.org/10.1021/acs.jpcc.9b03830&lt;/url&gt;&lt;/related-urls&gt;&lt;/urls&gt;&lt;electronic-resource-num&gt;10.1021/acs.jpcc.9b03830&lt;/electronic-resource-num&gt;&lt;/record&gt;&lt;/Cite&gt;&lt;/EndNote&gt;</w:instrText>
      </w:r>
      <w:r>
        <w:fldChar w:fldCharType="separate"/>
      </w:r>
      <w:r w:rsidR="00FC5BEB" w:rsidRPr="00FC5BEB">
        <w:rPr>
          <w:noProof/>
          <w:vertAlign w:val="superscript"/>
        </w:rPr>
        <w:t>399</w:t>
      </w:r>
      <w:r>
        <w:fldChar w:fldCharType="end"/>
      </w:r>
      <w:r>
        <w:t xml:space="preserve"> constructed a microkinetic model for the OER on IrO</w:t>
      </w:r>
      <w:r w:rsidRPr="00024A43">
        <w:rPr>
          <w:vertAlign w:val="subscript"/>
        </w:rPr>
        <w:t>2</w:t>
      </w:r>
      <w:r>
        <w:t xml:space="preserve"> and other rutile-type metal oxides like RuO</w:t>
      </w:r>
      <w:r w:rsidRPr="00024A43">
        <w:rPr>
          <w:vertAlign w:val="subscript"/>
        </w:rPr>
        <w:t>2</w:t>
      </w:r>
      <w:r>
        <w:t>, RhO</w:t>
      </w:r>
      <w:r w:rsidRPr="00024A43">
        <w:rPr>
          <w:vertAlign w:val="subscript"/>
        </w:rPr>
        <w:t>2</w:t>
      </w:r>
      <w:r>
        <w:t xml:space="preserve"> and PtO</w:t>
      </w:r>
      <w:r w:rsidRPr="00024A43">
        <w:rPr>
          <w:vertAlign w:val="subscript"/>
        </w:rPr>
        <w:t>2</w:t>
      </w:r>
      <w:r>
        <w:t>. The authors considered a mechanism comprised of the following six elementary steps:</w:t>
      </w:r>
    </w:p>
    <w:p w14:paraId="1EAD4D26" w14:textId="77777777" w:rsidR="001C1AC5" w:rsidRPr="00E91E6E" w:rsidRDefault="001C1AC5" w:rsidP="004E483C"/>
    <w:p w14:paraId="72AD9FEE" w14:textId="50C43344" w:rsidR="00E91E6E" w:rsidRPr="00A41B5A" w:rsidRDefault="004E483C" w:rsidP="001C1AC5">
      <w:pPr>
        <w:pStyle w:val="Caption"/>
        <w:spacing w:after="120"/>
        <w:jc w:val="right"/>
        <w:rPr>
          <w:lang w:val="it-IT"/>
        </w:rPr>
      </w:pPr>
      <w:r w:rsidRPr="00A41B5A">
        <w:rPr>
          <w:lang w:val="it-IT"/>
        </w:rPr>
        <w:t>H</w:t>
      </w:r>
      <w:r w:rsidRPr="00A41B5A">
        <w:rPr>
          <w:vertAlign w:val="subscript"/>
          <w:lang w:val="it-IT"/>
        </w:rPr>
        <w:t>2</w:t>
      </w:r>
      <w:r w:rsidRPr="00A41B5A">
        <w:rPr>
          <w:lang w:val="it-IT"/>
        </w:rPr>
        <w:t xml:space="preserve">O(l) + * </w:t>
      </w:r>
      <w:r w:rsidRPr="00E91E6E">
        <w:rPr>
          <w:lang w:val="en-US"/>
        </w:rPr>
        <w:sym w:font="Symbol" w:char="F0AE"/>
      </w:r>
      <w:r w:rsidRPr="00A41B5A">
        <w:rPr>
          <w:lang w:val="it-IT"/>
        </w:rPr>
        <w:t xml:space="preserve"> H</w:t>
      </w:r>
      <w:r w:rsidRPr="00A41B5A">
        <w:rPr>
          <w:vertAlign w:val="subscript"/>
          <w:lang w:val="it-IT"/>
        </w:rPr>
        <w:t>2</w:t>
      </w:r>
      <w:r w:rsidRPr="00A41B5A">
        <w:rPr>
          <w:lang w:val="it-IT"/>
        </w:rPr>
        <w:t>O*</w:t>
      </w:r>
      <w:r w:rsidRPr="00A41B5A">
        <w:rPr>
          <w:lang w:val="it-IT"/>
        </w:rPr>
        <w:tab/>
      </w:r>
      <w:r w:rsidRPr="00A41B5A">
        <w:rPr>
          <w:lang w:val="it-IT"/>
        </w:rPr>
        <w:tab/>
      </w:r>
      <w:r w:rsidRPr="00A41B5A">
        <w:rPr>
          <w:lang w:val="it-IT"/>
        </w:rPr>
        <w:tab/>
      </w:r>
      <w:r w:rsidRPr="00A41B5A">
        <w:rPr>
          <w:lang w:val="it-IT"/>
        </w:rPr>
        <w:tab/>
      </w:r>
      <w:r w:rsidRPr="00A41B5A">
        <w:rPr>
          <w:lang w:val="it-IT"/>
        </w:rPr>
        <w:tab/>
      </w:r>
      <w:r w:rsidR="00E91E6E" w:rsidRPr="00A41B5A">
        <w:rPr>
          <w:lang w:val="it-IT"/>
        </w:rPr>
        <w:t xml:space="preserve">Equation </w:t>
      </w:r>
      <w:r w:rsidR="00E91E6E">
        <w:fldChar w:fldCharType="begin"/>
      </w:r>
      <w:r w:rsidR="00E91E6E" w:rsidRPr="00A41B5A">
        <w:rPr>
          <w:lang w:val="it-IT"/>
        </w:rPr>
        <w:instrText xml:space="preserve"> SEQ Equation \* ARABIC </w:instrText>
      </w:r>
      <w:r w:rsidR="00E91E6E">
        <w:fldChar w:fldCharType="separate"/>
      </w:r>
      <w:r w:rsidR="00B7319C" w:rsidRPr="00A41B5A">
        <w:rPr>
          <w:noProof/>
          <w:lang w:val="it-IT"/>
        </w:rPr>
        <w:t>84</w:t>
      </w:r>
      <w:r w:rsidR="00E91E6E">
        <w:fldChar w:fldCharType="end"/>
      </w:r>
    </w:p>
    <w:p w14:paraId="44518F43" w14:textId="44AEFAB0" w:rsidR="004E483C" w:rsidRPr="00A41B5A" w:rsidRDefault="004E483C" w:rsidP="001C1AC5">
      <w:pPr>
        <w:pStyle w:val="Caption"/>
        <w:spacing w:after="120"/>
        <w:jc w:val="right"/>
        <w:rPr>
          <w:lang w:val="it-IT"/>
        </w:rPr>
      </w:pPr>
      <w:r w:rsidRPr="00A41B5A">
        <w:rPr>
          <w:lang w:val="it-IT"/>
        </w:rPr>
        <w:t>H</w:t>
      </w:r>
      <w:r w:rsidRPr="00A41B5A">
        <w:rPr>
          <w:vertAlign w:val="subscript"/>
          <w:lang w:val="it-IT"/>
        </w:rPr>
        <w:t>2</w:t>
      </w:r>
      <w:r w:rsidRPr="00A41B5A">
        <w:rPr>
          <w:lang w:val="it-IT"/>
        </w:rPr>
        <w:t xml:space="preserve">O*  </w:t>
      </w:r>
      <w:r w:rsidRPr="00E91E6E">
        <w:rPr>
          <w:lang w:val="en-US"/>
        </w:rPr>
        <w:sym w:font="Symbol" w:char="F0AE"/>
      </w:r>
      <w:r w:rsidRPr="00A41B5A">
        <w:rPr>
          <w:lang w:val="it-IT"/>
        </w:rPr>
        <w:t xml:space="preserve"> *OH + H</w:t>
      </w:r>
      <w:r w:rsidRPr="00A41B5A">
        <w:rPr>
          <w:vertAlign w:val="superscript"/>
          <w:lang w:val="it-IT"/>
        </w:rPr>
        <w:t>+</w:t>
      </w:r>
      <w:r w:rsidRPr="00A41B5A">
        <w:rPr>
          <w:lang w:val="it-IT"/>
        </w:rPr>
        <w:t xml:space="preserve"> + e</w:t>
      </w:r>
      <w:r w:rsidRPr="00A41B5A">
        <w:rPr>
          <w:vertAlign w:val="superscript"/>
          <w:lang w:val="it-IT"/>
        </w:rPr>
        <w:t>-</w:t>
      </w:r>
      <w:r w:rsidRPr="00A41B5A">
        <w:rPr>
          <w:vertAlign w:val="superscript"/>
          <w:lang w:val="it-IT"/>
        </w:rPr>
        <w:tab/>
      </w:r>
      <w:r w:rsidRPr="00A41B5A">
        <w:rPr>
          <w:lang w:val="it-IT"/>
        </w:rPr>
        <w:tab/>
      </w:r>
      <w:r w:rsidRPr="00A41B5A">
        <w:rPr>
          <w:lang w:val="it-IT"/>
        </w:rPr>
        <w:tab/>
      </w:r>
      <w:r w:rsidRPr="00A41B5A">
        <w:rPr>
          <w:lang w:val="it-IT"/>
        </w:rPr>
        <w:tab/>
      </w:r>
      <w:r w:rsidRPr="00A41B5A">
        <w:rPr>
          <w:lang w:val="it-IT"/>
        </w:rPr>
        <w:tab/>
        <w:t xml:space="preserve">Equation </w:t>
      </w:r>
      <w:r w:rsidRPr="00E91E6E">
        <w:rPr>
          <w:lang w:val="en-US"/>
        </w:rPr>
        <w:fldChar w:fldCharType="begin"/>
      </w:r>
      <w:r w:rsidRPr="00A41B5A">
        <w:rPr>
          <w:lang w:val="it-IT"/>
        </w:rPr>
        <w:instrText xml:space="preserve"> SEQ Equation \* ARABIC </w:instrText>
      </w:r>
      <w:r w:rsidRPr="00E91E6E">
        <w:rPr>
          <w:lang w:val="en-US"/>
        </w:rPr>
        <w:fldChar w:fldCharType="separate"/>
      </w:r>
      <w:r w:rsidR="00B7319C" w:rsidRPr="00A41B5A">
        <w:rPr>
          <w:noProof/>
          <w:lang w:val="it-IT"/>
        </w:rPr>
        <w:t>85</w:t>
      </w:r>
      <w:r w:rsidRPr="00E91E6E">
        <w:rPr>
          <w:lang w:val="en-US"/>
        </w:rPr>
        <w:fldChar w:fldCharType="end"/>
      </w:r>
    </w:p>
    <w:p w14:paraId="07F1DA68" w14:textId="3DFB9F30" w:rsidR="004E483C" w:rsidRPr="00A41B5A" w:rsidRDefault="004E483C" w:rsidP="001C1AC5">
      <w:pPr>
        <w:pStyle w:val="Caption"/>
        <w:spacing w:after="120"/>
        <w:jc w:val="right"/>
        <w:rPr>
          <w:lang w:val="it-IT"/>
        </w:rPr>
      </w:pPr>
      <w:r w:rsidRPr="00A41B5A">
        <w:rPr>
          <w:lang w:val="it-IT"/>
        </w:rPr>
        <w:t>*</w:t>
      </w:r>
      <w:proofErr w:type="gramStart"/>
      <w:r w:rsidRPr="00A41B5A">
        <w:rPr>
          <w:lang w:val="it-IT"/>
        </w:rPr>
        <w:t>OH</w:t>
      </w:r>
      <w:proofErr w:type="gramEnd"/>
      <w:r w:rsidRPr="00A41B5A">
        <w:rPr>
          <w:lang w:val="it-IT"/>
        </w:rPr>
        <w:t xml:space="preserve">  </w:t>
      </w:r>
      <w:r w:rsidRPr="00E91E6E">
        <w:rPr>
          <w:lang w:val="en-US"/>
        </w:rPr>
        <w:sym w:font="Symbol" w:char="F0AE"/>
      </w:r>
      <w:r w:rsidRPr="00A41B5A">
        <w:rPr>
          <w:lang w:val="it-IT"/>
        </w:rPr>
        <w:t xml:space="preserve"> *O + H</w:t>
      </w:r>
      <w:r w:rsidRPr="00A41B5A">
        <w:rPr>
          <w:vertAlign w:val="superscript"/>
          <w:lang w:val="it-IT"/>
        </w:rPr>
        <w:t>+</w:t>
      </w:r>
      <w:r w:rsidRPr="00A41B5A">
        <w:rPr>
          <w:lang w:val="it-IT"/>
        </w:rPr>
        <w:t xml:space="preserve"> + e</w:t>
      </w:r>
      <w:r w:rsidRPr="00A41B5A">
        <w:rPr>
          <w:vertAlign w:val="superscript"/>
          <w:lang w:val="it-IT"/>
        </w:rPr>
        <w:t>-</w:t>
      </w:r>
      <w:r w:rsidRPr="00A41B5A">
        <w:rPr>
          <w:lang w:val="it-IT"/>
        </w:rPr>
        <w:tab/>
      </w:r>
      <w:r w:rsidRPr="00A41B5A">
        <w:rPr>
          <w:lang w:val="it-IT"/>
        </w:rPr>
        <w:tab/>
      </w:r>
      <w:r w:rsidRPr="00A41B5A">
        <w:rPr>
          <w:lang w:val="it-IT"/>
        </w:rPr>
        <w:tab/>
      </w:r>
      <w:r w:rsidRPr="00A41B5A">
        <w:rPr>
          <w:lang w:val="it-IT"/>
        </w:rPr>
        <w:tab/>
      </w:r>
      <w:r w:rsidRPr="00A41B5A">
        <w:rPr>
          <w:lang w:val="it-IT"/>
        </w:rPr>
        <w:tab/>
        <w:t xml:space="preserve">Equation </w:t>
      </w:r>
      <w:r w:rsidRPr="00E91E6E">
        <w:rPr>
          <w:lang w:val="en-US"/>
        </w:rPr>
        <w:fldChar w:fldCharType="begin"/>
      </w:r>
      <w:r w:rsidRPr="00A41B5A">
        <w:rPr>
          <w:lang w:val="it-IT"/>
        </w:rPr>
        <w:instrText xml:space="preserve"> SEQ Equation \* ARABIC </w:instrText>
      </w:r>
      <w:r w:rsidRPr="00E91E6E">
        <w:rPr>
          <w:lang w:val="en-US"/>
        </w:rPr>
        <w:fldChar w:fldCharType="separate"/>
      </w:r>
      <w:r w:rsidR="00B7319C" w:rsidRPr="00A41B5A">
        <w:rPr>
          <w:noProof/>
          <w:lang w:val="it-IT"/>
        </w:rPr>
        <w:t>86</w:t>
      </w:r>
      <w:r w:rsidRPr="00E91E6E">
        <w:rPr>
          <w:lang w:val="en-US"/>
        </w:rPr>
        <w:fldChar w:fldCharType="end"/>
      </w:r>
    </w:p>
    <w:p w14:paraId="64546BD2" w14:textId="4220A8BD" w:rsidR="004E483C" w:rsidRPr="00A41B5A" w:rsidRDefault="004E483C" w:rsidP="001C1AC5">
      <w:pPr>
        <w:pStyle w:val="Caption"/>
        <w:spacing w:after="120"/>
        <w:jc w:val="right"/>
        <w:rPr>
          <w:lang w:val="it-IT"/>
        </w:rPr>
      </w:pPr>
      <w:r w:rsidRPr="00A41B5A">
        <w:rPr>
          <w:lang w:val="it-IT"/>
        </w:rPr>
        <w:t>*O + H</w:t>
      </w:r>
      <w:r w:rsidRPr="00A41B5A">
        <w:rPr>
          <w:vertAlign w:val="subscript"/>
          <w:lang w:val="it-IT"/>
        </w:rPr>
        <w:t>2</w:t>
      </w:r>
      <w:r w:rsidRPr="00A41B5A">
        <w:rPr>
          <w:lang w:val="it-IT"/>
        </w:rPr>
        <w:t xml:space="preserve">O(l)  </w:t>
      </w:r>
      <w:r w:rsidRPr="00E91E6E">
        <w:rPr>
          <w:lang w:val="en-US"/>
        </w:rPr>
        <w:sym w:font="Symbol" w:char="F0AE"/>
      </w:r>
      <w:r w:rsidRPr="00A41B5A">
        <w:rPr>
          <w:lang w:val="it-IT"/>
        </w:rPr>
        <w:t xml:space="preserve"> *OOH + H</w:t>
      </w:r>
      <w:r w:rsidRPr="00A41B5A">
        <w:rPr>
          <w:vertAlign w:val="superscript"/>
          <w:lang w:val="it-IT"/>
        </w:rPr>
        <w:t>+</w:t>
      </w:r>
      <w:r w:rsidRPr="00A41B5A">
        <w:rPr>
          <w:lang w:val="it-IT"/>
        </w:rPr>
        <w:t xml:space="preserve"> + e</w:t>
      </w:r>
      <w:r w:rsidRPr="00A41B5A">
        <w:rPr>
          <w:vertAlign w:val="superscript"/>
          <w:lang w:val="it-IT"/>
        </w:rPr>
        <w:t>-</w:t>
      </w:r>
      <w:r w:rsidRPr="00A41B5A">
        <w:rPr>
          <w:lang w:val="it-IT"/>
        </w:rPr>
        <w:tab/>
      </w:r>
      <w:r w:rsidRPr="00A41B5A">
        <w:rPr>
          <w:lang w:val="it-IT"/>
        </w:rPr>
        <w:tab/>
      </w:r>
      <w:r w:rsidRPr="00A41B5A">
        <w:rPr>
          <w:lang w:val="it-IT"/>
        </w:rPr>
        <w:tab/>
      </w:r>
      <w:r w:rsidRPr="00A41B5A">
        <w:rPr>
          <w:lang w:val="it-IT"/>
        </w:rPr>
        <w:tab/>
        <w:t xml:space="preserve">Equation </w:t>
      </w:r>
      <w:r w:rsidRPr="00E91E6E">
        <w:rPr>
          <w:lang w:val="en-US"/>
        </w:rPr>
        <w:fldChar w:fldCharType="begin"/>
      </w:r>
      <w:r w:rsidRPr="00A41B5A">
        <w:rPr>
          <w:lang w:val="it-IT"/>
        </w:rPr>
        <w:instrText xml:space="preserve"> SEQ Equation \* ARABIC </w:instrText>
      </w:r>
      <w:r w:rsidRPr="00E91E6E">
        <w:rPr>
          <w:lang w:val="en-US"/>
        </w:rPr>
        <w:fldChar w:fldCharType="separate"/>
      </w:r>
      <w:r w:rsidR="00B7319C" w:rsidRPr="00A41B5A">
        <w:rPr>
          <w:noProof/>
          <w:lang w:val="it-IT"/>
        </w:rPr>
        <w:t>87</w:t>
      </w:r>
      <w:r w:rsidRPr="00E91E6E">
        <w:rPr>
          <w:lang w:val="en-US"/>
        </w:rPr>
        <w:fldChar w:fldCharType="end"/>
      </w:r>
    </w:p>
    <w:p w14:paraId="15B93F4B" w14:textId="3E014826" w:rsidR="004E483C" w:rsidRPr="00A41B5A" w:rsidRDefault="004E483C" w:rsidP="001C1AC5">
      <w:pPr>
        <w:pStyle w:val="Caption"/>
        <w:spacing w:after="120"/>
        <w:jc w:val="right"/>
        <w:rPr>
          <w:lang w:val="it-IT"/>
        </w:rPr>
      </w:pPr>
      <w:r w:rsidRPr="00A41B5A">
        <w:rPr>
          <w:lang w:val="it-IT"/>
        </w:rPr>
        <w:t xml:space="preserve">*OOH </w:t>
      </w:r>
      <w:r w:rsidRPr="00E91E6E">
        <w:rPr>
          <w:lang w:val="en-US"/>
        </w:rPr>
        <w:sym w:font="Symbol" w:char="F0AE"/>
      </w:r>
      <w:r w:rsidRPr="00A41B5A">
        <w:rPr>
          <w:lang w:val="it-IT"/>
        </w:rPr>
        <w:t xml:space="preserve"> *O</w:t>
      </w:r>
      <w:r w:rsidRPr="00A41B5A">
        <w:rPr>
          <w:vertAlign w:val="subscript"/>
          <w:lang w:val="it-IT"/>
        </w:rPr>
        <w:t>2</w:t>
      </w:r>
      <w:r w:rsidRPr="00A41B5A">
        <w:rPr>
          <w:lang w:val="it-IT"/>
        </w:rPr>
        <w:t xml:space="preserve"> + H</w:t>
      </w:r>
      <w:r w:rsidRPr="00A41B5A">
        <w:rPr>
          <w:vertAlign w:val="superscript"/>
          <w:lang w:val="it-IT"/>
        </w:rPr>
        <w:t>+</w:t>
      </w:r>
      <w:r w:rsidRPr="00A41B5A">
        <w:rPr>
          <w:lang w:val="it-IT"/>
        </w:rPr>
        <w:t xml:space="preserve"> + e</w:t>
      </w:r>
      <w:r w:rsidRPr="00A41B5A">
        <w:rPr>
          <w:vertAlign w:val="superscript"/>
          <w:lang w:val="it-IT"/>
        </w:rPr>
        <w:t>-</w:t>
      </w:r>
      <w:r w:rsidRPr="00A41B5A">
        <w:rPr>
          <w:lang w:val="it-IT"/>
        </w:rPr>
        <w:tab/>
      </w:r>
      <w:r w:rsidRPr="00A41B5A">
        <w:rPr>
          <w:lang w:val="it-IT"/>
        </w:rPr>
        <w:tab/>
      </w:r>
      <w:r w:rsidRPr="00A41B5A">
        <w:rPr>
          <w:lang w:val="it-IT"/>
        </w:rPr>
        <w:tab/>
      </w:r>
      <w:r w:rsidRPr="00A41B5A">
        <w:rPr>
          <w:lang w:val="it-IT"/>
        </w:rPr>
        <w:tab/>
      </w:r>
      <w:r w:rsidRPr="00A41B5A">
        <w:rPr>
          <w:lang w:val="it-IT"/>
        </w:rPr>
        <w:tab/>
        <w:t xml:space="preserve">Equation </w:t>
      </w:r>
      <w:r w:rsidRPr="00E91E6E">
        <w:rPr>
          <w:lang w:val="en-US"/>
        </w:rPr>
        <w:fldChar w:fldCharType="begin"/>
      </w:r>
      <w:r w:rsidRPr="00A41B5A">
        <w:rPr>
          <w:lang w:val="it-IT"/>
        </w:rPr>
        <w:instrText xml:space="preserve"> SEQ Equation \* ARABIC </w:instrText>
      </w:r>
      <w:r w:rsidRPr="00E91E6E">
        <w:rPr>
          <w:lang w:val="en-US"/>
        </w:rPr>
        <w:fldChar w:fldCharType="separate"/>
      </w:r>
      <w:r w:rsidR="00B7319C" w:rsidRPr="00A41B5A">
        <w:rPr>
          <w:noProof/>
          <w:lang w:val="it-IT"/>
        </w:rPr>
        <w:t>88</w:t>
      </w:r>
      <w:r w:rsidRPr="00E91E6E">
        <w:rPr>
          <w:lang w:val="en-US"/>
        </w:rPr>
        <w:fldChar w:fldCharType="end"/>
      </w:r>
    </w:p>
    <w:p w14:paraId="7EBDD837" w14:textId="5D560700" w:rsidR="004E483C" w:rsidRPr="00E91E6E" w:rsidRDefault="004E483C" w:rsidP="001C1AC5">
      <w:pPr>
        <w:pStyle w:val="Caption"/>
        <w:spacing w:after="120"/>
        <w:jc w:val="right"/>
        <w:rPr>
          <w:lang w:val="en-US"/>
        </w:rPr>
      </w:pPr>
      <w:r w:rsidRPr="00E91E6E">
        <w:rPr>
          <w:lang w:val="en-US"/>
        </w:rPr>
        <w:t>*O</w:t>
      </w:r>
      <w:r w:rsidRPr="00E91E6E">
        <w:rPr>
          <w:vertAlign w:val="subscript"/>
          <w:lang w:val="en-US"/>
        </w:rPr>
        <w:t>2</w:t>
      </w:r>
      <w:r w:rsidRPr="00E91E6E">
        <w:rPr>
          <w:lang w:val="en-US"/>
        </w:rPr>
        <w:sym w:font="Symbol" w:char="F0AE"/>
      </w:r>
      <w:r w:rsidRPr="00E91E6E">
        <w:rPr>
          <w:lang w:val="en-US"/>
        </w:rPr>
        <w:t xml:space="preserve"> * + O</w:t>
      </w:r>
      <w:r w:rsidRPr="00E91E6E">
        <w:rPr>
          <w:vertAlign w:val="subscript"/>
          <w:lang w:val="en-US"/>
        </w:rPr>
        <w:t>2</w:t>
      </w:r>
      <w:r w:rsidRPr="00E91E6E">
        <w:rPr>
          <w:lang w:val="en-US"/>
        </w:rPr>
        <w:t>(g)</w:t>
      </w:r>
      <w:r w:rsidRPr="00E91E6E">
        <w:rPr>
          <w:lang w:val="en-US"/>
        </w:rPr>
        <w:tab/>
      </w:r>
      <w:r w:rsidRPr="00E91E6E">
        <w:rPr>
          <w:lang w:val="en-US"/>
        </w:rPr>
        <w:tab/>
      </w:r>
      <w:r w:rsidRPr="00E91E6E">
        <w:rPr>
          <w:lang w:val="en-US"/>
        </w:rPr>
        <w:tab/>
      </w:r>
      <w:r w:rsidRPr="00E91E6E">
        <w:rPr>
          <w:lang w:val="en-US"/>
        </w:rPr>
        <w:tab/>
      </w:r>
      <w:r w:rsidRPr="00E91E6E">
        <w:rPr>
          <w:lang w:val="en-US"/>
        </w:rPr>
        <w:tab/>
      </w:r>
      <w:r w:rsidRPr="00E91E6E">
        <w:rPr>
          <w:lang w:val="en-US"/>
        </w:rPr>
        <w:tab/>
        <w:t xml:space="preserve">Equation </w:t>
      </w:r>
      <w:r w:rsidRPr="00E91E6E">
        <w:rPr>
          <w:lang w:val="en-US"/>
        </w:rPr>
        <w:fldChar w:fldCharType="begin"/>
      </w:r>
      <w:r w:rsidRPr="00E91E6E">
        <w:rPr>
          <w:lang w:val="en-US"/>
        </w:rPr>
        <w:instrText xml:space="preserve"> SEQ Equation \* ARABIC </w:instrText>
      </w:r>
      <w:r w:rsidRPr="00E91E6E">
        <w:rPr>
          <w:lang w:val="en-US"/>
        </w:rPr>
        <w:fldChar w:fldCharType="separate"/>
      </w:r>
      <w:r w:rsidR="00B7319C">
        <w:rPr>
          <w:noProof/>
          <w:lang w:val="en-US"/>
        </w:rPr>
        <w:t>89</w:t>
      </w:r>
      <w:r w:rsidRPr="00E91E6E">
        <w:rPr>
          <w:lang w:val="en-US"/>
        </w:rPr>
        <w:fldChar w:fldCharType="end"/>
      </w:r>
    </w:p>
    <w:p w14:paraId="6AB72F91" w14:textId="21AAE662" w:rsidR="004E483C" w:rsidRDefault="004E483C" w:rsidP="004E483C">
      <w:r>
        <w:t>Four of these steps are electrochemical (PCET) steps while the first and the last, water adsorption and oxygen desorption, are thermochemical steps. The authors computed the activation energy for deprotonating H</w:t>
      </w:r>
      <w:r w:rsidRPr="00024A43">
        <w:rPr>
          <w:vertAlign w:val="subscript"/>
        </w:rPr>
        <w:t>2</w:t>
      </w:r>
      <w:r>
        <w:t>O* on IrO</w:t>
      </w:r>
      <w:r w:rsidRPr="00024A43">
        <w:rPr>
          <w:vertAlign w:val="subscript"/>
        </w:rPr>
        <w:t>2</w:t>
      </w:r>
      <w:r>
        <w:t xml:space="preserve">(110) to be just 0.05 eV, assumed all deprotonation steps to be equally facile and thus assumed all PCET steps to be quasi-equilibrated, except for the one where the O-O bond takes place via the formation of the *OOH intermediate. They solved the model assuming a </w:t>
      </w:r>
      <w:r>
        <w:lastRenderedPageBreak/>
        <w:t xml:space="preserve">single RDS, either the formation of the *OOH intermediate or the release of oxygen, while all other steps are assumed to be quasi-equilibrated. They computed the activation energy for the formation of *OOH and extracted its dependence on the applied potential through an extrapolation method similar to one described earlier in </w:t>
      </w:r>
      <w:r w:rsidRPr="00886953">
        <w:t xml:space="preserve">Section </w:t>
      </w:r>
      <w:r w:rsidR="00C80B22">
        <w:fldChar w:fldCharType="begin"/>
      </w:r>
      <w:r w:rsidR="00C80B22">
        <w:instrText xml:space="preserve"> REF _Ref159882831 \r \h </w:instrText>
      </w:r>
      <w:r w:rsidR="00C80B22">
        <w:fldChar w:fldCharType="separate"/>
      </w:r>
      <w:r w:rsidR="00B7319C">
        <w:t>6.1</w:t>
      </w:r>
      <w:r w:rsidR="00C80B22">
        <w:fldChar w:fldCharType="end"/>
      </w:r>
      <w:r>
        <w:t>, introduced by Chan and Nørskov</w:t>
      </w:r>
      <w:r>
        <w:fldChar w:fldCharType="begin"/>
      </w:r>
      <w:r w:rsidR="00FC5BEB">
        <w:instrText xml:space="preserve"> ADDIN EN.CITE &lt;EndNote&gt;&lt;Cite&gt;&lt;Author&gt;Chan&lt;/Author&gt;&lt;Year&gt;2015&lt;/Year&gt;&lt;RecNum&gt;495&lt;/RecNum&gt;&lt;DisplayText&gt;&lt;style face="superscript"&gt;497, 498&lt;/style&gt;&lt;/DisplayText&gt;&lt;record&gt;&lt;rec-number&gt;495&lt;/rec-number&gt;&lt;foreign-keys&gt;&lt;key app="EN" db-id="2xex0erf4eexr4e2dpbxpdd829xttesxxxdr" timestamp="1715075297"&gt;495&lt;/key&gt;&lt;/foreign-keys&gt;&lt;ref-type name="Journal Article"&gt;17&lt;/ref-type&gt;&lt;contributors&gt;&lt;authors&gt;&lt;author&gt;Chan, Karen&lt;/author&gt;&lt;author&gt;Nørskov, Jens K.&lt;/author&gt;&lt;/authors&gt;&lt;/contributors&gt;&lt;titles&gt;&lt;title&gt;Electrochemical Barriers Made Simple&lt;/title&gt;&lt;secondary-title&gt;J. Phys. Chem. Lett.&lt;/secondary-title&gt;&lt;/titles&gt;&lt;periodical&gt;&lt;full-title&gt;J. Phys. Chem. Lett.&lt;/full-title&gt;&lt;/periodical&gt;&lt;pages&gt;2663-2668&lt;/pages&gt;&lt;volume&gt;6&lt;/volume&gt;&lt;number&gt;14&lt;/number&gt;&lt;dates&gt;&lt;year&gt;2015&lt;/year&gt;&lt;pub-dates&gt;&lt;date&gt;2015/07/16&lt;/date&gt;&lt;/pub-dates&gt;&lt;/dates&gt;&lt;publisher&gt;American Chemical Society&lt;/publisher&gt;&lt;urls&gt;&lt;related-urls&gt;&lt;url&gt;https://doi.org/10.1021/acs.jpclett.5b01043&lt;/url&gt;&lt;/related-urls&gt;&lt;/urls&gt;&lt;electronic-resource-num&gt;10.1021/acs.jpclett.5b01043&lt;/electronic-resource-num&gt;&lt;/record&gt;&lt;/Cite&gt;&lt;Cite&gt;&lt;Author&gt;Chan&lt;/Author&gt;&lt;Year&gt;2016&lt;/Year&gt;&lt;RecNum&gt;496&lt;/RecNum&gt;&lt;record&gt;&lt;rec-number&gt;496&lt;/rec-number&gt;&lt;foreign-keys&gt;&lt;key app="EN" db-id="2xex0erf4eexr4e2dpbxpdd829xttesxxxdr" timestamp="1715075297"&gt;496&lt;/key&gt;&lt;/foreign-keys&gt;&lt;ref-type name="Journal Article"&gt;17&lt;/ref-type&gt;&lt;contributors&gt;&lt;authors&gt;&lt;author&gt;Chan, Karen&lt;/author&gt;&lt;author&gt;Nørskov, Jens K.&lt;/author&gt;&lt;/authors&gt;&lt;/contributors&gt;&lt;titles&gt;&lt;title&gt;Potential Dependence of Electrochemical Barriers from ab Initio Calculations&lt;/title&gt;&lt;secondary-title&gt;J. Phys. Chem. Lett.&lt;/secondary-title&gt;&lt;/titles&gt;&lt;periodical&gt;&lt;full-title&gt;J. Phys. Chem. Lett.&lt;/full-title&gt;&lt;/periodical&gt;&lt;pages&gt;1686-1690&lt;/pages&gt;&lt;volume&gt;7&lt;/volume&gt;&lt;number&gt;9&lt;/number&gt;&lt;dates&gt;&lt;year&gt;2016&lt;/year&gt;&lt;pub-dates&gt;&lt;date&gt;2016/05/05&lt;/date&gt;&lt;/pub-dates&gt;&lt;/dates&gt;&lt;publisher&gt;American Chemical Society&lt;/publisher&gt;&lt;urls&gt;&lt;related-urls&gt;&lt;url&gt;https://doi.org/10.1021/acs.jpclett.6b00382&lt;/url&gt;&lt;/related-urls&gt;&lt;/urls&gt;&lt;electronic-resource-num&gt;10.1021/acs.jpclett.6b00382&lt;/electronic-resource-num&gt;&lt;/record&gt;&lt;/Cite&gt;&lt;/EndNote&gt;</w:instrText>
      </w:r>
      <w:r>
        <w:fldChar w:fldCharType="separate"/>
      </w:r>
      <w:r w:rsidR="00FC5BEB" w:rsidRPr="00FC5BEB">
        <w:rPr>
          <w:noProof/>
          <w:vertAlign w:val="superscript"/>
        </w:rPr>
        <w:t>497, 498</w:t>
      </w:r>
      <w:r>
        <w:fldChar w:fldCharType="end"/>
      </w:r>
      <w:r>
        <w:t>, involving a series of calculations adopting different IrO</w:t>
      </w:r>
      <w:r w:rsidRPr="00024A43">
        <w:rPr>
          <w:vertAlign w:val="subscript"/>
        </w:rPr>
        <w:t>2</w:t>
      </w:r>
      <w:r>
        <w:t xml:space="preserve">(110) unit cells. In order to extrapolate the model to other catalysts, the authors used the conventional thermochemical descriptor of the OER, </w:t>
      </w:r>
      <w:r w:rsidRPr="006E4DF4">
        <w:rPr>
          <w:rFonts w:ascii="Symbol" w:hAnsi="Symbol"/>
        </w:rPr>
        <w:t></w:t>
      </w:r>
      <w:r w:rsidRPr="00B95332">
        <w:rPr>
          <w:i/>
          <w:iCs/>
        </w:rPr>
        <w:t>G</w:t>
      </w:r>
      <w:r w:rsidR="007773A6">
        <w:rPr>
          <w:vertAlign w:val="subscript"/>
        </w:rPr>
        <w:t>*O</w:t>
      </w:r>
      <w:r>
        <w:t>-</w:t>
      </w:r>
      <w:r w:rsidRPr="006E4DF4">
        <w:rPr>
          <w:rFonts w:ascii="Symbol" w:hAnsi="Symbol"/>
        </w:rPr>
        <w:t></w:t>
      </w:r>
      <w:r w:rsidRPr="00B95332">
        <w:rPr>
          <w:i/>
          <w:iCs/>
        </w:rPr>
        <w:t>G</w:t>
      </w:r>
      <w:r w:rsidR="007773A6">
        <w:rPr>
          <w:vertAlign w:val="subscript"/>
        </w:rPr>
        <w:t>*OH</w:t>
      </w:r>
      <w:r>
        <w:t>, i.e. the difference between the adsorption energies of *O and *OH. They computed the activation energy for the formation of *OOH as a function of this descriptor, using data obtained on different materials (IrO</w:t>
      </w:r>
      <w:r w:rsidRPr="00024A43">
        <w:rPr>
          <w:vertAlign w:val="subscript"/>
        </w:rPr>
        <w:t>2</w:t>
      </w:r>
      <w:r>
        <w:t>, RuO</w:t>
      </w:r>
      <w:r w:rsidRPr="00024A43">
        <w:rPr>
          <w:vertAlign w:val="subscript"/>
        </w:rPr>
        <w:t>2</w:t>
      </w:r>
      <w:r>
        <w:t>, RhO</w:t>
      </w:r>
      <w:r w:rsidRPr="00024A43">
        <w:rPr>
          <w:vertAlign w:val="subscript"/>
        </w:rPr>
        <w:t>2</w:t>
      </w:r>
      <w:r>
        <w:t xml:space="preserve"> and PtO</w:t>
      </w:r>
      <w:r w:rsidRPr="00024A43">
        <w:rPr>
          <w:vertAlign w:val="subscript"/>
        </w:rPr>
        <w:t>2</w:t>
      </w:r>
      <w:r>
        <w:t>) and fitted linearly the dependence of this barrier on both the applied potential and the descriptor. For the desorption of O</w:t>
      </w:r>
      <w:r w:rsidRPr="00970D59">
        <w:rPr>
          <w:vertAlign w:val="subscript"/>
        </w:rPr>
        <w:t>2</w:t>
      </w:r>
      <w:r>
        <w:t>, on the other hand, they resorted to two limiting values obtained from experiments (0.28 eV and 0.98 eV) since O</w:t>
      </w:r>
      <w:r w:rsidRPr="00EB24DF">
        <w:rPr>
          <w:vertAlign w:val="subscript"/>
        </w:rPr>
        <w:t>2</w:t>
      </w:r>
      <w:r>
        <w:t xml:space="preserve"> is poorly described with the GGA functional</w:t>
      </w:r>
      <w:r w:rsidR="007D21AB">
        <w:fldChar w:fldCharType="begin"/>
      </w:r>
      <w:r w:rsidR="00FC5BEB">
        <w:instrText xml:space="preserve"> ADDIN EN.CITE &lt;EndNote&gt;&lt;Cite&gt;&lt;Author&gt;Kurth&lt;/Author&gt;&lt;Year&gt;1999&lt;/Year&gt;&lt;RecNum&gt;112&lt;/RecNum&gt;&lt;DisplayText&gt;&lt;style face="superscript"&gt;114&lt;/style&gt;&lt;/DisplayText&gt;&lt;record&gt;&lt;rec-number&gt;112&lt;/rec-number&gt;&lt;foreign-keys&gt;&lt;key app="EN" db-id="2xex0erf4eexr4e2dpbxpdd829xttesxxxdr" timestamp="1715075296"&gt;112&lt;/key&gt;&lt;/foreign-keys&gt;&lt;ref-type name="Journal Article"&gt;17&lt;/ref-type&gt;&lt;contributors&gt;&lt;authors&gt;&lt;author&gt;Kurth, Stefan&lt;/author&gt;&lt;author&gt;Perdew, John P.&lt;/author&gt;&lt;author&gt;Blaha, Peter&lt;/author&gt;&lt;/authors&gt;&lt;/contributors&gt;&lt;titles&gt;&lt;title&gt;Molecular and solid-state tests of density functional approximations: LSD, GGAs, and meta-GGAs&lt;/title&gt;&lt;secondary-title&gt;Int. J. Quantum Chem.&lt;/secondary-title&gt;&lt;/titles&gt;&lt;periodical&gt;&lt;full-title&gt;International Journal of Quantum Chemistry&lt;/full-title&gt;&lt;abbr-1&gt;Int. J. Quantum Chem.&lt;/abbr-1&gt;&lt;abbr-2&gt;Int J Quantum Chem&lt;/abbr-2&gt;&lt;/periodical&gt;&lt;pages&gt;889-909&lt;/pages&gt;&lt;volume&gt;75&lt;/volume&gt;&lt;number&gt;4-5&lt;/number&gt;&lt;dates&gt;&lt;year&gt;1999&lt;/year&gt;&lt;/dates&gt;&lt;isbn&gt;0020-7608&lt;/isbn&gt;&lt;urls&gt;&lt;related-urls&gt;&lt;url&gt;https://onlinelibrary.wiley.com/doi/abs/10.1002/%28SICI%291097-461X%281999%2975%3A4/5%3C889%3A%3AAID-QUA54%3E3.0.CO%3B2-8&lt;/url&gt;&lt;/related-urls&gt;&lt;/urls&gt;&lt;electronic-resource-num&gt;https://doi.org/10.1002/(SICI)1097-461X(1999)75:4/5&amp;lt;889::AID-QUA54&amp;gt;3.0.CO;2-8&lt;/electronic-resource-num&gt;&lt;/record&gt;&lt;/Cite&gt;&lt;/EndNote&gt;</w:instrText>
      </w:r>
      <w:r w:rsidR="007D21AB">
        <w:fldChar w:fldCharType="separate"/>
      </w:r>
      <w:r w:rsidR="00FC5BEB" w:rsidRPr="00FC5BEB">
        <w:rPr>
          <w:noProof/>
          <w:vertAlign w:val="superscript"/>
        </w:rPr>
        <w:t>114</w:t>
      </w:r>
      <w:r w:rsidR="007D21AB">
        <w:fldChar w:fldCharType="end"/>
      </w:r>
      <w:r>
        <w:t xml:space="preserve"> adopted in this work and since entropic effects are likely non-negligible and demanding to compute. The results obtained assuming O</w:t>
      </w:r>
      <w:r w:rsidRPr="00EB24DF">
        <w:rPr>
          <w:vertAlign w:val="subscript"/>
        </w:rPr>
        <w:t>2</w:t>
      </w:r>
      <w:r>
        <w:t xml:space="preserve"> release is the RDS are vastly different depending on the barrier for O</w:t>
      </w:r>
      <w:r w:rsidRPr="00EB24DF">
        <w:rPr>
          <w:vertAlign w:val="subscript"/>
        </w:rPr>
        <w:t>2</w:t>
      </w:r>
      <w:r>
        <w:t xml:space="preserve"> desorption. Comparing the predictions to experimental evidence, the authors elected the smaller value to be more likely, and concluded that the RDS for the OER is the formation of *OOH. </w:t>
      </w:r>
    </w:p>
    <w:p w14:paraId="10A8B262" w14:textId="77777777" w:rsidR="004E483C" w:rsidRDefault="004E483C" w:rsidP="004E483C"/>
    <w:p w14:paraId="32D011E0" w14:textId="77777777" w:rsidR="004E483C" w:rsidRDefault="004E483C" w:rsidP="004E483C">
      <w:pPr>
        <w:keepNext/>
      </w:pPr>
      <w:r>
        <w:rPr>
          <w:noProof/>
        </w:rPr>
        <w:drawing>
          <wp:inline distT="0" distB="0" distL="0" distR="0" wp14:anchorId="4399DB94" wp14:editId="7986B3EC">
            <wp:extent cx="5760000" cy="1498462"/>
            <wp:effectExtent l="0" t="0" r="0" b="63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ickens_FIg10-13_exp_big.jp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5760000" cy="1498462"/>
                    </a:xfrm>
                    <a:prstGeom prst="rect">
                      <a:avLst/>
                    </a:prstGeom>
                  </pic:spPr>
                </pic:pic>
              </a:graphicData>
            </a:graphic>
          </wp:inline>
        </w:drawing>
      </w:r>
    </w:p>
    <w:p w14:paraId="734A81A8" w14:textId="086A016C" w:rsidR="004E483C" w:rsidRDefault="004E483C" w:rsidP="004E483C">
      <w:pPr>
        <w:pStyle w:val="Caption"/>
      </w:pPr>
      <w:bookmarkStart w:id="160" w:name="_Ref153890534"/>
      <w:r w:rsidRPr="004E483C">
        <w:rPr>
          <w:b/>
          <w:bCs w:val="0"/>
          <w:sz w:val="22"/>
        </w:rPr>
        <w:t xml:space="preserve">Figure </w:t>
      </w:r>
      <w:r w:rsidRPr="004E483C">
        <w:rPr>
          <w:b/>
          <w:bCs w:val="0"/>
          <w:sz w:val="22"/>
        </w:rPr>
        <w:fldChar w:fldCharType="begin"/>
      </w:r>
      <w:r w:rsidRPr="004E483C">
        <w:rPr>
          <w:b/>
          <w:bCs w:val="0"/>
          <w:sz w:val="22"/>
        </w:rPr>
        <w:instrText xml:space="preserve"> SEQ Figure \* ARABIC </w:instrText>
      </w:r>
      <w:r w:rsidRPr="004E483C">
        <w:rPr>
          <w:b/>
          <w:bCs w:val="0"/>
          <w:sz w:val="22"/>
        </w:rPr>
        <w:fldChar w:fldCharType="separate"/>
      </w:r>
      <w:r w:rsidR="00B7319C">
        <w:rPr>
          <w:b/>
          <w:bCs w:val="0"/>
          <w:noProof/>
          <w:sz w:val="22"/>
        </w:rPr>
        <w:t>54</w:t>
      </w:r>
      <w:r w:rsidRPr="004E483C">
        <w:rPr>
          <w:b/>
          <w:bCs w:val="0"/>
          <w:noProof/>
          <w:sz w:val="22"/>
        </w:rPr>
        <w:fldChar w:fldCharType="end"/>
      </w:r>
      <w:bookmarkEnd w:id="160"/>
      <w:r>
        <w:t xml:space="preserve"> (a) Kinetic v</w:t>
      </w:r>
      <w:r w:rsidRPr="0036647D">
        <w:t>olcano plot for three different current densities when assuming OOH* formation as the sole RDS. Also shown is the limiting potential volcano from a purely thermodynamic analysis assuming ΔG</w:t>
      </w:r>
      <w:r w:rsidR="007773A6">
        <w:rPr>
          <w:vertAlign w:val="subscript"/>
        </w:rPr>
        <w:t>*O</w:t>
      </w:r>
      <w:r w:rsidRPr="0036647D">
        <w:rPr>
          <w:vertAlign w:val="subscript"/>
        </w:rPr>
        <w:t>OH</w:t>
      </w:r>
      <w:r w:rsidRPr="0036647D">
        <w:t xml:space="preserve"> – ΔG</w:t>
      </w:r>
      <w:r w:rsidR="007773A6">
        <w:rPr>
          <w:vertAlign w:val="subscript"/>
        </w:rPr>
        <w:t>*O</w:t>
      </w:r>
      <w:r w:rsidRPr="0036647D">
        <w:rPr>
          <w:vertAlign w:val="subscript"/>
        </w:rPr>
        <w:t>H</w:t>
      </w:r>
      <w:r w:rsidRPr="0036647D">
        <w:t xml:space="preserve"> = 3.2 eV.</w:t>
      </w:r>
      <w:r>
        <w:t xml:space="preserve"> (b) </w:t>
      </w:r>
      <w:r w:rsidRPr="00602138">
        <w:t xml:space="preserve">Tafel lines for various descriptor values when assuming </w:t>
      </w:r>
      <w:r>
        <w:t>*</w:t>
      </w:r>
      <w:r w:rsidRPr="00602138">
        <w:t>OOH formation as the sole rate-determining step.</w:t>
      </w:r>
      <w:r>
        <w:t xml:space="preserve"> (c) </w:t>
      </w:r>
      <w:r w:rsidRPr="00A95ED9">
        <w:t>Contour plot illustrating the overpotential required to reach 1 mA/cm</w:t>
      </w:r>
      <w:r w:rsidRPr="00A95ED9">
        <w:rPr>
          <w:vertAlign w:val="superscript"/>
        </w:rPr>
        <w:t>2</w:t>
      </w:r>
      <w:r w:rsidRPr="00A95ED9">
        <w:t xml:space="preserve"> as a function of the barrier for OOH* bond formation at 0 V vs SHE (assuming </w:t>
      </w:r>
      <w:r w:rsidRPr="00E45E28">
        <w:rPr>
          <w:i/>
          <w:iCs/>
        </w:rPr>
        <w:t>β</w:t>
      </w:r>
      <w:r w:rsidRPr="00A95ED9">
        <w:t xml:space="preserve"> = 0.58) and ΔG</w:t>
      </w:r>
      <w:r w:rsidR="007773A6">
        <w:rPr>
          <w:vertAlign w:val="subscript"/>
        </w:rPr>
        <w:t>*O</w:t>
      </w:r>
      <w:r w:rsidRPr="00A95ED9">
        <w:rPr>
          <w:vertAlign w:val="subscript"/>
        </w:rPr>
        <w:t>H</w:t>
      </w:r>
      <w:r w:rsidRPr="00A95ED9">
        <w:t xml:space="preserve"> – ΔG</w:t>
      </w:r>
      <w:r w:rsidR="007773A6">
        <w:rPr>
          <w:vertAlign w:val="subscript"/>
        </w:rPr>
        <w:t>*O</w:t>
      </w:r>
      <w:r w:rsidRPr="00A95ED9">
        <w:t xml:space="preserve">. </w:t>
      </w:r>
      <w:r>
        <w:t xml:space="preserve">Adapted </w:t>
      </w:r>
      <w:r w:rsidR="006F43C6">
        <w:t xml:space="preserve">with permission </w:t>
      </w:r>
      <w:r>
        <w:t>from Ref.</w:t>
      </w:r>
      <w:r>
        <w:fldChar w:fldCharType="begin"/>
      </w:r>
      <w:r w:rsidR="00FC5BEB">
        <w:instrText xml:space="preserve"> ADDIN EN.CITE &lt;EndNote&gt;&lt;Cite&gt;&lt;Author&gt;Dickens&lt;/Author&gt;&lt;Year&gt;2019&lt;/Year&gt;&lt;RecNum&gt;397&lt;/RecNum&gt;&lt;DisplayText&gt;&lt;style face="superscript"&gt;399&lt;/style&gt;&lt;/DisplayText&gt;&lt;record&gt;&lt;rec-number&gt;397&lt;/rec-number&gt;&lt;foreign-keys&gt;&lt;key app="EN" db-id="2xex0erf4eexr4e2dpbxpdd829xttesxxxdr" timestamp="1715075297"&gt;397&lt;/key&gt;&lt;/foreign-keys&gt;&lt;ref-type name="Journal Article"&gt;17&lt;/ref-type&gt;&lt;contributors&gt;&lt;authors&gt;&lt;author&gt;Dickens, Colin F.&lt;/author&gt;&lt;author&gt;Kirk, Charlotte&lt;/author&gt;&lt;author&gt;Nørskov, Jens K.&lt;/author&gt;&lt;/authors&gt;&lt;/contributors&gt;&lt;titles&gt;&lt;title&gt;Insights into the Electrochemical Oxygen Evolution Reaction with ab Initio Calculations and Microkinetic Modeling: Beyond the Limiting Potential Volcano&lt;/title&gt;&lt;secondary-title&gt;Journal of Physical Chemistry C&lt;/secondary-title&gt;&lt;/titles&gt;&lt;periodical&gt;&lt;full-title&gt;Journal of Physical Chemistry C&lt;/full-title&gt;&lt;abbr-1&gt;J. Phys. Chem. C&lt;/abbr-1&gt;&lt;/periodical&gt;&lt;pages&gt;18960-18977&lt;/pages&gt;&lt;volume&gt;123&lt;/volume&gt;&lt;number&gt;31&lt;/number&gt;&lt;dates&gt;&lt;year&gt;2019&lt;/year&gt;&lt;pub-dates&gt;&lt;date&gt;2019/08/08&lt;/date&gt;&lt;/pub-dates&gt;&lt;/dates&gt;&lt;publisher&gt;American Chemical Society&lt;/publisher&gt;&lt;isbn&gt;1932-7447&lt;/isbn&gt;&lt;urls&gt;&lt;related-urls&gt;&lt;url&gt;https://doi.org/10.1021/acs.jpcc.9b03830&lt;/url&gt;&lt;/related-urls&gt;&lt;/urls&gt;&lt;electronic-resource-num&gt;10.1021/acs.jpcc.9b03830&lt;/electronic-resource-num&gt;&lt;/record&gt;&lt;/Cite&gt;&lt;/EndNote&gt;</w:instrText>
      </w:r>
      <w:r>
        <w:fldChar w:fldCharType="separate"/>
      </w:r>
      <w:r w:rsidR="00FC5BEB" w:rsidRPr="00FC5BEB">
        <w:rPr>
          <w:noProof/>
          <w:vertAlign w:val="superscript"/>
        </w:rPr>
        <w:t>399</w:t>
      </w:r>
      <w:r>
        <w:fldChar w:fldCharType="end"/>
      </w:r>
      <w:r w:rsidR="001F447C">
        <w:t xml:space="preserve"> </w:t>
      </w:r>
      <w:r w:rsidR="001F447C" w:rsidRPr="001F447C">
        <w:rPr>
          <w:lang w:val="en-US"/>
        </w:rPr>
        <w:t>Copyright 2019 American Chemical Society</w:t>
      </w:r>
      <w:r w:rsidR="001F447C">
        <w:rPr>
          <w:lang w:val="en-US"/>
        </w:rPr>
        <w:t>.</w:t>
      </w:r>
    </w:p>
    <w:p w14:paraId="0C5D0E95" w14:textId="0652FA2C" w:rsidR="004E483C" w:rsidRDefault="004E483C" w:rsidP="004E483C">
      <w:r>
        <w:fldChar w:fldCharType="begin"/>
      </w:r>
      <w:r>
        <w:instrText xml:space="preserve"> REF _Ref153890534 \h </w:instrText>
      </w:r>
      <w:r>
        <w:fldChar w:fldCharType="separate"/>
      </w:r>
      <w:r w:rsidR="00B7319C" w:rsidRPr="004E483C">
        <w:rPr>
          <w:b/>
        </w:rPr>
        <w:t xml:space="preserve">Figure </w:t>
      </w:r>
      <w:r w:rsidR="00B7319C">
        <w:rPr>
          <w:b/>
          <w:bCs/>
          <w:noProof/>
        </w:rPr>
        <w:t>54</w:t>
      </w:r>
      <w:r>
        <w:fldChar w:fldCharType="end"/>
      </w:r>
      <w:r>
        <w:t xml:space="preserve"> displays the results of the model, in terms of what the authors </w:t>
      </w:r>
      <w:r w:rsidR="000C0049">
        <w:t xml:space="preserve">call as </w:t>
      </w:r>
      <w:r>
        <w:t xml:space="preserve">kinetic volcano curves relating the applied potential to the descriptor </w:t>
      </w:r>
      <w:r w:rsidR="007773A6" w:rsidRPr="006E4DF4">
        <w:rPr>
          <w:rFonts w:ascii="Symbol" w:hAnsi="Symbol"/>
        </w:rPr>
        <w:t></w:t>
      </w:r>
      <w:r w:rsidR="007773A6" w:rsidRPr="00B95332">
        <w:rPr>
          <w:i/>
          <w:iCs/>
        </w:rPr>
        <w:t>G</w:t>
      </w:r>
      <w:r w:rsidR="007773A6">
        <w:rPr>
          <w:vertAlign w:val="subscript"/>
        </w:rPr>
        <w:t>*O</w:t>
      </w:r>
      <w:r w:rsidR="007773A6">
        <w:t>-</w:t>
      </w:r>
      <w:r w:rsidR="007773A6" w:rsidRPr="006E4DF4">
        <w:rPr>
          <w:rFonts w:ascii="Symbol" w:hAnsi="Symbol"/>
        </w:rPr>
        <w:t></w:t>
      </w:r>
      <w:r w:rsidR="007773A6" w:rsidRPr="00B95332">
        <w:rPr>
          <w:i/>
          <w:iCs/>
        </w:rPr>
        <w:t>G</w:t>
      </w:r>
      <w:r w:rsidR="007773A6">
        <w:rPr>
          <w:vertAlign w:val="subscript"/>
        </w:rPr>
        <w:t>*OH</w:t>
      </w:r>
      <w:r w:rsidR="007773A6" w:rsidDel="007773A6">
        <w:t xml:space="preserve"> </w:t>
      </w:r>
      <w:r>
        <w:t>for three values</w:t>
      </w:r>
      <w:r w:rsidR="007C2D5F">
        <w:t xml:space="preserve"> of</w:t>
      </w:r>
      <w:r>
        <w:t xml:space="preserve"> current densities. The limiting potential reported in the figure is the thermodynamic quantity normally extracted via the CHE approach, namely the applied potential at which all electrochemical steps are thermodynamically downhill, which is the traditional volcano curve explored using the CHE.</w:t>
      </w:r>
    </w:p>
    <w:p w14:paraId="69052A0A" w14:textId="77777777" w:rsidR="004E483C" w:rsidRDefault="004E483C" w:rsidP="004E483C"/>
    <w:p w14:paraId="062ABF84" w14:textId="6F08AC34" w:rsidR="004E483C" w:rsidRPr="00A95ED9" w:rsidRDefault="004E483C" w:rsidP="004E483C">
      <w:pPr>
        <w:ind w:firstLine="720"/>
      </w:pPr>
      <w:r>
        <w:t xml:space="preserve">Both the microkinetic and the limiting potential models predict volcano shape relationship, with the left branches (small values of the descriptor) corresponding to *O coverages near unity and increasing the value of the descriptor lowers the barrier for the formation of *OOH. The right branches (large values of the descriptor) correspond to surface poisoning by *OH, resulting in a negative slope. The slopes in the two models differ due to the fact that kinetics is accounted for only in the microkinetic model, or kinetic volcano. An interesting outcome of the microkinetic model is that the maximum of the volcano occurs along the line </w:t>
      </w:r>
      <w:r w:rsidRPr="004D142E">
        <w:rPr>
          <w:i/>
          <w:iCs/>
        </w:rPr>
        <w:t>U</w:t>
      </w:r>
      <w:r w:rsidRPr="001001EA">
        <w:rPr>
          <w:vertAlign w:val="subscript"/>
        </w:rPr>
        <w:t>RHE</w:t>
      </w:r>
      <w:r>
        <w:rPr>
          <w:vertAlign w:val="subscript"/>
        </w:rPr>
        <w:t xml:space="preserve"> </w:t>
      </w:r>
      <w:r>
        <w:t>=</w:t>
      </w:r>
      <w:r w:rsidRPr="001001EA">
        <w:t xml:space="preserve"> </w:t>
      </w:r>
      <w:r>
        <w:t>Δ</w:t>
      </w:r>
      <w:r w:rsidRPr="004D142E">
        <w:rPr>
          <w:i/>
          <w:iCs/>
        </w:rPr>
        <w:t>G</w:t>
      </w:r>
      <w:r w:rsidR="007773A6">
        <w:rPr>
          <w:vertAlign w:val="subscript"/>
        </w:rPr>
        <w:t>*O</w:t>
      </w:r>
      <w:r>
        <w:t xml:space="preserve"> </w:t>
      </w:r>
      <w:r w:rsidR="007773A6">
        <w:t>–</w:t>
      </w:r>
      <w:r>
        <w:t xml:space="preserve"> Δ</w:t>
      </w:r>
      <w:r w:rsidRPr="004D142E">
        <w:rPr>
          <w:i/>
          <w:iCs/>
        </w:rPr>
        <w:t>G</w:t>
      </w:r>
      <w:r w:rsidR="007773A6">
        <w:rPr>
          <w:vertAlign w:val="subscript"/>
        </w:rPr>
        <w:t>*OH</w:t>
      </w:r>
      <w:r>
        <w:rPr>
          <w:vertAlign w:val="subscript"/>
        </w:rPr>
        <w:t>,</w:t>
      </w:r>
      <w:r>
        <w:t xml:space="preserve"> and that at this potential there</w:t>
      </w:r>
      <w:r w:rsidR="00DF0BDF">
        <w:t xml:space="preserve"> is</w:t>
      </w:r>
      <w:r>
        <w:t xml:space="preserve"> a change in the Tafel slope, as shown in </w:t>
      </w:r>
      <w:r>
        <w:fldChar w:fldCharType="begin"/>
      </w:r>
      <w:r>
        <w:instrText xml:space="preserve"> REF _Ref153890534 \h </w:instrText>
      </w:r>
      <w:r>
        <w:fldChar w:fldCharType="separate"/>
      </w:r>
      <w:r w:rsidR="00B7319C" w:rsidRPr="004E483C">
        <w:rPr>
          <w:b/>
        </w:rPr>
        <w:t xml:space="preserve">Figure </w:t>
      </w:r>
      <w:r w:rsidR="00B7319C">
        <w:rPr>
          <w:b/>
          <w:bCs/>
          <w:noProof/>
        </w:rPr>
        <w:t>54</w:t>
      </w:r>
      <w:r>
        <w:fldChar w:fldCharType="end"/>
      </w:r>
      <w:r w:rsidRPr="00044BFD">
        <w:rPr>
          <w:b/>
          <w:bCs/>
        </w:rPr>
        <w:t>b</w:t>
      </w:r>
      <w:r>
        <w:t>. This change of Tafel slope has been measured experimentally in a variety of electrocatalysts, and is usually attributed to a change of mechanism, while here the model attributes the change in slope to a change of the surface coverages of the *O and *OH intermediates. This is essentially in line with the analysis proposed by Exner and co-workers</w:t>
      </w:r>
      <w:r>
        <w:fldChar w:fldCharType="begin"/>
      </w:r>
      <w:r w:rsidR="00FC5BEB">
        <w:instrText xml:space="preserve"> ADDIN EN.CITE &lt;EndNote&gt;&lt;Cite&gt;&lt;Author&gt;Exner&lt;/Author&gt;&lt;Year&gt;2018&lt;/Year&gt;&lt;RecNum&gt;518&lt;/RecNum&gt;&lt;DisplayText&gt;&lt;style face="superscript"&gt;520&lt;/style&gt;&lt;/DisplayText&gt;&lt;record&gt;&lt;rec-number&gt;518&lt;/rec-number&gt;&lt;foreign-keys&gt;&lt;key app="EN" db-id="2xex0erf4eexr4e2dpbxpdd829xttesxxxdr" timestamp="1715075297"&gt;518&lt;/key&gt;&lt;/foreign-keys&gt;&lt;ref-type name="Journal Article"&gt;17&lt;/ref-type&gt;&lt;contributors&gt;&lt;authors&gt;&lt;author&gt;Exner, Kai S.&lt;/author&gt;&lt;author&gt;Sohrabnejad-Eskan, Iman&lt;/author&gt;&lt;author&gt;Over, Herbert&lt;/author&gt;&lt;/authors&gt;&lt;/contributors&gt;&lt;titles&gt;&lt;title&gt;A Universal Approach To Determine the Free Energy Diagram of an Electrocatalytic Reaction&lt;/title&gt;&lt;secondary-title&gt;ACS Catal.&lt;/secondary-title&gt;&lt;/titles&gt;&lt;periodical&gt;&lt;full-title&gt;ACS Catal.&lt;/full-title&gt;&lt;/periodical&gt;&lt;pages&gt;1864-1879&lt;/pages&gt;&lt;volume&gt;8&lt;/volume&gt;&lt;number&gt;3&lt;/number&gt;&lt;dates&gt;&lt;year&gt;2018&lt;/year&gt;&lt;pub-dates&gt;&lt;date&gt;2018/03/02&lt;/date&gt;&lt;/pub-dates&gt;&lt;/dates&gt;&lt;publisher&gt;American Chemical Society&lt;/publisher&gt;&lt;urls&gt;&lt;related-urls&gt;&lt;url&gt;https://doi.org/10.1021/acscatal.7b03142&lt;/url&gt;&lt;/related-urls&gt;&lt;/urls&gt;&lt;electronic-resource-num&gt;10.1021/acscatal.7b03142&lt;/electronic-resource-num&gt;&lt;/record&gt;&lt;/Cite&gt;&lt;/EndNote&gt;</w:instrText>
      </w:r>
      <w:r>
        <w:fldChar w:fldCharType="separate"/>
      </w:r>
      <w:r w:rsidR="00FC5BEB" w:rsidRPr="00FC5BEB">
        <w:rPr>
          <w:noProof/>
          <w:vertAlign w:val="superscript"/>
        </w:rPr>
        <w:t>520</w:t>
      </w:r>
      <w:r>
        <w:fldChar w:fldCharType="end"/>
      </w:r>
      <w:r>
        <w:t xml:space="preserve">, who argued, on the basis of microkinetic models with a single RDS and all other steps in quasi-equilibrium, that the change of Tafel slopes can be ascribed to either a change in the RDS or to a change of the active surface under reaction conditions, the latter being the case here. Notice, however, that the quantitative agreement between this model and the measured values of the slope is only modest and highly dependent on the particular values of the parameters defining the kinetics of the formation of the *OOH intermediate. In terms of catalyst design, this work suggests that optimal </w:t>
      </w:r>
      <w:r>
        <w:lastRenderedPageBreak/>
        <w:t xml:space="preserve">catalysts should have a value of the descriptor </w:t>
      </w:r>
      <w:r w:rsidRPr="004D142E">
        <w:rPr>
          <w:i/>
          <w:iCs/>
        </w:rPr>
        <w:t>Δ</w:t>
      </w:r>
      <w:r>
        <w:t>G</w:t>
      </w:r>
      <w:r w:rsidR="007773A6">
        <w:rPr>
          <w:vertAlign w:val="subscript"/>
        </w:rPr>
        <w:t>*O</w:t>
      </w:r>
      <w:r>
        <w:t xml:space="preserve"> </w:t>
      </w:r>
      <w:r w:rsidR="007773A6">
        <w:t>–</w:t>
      </w:r>
      <w:r>
        <w:t xml:space="preserve"> </w:t>
      </w:r>
      <w:r w:rsidRPr="004D142E">
        <w:rPr>
          <w:i/>
          <w:iCs/>
        </w:rPr>
        <w:t>Δ</w:t>
      </w:r>
      <w:r>
        <w:t>G</w:t>
      </w:r>
      <w:r w:rsidR="007773A6">
        <w:rPr>
          <w:vertAlign w:val="subscript"/>
        </w:rPr>
        <w:t>*OH</w:t>
      </w:r>
      <w:r>
        <w:t xml:space="preserve"> around 1.6 eV, in agreement with previous works.</w:t>
      </w:r>
      <w:r>
        <w:fldChar w:fldCharType="begin">
          <w:fldData xml:space="preserve">PEVuZE5vdGU+PENpdGU+PEF1dGhvcj5Sb3NzbWVpc2w8L0F1dGhvcj48WWVhcj4yMDA3PC9ZZWFy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</w:fldData>
        </w:fldChar>
      </w:r>
      <w:r w:rsidR="00FC5BEB">
        <w:instrText xml:space="preserve"> ADDIN EN.CITE </w:instrText>
      </w:r>
      <w:r w:rsidR="00FC5BEB">
        <w:fldChar w:fldCharType="begin">
          <w:fldData xml:space="preserve">PEVuZE5vdGU+PENpdGU+PEF1dGhvcj5Sb3NzbWVpc2w8L0F1dGhvcj48WWVhcj4yMDA3PC9ZZWFy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</w:fldData>
        </w:fldChar>
      </w:r>
      <w:r w:rsidR="00FC5BEB">
        <w:instrText xml:space="preserve"> ADDIN EN.CITE.DATA </w:instrText>
      </w:r>
      <w:r w:rsidR="00FC5BEB">
        <w:fldChar w:fldCharType="end"/>
      </w:r>
      <w:r>
        <w:fldChar w:fldCharType="separate"/>
      </w:r>
      <w:r w:rsidR="00FC5BEB" w:rsidRPr="00FC5BEB">
        <w:rPr>
          <w:noProof/>
          <w:vertAlign w:val="superscript"/>
        </w:rPr>
        <w:t>88, 101</w:t>
      </w:r>
      <w:r>
        <w:fldChar w:fldCharType="end"/>
      </w:r>
      <w:r>
        <w:t xml:space="preserve"> To break the scaling relationships between the formation energy of the intermediates, </w:t>
      </w:r>
      <w:r w:rsidRPr="00A95ED9">
        <w:t xml:space="preserve">previous </w:t>
      </w:r>
      <w:r>
        <w:t>works suggested</w:t>
      </w:r>
      <w:r w:rsidRPr="00A95ED9">
        <w:t xml:space="preserve"> </w:t>
      </w:r>
      <w:r>
        <w:t>stabilizing the</w:t>
      </w:r>
      <w:r w:rsidRPr="00A95ED9">
        <w:t xml:space="preserve"> </w:t>
      </w:r>
      <w:r>
        <w:t>*</w:t>
      </w:r>
      <w:r w:rsidRPr="00A95ED9">
        <w:t xml:space="preserve">OOH intermediate relative to </w:t>
      </w:r>
      <w:r>
        <w:t>*</w:t>
      </w:r>
      <w:r w:rsidRPr="00A95ED9">
        <w:t>OH</w:t>
      </w:r>
      <w:r>
        <w:t xml:space="preserve"> as an effective strategy</w:t>
      </w:r>
      <w:r w:rsidR="000C0049">
        <w:t>.</w:t>
      </w:r>
      <w:r>
        <w:fldChar w:fldCharType="begin"/>
      </w:r>
      <w:r w:rsidR="00FC5BEB">
        <w:instrText xml:space="preserve"> ADDIN EN.CITE &lt;EndNote&gt;&lt;Cite&gt;&lt;Author&gt;Halck&lt;/Author&gt;&lt;Year&gt;2014&lt;/Year&gt;&lt;RecNum&gt;238&lt;/RecNum&gt;&lt;DisplayText&gt;&lt;style face="superscript"&gt;240&lt;/style&gt;&lt;/DisplayText&gt;&lt;record&gt;&lt;rec-number&gt;238&lt;/rec-number&gt;&lt;foreign-keys&gt;&lt;key app="EN" db-id="2xex0erf4eexr4e2dpbxpdd829xttesxxxdr" timestamp="1715075296"&gt;238&lt;/key&gt;&lt;/foreign-keys&gt;&lt;ref-type name="Journal Article"&gt;17&lt;/ref-type&gt;&lt;contributors&gt;&lt;authors&gt;&lt;author&gt;Halck, Niels Bendtsen&lt;/author&gt;&lt;author&gt;Petrykin, Valery&lt;/author&gt;&lt;author&gt;Krtil, Petr&lt;/author&gt;&lt;author&gt;Rossmeisl, Jan&lt;/author&gt;&lt;/authors&gt;&lt;/contributors&gt;&lt;titles&gt;&lt;title&gt;Beyond the volcano limitations in electrocatalysis – oxygen evolution reaction&lt;/title&gt;&lt;secondary-title&gt;Physical Chemistry Chemical Physics&lt;/secondary-title&gt;&lt;/titles&gt;&lt;periodical&gt;&lt;full-title&gt;Physical Chemistry Chemical Physics&lt;/full-title&gt;&lt;abbr-1&gt;Phys. Chem. Chem. Phys.&lt;/abbr-1&gt;&lt;abbr-2&gt;Phys Chem Chem Phys&lt;/abbr-2&gt;&lt;/periodical&gt;&lt;pages&gt;13682-13688&lt;/pages&gt;&lt;volume&gt;16&lt;/volume&gt;&lt;number&gt;27&lt;/number&gt;&lt;dates&gt;&lt;year&gt;2014&lt;/year&gt;&lt;/dates&gt;&lt;publisher&gt;The Royal Society of Chemistry&lt;/publisher&gt;&lt;isbn&gt;1463-9076&lt;/isbn&gt;&lt;work-type&gt;10.1039/C4CP00571F&lt;/work-type&gt;&lt;urls&gt;&lt;related-urls&gt;&lt;url&gt;http://dx.doi.org/10.1039/C4CP00571F&lt;/url&gt;&lt;/related-urls&gt;&lt;/urls&gt;&lt;electronic-resource-num&gt;10.1039/C4CP00571F&lt;/electronic-resource-num&gt;&lt;/record&gt;&lt;/Cite&gt;&lt;/EndNote&gt;</w:instrText>
      </w:r>
      <w:r>
        <w:fldChar w:fldCharType="separate"/>
      </w:r>
      <w:r w:rsidR="00FC5BEB" w:rsidRPr="00FC5BEB">
        <w:rPr>
          <w:noProof/>
          <w:vertAlign w:val="superscript"/>
        </w:rPr>
        <w:t>240</w:t>
      </w:r>
      <w:r>
        <w:fldChar w:fldCharType="end"/>
      </w:r>
      <w:r w:rsidRPr="00A95ED9">
        <w:t xml:space="preserve"> </w:t>
      </w:r>
      <w:r>
        <w:t>This work, on the other hand, shows</w:t>
      </w:r>
      <w:r w:rsidRPr="00A95ED9">
        <w:t xml:space="preserve"> the </w:t>
      </w:r>
      <w:r>
        <w:t>focus should be on reducing the barrier to form the *</w:t>
      </w:r>
      <w:r w:rsidRPr="00A95ED9">
        <w:t xml:space="preserve">OOH </w:t>
      </w:r>
      <w:r>
        <w:t xml:space="preserve">intermediate (see </w:t>
      </w:r>
      <w:r>
        <w:fldChar w:fldCharType="begin"/>
      </w:r>
      <w:r>
        <w:instrText xml:space="preserve"> REF _Ref153890534 \h </w:instrText>
      </w:r>
      <w:r>
        <w:fldChar w:fldCharType="separate"/>
      </w:r>
      <w:r w:rsidR="00B7319C" w:rsidRPr="004E483C">
        <w:rPr>
          <w:b/>
        </w:rPr>
        <w:t xml:space="preserve">Figure </w:t>
      </w:r>
      <w:r w:rsidR="00B7319C">
        <w:rPr>
          <w:b/>
          <w:bCs/>
          <w:noProof/>
        </w:rPr>
        <w:t>54</w:t>
      </w:r>
      <w:r>
        <w:fldChar w:fldCharType="end"/>
      </w:r>
      <w:r w:rsidRPr="00044BFD">
        <w:rPr>
          <w:b/>
          <w:bCs/>
        </w:rPr>
        <w:t>c</w:t>
      </w:r>
      <w:r>
        <w:t>).</w:t>
      </w:r>
    </w:p>
    <w:p w14:paraId="3101E46D" w14:textId="77777777" w:rsidR="004E483C" w:rsidRDefault="004E483C" w:rsidP="004E483C"/>
    <w:p w14:paraId="30A4E94A" w14:textId="24B7CD47" w:rsidR="004E483C" w:rsidRDefault="004E483C" w:rsidP="004E483C">
      <w:pPr>
        <w:ind w:firstLine="720"/>
      </w:pPr>
      <w:r>
        <w:t>Using the CANDLE implicit solvent model and the grand canonical scheme of Arias and co-workers</w:t>
      </w:r>
      <w:r>
        <w:fldChar w:fldCharType="begin">
          <w:fldData xml:space="preserve">PEVuZE5vdGU+PENpdGU+PEF1dGhvcj5MZXRjaHdvcnRoLVdlYXZlcjwvQXV0aG9yPjxZZWFyPjIw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</w:fldData>
        </w:fldChar>
      </w:r>
      <w:r w:rsidR="00FC5BEB">
        <w:instrText xml:space="preserve"> ADDIN EN.CITE </w:instrText>
      </w:r>
      <w:r w:rsidR="00FC5BEB">
        <w:fldChar w:fldCharType="begin">
          <w:fldData xml:space="preserve">PEVuZE5vdGU+PENpdGU+PEF1dGhvcj5MZXRjaHdvcnRoLVdlYXZlcjwvQXV0aG9yPjxZZWFyPjIw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</w:fldData>
        </w:fldChar>
      </w:r>
      <w:r w:rsidR="00FC5BEB">
        <w:instrText xml:space="preserve"> ADDIN EN.CITE.DATA </w:instrText>
      </w:r>
      <w:r w:rsidR="00FC5BEB">
        <w:fldChar w:fldCharType="end"/>
      </w:r>
      <w:r>
        <w:fldChar w:fldCharType="separate"/>
      </w:r>
      <w:r w:rsidR="00FC5BEB" w:rsidRPr="00FC5BEB">
        <w:rPr>
          <w:noProof/>
          <w:vertAlign w:val="superscript"/>
        </w:rPr>
        <w:t>460, 482</w:t>
      </w:r>
      <w:r>
        <w:fldChar w:fldCharType="end"/>
      </w:r>
      <w:r>
        <w:t xml:space="preserve"> to model the system at constant potential, Ping et al.</w:t>
      </w:r>
      <w:r>
        <w:fldChar w:fldCharType="begin"/>
      </w:r>
      <w:r w:rsidR="00FC5BEB">
        <w:instrText xml:space="preserve"> ADDIN EN.CITE &lt;EndNote&gt;&lt;Cite&gt;&lt;Author&gt;Ping&lt;/Author&gt;&lt;Year&gt;2017&lt;/Year&gt;&lt;RecNum&gt;263&lt;/RecNum&gt;&lt;DisplayText&gt;&lt;style face="superscript"&gt;265&lt;/style&gt;&lt;/DisplayText&gt;&lt;record&gt;&lt;rec-number&gt;263&lt;/rec-number&gt;&lt;foreign-keys&gt;&lt;key app="EN" db-id="2xex0erf4eexr4e2dpbxpdd829xttesxxxdr" timestamp="1715075296"&gt;263&lt;/key&gt;&lt;/foreign-keys&gt;&lt;ref-type name="Journal Article"&gt;17&lt;/ref-type&gt;&lt;contributors&gt;&lt;authors&gt;&lt;author&gt;Ping, Yuan&lt;/author&gt;&lt;author&gt;Nielsen, Robert J.&lt;/author&gt;&lt;author&gt;Goddard, William A., III&lt;/author&gt;&lt;/authors&gt;&lt;/contributors&gt;&lt;titles&gt;&lt;title&gt;The Reaction Mechanism with Free Energy Barriers at Constant Potentials for the Oxygen Evolution Reaction at the IrO2 (110) Surface&lt;/title&gt;&lt;secondary-title&gt;Journal of the American Chemical Society&lt;/secondary-title&gt;&lt;/titles&gt;&lt;periodical&gt;&lt;full-title&gt;Journal of the American Chemical Society&lt;/full-title&gt;&lt;abbr-1&gt;J. Am. Chem. Soc.&lt;/abbr-1&gt;&lt;abbr-2&gt;J Am Chem Soc&lt;/abbr-2&gt;&lt;/periodical&gt;&lt;pages&gt;149-155&lt;/pages&gt;&lt;volume&gt;139&lt;/volume&gt;&lt;number&gt;1&lt;/number&gt;&lt;dates&gt;&lt;year&gt;2017&lt;/year&gt;&lt;pub-dates&gt;&lt;date&gt;2017/01/11&lt;/date&gt;&lt;/pub-dates&gt;&lt;/dates&gt;&lt;publisher&gt;American Chemical Society&lt;/publisher&gt;&lt;isbn&gt;0002-7863&lt;/isbn&gt;&lt;urls&gt;&lt;related-urls&gt;&lt;url&gt;https://doi.org/10.1021/jacs.6b07557&lt;/url&gt;&lt;/related-urls&gt;&lt;/urls&gt;&lt;electronic-resource-num&gt;10.1021/jacs.6b07557&lt;/electronic-resource-num&gt;&lt;/record&gt;&lt;/Cite&gt;&lt;/EndNote&gt;</w:instrText>
      </w:r>
      <w:r>
        <w:fldChar w:fldCharType="separate"/>
      </w:r>
      <w:r w:rsidR="00FC5BEB" w:rsidRPr="00FC5BEB">
        <w:rPr>
          <w:noProof/>
          <w:vertAlign w:val="superscript"/>
        </w:rPr>
        <w:t>265</w:t>
      </w:r>
      <w:r>
        <w:fldChar w:fldCharType="end"/>
      </w:r>
      <w:r>
        <w:t xml:space="preserve"> modeled the OER on IrO</w:t>
      </w:r>
      <w:r w:rsidRPr="00D24BFF">
        <w:rPr>
          <w:vertAlign w:val="subscript"/>
        </w:rPr>
        <w:t>2</w:t>
      </w:r>
      <w:r>
        <w:t xml:space="preserve">(110) considering the effects of the applied bias on the barriers of the electrochemical steps. </w:t>
      </w:r>
    </w:p>
    <w:p w14:paraId="41967E7F" w14:textId="75140C45" w:rsidR="004E483C" w:rsidRDefault="004E483C" w:rsidP="004E483C">
      <w:r>
        <w:t>The authors considered two possible mechanism</w:t>
      </w:r>
      <w:r w:rsidR="00F101B9">
        <w:t>s</w:t>
      </w:r>
      <w:r>
        <w:t xml:space="preserve"> for the key O-O bond formation step: (1) direct coupling of two neighboring O atoms; (2) nucleophilic attack of a solvent water molecule on a surface O. They excluded the first mechanism on thermodynamic grounds and focused on the second. Comparing the free energy of all possible positions of dissociated H</w:t>
      </w:r>
      <w:r w:rsidRPr="00CB5711">
        <w:rPr>
          <w:vertAlign w:val="subscript"/>
        </w:rPr>
        <w:t>2</w:t>
      </w:r>
      <w:r>
        <w:t xml:space="preserve">O, they found that both *OOH and *OH intermediates prefer to form on </w:t>
      </w:r>
      <w:r w:rsidRPr="00EE7755">
        <w:rPr>
          <w:rFonts w:ascii="Symbol" w:hAnsi="Symbol"/>
        </w:rPr>
        <w:t></w:t>
      </w:r>
      <w:r w:rsidRPr="00EE7755">
        <w:rPr>
          <w:vertAlign w:val="subscript"/>
        </w:rPr>
        <w:t>1</w:t>
      </w:r>
      <w:r>
        <w:t xml:space="preserve">-O atoms. The barrier for water dissociation, computed with NEB calculations at constant potential, is around 0.6 eV, as shown in </w:t>
      </w:r>
      <w:r>
        <w:fldChar w:fldCharType="begin"/>
      </w:r>
      <w:r>
        <w:instrText xml:space="preserve"> REF _Ref149836190 \h </w:instrText>
      </w:r>
      <w:r>
        <w:fldChar w:fldCharType="separate"/>
      </w:r>
      <w:r w:rsidR="00B7319C" w:rsidRPr="004E483C">
        <w:rPr>
          <w:b/>
        </w:rPr>
        <w:t xml:space="preserve">Figure </w:t>
      </w:r>
      <w:r w:rsidR="00B7319C">
        <w:rPr>
          <w:b/>
          <w:bCs/>
          <w:noProof/>
        </w:rPr>
        <w:t>55</w:t>
      </w:r>
      <w:r>
        <w:fldChar w:fldCharType="end"/>
      </w:r>
      <w:r>
        <w:t>, and is the rate determining step of the process. The activation energy for the desorption of molecular O</w:t>
      </w:r>
      <w:r w:rsidRPr="008B69E9">
        <w:rPr>
          <w:vertAlign w:val="subscript"/>
        </w:rPr>
        <w:t>2</w:t>
      </w:r>
      <w:r>
        <w:t xml:space="preserve"> is also fairly large, 0.56 eV, even though the authors argue that this value might be overestimated by the tendency of semi-local GGA functionals to </w:t>
      </w:r>
      <w:proofErr w:type="spellStart"/>
      <w:r>
        <w:t>overbind</w:t>
      </w:r>
      <w:proofErr w:type="spellEnd"/>
      <w:r>
        <w:t xml:space="preserve"> O</w:t>
      </w:r>
      <w:r w:rsidRPr="00A4675D">
        <w:rPr>
          <w:vertAlign w:val="subscript"/>
        </w:rPr>
        <w:t>2</w:t>
      </w:r>
      <w:r>
        <w:t>.</w:t>
      </w:r>
    </w:p>
    <w:p w14:paraId="4A5C7606" w14:textId="77777777" w:rsidR="004E483C" w:rsidRDefault="004E483C" w:rsidP="004E483C"/>
    <w:p w14:paraId="5828915B" w14:textId="77777777" w:rsidR="004E483C" w:rsidRDefault="004E483C" w:rsidP="001C1AC5">
      <w:pPr>
        <w:keepNext/>
        <w:jc w:val="center"/>
      </w:pPr>
      <w:r>
        <w:rPr>
          <w:noProof/>
        </w:rPr>
        <w:drawing>
          <wp:inline distT="0" distB="0" distL="0" distR="0" wp14:anchorId="388633F0" wp14:editId="38C85C38">
            <wp:extent cx="4111148" cy="2880000"/>
            <wp:effectExtent l="0" t="0" r="3810" b="317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ng_JACS2017_exp_big.jp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4111148" cy="2880000"/>
                    </a:xfrm>
                    <a:prstGeom prst="rect">
                      <a:avLst/>
                    </a:prstGeom>
                  </pic:spPr>
                </pic:pic>
              </a:graphicData>
            </a:graphic>
          </wp:inline>
        </w:drawing>
      </w:r>
    </w:p>
    <w:p w14:paraId="275D2D59" w14:textId="65C5464D" w:rsidR="004E483C" w:rsidRDefault="004E483C" w:rsidP="004E483C">
      <w:pPr>
        <w:pStyle w:val="Caption"/>
      </w:pPr>
      <w:bookmarkStart w:id="161" w:name="_Ref149836190"/>
      <w:r w:rsidRPr="004E483C">
        <w:rPr>
          <w:b/>
          <w:bCs w:val="0"/>
          <w:sz w:val="22"/>
        </w:rPr>
        <w:t xml:space="preserve">Figure </w:t>
      </w:r>
      <w:r w:rsidRPr="004E483C">
        <w:rPr>
          <w:b/>
          <w:bCs w:val="0"/>
          <w:sz w:val="22"/>
        </w:rPr>
        <w:fldChar w:fldCharType="begin"/>
      </w:r>
      <w:r w:rsidRPr="004E483C">
        <w:rPr>
          <w:b/>
          <w:bCs w:val="0"/>
          <w:sz w:val="22"/>
        </w:rPr>
        <w:instrText xml:space="preserve"> SEQ Figure \* ARABIC </w:instrText>
      </w:r>
      <w:r w:rsidRPr="004E483C">
        <w:rPr>
          <w:b/>
          <w:bCs w:val="0"/>
          <w:sz w:val="22"/>
        </w:rPr>
        <w:fldChar w:fldCharType="separate"/>
      </w:r>
      <w:r w:rsidR="00B7319C">
        <w:rPr>
          <w:b/>
          <w:bCs w:val="0"/>
          <w:noProof/>
          <w:sz w:val="22"/>
        </w:rPr>
        <w:t>55</w:t>
      </w:r>
      <w:r w:rsidRPr="004E483C">
        <w:rPr>
          <w:b/>
          <w:bCs w:val="0"/>
          <w:noProof/>
          <w:sz w:val="22"/>
        </w:rPr>
        <w:fldChar w:fldCharType="end"/>
      </w:r>
      <w:bookmarkEnd w:id="161"/>
      <w:r>
        <w:t xml:space="preserve"> (a)</w:t>
      </w:r>
      <w:r w:rsidRPr="00ED23E9">
        <w:t xml:space="preserve"> Optimized structure and </w:t>
      </w:r>
      <w:r>
        <w:t xml:space="preserve">(b) </w:t>
      </w:r>
      <w:r w:rsidRPr="00ED23E9">
        <w:t xml:space="preserve">free energy profile of intermediates and transition states of water dissociation reaction at </w:t>
      </w:r>
      <w:r w:rsidRPr="00817A4B">
        <w:rPr>
          <w:i/>
          <w:iCs/>
        </w:rPr>
        <w:t>U</w:t>
      </w:r>
      <w:r w:rsidRPr="00ED23E9">
        <w:t xml:space="preserve"> = 1.53 eV vs NHE. Red balls are O; blue balls are H; silver balls are Ir.</w:t>
      </w:r>
      <w:r>
        <w:t xml:space="preserve"> (c) </w:t>
      </w:r>
      <w:r w:rsidRPr="00ED23E9">
        <w:t>Tafel plot. The black line is the log(</w:t>
      </w:r>
      <w:r w:rsidRPr="00817A4B">
        <w:rPr>
          <w:i/>
          <w:iCs/>
        </w:rPr>
        <w:t>j</w:t>
      </w:r>
      <w:r w:rsidRPr="00ED23E9">
        <w:t>) vs overpotential for OER on IrO</w:t>
      </w:r>
      <w:r w:rsidRPr="004D142E">
        <w:rPr>
          <w:vertAlign w:val="subscript"/>
        </w:rPr>
        <w:t>2</w:t>
      </w:r>
      <w:r w:rsidRPr="00ED23E9">
        <w:t xml:space="preserve"> (110) calculated at the level of PBE-D2 DFT. The red dotted lines show the linear regions in the Tafel plot, which essentially superimpose on the black lines for each region. Below 0.26 V overpotential, the Tafel slope is 47 mV/dec, which can be compared with experimental values of 38−45 mV/dec. In this region our Tafel may be too high because we use a very crystalline surface. Above 0.38 V overpotential, the Tafel slope is 240 mV/dec, indicating the change in the reaction mechanism arising from to the dominant surface termination evolving from hydroxy to oxo. </w:t>
      </w:r>
      <w:r>
        <w:t xml:space="preserve">Adapted </w:t>
      </w:r>
      <w:r w:rsidR="00D41128">
        <w:t xml:space="preserve">with permission </w:t>
      </w:r>
      <w:r>
        <w:t>from Ref.</w:t>
      </w:r>
      <w:r>
        <w:fldChar w:fldCharType="begin"/>
      </w:r>
      <w:r w:rsidR="00FC5BEB">
        <w:instrText xml:space="preserve"> ADDIN EN.CITE &lt;EndNote&gt;&lt;Cite&gt;&lt;Author&gt;Ping&lt;/Author&gt;&lt;Year&gt;2017&lt;/Year&gt;&lt;RecNum&gt;263&lt;/RecNum&gt;&lt;DisplayText&gt;&lt;style face="superscript"&gt;265&lt;/style&gt;&lt;/DisplayText&gt;&lt;record&gt;&lt;rec-number&gt;263&lt;/rec-number&gt;&lt;foreign-keys&gt;&lt;key app="EN" db-id="2xex0erf4eexr4e2dpbxpdd829xttesxxxdr" timestamp="1715075296"&gt;263&lt;/key&gt;&lt;/foreign-keys&gt;&lt;ref-type name="Journal Article"&gt;17&lt;/ref-type&gt;&lt;contributors&gt;&lt;authors&gt;&lt;author&gt;Ping, Yuan&lt;/author&gt;&lt;author&gt;Nielsen, Robert J.&lt;/author&gt;&lt;author&gt;Goddard, William A., III&lt;/author&gt;&lt;/authors&gt;&lt;/contributors&gt;&lt;titles&gt;&lt;title&gt;The Reaction Mechanism with Free Energy Barriers at Constant Potentials for the Oxygen Evolution Reaction at the IrO2 (110) Surface&lt;/title&gt;&lt;secondary-title&gt;Journal of the American Chemical Society&lt;/secondary-title&gt;&lt;/titles&gt;&lt;periodical&gt;&lt;full-title&gt;Journal of the American Chemical Society&lt;/full-title&gt;&lt;abbr-1&gt;J. Am. Chem. Soc.&lt;/abbr-1&gt;&lt;abbr-2&gt;J Am Chem Soc&lt;/abbr-2&gt;&lt;/periodical&gt;&lt;pages&gt;149-155&lt;/pages&gt;&lt;volume&gt;139&lt;/volume&gt;&lt;number&gt;1&lt;/number&gt;&lt;dates&gt;&lt;year&gt;2017&lt;/year&gt;&lt;pub-dates&gt;&lt;date&gt;2017/01/11&lt;/date&gt;&lt;/pub-dates&gt;&lt;/dates&gt;&lt;publisher&gt;American Chemical Society&lt;/publisher&gt;&lt;isbn&gt;0002-7863&lt;/isbn&gt;&lt;urls&gt;&lt;related-urls&gt;&lt;url&gt;https://doi.org/10.1021/jacs.6b07557&lt;/url&gt;&lt;/related-urls&gt;&lt;/urls&gt;&lt;electronic-resource-num&gt;10.1021/jacs.6b07557&lt;/electronic-resource-num&gt;&lt;/record&gt;&lt;/Cite&gt;&lt;/EndNote&gt;</w:instrText>
      </w:r>
      <w:r>
        <w:fldChar w:fldCharType="separate"/>
      </w:r>
      <w:r w:rsidR="00FC5BEB" w:rsidRPr="00FC5BEB">
        <w:rPr>
          <w:noProof/>
          <w:vertAlign w:val="superscript"/>
        </w:rPr>
        <w:t>265</w:t>
      </w:r>
      <w:r>
        <w:fldChar w:fldCharType="end"/>
      </w:r>
      <w:r w:rsidR="006C26E0">
        <w:t xml:space="preserve"> </w:t>
      </w:r>
      <w:r w:rsidR="006C26E0" w:rsidRPr="006C26E0">
        <w:rPr>
          <w:lang w:val="en-US"/>
        </w:rPr>
        <w:t>Copyright 201</w:t>
      </w:r>
      <w:r w:rsidR="006C26E0">
        <w:rPr>
          <w:lang w:val="en-US"/>
        </w:rPr>
        <w:t>7</w:t>
      </w:r>
      <w:r w:rsidR="006C26E0" w:rsidRPr="006C26E0">
        <w:rPr>
          <w:lang w:val="en-US"/>
        </w:rPr>
        <w:t xml:space="preserve"> American Chemical Society</w:t>
      </w:r>
      <w:r w:rsidR="006C26E0">
        <w:rPr>
          <w:lang w:val="en-US"/>
        </w:rPr>
        <w:t>.</w:t>
      </w:r>
    </w:p>
    <w:p w14:paraId="3CA16847" w14:textId="34E69321" w:rsidR="004E483C" w:rsidRDefault="004E483C" w:rsidP="004E483C">
      <w:r>
        <w:t xml:space="preserve">The authors found that the transition states have an energy that depends linearly on the bias. Interestingly, even purely chemical steps have a non-zero symmetry factor, according to this scheme. Water dissociation, for example, has a symmetry factor of around 0.25 for the barrier and 0.5 for the reaction energy, due to charge transfer from the surface to the water molecule (capacitive charging). A constant charge approach would therefore completely miss the effect of an increasingly anodic bias in lowering the barrier of this chemical step.  The authors then build a microkinetic model considering water dissociative adsorption as the RDS and computed the rate of the OER at two different coverages of surface hydrogen (0% and 25%), as predicted by their </w:t>
      </w:r>
      <w:r w:rsidRPr="004E31E7">
        <w:rPr>
          <w:iCs/>
        </w:rPr>
        <w:t xml:space="preserve">(pH, </w:t>
      </w:r>
      <w:r w:rsidRPr="004E31E7">
        <w:rPr>
          <w:i/>
        </w:rPr>
        <w:t>U</w:t>
      </w:r>
      <w:r w:rsidRPr="004E31E7">
        <w:rPr>
          <w:iCs/>
        </w:rPr>
        <w:t xml:space="preserve">) </w:t>
      </w:r>
      <w:r w:rsidRPr="004E31E7">
        <w:t xml:space="preserve">surface </w:t>
      </w:r>
      <w:r w:rsidRPr="004E31E7">
        <w:rPr>
          <w:iCs/>
        </w:rPr>
        <w:t xml:space="preserve">phase </w:t>
      </w:r>
      <w:r>
        <w:t xml:space="preserve">diagram (see </w:t>
      </w:r>
      <w:r>
        <w:fldChar w:fldCharType="begin"/>
      </w:r>
      <w:r>
        <w:instrText xml:space="preserve"> REF _Ref151123849 \h </w:instrText>
      </w:r>
      <w:r>
        <w:fldChar w:fldCharType="separate"/>
      </w:r>
      <w:r w:rsidR="00B7319C" w:rsidRPr="007C7CBE">
        <w:rPr>
          <w:b/>
        </w:rPr>
        <w:t xml:space="preserve">Figure </w:t>
      </w:r>
      <w:r w:rsidR="00B7319C">
        <w:rPr>
          <w:b/>
          <w:bCs/>
          <w:noProof/>
        </w:rPr>
        <w:t>42</w:t>
      </w:r>
      <w:r>
        <w:fldChar w:fldCharType="end"/>
      </w:r>
      <w:r w:rsidR="001039F2" w:rsidRPr="00044BFD">
        <w:rPr>
          <w:b/>
          <w:bCs/>
        </w:rPr>
        <w:t>b</w:t>
      </w:r>
      <w:r>
        <w:t xml:space="preserve">), resulting in the following expression for the rate </w:t>
      </w:r>
      <w:r w:rsidRPr="00E21E7C">
        <w:rPr>
          <w:i/>
        </w:rPr>
        <w:t>R</w:t>
      </w:r>
      <w:r>
        <w:t>:</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152436" w:rsidRPr="00152436" w14:paraId="1244E1E1" w14:textId="77777777" w:rsidTr="00DE0988">
        <w:tc>
          <w:tcPr>
            <w:tcW w:w="7938" w:type="dxa"/>
            <w:tcMar>
              <w:left w:w="28" w:type="dxa"/>
              <w:right w:w="28" w:type="dxa"/>
            </w:tcMar>
            <w:vAlign w:val="center"/>
          </w:tcPr>
          <w:p w14:paraId="3701BE9C" w14:textId="6DB825A5" w:rsidR="00152436" w:rsidRPr="00152436" w:rsidRDefault="00152436" w:rsidP="00152436">
            <w:pPr>
              <w:rPr>
                <w:sz w:val="20"/>
                <w:szCs w:val="20"/>
              </w:rPr>
            </w:pPr>
            <m:oMathPara>
              <m:oMath>
                <m:r>
                  <w:rPr>
                    <w:rFonts w:ascii="Cambria Math" w:hAnsi="Cambria Math"/>
                    <w:sz w:val="20"/>
                    <w:szCs w:val="20"/>
                  </w:rPr>
                  <w:lastRenderedPageBreak/>
                  <m:t>R=</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25</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C</m:t>
                    </m:r>
                  </m:e>
                  <m:sub>
                    <m:r>
                      <w:rPr>
                        <w:rFonts w:ascii="Cambria Math" w:hAnsi="Cambria Math"/>
                        <w:sz w:val="20"/>
                        <w:szCs w:val="20"/>
                      </w:rPr>
                      <m:t>25</m:t>
                    </m:r>
                  </m:sub>
                </m:sSub>
                <m:r>
                  <w:rPr>
                    <w:rFonts w:ascii="Cambria Math" w:hAnsi="Cambria Math"/>
                    <w:sz w:val="20"/>
                    <w:szCs w:val="20"/>
                  </w:rPr>
                  <m:t xml:space="preserve">] + </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0</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C</m:t>
                    </m:r>
                  </m:e>
                  <m:sub>
                    <m:r>
                      <w:rPr>
                        <w:rFonts w:ascii="Cambria Math" w:hAnsi="Cambria Math"/>
                        <w:sz w:val="20"/>
                        <w:szCs w:val="20"/>
                      </w:rPr>
                      <m:t>0</m:t>
                    </m:r>
                  </m:sub>
                </m:sSub>
                <m:r>
                  <w:rPr>
                    <w:rFonts w:ascii="Cambria Math" w:hAnsi="Cambria Math"/>
                    <w:sz w:val="20"/>
                    <w:szCs w:val="20"/>
                  </w:rPr>
                  <m:t>]</m:t>
                </m:r>
              </m:oMath>
            </m:oMathPara>
          </w:p>
        </w:tc>
        <w:tc>
          <w:tcPr>
            <w:tcW w:w="1134" w:type="dxa"/>
            <w:tcMar>
              <w:left w:w="28" w:type="dxa"/>
              <w:right w:w="28" w:type="dxa"/>
            </w:tcMar>
            <w:vAlign w:val="center"/>
          </w:tcPr>
          <w:p w14:paraId="58FA380B" w14:textId="7CB198ED" w:rsidR="00152436" w:rsidRPr="00152436" w:rsidRDefault="00152436" w:rsidP="00E45E28">
            <w:pPr>
              <w:keepNext/>
              <w:jc w:val="right"/>
              <w:rPr>
                <w:bCs/>
                <w:sz w:val="20"/>
                <w:szCs w:val="20"/>
              </w:rPr>
            </w:pPr>
            <w:r w:rsidRPr="00152436">
              <w:rPr>
                <w:sz w:val="20"/>
                <w:szCs w:val="20"/>
              </w:rPr>
              <w:t xml:space="preserve">Equation </w:t>
            </w:r>
            <w:r w:rsidRPr="00152436">
              <w:rPr>
                <w:sz w:val="20"/>
                <w:szCs w:val="20"/>
              </w:rPr>
              <w:fldChar w:fldCharType="begin"/>
            </w:r>
            <w:r w:rsidRPr="00152436">
              <w:rPr>
                <w:sz w:val="20"/>
                <w:szCs w:val="20"/>
              </w:rPr>
              <w:instrText xml:space="preserve"> SEQ Equation \* ARABIC </w:instrText>
            </w:r>
            <w:r w:rsidRPr="00152436">
              <w:rPr>
                <w:sz w:val="20"/>
                <w:szCs w:val="20"/>
              </w:rPr>
              <w:fldChar w:fldCharType="separate"/>
            </w:r>
            <w:r w:rsidR="00B7319C">
              <w:rPr>
                <w:noProof/>
                <w:sz w:val="20"/>
                <w:szCs w:val="20"/>
              </w:rPr>
              <w:t>90</w:t>
            </w:r>
            <w:r w:rsidRPr="00152436">
              <w:rPr>
                <w:sz w:val="20"/>
                <w:szCs w:val="20"/>
              </w:rPr>
              <w:fldChar w:fldCharType="end"/>
            </w:r>
          </w:p>
        </w:tc>
      </w:tr>
      <w:tr w:rsidR="00152436" w:rsidRPr="00152436" w14:paraId="6ABFC0B3" w14:textId="77777777" w:rsidTr="00DE0988">
        <w:tc>
          <w:tcPr>
            <w:tcW w:w="7938" w:type="dxa"/>
            <w:tcMar>
              <w:left w:w="28" w:type="dxa"/>
              <w:right w:w="28" w:type="dxa"/>
            </w:tcMar>
            <w:vAlign w:val="center"/>
          </w:tcPr>
          <w:p w14:paraId="4C892BE4" w14:textId="69EFE137" w:rsidR="00152436" w:rsidRPr="00152436" w:rsidRDefault="00000000" w:rsidP="00152436">
            <w:pPr>
              <w:rPr>
                <w:sz w:val="20"/>
                <w:szCs w:val="20"/>
              </w:rPr>
            </w:pPr>
            <m:oMathPara>
              <m:oMath>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25</m:t>
                    </m:r>
                  </m:sub>
                </m:sSub>
                <m:r>
                  <w:rPr>
                    <w:rFonts w:ascii="Cambria Math" w:hAnsi="Cambria Math"/>
                    <w:sz w:val="20"/>
                    <w:szCs w:val="20"/>
                  </w:rPr>
                  <m:t>=</m:t>
                </m:r>
                <m:f>
                  <m:fPr>
                    <m:ctrlPr>
                      <w:rPr>
                        <w:rFonts w:ascii="Cambria Math" w:hAnsi="Cambria Math"/>
                        <w:i/>
                        <w:sz w:val="20"/>
                        <w:szCs w:val="20"/>
                      </w:rPr>
                    </m:ctrlPr>
                  </m:fPr>
                  <m:num>
                    <m:sSub>
                      <m:sSubPr>
                        <m:ctrlPr>
                          <w:rPr>
                            <w:rFonts w:ascii="Cambria Math" w:hAnsi="Cambria Math"/>
                            <w:i/>
                            <w:sz w:val="20"/>
                            <w:szCs w:val="20"/>
                          </w:rPr>
                        </m:ctrlPr>
                      </m:sSubPr>
                      <m:e>
                        <m:r>
                          <w:rPr>
                            <w:rFonts w:ascii="Cambria Math" w:hAnsi="Cambria Math"/>
                            <w:sz w:val="20"/>
                            <w:szCs w:val="20"/>
                          </w:rPr>
                          <m:t>k</m:t>
                        </m:r>
                      </m:e>
                      <m:sub>
                        <m:r>
                          <m:rPr>
                            <m:sty m:val="p"/>
                          </m:rPr>
                          <w:rPr>
                            <w:rFonts w:ascii="Cambria Math" w:hAnsi="Cambria Math"/>
                            <w:sz w:val="20"/>
                            <w:szCs w:val="20"/>
                          </w:rPr>
                          <m:t>B</m:t>
                        </m:r>
                      </m:sub>
                    </m:sSub>
                    <m:r>
                      <w:rPr>
                        <w:rFonts w:ascii="Cambria Math" w:hAnsi="Cambria Math"/>
                        <w:sz w:val="20"/>
                        <w:szCs w:val="20"/>
                      </w:rPr>
                      <m:t>T</m:t>
                    </m:r>
                  </m:num>
                  <m:den>
                    <m:r>
                      <w:rPr>
                        <w:rFonts w:ascii="Cambria Math" w:hAnsi="Cambria Math"/>
                        <w:sz w:val="20"/>
                        <w:szCs w:val="20"/>
                      </w:rPr>
                      <m:t>h</m:t>
                    </m:r>
                  </m:den>
                </m:f>
                <m:r>
                  <m:rPr>
                    <m:sty m:val="p"/>
                  </m:rPr>
                  <w:rPr>
                    <w:rFonts w:ascii="Cambria Math" w:hAnsi="Cambria Math"/>
                    <w:sz w:val="20"/>
                    <w:szCs w:val="20"/>
                  </w:rPr>
                  <m:t>exp</m:t>
                </m:r>
                <m:d>
                  <m:dPr>
                    <m:ctrlPr>
                      <w:rPr>
                        <w:rFonts w:ascii="Cambria Math" w:hAnsi="Cambria Math"/>
                        <w:i/>
                        <w:sz w:val="20"/>
                        <w:szCs w:val="20"/>
                      </w:rPr>
                    </m:ctrlPr>
                  </m:dPr>
                  <m:e>
                    <m:f>
                      <m:fPr>
                        <m:ctrlPr>
                          <w:rPr>
                            <w:rFonts w:ascii="Cambria Math" w:hAnsi="Cambria Math"/>
                            <w:i/>
                            <w:sz w:val="20"/>
                            <w:szCs w:val="20"/>
                          </w:rPr>
                        </m:ctrlPr>
                      </m:fPr>
                      <m:num>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G</m:t>
                            </m:r>
                          </m:e>
                          <m:sub>
                            <m:r>
                              <w:rPr>
                                <w:rFonts w:ascii="Cambria Math" w:hAnsi="Cambria Math"/>
                                <w:sz w:val="20"/>
                                <w:szCs w:val="20"/>
                              </w:rPr>
                              <m:t>25</m:t>
                            </m:r>
                          </m:sub>
                        </m:sSub>
                        <m:d>
                          <m:dPr>
                            <m:ctrlPr>
                              <w:rPr>
                                <w:rFonts w:ascii="Cambria Math" w:hAnsi="Cambria Math"/>
                                <w:i/>
                                <w:sz w:val="20"/>
                                <w:szCs w:val="20"/>
                              </w:rPr>
                            </m:ctrlPr>
                          </m:dPr>
                          <m:e>
                            <m:r>
                              <w:rPr>
                                <w:rFonts w:ascii="Cambria Math" w:hAnsi="Cambria Math"/>
                                <w:sz w:val="20"/>
                                <w:szCs w:val="20"/>
                              </w:rPr>
                              <m:t>η</m:t>
                            </m:r>
                          </m:e>
                        </m:d>
                      </m:num>
                      <m:den>
                        <m:sSub>
                          <m:sSubPr>
                            <m:ctrlPr>
                              <w:rPr>
                                <w:rFonts w:ascii="Cambria Math" w:hAnsi="Cambria Math"/>
                                <w:i/>
                                <w:sz w:val="20"/>
                                <w:szCs w:val="20"/>
                              </w:rPr>
                            </m:ctrlPr>
                          </m:sSubPr>
                          <m:e>
                            <m:r>
                              <w:rPr>
                                <w:rFonts w:ascii="Cambria Math" w:hAnsi="Cambria Math"/>
                                <w:sz w:val="20"/>
                                <w:szCs w:val="20"/>
                              </w:rPr>
                              <m:t>k</m:t>
                            </m:r>
                          </m:e>
                          <m:sub>
                            <m:r>
                              <m:rPr>
                                <m:sty m:val="p"/>
                              </m:rPr>
                              <w:rPr>
                                <w:rFonts w:ascii="Cambria Math" w:hAnsi="Cambria Math"/>
                                <w:sz w:val="20"/>
                                <w:szCs w:val="20"/>
                              </w:rPr>
                              <m:t>B</m:t>
                            </m:r>
                          </m:sub>
                        </m:sSub>
                        <m:r>
                          <w:rPr>
                            <w:rFonts w:ascii="Cambria Math" w:hAnsi="Cambria Math"/>
                            <w:sz w:val="20"/>
                            <w:szCs w:val="20"/>
                          </w:rPr>
                          <m:t>T</m:t>
                        </m:r>
                      </m:den>
                    </m:f>
                  </m:e>
                </m:d>
              </m:oMath>
            </m:oMathPara>
          </w:p>
        </w:tc>
        <w:tc>
          <w:tcPr>
            <w:tcW w:w="1134" w:type="dxa"/>
            <w:tcMar>
              <w:left w:w="28" w:type="dxa"/>
              <w:right w:w="28" w:type="dxa"/>
            </w:tcMar>
            <w:vAlign w:val="center"/>
          </w:tcPr>
          <w:p w14:paraId="4565BAE5" w14:textId="1C5E7AFF" w:rsidR="00152436" w:rsidRPr="00152436" w:rsidRDefault="00152436" w:rsidP="00E45E28">
            <w:pPr>
              <w:keepNext/>
              <w:jc w:val="right"/>
              <w:rPr>
                <w:bCs/>
                <w:sz w:val="20"/>
                <w:szCs w:val="20"/>
              </w:rPr>
            </w:pPr>
            <w:r w:rsidRPr="00152436">
              <w:rPr>
                <w:sz w:val="20"/>
                <w:szCs w:val="20"/>
              </w:rPr>
              <w:t xml:space="preserve">Equation </w:t>
            </w:r>
            <w:r w:rsidRPr="00152436">
              <w:rPr>
                <w:sz w:val="20"/>
                <w:szCs w:val="20"/>
              </w:rPr>
              <w:fldChar w:fldCharType="begin"/>
            </w:r>
            <w:r w:rsidRPr="00152436">
              <w:rPr>
                <w:sz w:val="20"/>
                <w:szCs w:val="20"/>
              </w:rPr>
              <w:instrText xml:space="preserve"> SEQ Equation \* ARABIC </w:instrText>
            </w:r>
            <w:r w:rsidRPr="00152436">
              <w:rPr>
                <w:sz w:val="20"/>
                <w:szCs w:val="20"/>
              </w:rPr>
              <w:fldChar w:fldCharType="separate"/>
            </w:r>
            <w:r w:rsidR="00B7319C">
              <w:rPr>
                <w:noProof/>
                <w:sz w:val="20"/>
                <w:szCs w:val="20"/>
              </w:rPr>
              <w:t>91</w:t>
            </w:r>
            <w:r w:rsidRPr="00152436">
              <w:rPr>
                <w:sz w:val="20"/>
                <w:szCs w:val="20"/>
              </w:rPr>
              <w:fldChar w:fldCharType="end"/>
            </w:r>
          </w:p>
        </w:tc>
      </w:tr>
      <w:tr w:rsidR="00152436" w:rsidRPr="00152436" w14:paraId="2FA63BFA" w14:textId="77777777" w:rsidTr="00DE0988">
        <w:tc>
          <w:tcPr>
            <w:tcW w:w="7938" w:type="dxa"/>
            <w:tcMar>
              <w:left w:w="28" w:type="dxa"/>
              <w:right w:w="28" w:type="dxa"/>
            </w:tcMar>
            <w:vAlign w:val="center"/>
          </w:tcPr>
          <w:p w14:paraId="0B006EAB" w14:textId="3ED5C759" w:rsidR="00152436" w:rsidRPr="00152436" w:rsidRDefault="00000000" w:rsidP="00152436">
            <w:pPr>
              <w:rPr>
                <w:sz w:val="20"/>
                <w:szCs w:val="20"/>
              </w:rPr>
            </w:pPr>
            <m:oMathPara>
              <m:oMath>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0</m:t>
                    </m:r>
                  </m:sub>
                </m:sSub>
                <m:r>
                  <w:rPr>
                    <w:rFonts w:ascii="Cambria Math" w:hAnsi="Cambria Math"/>
                    <w:sz w:val="20"/>
                    <w:szCs w:val="20"/>
                  </w:rPr>
                  <m:t>=</m:t>
                </m:r>
                <m:f>
                  <m:fPr>
                    <m:ctrlPr>
                      <w:rPr>
                        <w:rFonts w:ascii="Cambria Math" w:hAnsi="Cambria Math"/>
                        <w:i/>
                        <w:sz w:val="20"/>
                        <w:szCs w:val="20"/>
                      </w:rPr>
                    </m:ctrlPr>
                  </m:fPr>
                  <m:num>
                    <m:sSub>
                      <m:sSubPr>
                        <m:ctrlPr>
                          <w:rPr>
                            <w:rFonts w:ascii="Cambria Math" w:hAnsi="Cambria Math"/>
                            <w:i/>
                            <w:sz w:val="20"/>
                            <w:szCs w:val="20"/>
                          </w:rPr>
                        </m:ctrlPr>
                      </m:sSubPr>
                      <m:e>
                        <m:r>
                          <w:rPr>
                            <w:rFonts w:ascii="Cambria Math" w:hAnsi="Cambria Math"/>
                            <w:sz w:val="20"/>
                            <w:szCs w:val="20"/>
                          </w:rPr>
                          <m:t>k</m:t>
                        </m:r>
                      </m:e>
                      <m:sub>
                        <m:r>
                          <m:rPr>
                            <m:sty m:val="p"/>
                          </m:rPr>
                          <w:rPr>
                            <w:rFonts w:ascii="Cambria Math" w:hAnsi="Cambria Math"/>
                            <w:sz w:val="20"/>
                            <w:szCs w:val="20"/>
                          </w:rPr>
                          <m:t>B</m:t>
                        </m:r>
                      </m:sub>
                    </m:sSub>
                    <m:r>
                      <w:rPr>
                        <w:rFonts w:ascii="Cambria Math" w:hAnsi="Cambria Math"/>
                        <w:sz w:val="20"/>
                        <w:szCs w:val="20"/>
                      </w:rPr>
                      <m:t>T</m:t>
                    </m:r>
                  </m:num>
                  <m:den>
                    <m:r>
                      <w:rPr>
                        <w:rFonts w:ascii="Cambria Math" w:hAnsi="Cambria Math"/>
                        <w:sz w:val="20"/>
                        <w:szCs w:val="20"/>
                      </w:rPr>
                      <m:t>h</m:t>
                    </m:r>
                  </m:den>
                </m:f>
                <m:r>
                  <m:rPr>
                    <m:sty m:val="p"/>
                  </m:rPr>
                  <w:rPr>
                    <w:rFonts w:ascii="Cambria Math" w:hAnsi="Cambria Math"/>
                    <w:sz w:val="20"/>
                    <w:szCs w:val="20"/>
                  </w:rPr>
                  <m:t>exp</m:t>
                </m:r>
                <m:d>
                  <m:dPr>
                    <m:ctrlPr>
                      <w:rPr>
                        <w:rFonts w:ascii="Cambria Math" w:hAnsi="Cambria Math"/>
                        <w:i/>
                        <w:sz w:val="20"/>
                        <w:szCs w:val="20"/>
                      </w:rPr>
                    </m:ctrlPr>
                  </m:dPr>
                  <m:e>
                    <m:f>
                      <m:fPr>
                        <m:ctrlPr>
                          <w:rPr>
                            <w:rFonts w:ascii="Cambria Math" w:hAnsi="Cambria Math"/>
                            <w:i/>
                            <w:sz w:val="20"/>
                            <w:szCs w:val="20"/>
                          </w:rPr>
                        </m:ctrlPr>
                      </m:fPr>
                      <m:num>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G</m:t>
                            </m:r>
                          </m:e>
                          <m:sub>
                            <m:r>
                              <w:rPr>
                                <w:rFonts w:ascii="Cambria Math" w:hAnsi="Cambria Math"/>
                                <w:sz w:val="20"/>
                                <w:szCs w:val="20"/>
                              </w:rPr>
                              <m:t>0</m:t>
                            </m:r>
                          </m:sub>
                        </m:sSub>
                        <m:d>
                          <m:dPr>
                            <m:ctrlPr>
                              <w:rPr>
                                <w:rFonts w:ascii="Cambria Math" w:hAnsi="Cambria Math"/>
                                <w:i/>
                                <w:sz w:val="20"/>
                                <w:szCs w:val="20"/>
                              </w:rPr>
                            </m:ctrlPr>
                          </m:dPr>
                          <m:e>
                            <m:r>
                              <w:rPr>
                                <w:rFonts w:ascii="Cambria Math" w:hAnsi="Cambria Math"/>
                                <w:sz w:val="20"/>
                                <w:szCs w:val="20"/>
                              </w:rPr>
                              <m:t>η</m:t>
                            </m:r>
                          </m:e>
                        </m:d>
                      </m:num>
                      <m:den>
                        <m:sSub>
                          <m:sSubPr>
                            <m:ctrlPr>
                              <w:rPr>
                                <w:rFonts w:ascii="Cambria Math" w:hAnsi="Cambria Math"/>
                                <w:i/>
                                <w:sz w:val="20"/>
                                <w:szCs w:val="20"/>
                              </w:rPr>
                            </m:ctrlPr>
                          </m:sSubPr>
                          <m:e>
                            <m:r>
                              <w:rPr>
                                <w:rFonts w:ascii="Cambria Math" w:hAnsi="Cambria Math"/>
                                <w:sz w:val="20"/>
                                <w:szCs w:val="20"/>
                              </w:rPr>
                              <m:t>k</m:t>
                            </m:r>
                          </m:e>
                          <m:sub>
                            <m:r>
                              <m:rPr>
                                <m:sty m:val="p"/>
                              </m:rPr>
                              <w:rPr>
                                <w:rFonts w:ascii="Cambria Math" w:hAnsi="Cambria Math"/>
                                <w:sz w:val="20"/>
                                <w:szCs w:val="20"/>
                              </w:rPr>
                              <m:t>B</m:t>
                            </m:r>
                          </m:sub>
                        </m:sSub>
                        <m:r>
                          <w:rPr>
                            <w:rFonts w:ascii="Cambria Math" w:hAnsi="Cambria Math"/>
                            <w:sz w:val="20"/>
                            <w:szCs w:val="20"/>
                          </w:rPr>
                          <m:t>T</m:t>
                        </m:r>
                      </m:den>
                    </m:f>
                  </m:e>
                </m:d>
              </m:oMath>
            </m:oMathPara>
          </w:p>
        </w:tc>
        <w:tc>
          <w:tcPr>
            <w:tcW w:w="1134" w:type="dxa"/>
            <w:tcMar>
              <w:left w:w="28" w:type="dxa"/>
              <w:right w:w="28" w:type="dxa"/>
            </w:tcMar>
            <w:vAlign w:val="center"/>
          </w:tcPr>
          <w:p w14:paraId="2AA24E65" w14:textId="204702C0" w:rsidR="00152436" w:rsidRPr="00152436" w:rsidRDefault="00152436" w:rsidP="00E45E28">
            <w:pPr>
              <w:keepNext/>
              <w:jc w:val="right"/>
              <w:rPr>
                <w:bCs/>
                <w:sz w:val="20"/>
                <w:szCs w:val="20"/>
              </w:rPr>
            </w:pPr>
            <w:r w:rsidRPr="00152436">
              <w:rPr>
                <w:sz w:val="20"/>
                <w:szCs w:val="20"/>
              </w:rPr>
              <w:t xml:space="preserve">Equation </w:t>
            </w:r>
            <w:r w:rsidRPr="00152436">
              <w:rPr>
                <w:sz w:val="20"/>
                <w:szCs w:val="20"/>
              </w:rPr>
              <w:fldChar w:fldCharType="begin"/>
            </w:r>
            <w:r w:rsidRPr="00152436">
              <w:rPr>
                <w:sz w:val="20"/>
                <w:szCs w:val="20"/>
              </w:rPr>
              <w:instrText xml:space="preserve"> SEQ Equation \* ARABIC </w:instrText>
            </w:r>
            <w:r w:rsidRPr="00152436">
              <w:rPr>
                <w:sz w:val="20"/>
                <w:szCs w:val="20"/>
              </w:rPr>
              <w:fldChar w:fldCharType="separate"/>
            </w:r>
            <w:r w:rsidR="00B7319C">
              <w:rPr>
                <w:noProof/>
                <w:sz w:val="20"/>
                <w:szCs w:val="20"/>
              </w:rPr>
              <w:t>92</w:t>
            </w:r>
            <w:r w:rsidRPr="00152436">
              <w:rPr>
                <w:sz w:val="20"/>
                <w:szCs w:val="20"/>
              </w:rPr>
              <w:fldChar w:fldCharType="end"/>
            </w:r>
          </w:p>
        </w:tc>
      </w:tr>
    </w:tbl>
    <w:p w14:paraId="1A53A9BD" w14:textId="6C125C2B" w:rsidR="004E483C" w:rsidRDefault="004E483C" w:rsidP="004E483C">
      <w:r>
        <w:t xml:space="preserve">where </w:t>
      </w:r>
      <m:oMath>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25</m:t>
            </m:r>
          </m:sub>
        </m:sSub>
        <m:r>
          <w:rPr>
            <w:rFonts w:ascii="Cambria Math" w:hAnsi="Cambria Math"/>
          </w:rPr>
          <m:t>]</m:t>
        </m:r>
      </m:oMath>
      <w:r>
        <w:t xml:space="preserve"> and </w:t>
      </w:r>
      <m:oMath>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0</m:t>
            </m:r>
          </m:sub>
        </m:sSub>
        <m:r>
          <w:rPr>
            <w:rFonts w:ascii="Cambria Math" w:hAnsi="Cambria Math"/>
          </w:rPr>
          <m:t>]</m:t>
        </m:r>
      </m:oMath>
      <w:r>
        <w:t xml:space="preserve"> are </w:t>
      </w:r>
      <w:r w:rsidRPr="00E21E7C">
        <w:t xml:space="preserve">the concentration of active sites at 25% </w:t>
      </w:r>
      <w:r>
        <w:t xml:space="preserve">and 0% coverage of surface </w:t>
      </w:r>
      <w:r w:rsidRPr="00E21E7C">
        <w:t>H</w:t>
      </w:r>
      <w:r>
        <w:t xml:space="preserve">, respectively, </w:t>
      </w:r>
      <m:oMath>
        <m:sSub>
          <m:sSubPr>
            <m:ctrlPr>
              <w:rPr>
                <w:rFonts w:ascii="Cambria Math" w:hAnsi="Cambria Math"/>
                <w:i/>
              </w:rPr>
            </m:ctrlPr>
          </m:sSubPr>
          <m:e>
            <m:r>
              <w:rPr>
                <w:rFonts w:ascii="Cambria Math" w:hAnsi="Cambria Math"/>
              </w:rPr>
              <m:t>k</m:t>
            </m:r>
          </m:e>
          <m:sub>
            <m:r>
              <w:rPr>
                <w:rFonts w:ascii="Cambria Math" w:hAnsi="Cambria Math"/>
              </w:rPr>
              <m:t>25</m:t>
            </m:r>
          </m:sub>
        </m:sSub>
      </m:oMath>
      <w:r>
        <w:t xml:space="preserve"> and </w:t>
      </w:r>
      <m:oMath>
        <m:sSub>
          <m:sSubPr>
            <m:ctrlPr>
              <w:rPr>
                <w:rFonts w:ascii="Cambria Math" w:hAnsi="Cambria Math"/>
                <w:i/>
              </w:rPr>
            </m:ctrlPr>
          </m:sSubPr>
          <m:e>
            <m:r>
              <w:rPr>
                <w:rFonts w:ascii="Cambria Math" w:hAnsi="Cambria Math"/>
              </w:rPr>
              <m:t>k</m:t>
            </m:r>
          </m:e>
          <m:sub>
            <m:r>
              <w:rPr>
                <w:rFonts w:ascii="Cambria Math" w:hAnsi="Cambria Math"/>
              </w:rPr>
              <m:t>0</m:t>
            </m:r>
          </m:sub>
        </m:sSub>
      </m:oMath>
      <w:r>
        <w:t xml:space="preserve"> are the corresponding rate constants, </w:t>
      </w:r>
      <m:oMath>
        <m:sSub>
          <m:sSubPr>
            <m:ctrlPr>
              <w:rPr>
                <w:rFonts w:ascii="Cambria Math" w:hAnsi="Cambria Math"/>
                <w:i/>
              </w:rPr>
            </m:ctrlPr>
          </m:sSubPr>
          <m:e>
            <m:r>
              <w:rPr>
                <w:rFonts w:ascii="Cambria Math" w:hAnsi="Cambria Math"/>
              </w:rPr>
              <m:t>G</m:t>
            </m:r>
          </m:e>
          <m:sub>
            <m:r>
              <w:rPr>
                <w:rFonts w:ascii="Cambria Math" w:hAnsi="Cambria Math"/>
              </w:rPr>
              <m:t>25</m:t>
            </m:r>
          </m:sub>
        </m:sSub>
        <m:d>
          <m:dPr>
            <m:ctrlPr>
              <w:rPr>
                <w:rFonts w:ascii="Cambria Math" w:hAnsi="Cambria Math"/>
                <w:i/>
              </w:rPr>
            </m:ctrlPr>
          </m:dPr>
          <m:e>
            <m:r>
              <w:rPr>
                <w:rFonts w:ascii="Cambria Math" w:hAnsi="Cambria Math"/>
              </w:rPr>
              <m:t>η</m:t>
            </m:r>
          </m:e>
        </m:d>
      </m:oMath>
      <w:r>
        <w:t xml:space="preserve"> and </w:t>
      </w:r>
      <m:oMath>
        <m:sSub>
          <m:sSubPr>
            <m:ctrlPr>
              <w:rPr>
                <w:rFonts w:ascii="Cambria Math" w:hAnsi="Cambria Math"/>
                <w:i/>
              </w:rPr>
            </m:ctrlPr>
          </m:sSubPr>
          <m:e>
            <m:r>
              <w:rPr>
                <w:rFonts w:ascii="Cambria Math" w:hAnsi="Cambria Math"/>
              </w:rPr>
              <m:t>G</m:t>
            </m:r>
          </m:e>
          <m:sub>
            <m:r>
              <w:rPr>
                <w:rFonts w:ascii="Cambria Math" w:hAnsi="Cambria Math"/>
              </w:rPr>
              <m:t>0</m:t>
            </m:r>
          </m:sub>
        </m:sSub>
        <m:d>
          <m:dPr>
            <m:ctrlPr>
              <w:rPr>
                <w:rFonts w:ascii="Cambria Math" w:hAnsi="Cambria Math"/>
                <w:i/>
              </w:rPr>
            </m:ctrlPr>
          </m:dPr>
          <m:e>
            <m:r>
              <w:rPr>
                <w:rFonts w:ascii="Cambria Math" w:hAnsi="Cambria Math"/>
              </w:rPr>
              <m:t>η</m:t>
            </m:r>
          </m:e>
        </m:d>
      </m:oMath>
      <w:r>
        <w:t xml:space="preserve"> are the corresponding (bias dependent) activation energies. The resulting current density, as a function of the applied bias, are displayed in </w:t>
      </w:r>
      <w:r>
        <w:fldChar w:fldCharType="begin"/>
      </w:r>
      <w:r>
        <w:instrText xml:space="preserve"> REF _Ref149836190 \h </w:instrText>
      </w:r>
      <w:r>
        <w:fldChar w:fldCharType="separate"/>
      </w:r>
      <w:r w:rsidR="00B7319C" w:rsidRPr="004E483C">
        <w:rPr>
          <w:b/>
        </w:rPr>
        <w:t xml:space="preserve">Figure </w:t>
      </w:r>
      <w:r w:rsidR="00B7319C">
        <w:rPr>
          <w:b/>
          <w:bCs/>
          <w:noProof/>
        </w:rPr>
        <w:t>55</w:t>
      </w:r>
      <w:r>
        <w:fldChar w:fldCharType="end"/>
      </w:r>
      <w:r w:rsidRPr="00044BFD">
        <w:rPr>
          <w:b/>
          <w:bCs/>
        </w:rPr>
        <w:t>c</w:t>
      </w:r>
      <w:r>
        <w:t xml:space="preserve">. The current is exponential on the bias because the barrier for the RDS is reduced by the capacitive charging of the interface, and the complete oxidation of the surface at 1.50 V results in an abrupt increase of the Tafel slope, likely because of a reduced dependence of the barrier on the bias. Notice that the Tafel slope at high bias is strongly overestimated compared to experiments.  </w:t>
      </w:r>
    </w:p>
    <w:p w14:paraId="16A378C7" w14:textId="77777777" w:rsidR="004E483C" w:rsidRDefault="004E483C" w:rsidP="004E483C">
      <w:pPr>
        <w:keepNext/>
      </w:pPr>
    </w:p>
    <w:p w14:paraId="185D17DA" w14:textId="77777777" w:rsidR="004E483C" w:rsidRDefault="004E483C" w:rsidP="004E483C">
      <w:pPr>
        <w:keepNext/>
      </w:pPr>
      <w:r>
        <w:rPr>
          <w:noProof/>
        </w:rPr>
        <w:drawing>
          <wp:inline distT="0" distB="0" distL="0" distR="0" wp14:anchorId="3E53307B" wp14:editId="326A72F1">
            <wp:extent cx="5760000" cy="2542769"/>
            <wp:effectExtent l="0" t="0" r="635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Nong_Nature2020_exp_big.jp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760000" cy="2542769"/>
                    </a:xfrm>
                    <a:prstGeom prst="rect">
                      <a:avLst/>
                    </a:prstGeom>
                  </pic:spPr>
                </pic:pic>
              </a:graphicData>
            </a:graphic>
          </wp:inline>
        </w:drawing>
      </w:r>
    </w:p>
    <w:p w14:paraId="4668CA74" w14:textId="5C26EF68" w:rsidR="004E483C" w:rsidRPr="00F47023" w:rsidRDefault="004E483C" w:rsidP="004E483C">
      <w:pPr>
        <w:pStyle w:val="Caption"/>
      </w:pPr>
      <w:bookmarkStart w:id="162" w:name="_Ref152324651"/>
      <w:r w:rsidRPr="00152436">
        <w:rPr>
          <w:b/>
          <w:bCs w:val="0"/>
          <w:sz w:val="22"/>
        </w:rPr>
        <w:t xml:space="preserve">Figure </w:t>
      </w:r>
      <w:r w:rsidRPr="00152436">
        <w:rPr>
          <w:b/>
          <w:bCs w:val="0"/>
          <w:sz w:val="22"/>
        </w:rPr>
        <w:fldChar w:fldCharType="begin"/>
      </w:r>
      <w:r w:rsidRPr="00152436">
        <w:rPr>
          <w:b/>
          <w:bCs w:val="0"/>
          <w:sz w:val="22"/>
        </w:rPr>
        <w:instrText xml:space="preserve"> SEQ Figure \* ARABIC </w:instrText>
      </w:r>
      <w:r w:rsidRPr="00152436">
        <w:rPr>
          <w:b/>
          <w:bCs w:val="0"/>
          <w:sz w:val="22"/>
        </w:rPr>
        <w:fldChar w:fldCharType="separate"/>
      </w:r>
      <w:r w:rsidR="00B7319C">
        <w:rPr>
          <w:b/>
          <w:bCs w:val="0"/>
          <w:noProof/>
          <w:sz w:val="22"/>
        </w:rPr>
        <w:t>56</w:t>
      </w:r>
      <w:r w:rsidRPr="00152436">
        <w:rPr>
          <w:b/>
          <w:bCs w:val="0"/>
          <w:noProof/>
          <w:sz w:val="22"/>
        </w:rPr>
        <w:fldChar w:fldCharType="end"/>
      </w:r>
      <w:bookmarkEnd w:id="162"/>
      <w:r w:rsidRPr="00947392">
        <w:t xml:space="preserve"> (</w:t>
      </w:r>
      <w:r>
        <w:t>a</w:t>
      </w:r>
      <w:r w:rsidRPr="00947392">
        <w:t>) Water-</w:t>
      </w:r>
      <w:proofErr w:type="spellStart"/>
      <w:r w:rsidRPr="00947392">
        <w:t>oxyl</w:t>
      </w:r>
      <w:proofErr w:type="spellEnd"/>
      <w:r w:rsidRPr="00947392">
        <w:t xml:space="preserve"> coupling on the (110) surface of rutile-type IrO</w:t>
      </w:r>
      <w:r w:rsidRPr="00F97B2A">
        <w:rPr>
          <w:vertAlign w:val="subscript"/>
        </w:rPr>
        <w:t>2</w:t>
      </w:r>
      <w:r w:rsidRPr="00947392">
        <w:t xml:space="preserve"> with μ</w:t>
      </w:r>
      <w:r w:rsidRPr="00F97B2A">
        <w:rPr>
          <w:vertAlign w:val="subscript"/>
        </w:rPr>
        <w:t>2</w:t>
      </w:r>
      <w:r w:rsidRPr="00947392">
        <w:t>-O and 1:1 μ</w:t>
      </w:r>
      <w:r w:rsidRPr="00F97B2A">
        <w:rPr>
          <w:vertAlign w:val="subscript"/>
        </w:rPr>
        <w:t>1</w:t>
      </w:r>
      <w:r w:rsidRPr="00947392">
        <w:t>-</w:t>
      </w:r>
      <w:proofErr w:type="gramStart"/>
      <w:r w:rsidRPr="00947392">
        <w:t>OH:μ</w:t>
      </w:r>
      <w:proofErr w:type="gramEnd"/>
      <w:r w:rsidRPr="00F97B2A">
        <w:rPr>
          <w:vertAlign w:val="subscript"/>
        </w:rPr>
        <w:t>1</w:t>
      </w:r>
      <w:r w:rsidRPr="00947392">
        <w:t xml:space="preserve">-O. In the initial state, a water molecule near the </w:t>
      </w:r>
      <w:proofErr w:type="spellStart"/>
      <w:r w:rsidRPr="00947392">
        <w:t>oxyl</w:t>
      </w:r>
      <w:proofErr w:type="spellEnd"/>
      <w:r w:rsidRPr="00947392">
        <w:t xml:space="preserve"> (left panel) forms an O-O bond with the μ</w:t>
      </w:r>
      <w:r w:rsidRPr="00F97B2A">
        <w:rPr>
          <w:vertAlign w:val="subscript"/>
        </w:rPr>
        <w:t>1</w:t>
      </w:r>
      <w:r w:rsidRPr="00947392">
        <w:t>-O at the transition state (middle panel)—for clarity only the solvent directly involved are shown—with the simultaneous transfer of hydrogen to a surface μ</w:t>
      </w:r>
      <w:r w:rsidRPr="00495FF0">
        <w:rPr>
          <w:vertAlign w:val="subscript"/>
        </w:rPr>
        <w:t>2</w:t>
      </w:r>
      <w:r w:rsidRPr="00947392">
        <w:t>-O through the formation of Zundel-like species. In the final state (right panel) the μ</w:t>
      </w:r>
      <w:r w:rsidRPr="00F97B2A">
        <w:rPr>
          <w:vertAlign w:val="subscript"/>
        </w:rPr>
        <w:t>1</w:t>
      </w:r>
      <w:r w:rsidRPr="00947392">
        <w:t>-O has been transformed into a μ1-OOH. (</w:t>
      </w:r>
      <w:r>
        <w:t>b</w:t>
      </w:r>
      <w:r w:rsidRPr="00947392">
        <w:t xml:space="preserve">) Computed activation energies for O-O coupling plotted as a function of </w:t>
      </w:r>
      <w:proofErr w:type="spellStart"/>
      <w:r w:rsidRPr="00947392">
        <w:t>Δ</w:t>
      </w:r>
      <w:r w:rsidRPr="00495FF0">
        <w:rPr>
          <w:i/>
          <w:iCs/>
        </w:rPr>
        <w:t>H</w:t>
      </w:r>
      <w:r w:rsidRPr="00F97B2A">
        <w:rPr>
          <w:vertAlign w:val="subscript"/>
        </w:rPr>
        <w:t>rxn</w:t>
      </w:r>
      <w:proofErr w:type="spellEnd"/>
      <w:r w:rsidRPr="00947392">
        <w:t xml:space="preserve">, where </w:t>
      </w:r>
      <w:proofErr w:type="spellStart"/>
      <w:r w:rsidRPr="00947392">
        <w:t>Δ</w:t>
      </w:r>
      <w:r w:rsidRPr="00495FF0">
        <w:rPr>
          <w:i/>
          <w:iCs/>
        </w:rPr>
        <w:t>H</w:t>
      </w:r>
      <w:r w:rsidRPr="00F97B2A">
        <w:rPr>
          <w:vertAlign w:val="subscript"/>
        </w:rPr>
        <w:t>rxn</w:t>
      </w:r>
      <w:proofErr w:type="spellEnd"/>
      <w:r w:rsidRPr="00947392">
        <w:t xml:space="preserve"> becomes more negative as </w:t>
      </w:r>
      <w:proofErr w:type="spellStart"/>
      <w:r w:rsidR="00965216" w:rsidRPr="002353D4">
        <w:rPr>
          <w:i/>
          <w:iCs/>
        </w:rPr>
        <w:t>θ</w:t>
      </w:r>
      <w:r w:rsidR="00965216" w:rsidRPr="00F97B2A">
        <w:rPr>
          <w:vertAlign w:val="subscript"/>
        </w:rPr>
        <w:t>h</w:t>
      </w:r>
      <w:proofErr w:type="spellEnd"/>
      <w:r w:rsidR="00965216" w:rsidRPr="00F97B2A">
        <w:rPr>
          <w:vertAlign w:val="subscript"/>
        </w:rPr>
        <w:t>+</w:t>
      </w:r>
      <w:r w:rsidR="00965216" w:rsidRPr="007F3246">
        <w:t xml:space="preserve"> </w:t>
      </w:r>
      <w:r w:rsidRPr="00947392">
        <w:t xml:space="preserve">increases. Green triangles show </w:t>
      </w:r>
      <w:proofErr w:type="spellStart"/>
      <w:r w:rsidRPr="00495FF0">
        <w:rPr>
          <w:i/>
          <w:iCs/>
        </w:rPr>
        <w:t>E</w:t>
      </w:r>
      <w:r w:rsidRPr="00F97B2A">
        <w:rPr>
          <w:vertAlign w:val="subscript"/>
        </w:rPr>
        <w:t>a</w:t>
      </w:r>
      <w:proofErr w:type="spellEnd"/>
      <w:r w:rsidRPr="00947392">
        <w:t xml:space="preserve"> computed at the </w:t>
      </w:r>
      <w:r w:rsidR="004F196E">
        <w:t>potential of zero charge</w:t>
      </w:r>
      <w:r w:rsidR="004F196E" w:rsidRPr="00947392">
        <w:t xml:space="preserve"> </w:t>
      </w:r>
      <w:r w:rsidRPr="00947392">
        <w:t xml:space="preserve">for surfaces with </w:t>
      </w:r>
      <w:proofErr w:type="spellStart"/>
      <w:r w:rsidR="00965216" w:rsidRPr="002353D4">
        <w:rPr>
          <w:i/>
          <w:iCs/>
        </w:rPr>
        <w:t>θ</w:t>
      </w:r>
      <w:r w:rsidR="00965216" w:rsidRPr="00F97B2A">
        <w:rPr>
          <w:vertAlign w:val="subscript"/>
        </w:rPr>
        <w:t>h</w:t>
      </w:r>
      <w:proofErr w:type="spellEnd"/>
      <w:r w:rsidR="00965216" w:rsidRPr="00F97B2A">
        <w:rPr>
          <w:vertAlign w:val="subscript"/>
        </w:rPr>
        <w:t>+</w:t>
      </w:r>
      <w:r w:rsidRPr="00947392">
        <w:t>=1/2, 3/4, and 1 ML (in order of increasing exothermicity) under a constant potential condition. For</w:t>
      </w:r>
      <w:r w:rsidR="00965216">
        <w:rPr>
          <w:vertAlign w:val="subscript"/>
        </w:rPr>
        <w:t xml:space="preserve"> </w:t>
      </w:r>
      <w:proofErr w:type="spellStart"/>
      <w:r w:rsidR="00965216" w:rsidRPr="002353D4">
        <w:rPr>
          <w:i/>
          <w:iCs/>
        </w:rPr>
        <w:t>θ</w:t>
      </w:r>
      <w:r w:rsidR="00965216" w:rsidRPr="00F97B2A">
        <w:rPr>
          <w:vertAlign w:val="subscript"/>
        </w:rPr>
        <w:t>h</w:t>
      </w:r>
      <w:proofErr w:type="spellEnd"/>
      <w:r w:rsidR="002E44D4">
        <w:rPr>
          <w:vertAlign w:val="subscript"/>
        </w:rPr>
        <w:t>+</w:t>
      </w:r>
      <w:r w:rsidRPr="00947392">
        <w:t xml:space="preserve">=1/2 and 3/4 ML green triangles include results with purely capacitive charging from 0.1 to 0.5 V, e. g. charging the interface while artificially constraining the average surface oxidation state. Red squares show </w:t>
      </w:r>
      <w:proofErr w:type="spellStart"/>
      <w:r w:rsidRPr="00817A4B">
        <w:rPr>
          <w:i/>
          <w:iCs/>
        </w:rPr>
        <w:t>E</w:t>
      </w:r>
      <w:r w:rsidRPr="00F97B2A">
        <w:rPr>
          <w:vertAlign w:val="subscript"/>
        </w:rPr>
        <w:t>a</w:t>
      </w:r>
      <w:proofErr w:type="spellEnd"/>
      <w:r w:rsidRPr="00947392">
        <w:t xml:space="preserve"> as a function of </w:t>
      </w:r>
      <w:proofErr w:type="spellStart"/>
      <w:r w:rsidRPr="00947392">
        <w:t>Δ</w:t>
      </w:r>
      <w:r w:rsidRPr="00817A4B">
        <w:rPr>
          <w:i/>
          <w:iCs/>
        </w:rPr>
        <w:t>H</w:t>
      </w:r>
      <w:r w:rsidRPr="00F97B2A">
        <w:rPr>
          <w:vertAlign w:val="subscript"/>
        </w:rPr>
        <w:t>rxn</w:t>
      </w:r>
      <w:proofErr w:type="spellEnd"/>
      <w:r w:rsidRPr="00947392">
        <w:t xml:space="preserve"> under a constant charge condition. The unfilled red squares show surfaces with adsorbed Cl. Chlorine was used to investigate charge storage using a non-reducible ligand, and a full discussion including the corresponding experiments can be found in the SI. Blue </w:t>
      </w:r>
      <w:proofErr w:type="spellStart"/>
      <w:r w:rsidRPr="00947392">
        <w:t>diamonds</w:t>
      </w:r>
      <w:proofErr w:type="spellEnd"/>
      <w:r w:rsidRPr="00947392">
        <w:t xml:space="preserve"> show the corresponding energies in the absence of solvent. (</w:t>
      </w:r>
      <w:r>
        <w:t>c</w:t>
      </w:r>
      <w:r w:rsidRPr="00947392">
        <w:t>) Activation energies for O-O coupling as a function of oxidative hole coverage.</w:t>
      </w:r>
      <w:r>
        <w:t xml:space="preserve"> (d) </w:t>
      </w:r>
      <w:r w:rsidRPr="007F3246">
        <w:t>Tafel plot computed with DFT data from the IrO</w:t>
      </w:r>
      <w:r w:rsidRPr="00F97B2A">
        <w:rPr>
          <w:vertAlign w:val="subscript"/>
        </w:rPr>
        <w:t>2</w:t>
      </w:r>
      <w:r w:rsidRPr="007F3246">
        <w:t xml:space="preserve">(110) surface using </w:t>
      </w:r>
      <w:r w:rsidR="007050EF">
        <w:fldChar w:fldCharType="begin"/>
      </w:r>
      <w:r w:rsidR="007050EF">
        <w:instrText xml:space="preserve"> REF _Ref159536621 \h </w:instrText>
      </w:r>
      <w:r w:rsidR="007050EF">
        <w:fldChar w:fldCharType="separate"/>
      </w:r>
      <w:r w:rsidR="00B7319C" w:rsidRPr="005F3A2E">
        <w:rPr>
          <w:szCs w:val="20"/>
        </w:rPr>
        <w:t xml:space="preserve">Equation </w:t>
      </w:r>
      <w:r w:rsidR="00B7319C">
        <w:rPr>
          <w:noProof/>
          <w:szCs w:val="20"/>
        </w:rPr>
        <w:t>93</w:t>
      </w:r>
      <w:r w:rsidR="007050EF">
        <w:fldChar w:fldCharType="end"/>
      </w:r>
      <w:r w:rsidRPr="007F3246">
        <w:t xml:space="preserve">. </w:t>
      </w:r>
      <w:r>
        <w:t>(e)</w:t>
      </w:r>
      <w:r w:rsidRPr="007F3246">
        <w:t xml:space="preserve"> Computed </w:t>
      </w:r>
      <w:proofErr w:type="spellStart"/>
      <w:r w:rsidRPr="00495FF0">
        <w:rPr>
          <w:i/>
          <w:iCs/>
        </w:rPr>
        <w:t>θ</w:t>
      </w:r>
      <w:r w:rsidRPr="00F97B2A">
        <w:rPr>
          <w:vertAlign w:val="subscript"/>
        </w:rPr>
        <w:t>h</w:t>
      </w:r>
      <w:proofErr w:type="spellEnd"/>
      <w:r w:rsidRPr="00F97B2A">
        <w:rPr>
          <w:vertAlign w:val="subscript"/>
        </w:rPr>
        <w:t>+</w:t>
      </w:r>
      <w:r w:rsidRPr="007F3246">
        <w:t xml:space="preserve"> versus log(current) corresponding to </w:t>
      </w:r>
      <w:r>
        <w:t>(d)</w:t>
      </w:r>
      <w:r w:rsidRPr="007F3246">
        <w:t>.</w:t>
      </w:r>
      <w:r>
        <w:t xml:space="preserve"> Adapted </w:t>
      </w:r>
      <w:r w:rsidR="008749D8">
        <w:t xml:space="preserve">with permission </w:t>
      </w:r>
      <w:r>
        <w:t>from Ref.</w:t>
      </w:r>
      <w:r w:rsidR="0045303C">
        <w:fldChar w:fldCharType="begin"/>
      </w:r>
      <w:r w:rsidR="00A75396">
        <w:instrText xml:space="preserve"> ADDIN EN.CITE &lt;EndNote&gt;&lt;Cite&gt;&lt;Author&gt;Nong&lt;/Author&gt;&lt;Year&gt;2020&lt;/Year&gt;&lt;RecNum&gt;63&lt;/RecNum&gt;&lt;DisplayText&gt;&lt;style face="superscript"&gt;63&lt;/style&gt;&lt;/DisplayText&gt;&lt;record&gt;&lt;rec-number&gt;63&lt;/rec-number&gt;&lt;foreign-keys&gt;&lt;key app="EN" db-id="2xex0erf4eexr4e2dpbxpdd829xttesxxxdr" timestamp="1715075296"&gt;63&lt;/key&gt;&lt;/foreign-keys&gt;&lt;ref-type name="Journal Article"&gt;17&lt;/ref-type&gt;&lt;contributors&gt;&lt;authors&gt;&lt;author&gt;Nong, Hong Nhan&lt;/author&gt;&lt;author&gt;Falling, Lorenz J.&lt;/author&gt;&lt;author&gt;Bergmann, Arno&lt;/author&gt;&lt;author&gt;Klingenhof, Malte&lt;/author&gt;&lt;author&gt;Tran, Hoang Phi&lt;/author&gt;&lt;author&gt;Spöri, Camillo&lt;/author&gt;&lt;author&gt;Mom, Rik&lt;/author&gt;&lt;author&gt;Timoshenko, Janis&lt;/author&gt;&lt;author&gt;Zichittella, Guido&lt;/author&gt;&lt;author&gt;Knop-Gericke, Axel&lt;/author&gt;&lt;author&gt;Piccinin, Simone&lt;/author&gt;&lt;author&gt;Pérez-Ramírez, Javier&lt;/author&gt;&lt;author&gt;Cuenya, Beatriz Roldan&lt;/author&gt;&lt;author&gt;Schlögl, Robert&lt;/author&gt;&lt;author&gt;Strasser, Peter&lt;/author&gt;&lt;author&gt;Teschner, Detre&lt;/author&gt;&lt;author&gt;Jones, Travis E.&lt;/author&gt;&lt;/authors&gt;&lt;/contributors&gt;&lt;titles&gt;&lt;title&gt;Key role of chemistry versus bias in electrocatalytic oxygen evolution&lt;/title&gt;&lt;secondary-title&gt;Nature&lt;/secondary-title&gt;&lt;/titles&gt;&lt;pages&gt;408-413&lt;/pages&gt;&lt;volume&gt;587&lt;/volume&gt;&lt;number&gt;7834&lt;/number&gt;&lt;dates&gt;&lt;year&gt;2020&lt;/year&gt;&lt;pub-dates&gt;&lt;date&gt;2020/11/01&lt;/date&gt;&lt;/pub-dates&gt;&lt;/dates&gt;&lt;isbn&gt;1476-4687&lt;/isbn&gt;&lt;urls&gt;&lt;related-urls&gt;&lt;url&gt;https://doi.org/10.1038/s41586-020-2908-2&lt;/url&gt;&lt;/related-urls&gt;&lt;/urls&gt;&lt;electronic-resource-num&gt;10.1038/s41586-020-2908-2&lt;/electronic-resource-num&gt;&lt;/record&gt;&lt;/Cite&gt;&lt;/EndNote&gt;</w:instrText>
      </w:r>
      <w:r w:rsidR="0045303C">
        <w:fldChar w:fldCharType="separate"/>
      </w:r>
      <w:r w:rsidR="00A75396" w:rsidRPr="00A75396">
        <w:rPr>
          <w:noProof/>
          <w:vertAlign w:val="superscript"/>
        </w:rPr>
        <w:t>63</w:t>
      </w:r>
      <w:r w:rsidR="0045303C">
        <w:fldChar w:fldCharType="end"/>
      </w:r>
      <w:r w:rsidR="00C25A8E" w:rsidRPr="00C25A8E">
        <w:rPr>
          <w:rFonts w:asciiTheme="minorHAnsi" w:eastAsiaTheme="minorHAnsi" w:hAnsiTheme="minorHAnsi" w:cstheme="minorBidi"/>
          <w:bCs w:val="0"/>
          <w:color w:val="auto"/>
          <w:kern w:val="2"/>
          <w:sz w:val="24"/>
          <w:szCs w:val="24"/>
          <w:lang w:val="en-US"/>
          <w14:ligatures w14:val="standardContextual"/>
        </w:rPr>
        <w:t xml:space="preserve"> </w:t>
      </w:r>
      <w:r w:rsidR="00C25A8E" w:rsidRPr="00C25A8E">
        <w:rPr>
          <w:lang w:val="en-US"/>
        </w:rPr>
        <w:t xml:space="preserve">Copyright </w:t>
      </w:r>
      <w:r w:rsidR="00C25A8E">
        <w:rPr>
          <w:lang w:val="en-US"/>
        </w:rPr>
        <w:t>2020</w:t>
      </w:r>
      <w:r w:rsidR="00C25A8E" w:rsidRPr="00C25A8E">
        <w:rPr>
          <w:lang w:val="en-US"/>
        </w:rPr>
        <w:t xml:space="preserve"> </w:t>
      </w:r>
      <w:r w:rsidR="00C25A8E">
        <w:rPr>
          <w:lang w:val="en-US"/>
        </w:rPr>
        <w:t>Springer Nature.</w:t>
      </w:r>
    </w:p>
    <w:p w14:paraId="3D2BB030" w14:textId="28EC0DA0" w:rsidR="004E483C" w:rsidRDefault="004E483C" w:rsidP="00152436">
      <w:pPr>
        <w:ind w:firstLine="720"/>
        <w:rPr>
          <w:rFonts w:eastAsiaTheme="minorEastAsia"/>
        </w:rPr>
      </w:pPr>
      <w:r w:rsidRPr="00DD6170">
        <w:t>Nong et al.</w:t>
      </w:r>
      <w:r w:rsidR="0045303C">
        <w:fldChar w:fldCharType="begin"/>
      </w:r>
      <w:r w:rsidR="00A75396">
        <w:instrText xml:space="preserve"> ADDIN EN.CITE &lt;EndNote&gt;&lt;Cite&gt;&lt;Author&gt;Nong&lt;/Author&gt;&lt;Year&gt;2020&lt;/Year&gt;&lt;RecNum&gt;63&lt;/RecNum&gt;&lt;DisplayText&gt;&lt;style face="superscript"&gt;63&lt;/style&gt;&lt;/DisplayText&gt;&lt;record&gt;&lt;rec-number&gt;63&lt;/rec-number&gt;&lt;foreign-keys&gt;&lt;key app="EN" db-id="2xex0erf4eexr4e2dpbxpdd829xttesxxxdr" timestamp="1715075296"&gt;63&lt;/key&gt;&lt;/foreign-keys&gt;&lt;ref-type name="Journal Article"&gt;17&lt;/ref-type&gt;&lt;contributors&gt;&lt;authors&gt;&lt;author&gt;Nong, Hong Nhan&lt;/author&gt;&lt;author&gt;Falling, Lorenz J.&lt;/author&gt;&lt;author&gt;Bergmann, Arno&lt;/author&gt;&lt;author&gt;Klingenhof, Malte&lt;/author&gt;&lt;author&gt;Tran, Hoang Phi&lt;/author&gt;&lt;author&gt;Spöri, Camillo&lt;/author&gt;&lt;author&gt;Mom, Rik&lt;/author&gt;&lt;author&gt;Timoshenko, Janis&lt;/author&gt;&lt;author&gt;Zichittella, Guido&lt;/author&gt;&lt;author&gt;Knop-Gericke, Axel&lt;/author&gt;&lt;author&gt;Piccinin, Simone&lt;/author&gt;&lt;author&gt;Pérez-Ramírez, Javier&lt;/author&gt;&lt;author&gt;Cuenya, Beatriz Roldan&lt;/author&gt;&lt;author&gt;Schlögl, Robert&lt;/author&gt;&lt;author&gt;Strasser, Peter&lt;/author&gt;&lt;author&gt;Teschner, Detre&lt;/author&gt;&lt;author&gt;Jones, Travis E.&lt;/author&gt;&lt;/authors&gt;&lt;/contributors&gt;&lt;titles&gt;&lt;title&gt;Key role of chemistry versus bias in electrocatalytic oxygen evolution&lt;/title&gt;&lt;secondary-title&gt;Nature&lt;/secondary-title&gt;&lt;/titles&gt;&lt;pages&gt;408-413&lt;/pages&gt;&lt;volume&gt;587&lt;/volume&gt;&lt;number&gt;7834&lt;/number&gt;&lt;dates&gt;&lt;year&gt;2020&lt;/year&gt;&lt;pub-dates&gt;&lt;date&gt;2020/11/01&lt;/date&gt;&lt;/pub-dates&gt;&lt;/dates&gt;&lt;isbn&gt;1476-4687&lt;/isbn&gt;&lt;urls&gt;&lt;related-urls&gt;&lt;url&gt;https://doi.org/10.1038/s41586-020-2908-2&lt;/url&gt;&lt;/related-urls&gt;&lt;/urls&gt;&lt;electronic-resource-num&gt;10.1038/s41586-020-2908-2&lt;/electronic-resource-num&gt;&lt;/record&gt;&lt;/Cite&gt;&lt;/EndNote&gt;</w:instrText>
      </w:r>
      <w:r w:rsidR="0045303C">
        <w:fldChar w:fldCharType="separate"/>
      </w:r>
      <w:r w:rsidR="00A75396" w:rsidRPr="00A75396">
        <w:rPr>
          <w:noProof/>
          <w:vertAlign w:val="superscript"/>
        </w:rPr>
        <w:t>63</w:t>
      </w:r>
      <w:r w:rsidR="0045303C">
        <w:fldChar w:fldCharType="end"/>
      </w:r>
      <w:r w:rsidRPr="00DD6170">
        <w:t xml:space="preserve"> modeled the same process, the OER on IrO</w:t>
      </w:r>
      <w:r w:rsidRPr="00DD6170">
        <w:rPr>
          <w:vertAlign w:val="subscript"/>
        </w:rPr>
        <w:t>2</w:t>
      </w:r>
      <w:r w:rsidRPr="00DD6170">
        <w:t>(110), describing the solvent explicitly.</w:t>
      </w:r>
      <w:r w:rsidRPr="00F47023">
        <w:t xml:space="preserve"> </w:t>
      </w:r>
      <w:r>
        <w:t xml:space="preserve">They considered the same key elementary step modeled by Ping et al, namely the dissociative adsorption of a water molecule on surface *O ligand and forming the </w:t>
      </w:r>
      <w:proofErr w:type="spellStart"/>
      <w:r>
        <w:t>hydroperoxo</w:t>
      </w:r>
      <w:proofErr w:type="spellEnd"/>
      <w:r>
        <w:t xml:space="preserve"> intermediate, locating the transition state with the NEB algorithm. They treated the effects of the bias in two ways. First, by performing constant potential calculations with the ESM scheme, they accounted for the effects of capacitive charging. Second, considering that an increasingly anodic bias oxidizes the surface via a PCET step (*OH </w:t>
      </w:r>
      <w:r>
        <w:sym w:font="Symbol" w:char="F0AE"/>
      </w:r>
      <w:r>
        <w:t xml:space="preserve">*O + </w:t>
      </w:r>
      <w:r w:rsidRPr="00817A4B">
        <w:rPr>
          <w:i/>
          <w:iCs/>
        </w:rPr>
        <w:t>e</w:t>
      </w:r>
      <w:r w:rsidRPr="005505BA">
        <w:rPr>
          <w:vertAlign w:val="superscript"/>
        </w:rPr>
        <w:t>-</w:t>
      </w:r>
      <w:r>
        <w:t xml:space="preserve"> + H</w:t>
      </w:r>
      <w:r w:rsidRPr="005505BA">
        <w:rPr>
          <w:vertAlign w:val="superscript"/>
        </w:rPr>
        <w:t>+</w:t>
      </w:r>
      <w:r>
        <w:t xml:space="preserve">), they modeled the reaction at various coverages of surface holes (stored in </w:t>
      </w:r>
      <w:r>
        <w:sym w:font="Symbol" w:char="F06D"/>
      </w:r>
      <w:r>
        <w:rPr>
          <w:vertAlign w:val="subscript"/>
        </w:rPr>
        <w:t>1</w:t>
      </w:r>
      <w:r>
        <w:t xml:space="preserve">-O </w:t>
      </w:r>
      <w:r>
        <w:rPr>
          <w:rFonts w:eastAsiaTheme="minorEastAsia"/>
        </w:rPr>
        <w:t xml:space="preserve">surface </w:t>
      </w:r>
      <w:proofErr w:type="spellStart"/>
      <w:r>
        <w:rPr>
          <w:rFonts w:eastAsiaTheme="minorEastAsia"/>
        </w:rPr>
        <w:t>oxyl</w:t>
      </w:r>
      <w:proofErr w:type="spellEnd"/>
      <w:r>
        <w:rPr>
          <w:rFonts w:eastAsiaTheme="minorEastAsia"/>
        </w:rPr>
        <w:t xml:space="preserve"> species). At variance with Ping et al, the </w:t>
      </w:r>
      <w:r>
        <w:rPr>
          <w:rFonts w:eastAsiaTheme="minorEastAsia"/>
        </w:rPr>
        <w:lastRenderedPageBreak/>
        <w:t xml:space="preserve">authors found that while capacitive charging has a negligibly small effect, the oxidative charging of the surface strongly reduces the activation energy for the O-O bond formation via water dissociation (see </w:t>
      </w:r>
      <w:r w:rsidR="000C0049">
        <w:rPr>
          <w:rFonts w:eastAsiaTheme="minorEastAsia"/>
        </w:rPr>
        <w:fldChar w:fldCharType="begin"/>
      </w:r>
      <w:r w:rsidR="000C0049">
        <w:rPr>
          <w:rFonts w:eastAsiaTheme="minorEastAsia"/>
        </w:rPr>
        <w:instrText xml:space="preserve"> REF _Ref152324651 \h </w:instrText>
      </w:r>
      <w:r w:rsidR="000C0049">
        <w:rPr>
          <w:rFonts w:eastAsiaTheme="minorEastAsia"/>
        </w:rPr>
      </w:r>
      <w:r w:rsidR="000C0049">
        <w:rPr>
          <w:rFonts w:eastAsiaTheme="minorEastAsia"/>
        </w:rPr>
        <w:fldChar w:fldCharType="separate"/>
      </w:r>
      <w:r w:rsidR="00B7319C" w:rsidRPr="00152436">
        <w:rPr>
          <w:b/>
        </w:rPr>
        <w:t xml:space="preserve">Figure </w:t>
      </w:r>
      <w:r w:rsidR="00B7319C">
        <w:rPr>
          <w:b/>
          <w:bCs/>
          <w:noProof/>
        </w:rPr>
        <w:t>56</w:t>
      </w:r>
      <w:r w:rsidR="000C0049">
        <w:rPr>
          <w:rFonts w:eastAsiaTheme="minorEastAsia"/>
        </w:rPr>
        <w:fldChar w:fldCharType="end"/>
      </w:r>
      <w:r w:rsidR="000C0049">
        <w:rPr>
          <w:rFonts w:eastAsiaTheme="minorEastAsia"/>
          <w:b/>
          <w:bCs/>
        </w:rPr>
        <w:t>c</w:t>
      </w:r>
      <w:r>
        <w:rPr>
          <w:rFonts w:eastAsiaTheme="minorEastAsia"/>
        </w:rPr>
        <w:t xml:space="preserve">). In fact, there is a </w:t>
      </w:r>
      <w:proofErr w:type="spellStart"/>
      <w:r>
        <w:rPr>
          <w:rFonts w:eastAsiaTheme="minorEastAsia"/>
        </w:rPr>
        <w:t>Brønsted</w:t>
      </w:r>
      <w:proofErr w:type="spellEnd"/>
      <w:r>
        <w:rPr>
          <w:rFonts w:eastAsiaTheme="minorEastAsia"/>
        </w:rPr>
        <w:t xml:space="preserve">-Evans-Polanyi type of relationship between the activation energy and the reaction energy for the O-O coupling step, as shown in </w:t>
      </w:r>
      <w:r w:rsidR="000C0049">
        <w:rPr>
          <w:rFonts w:eastAsiaTheme="minorEastAsia"/>
        </w:rPr>
        <w:fldChar w:fldCharType="begin"/>
      </w:r>
      <w:r w:rsidR="000C0049">
        <w:rPr>
          <w:rFonts w:eastAsiaTheme="minorEastAsia"/>
        </w:rPr>
        <w:instrText xml:space="preserve"> REF _Ref152324651 \h </w:instrText>
      </w:r>
      <w:r w:rsidR="000C0049">
        <w:rPr>
          <w:rFonts w:eastAsiaTheme="minorEastAsia"/>
        </w:rPr>
      </w:r>
      <w:r w:rsidR="000C0049">
        <w:rPr>
          <w:rFonts w:eastAsiaTheme="minorEastAsia"/>
        </w:rPr>
        <w:fldChar w:fldCharType="separate"/>
      </w:r>
      <w:r w:rsidR="00B7319C" w:rsidRPr="00152436">
        <w:rPr>
          <w:b/>
        </w:rPr>
        <w:t xml:space="preserve">Figure </w:t>
      </w:r>
      <w:r w:rsidR="00B7319C">
        <w:rPr>
          <w:b/>
          <w:bCs/>
          <w:noProof/>
        </w:rPr>
        <w:t>56</w:t>
      </w:r>
      <w:r w:rsidR="000C0049">
        <w:rPr>
          <w:rFonts w:eastAsiaTheme="minorEastAsia"/>
        </w:rPr>
        <w:fldChar w:fldCharType="end"/>
      </w:r>
      <w:r w:rsidR="000C0049">
        <w:rPr>
          <w:rFonts w:eastAsiaTheme="minorEastAsia"/>
          <w:b/>
          <w:bCs/>
        </w:rPr>
        <w:t>b</w:t>
      </w:r>
      <w:r>
        <w:rPr>
          <w:rFonts w:eastAsiaTheme="minorEastAsia"/>
        </w:rPr>
        <w:t>. The authors argued that the effect of the bias on the key O-O step is therefore indirect: oxidizing the surface makes the O-O coupling more exothermic, which in turn reduces the barrier of the rate determining step of the OER. Crucially, the exponential dependence of the current density on the bias is the result of a linearly decreasing barrier of the O-O coupling step induced by the accumulation of oxidative charge at the surface</w:t>
      </w:r>
      <w:r w:rsidR="003A2757">
        <w:rPr>
          <w:rFonts w:eastAsiaTheme="minorEastAsia"/>
        </w:rPr>
        <w:t xml:space="preserve">, </w:t>
      </w:r>
      <w:r w:rsidR="003A2757">
        <w:rPr>
          <w:rFonts w:eastAsiaTheme="minorEastAsia"/>
        </w:rPr>
        <w:fldChar w:fldCharType="begin"/>
      </w:r>
      <w:r w:rsidR="003A2757">
        <w:rPr>
          <w:rFonts w:eastAsiaTheme="minorEastAsia"/>
        </w:rPr>
        <w:instrText xml:space="preserve"> REF _Ref152324651 \h </w:instrText>
      </w:r>
      <w:r w:rsidR="003A2757">
        <w:rPr>
          <w:rFonts w:eastAsiaTheme="minorEastAsia"/>
        </w:rPr>
      </w:r>
      <w:r w:rsidR="003A2757">
        <w:rPr>
          <w:rFonts w:eastAsiaTheme="minorEastAsia"/>
        </w:rPr>
        <w:fldChar w:fldCharType="separate"/>
      </w:r>
      <w:r w:rsidR="00B7319C" w:rsidRPr="00152436">
        <w:rPr>
          <w:b/>
        </w:rPr>
        <w:t xml:space="preserve">Figure </w:t>
      </w:r>
      <w:r w:rsidR="00B7319C">
        <w:rPr>
          <w:b/>
          <w:bCs/>
          <w:noProof/>
        </w:rPr>
        <w:t>56</w:t>
      </w:r>
      <w:r w:rsidR="003A2757">
        <w:rPr>
          <w:rFonts w:eastAsiaTheme="minorEastAsia"/>
        </w:rPr>
        <w:fldChar w:fldCharType="end"/>
      </w:r>
      <w:r w:rsidR="003A2757" w:rsidRPr="00D123C4">
        <w:rPr>
          <w:rFonts w:eastAsiaTheme="minorEastAsia"/>
          <w:b/>
          <w:bCs/>
        </w:rPr>
        <w:t>e</w:t>
      </w:r>
      <w:r>
        <w:rPr>
          <w:rFonts w:eastAsiaTheme="minorEastAsia"/>
        </w:rPr>
        <w:t>. A simple microkinetic model built assuming water dissociation to the sole RDS and assuming the preceding step, the dehydrogenation of *OH, to be quasi-equilibrated, results in the following expression for the current:</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152436" w:rsidRPr="005F3A2E" w14:paraId="48005A54" w14:textId="77777777" w:rsidTr="00DE0988">
        <w:tc>
          <w:tcPr>
            <w:tcW w:w="7938" w:type="dxa"/>
            <w:tcMar>
              <w:left w:w="28" w:type="dxa"/>
              <w:right w:w="28" w:type="dxa"/>
            </w:tcMar>
            <w:vAlign w:val="center"/>
          </w:tcPr>
          <w:p w14:paraId="6DAA4FCF" w14:textId="2F3074E2" w:rsidR="00152436" w:rsidRPr="005F3A2E" w:rsidRDefault="00152436" w:rsidP="00152436">
            <w:pPr>
              <w:rPr>
                <w:rFonts w:asciiTheme="minorHAnsi" w:hAnsiTheme="minorHAnsi"/>
                <w:noProof/>
                <w:sz w:val="20"/>
                <w:szCs w:val="20"/>
              </w:rPr>
            </w:pPr>
            <m:oMathPara>
              <m:oMath>
                <m:r>
                  <w:rPr>
                    <w:rFonts w:ascii="Cambria Math" w:hAnsi="Cambria Math"/>
                    <w:noProof/>
                    <w:sz w:val="20"/>
                    <w:szCs w:val="20"/>
                  </w:rPr>
                  <m:t>i=</m:t>
                </m:r>
                <m:sSub>
                  <m:sSubPr>
                    <m:ctrlPr>
                      <w:rPr>
                        <w:rFonts w:ascii="Cambria Math" w:hAnsi="Cambria Math"/>
                        <w:i/>
                        <w:noProof/>
                        <w:sz w:val="20"/>
                        <w:szCs w:val="20"/>
                      </w:rPr>
                    </m:ctrlPr>
                  </m:sSubPr>
                  <m:e>
                    <m:sSub>
                      <m:sSubPr>
                        <m:ctrlPr>
                          <w:rPr>
                            <w:rFonts w:ascii="Cambria Math" w:hAnsi="Cambria Math"/>
                            <w:i/>
                            <w:noProof/>
                            <w:sz w:val="20"/>
                            <w:szCs w:val="20"/>
                          </w:rPr>
                        </m:ctrlPr>
                      </m:sSubPr>
                      <m:e>
                        <m:r>
                          <w:rPr>
                            <w:rFonts w:ascii="Cambria Math" w:hAnsi="Cambria Math"/>
                            <w:noProof/>
                            <w:sz w:val="20"/>
                            <w:szCs w:val="20"/>
                          </w:rPr>
                          <m:t>k</m:t>
                        </m:r>
                      </m:e>
                      <m:sub>
                        <m:r>
                          <w:rPr>
                            <w:rFonts w:ascii="Cambria Math" w:hAnsi="Cambria Math"/>
                            <w:noProof/>
                            <w:sz w:val="20"/>
                            <w:szCs w:val="20"/>
                          </w:rPr>
                          <m:t>0</m:t>
                        </m:r>
                      </m:sub>
                    </m:sSub>
                    <m:r>
                      <w:rPr>
                        <w:rFonts w:ascii="Cambria Math" w:hAnsi="Cambria Math"/>
                        <w:noProof/>
                        <w:sz w:val="20"/>
                        <w:szCs w:val="20"/>
                      </w:rPr>
                      <m:t>θ</m:t>
                    </m:r>
                  </m:e>
                  <m:sub>
                    <m:sSup>
                      <m:sSupPr>
                        <m:ctrlPr>
                          <w:rPr>
                            <w:rFonts w:ascii="Cambria Math" w:hAnsi="Cambria Math"/>
                            <w:i/>
                            <w:noProof/>
                            <w:sz w:val="20"/>
                            <w:szCs w:val="20"/>
                          </w:rPr>
                        </m:ctrlPr>
                      </m:sSupPr>
                      <m:e>
                        <m:r>
                          <w:rPr>
                            <w:rFonts w:ascii="Cambria Math" w:hAnsi="Cambria Math"/>
                            <w:noProof/>
                            <w:sz w:val="20"/>
                            <w:szCs w:val="20"/>
                          </w:rPr>
                          <m:t>O</m:t>
                        </m:r>
                      </m:e>
                      <m:sup>
                        <m:r>
                          <w:rPr>
                            <w:rFonts w:ascii="Cambria Math" w:hAnsi="Cambria Math"/>
                            <w:noProof/>
                            <w:sz w:val="20"/>
                            <w:szCs w:val="20"/>
                          </w:rPr>
                          <m:t>*</m:t>
                        </m:r>
                      </m:sup>
                    </m:sSup>
                  </m:sub>
                </m:sSub>
                <m:r>
                  <m:rPr>
                    <m:sty m:val="p"/>
                  </m:rPr>
                  <w:rPr>
                    <w:rFonts w:ascii="Cambria Math" w:hAnsi="Cambria Math"/>
                    <w:noProof/>
                    <w:sz w:val="20"/>
                    <w:szCs w:val="20"/>
                  </w:rPr>
                  <m:t>exp</m:t>
                </m:r>
                <m:d>
                  <m:dPr>
                    <m:ctrlPr>
                      <w:rPr>
                        <w:rFonts w:ascii="Cambria Math" w:hAnsi="Cambria Math"/>
                        <w:i/>
                        <w:noProof/>
                        <w:sz w:val="20"/>
                        <w:szCs w:val="20"/>
                      </w:rPr>
                    </m:ctrlPr>
                  </m:dPr>
                  <m:e>
                    <m:r>
                      <w:rPr>
                        <w:rFonts w:ascii="Cambria Math" w:hAnsi="Cambria Math"/>
                        <w:noProof/>
                        <w:sz w:val="20"/>
                        <w:szCs w:val="20"/>
                      </w:rPr>
                      <m:t>-</m:t>
                    </m:r>
                    <m:f>
                      <m:fPr>
                        <m:ctrlPr>
                          <w:rPr>
                            <w:rFonts w:ascii="Cambria Math" w:hAnsi="Cambria Math"/>
                            <w:i/>
                            <w:noProof/>
                            <w:sz w:val="20"/>
                            <w:szCs w:val="20"/>
                          </w:rPr>
                        </m:ctrlPr>
                      </m:fPr>
                      <m:num>
                        <m:r>
                          <w:rPr>
                            <w:rFonts w:ascii="Cambria Math" w:hAnsi="Cambria Math"/>
                            <w:noProof/>
                            <w:sz w:val="20"/>
                            <w:szCs w:val="20"/>
                          </w:rPr>
                          <m:t>β</m:t>
                        </m:r>
                        <m:sSub>
                          <m:sSubPr>
                            <m:ctrlPr>
                              <w:rPr>
                                <w:rFonts w:ascii="Cambria Math" w:hAnsi="Cambria Math"/>
                                <w:i/>
                                <w:noProof/>
                                <w:sz w:val="20"/>
                                <w:szCs w:val="20"/>
                              </w:rPr>
                            </m:ctrlPr>
                          </m:sSubPr>
                          <m:e>
                            <m:r>
                              <w:rPr>
                                <w:rFonts w:ascii="Cambria Math" w:hAnsi="Cambria Math"/>
                                <w:noProof/>
                                <w:sz w:val="20"/>
                                <w:szCs w:val="20"/>
                              </w:rPr>
                              <m:t>θ</m:t>
                            </m:r>
                          </m:e>
                          <m:sub>
                            <m:sSup>
                              <m:sSupPr>
                                <m:ctrlPr>
                                  <w:rPr>
                                    <w:rFonts w:ascii="Cambria Math" w:hAnsi="Cambria Math"/>
                                    <w:i/>
                                    <w:noProof/>
                                    <w:sz w:val="20"/>
                                    <w:szCs w:val="20"/>
                                  </w:rPr>
                                </m:ctrlPr>
                              </m:sSupPr>
                              <m:e>
                                <m:r>
                                  <w:rPr>
                                    <w:rFonts w:ascii="Cambria Math" w:hAnsi="Cambria Math"/>
                                    <w:noProof/>
                                    <w:sz w:val="20"/>
                                    <w:szCs w:val="20"/>
                                  </w:rPr>
                                  <m:t>O</m:t>
                                </m:r>
                              </m:e>
                              <m:sup>
                                <m:r>
                                  <w:rPr>
                                    <w:rFonts w:ascii="Cambria Math" w:hAnsi="Cambria Math"/>
                                    <w:noProof/>
                                    <w:sz w:val="20"/>
                                    <w:szCs w:val="20"/>
                                  </w:rPr>
                                  <m:t>*</m:t>
                                </m:r>
                              </m:sup>
                            </m:sSup>
                          </m:sub>
                        </m:sSub>
                        <m:r>
                          <w:rPr>
                            <w:rFonts w:ascii="Cambria Math" w:hAnsi="Cambria Math"/>
                            <w:noProof/>
                            <w:sz w:val="20"/>
                            <w:szCs w:val="20"/>
                          </w:rPr>
                          <m:t>+γ</m:t>
                        </m:r>
                      </m:num>
                      <m:den>
                        <m:sSub>
                          <m:sSubPr>
                            <m:ctrlPr>
                              <w:rPr>
                                <w:rFonts w:ascii="Cambria Math" w:hAnsi="Cambria Math"/>
                                <w:i/>
                                <w:sz w:val="20"/>
                                <w:szCs w:val="20"/>
                              </w:rPr>
                            </m:ctrlPr>
                          </m:sSubPr>
                          <m:e>
                            <m:r>
                              <w:rPr>
                                <w:rFonts w:ascii="Cambria Math" w:hAnsi="Cambria Math"/>
                                <w:sz w:val="20"/>
                                <w:szCs w:val="20"/>
                              </w:rPr>
                              <m:t>k</m:t>
                            </m:r>
                          </m:e>
                          <m:sub>
                            <m:r>
                              <m:rPr>
                                <m:sty m:val="p"/>
                              </m:rPr>
                              <w:rPr>
                                <w:rFonts w:ascii="Cambria Math" w:hAnsi="Cambria Math"/>
                                <w:sz w:val="20"/>
                                <w:szCs w:val="20"/>
                              </w:rPr>
                              <m:t>B</m:t>
                            </m:r>
                          </m:sub>
                        </m:sSub>
                        <m:r>
                          <w:rPr>
                            <w:rFonts w:ascii="Cambria Math" w:hAnsi="Cambria Math"/>
                            <w:noProof/>
                            <w:sz w:val="20"/>
                            <w:szCs w:val="20"/>
                          </w:rPr>
                          <m:t>T</m:t>
                        </m:r>
                      </m:den>
                    </m:f>
                  </m:e>
                </m:d>
              </m:oMath>
            </m:oMathPara>
          </w:p>
        </w:tc>
        <w:tc>
          <w:tcPr>
            <w:tcW w:w="1134" w:type="dxa"/>
            <w:tcMar>
              <w:left w:w="28" w:type="dxa"/>
              <w:right w:w="28" w:type="dxa"/>
            </w:tcMar>
            <w:vAlign w:val="center"/>
          </w:tcPr>
          <w:p w14:paraId="39C4A525" w14:textId="3363531D" w:rsidR="00152436" w:rsidRPr="005F3A2E" w:rsidRDefault="00152436" w:rsidP="00E45E28">
            <w:pPr>
              <w:keepNext/>
              <w:jc w:val="right"/>
              <w:rPr>
                <w:bCs/>
                <w:sz w:val="20"/>
                <w:szCs w:val="20"/>
              </w:rPr>
            </w:pPr>
            <w:bookmarkStart w:id="163" w:name="_Ref159536621"/>
            <w:r w:rsidRPr="005F3A2E">
              <w:rPr>
                <w:sz w:val="20"/>
                <w:szCs w:val="20"/>
              </w:rPr>
              <w:t xml:space="preserve">Equation </w:t>
            </w:r>
            <w:r w:rsidRPr="005F3A2E">
              <w:rPr>
                <w:sz w:val="20"/>
                <w:szCs w:val="20"/>
              </w:rPr>
              <w:fldChar w:fldCharType="begin"/>
            </w:r>
            <w:r w:rsidRPr="005F3A2E">
              <w:rPr>
                <w:sz w:val="20"/>
                <w:szCs w:val="20"/>
              </w:rPr>
              <w:instrText xml:space="preserve"> SEQ Equation \* ARABIC </w:instrText>
            </w:r>
            <w:r w:rsidRPr="005F3A2E">
              <w:rPr>
                <w:sz w:val="20"/>
                <w:szCs w:val="20"/>
              </w:rPr>
              <w:fldChar w:fldCharType="separate"/>
            </w:r>
            <w:r w:rsidR="00B7319C">
              <w:rPr>
                <w:noProof/>
                <w:sz w:val="20"/>
                <w:szCs w:val="20"/>
              </w:rPr>
              <w:t>93</w:t>
            </w:r>
            <w:r w:rsidRPr="005F3A2E">
              <w:rPr>
                <w:sz w:val="20"/>
                <w:szCs w:val="20"/>
              </w:rPr>
              <w:fldChar w:fldCharType="end"/>
            </w:r>
            <w:bookmarkEnd w:id="163"/>
          </w:p>
        </w:tc>
      </w:tr>
    </w:tbl>
    <w:p w14:paraId="36C48AC7" w14:textId="3A3E5AE0" w:rsidR="004E483C" w:rsidRPr="00947392" w:rsidRDefault="004E483C" w:rsidP="004E483C">
      <w:r>
        <w:t>Using</w:t>
      </w:r>
      <w:r>
        <w:rPr>
          <w:rFonts w:eastAsiaTheme="minorEastAsia"/>
        </w:rPr>
        <w:t xml:space="preserve"> DFT values for activation energy and the coverages, the authors found a good match between the predictions of the model and the experimental data, with Tafel slopes below and above 1.58 </w:t>
      </w:r>
      <w:r w:rsidRPr="00EC12C4">
        <w:rPr>
          <w:rFonts w:eastAsiaTheme="minorEastAsia"/>
        </w:rPr>
        <w:t>V(RHE) of 39 mV/dec and 77 mV/dec, compared to the experimental 43-47 mV/dec and 71-76</w:t>
      </w:r>
      <w:r w:rsidRPr="007F27F2">
        <w:rPr>
          <w:rFonts w:eastAsiaTheme="minorEastAsia"/>
        </w:rPr>
        <w:t xml:space="preserve"> mV</w:t>
      </w:r>
      <w:r>
        <w:rPr>
          <w:rFonts w:eastAsiaTheme="minorEastAsia"/>
        </w:rPr>
        <w:t xml:space="preserve">/dec. </w:t>
      </w:r>
    </w:p>
    <w:p w14:paraId="2D0CB449" w14:textId="77777777" w:rsidR="004E483C" w:rsidRDefault="004E483C" w:rsidP="004E483C"/>
    <w:p w14:paraId="5B6D23A4" w14:textId="111CE048" w:rsidR="004E483C" w:rsidRDefault="004E483C" w:rsidP="00152436">
      <w:pPr>
        <w:ind w:firstLine="720"/>
        <w:rPr>
          <w:rFonts w:eastAsiaTheme="minorEastAsia"/>
        </w:rPr>
      </w:pPr>
      <w:r>
        <w:rPr>
          <w:rFonts w:eastAsiaTheme="minorEastAsia"/>
        </w:rPr>
        <w:t>Zhou et al.</w:t>
      </w:r>
      <w:r>
        <w:rPr>
          <w:rFonts w:eastAsiaTheme="minorEastAsia"/>
        </w:rPr>
        <w:fldChar w:fldCharType="begin"/>
      </w:r>
      <w:r w:rsidR="00FC5BEB">
        <w:rPr>
          <w:rFonts w:eastAsiaTheme="minorEastAsia"/>
        </w:rPr>
        <w:instrText xml:space="preserve"> ADDIN EN.CITE &lt;EndNote&gt;&lt;Cite&gt;&lt;Author&gt;Zhou&lt;/Author&gt;&lt;Year&gt;2023&lt;/Year&gt;&lt;RecNum&gt;481&lt;/RecNum&gt;&lt;DisplayText&gt;&lt;style face="superscript"&gt;483&lt;/style&gt;&lt;/DisplayText&gt;&lt;record&gt;&lt;rec-number&gt;481&lt;/rec-number&gt;&lt;foreign-keys&gt;&lt;key app="EN" db-id="2xex0erf4eexr4e2dpbxpdd829xttesxxxdr" timestamp="1715075297"&gt;481&lt;/key&gt;&lt;/foreign-keys&gt;&lt;ref-type name="Journal Article"&gt;17&lt;/ref-type&gt;&lt;contributors&gt;&lt;authors&gt;&lt;author&gt;Zhou, Zeying&lt;/author&gt;&lt;author&gt;Kan, Erjun&lt;/author&gt;&lt;author&gt;Deng, Kaiming&lt;/author&gt;&lt;author&gt;Ogitsu, Tadashi&lt;/author&gt;&lt;author&gt;Pham, Tuan Anh&lt;/author&gt;&lt;author&gt;Zhan, Cheng&lt;/author&gt;&lt;/authors&gt;&lt;/contributors&gt;&lt;titles&gt;&lt;title&gt;Synergic Effects of Surface Chemistry and Applied Potentials on the Kinetics of the Electrocatalytic Oxygen Evolution Reaction in IrO2&lt;/title&gt;&lt;secondary-title&gt;ACS Appl. Energy Mater.&lt;/secondary-title&gt;&lt;/titles&gt;&lt;periodical&gt;&lt;full-title&gt;ACS Appl. Energy Mater.&lt;/full-title&gt;&lt;/periodical&gt;&lt;pages&gt;11963-11972&lt;/pages&gt;&lt;volume&gt;6&lt;/volume&gt;&lt;dates&gt;&lt;year&gt;2023&lt;/year&gt;&lt;pub-dates&gt;&lt;date&gt;2023/11/20&lt;/date&gt;&lt;/pub-dates&gt;&lt;/dates&gt;&lt;publisher&gt;American Chemical Society&lt;/publisher&gt;&lt;urls&gt;&lt;related-urls&gt;&lt;url&gt;https://doi.org/10.1021/acsaem.3c02136&lt;/url&gt;&lt;/related-urls&gt;&lt;/urls&gt;&lt;electronic-resource-num&gt;10.1021/acsaem.3c02136&lt;/electronic-resource-num&gt;&lt;/record&gt;&lt;/Cite&gt;&lt;/EndNote&gt;</w:instrText>
      </w:r>
      <w:r>
        <w:rPr>
          <w:rFonts w:eastAsiaTheme="minorEastAsia"/>
        </w:rPr>
        <w:fldChar w:fldCharType="separate"/>
      </w:r>
      <w:r w:rsidR="00FC5BEB" w:rsidRPr="00FC5BEB">
        <w:rPr>
          <w:rFonts w:eastAsiaTheme="minorEastAsia"/>
          <w:noProof/>
          <w:vertAlign w:val="superscript"/>
        </w:rPr>
        <w:t>483</w:t>
      </w:r>
      <w:r>
        <w:rPr>
          <w:rFonts w:eastAsiaTheme="minorEastAsia"/>
        </w:rPr>
        <w:fldChar w:fldCharType="end"/>
      </w:r>
      <w:r>
        <w:rPr>
          <w:rFonts w:eastAsiaTheme="minorEastAsia"/>
        </w:rPr>
        <w:t xml:space="preserve"> modeled the OER on IrO</w:t>
      </w:r>
      <w:r w:rsidRPr="00986F62">
        <w:rPr>
          <w:rFonts w:eastAsiaTheme="minorEastAsia"/>
          <w:vertAlign w:val="subscript"/>
        </w:rPr>
        <w:t>2</w:t>
      </w:r>
      <w:r>
        <w:rPr>
          <w:rFonts w:eastAsiaTheme="minorEastAsia"/>
        </w:rPr>
        <w:t>(110) using the same theoretical approach and the same reaction mechanism of Ping et al.</w:t>
      </w:r>
      <w:r>
        <w:rPr>
          <w:rFonts w:eastAsiaTheme="minorEastAsia"/>
        </w:rPr>
        <w:fldChar w:fldCharType="begin"/>
      </w:r>
      <w:r w:rsidR="00FC5BEB">
        <w:rPr>
          <w:rFonts w:eastAsiaTheme="minorEastAsia"/>
        </w:rPr>
        <w:instrText xml:space="preserve"> ADDIN EN.CITE &lt;EndNote&gt;&lt;Cite&gt;&lt;Author&gt;Ping&lt;/Author&gt;&lt;Year&gt;2017&lt;/Year&gt;&lt;RecNum&gt;263&lt;/RecNum&gt;&lt;DisplayText&gt;&lt;style face="superscript"&gt;265&lt;/style&gt;&lt;/DisplayText&gt;&lt;record&gt;&lt;rec-number&gt;263&lt;/rec-number&gt;&lt;foreign-keys&gt;&lt;key app="EN" db-id="2xex0erf4eexr4e2dpbxpdd829xttesxxxdr" timestamp="1715075296"&gt;263&lt;/key&gt;&lt;/foreign-keys&gt;&lt;ref-type name="Journal Article"&gt;17&lt;/ref-type&gt;&lt;contributors&gt;&lt;authors&gt;&lt;author&gt;Ping, Yuan&lt;/author&gt;&lt;author&gt;Nielsen, Robert J.&lt;/author&gt;&lt;author&gt;Goddard, William A., III&lt;/author&gt;&lt;/authors&gt;&lt;/contributors&gt;&lt;titles&gt;&lt;title&gt;The Reaction Mechanism with Free Energy Barriers at Constant Potentials for the Oxygen Evolution Reaction at the IrO2 (110) Surface&lt;/title&gt;&lt;secondary-title&gt;Journal of the American Chemical Society&lt;/secondary-title&gt;&lt;/titles&gt;&lt;periodical&gt;&lt;full-title&gt;Journal of the American Chemical Society&lt;/full-title&gt;&lt;abbr-1&gt;J. Am. Chem. Soc.&lt;/abbr-1&gt;&lt;abbr-2&gt;J Am Chem Soc&lt;/abbr-2&gt;&lt;/periodical&gt;&lt;pages&gt;149-155&lt;/pages&gt;&lt;volume&gt;139&lt;/volume&gt;&lt;number&gt;1&lt;/number&gt;&lt;dates&gt;&lt;year&gt;2017&lt;/year&gt;&lt;pub-dates&gt;&lt;date&gt;2017/01/11&lt;/date&gt;&lt;/pub-dates&gt;&lt;/dates&gt;&lt;publisher&gt;American Chemical Society&lt;/publisher&gt;&lt;isbn&gt;0002-7863&lt;/isbn&gt;&lt;urls&gt;&lt;related-urls&gt;&lt;url&gt;https://doi.org/10.1021/jacs.6b07557&lt;/url&gt;&lt;/related-urls&gt;&lt;/urls&gt;&lt;electronic-resource-num&gt;10.1021/jacs.6b07557&lt;/electronic-resource-num&gt;&lt;/record&gt;&lt;/Cite&gt;&lt;/EndNote&gt;</w:instrText>
      </w:r>
      <w:r>
        <w:rPr>
          <w:rFonts w:eastAsiaTheme="minorEastAsia"/>
        </w:rPr>
        <w:fldChar w:fldCharType="separate"/>
      </w:r>
      <w:r w:rsidR="00FC5BEB" w:rsidRPr="00FC5BEB">
        <w:rPr>
          <w:rFonts w:eastAsiaTheme="minorEastAsia"/>
          <w:noProof/>
          <w:vertAlign w:val="superscript"/>
        </w:rPr>
        <w:t>265</w:t>
      </w:r>
      <w:r>
        <w:rPr>
          <w:rFonts w:eastAsiaTheme="minorEastAsia"/>
        </w:rPr>
        <w:fldChar w:fldCharType="end"/>
      </w:r>
      <w:r>
        <w:rPr>
          <w:rFonts w:eastAsiaTheme="minorEastAsia"/>
        </w:rPr>
        <w:t xml:space="preserve">, where the O-O bond takes place via water dissociation, resulting in a *OOH adsorbate at a CUS site and a *OH adsorbate at a bridge site. The free energy profile obtained via constant potential calculations of intermediates and barriers is shown in </w:t>
      </w:r>
      <w:r>
        <w:rPr>
          <w:rFonts w:eastAsiaTheme="minorEastAsia"/>
        </w:rPr>
        <w:fldChar w:fldCharType="begin"/>
      </w:r>
      <w:r>
        <w:rPr>
          <w:rFonts w:eastAsiaTheme="minorEastAsia"/>
        </w:rPr>
        <w:instrText xml:space="preserve"> REF _Ref156548292 \h </w:instrText>
      </w:r>
      <w:r>
        <w:rPr>
          <w:rFonts w:eastAsiaTheme="minorEastAsia"/>
        </w:rPr>
      </w:r>
      <w:r>
        <w:rPr>
          <w:rFonts w:eastAsiaTheme="minorEastAsia"/>
        </w:rPr>
        <w:fldChar w:fldCharType="separate"/>
      </w:r>
      <w:r w:rsidR="00B7319C" w:rsidRPr="00152436">
        <w:rPr>
          <w:b/>
        </w:rPr>
        <w:t xml:space="preserve">Figure </w:t>
      </w:r>
      <w:r w:rsidR="00B7319C">
        <w:rPr>
          <w:b/>
          <w:bCs/>
          <w:noProof/>
        </w:rPr>
        <w:t>57</w:t>
      </w:r>
      <w:r>
        <w:rPr>
          <w:rFonts w:eastAsiaTheme="minorEastAsia"/>
        </w:rPr>
        <w:fldChar w:fldCharType="end"/>
      </w:r>
      <w:r>
        <w:rPr>
          <w:rFonts w:eastAsiaTheme="minorEastAsia"/>
        </w:rPr>
        <w:t>, where the transition states refer to two non-electrochemical steps, the dissociation of water (TS1) and the release of oxygen via H</w:t>
      </w:r>
      <w:r w:rsidRPr="005A1C6B">
        <w:rPr>
          <w:rFonts w:eastAsiaTheme="minorEastAsia"/>
          <w:vertAlign w:val="subscript"/>
        </w:rPr>
        <w:t>2</w:t>
      </w:r>
      <w:r>
        <w:rPr>
          <w:rFonts w:eastAsiaTheme="minorEastAsia"/>
        </w:rPr>
        <w:t xml:space="preserve">O* replacement of *OO (TS2). The second barrier is considerably larger than the first one.    </w:t>
      </w:r>
    </w:p>
    <w:p w14:paraId="04FD4397" w14:textId="77777777" w:rsidR="004E483C" w:rsidRDefault="004E483C" w:rsidP="004E483C">
      <w:pPr>
        <w:keepNext/>
      </w:pPr>
      <w:r>
        <w:rPr>
          <w:noProof/>
        </w:rPr>
        <w:drawing>
          <wp:inline distT="0" distB="0" distL="0" distR="0" wp14:anchorId="41035FFA" wp14:editId="26269D3A">
            <wp:extent cx="5943600" cy="280860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Zhou_ACSAEM2023_Fig4_exp_big.jp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5943600" cy="2808605"/>
                    </a:xfrm>
                    <a:prstGeom prst="rect">
                      <a:avLst/>
                    </a:prstGeom>
                  </pic:spPr>
                </pic:pic>
              </a:graphicData>
            </a:graphic>
          </wp:inline>
        </w:drawing>
      </w:r>
    </w:p>
    <w:p w14:paraId="0316B8BF" w14:textId="5CBB5726" w:rsidR="004E483C" w:rsidRPr="00986F62" w:rsidRDefault="004E483C" w:rsidP="004E483C">
      <w:pPr>
        <w:pStyle w:val="Caption"/>
      </w:pPr>
      <w:bookmarkStart w:id="164" w:name="_Ref156548292"/>
      <w:r w:rsidRPr="00152436">
        <w:rPr>
          <w:b/>
          <w:bCs w:val="0"/>
          <w:sz w:val="22"/>
        </w:rPr>
        <w:t xml:space="preserve">Figure </w:t>
      </w:r>
      <w:r w:rsidRPr="00152436">
        <w:rPr>
          <w:b/>
          <w:bCs w:val="0"/>
          <w:sz w:val="22"/>
        </w:rPr>
        <w:fldChar w:fldCharType="begin"/>
      </w:r>
      <w:r w:rsidRPr="00152436">
        <w:rPr>
          <w:b/>
          <w:bCs w:val="0"/>
          <w:sz w:val="22"/>
        </w:rPr>
        <w:instrText xml:space="preserve"> SEQ Figure \* ARABIC </w:instrText>
      </w:r>
      <w:r w:rsidRPr="00152436">
        <w:rPr>
          <w:b/>
          <w:bCs w:val="0"/>
          <w:sz w:val="22"/>
        </w:rPr>
        <w:fldChar w:fldCharType="separate"/>
      </w:r>
      <w:r w:rsidR="00B7319C">
        <w:rPr>
          <w:b/>
          <w:bCs w:val="0"/>
          <w:noProof/>
          <w:sz w:val="22"/>
        </w:rPr>
        <w:t>57</w:t>
      </w:r>
      <w:r w:rsidRPr="00152436">
        <w:rPr>
          <w:b/>
          <w:bCs w:val="0"/>
          <w:noProof/>
          <w:sz w:val="22"/>
        </w:rPr>
        <w:fldChar w:fldCharType="end"/>
      </w:r>
      <w:bookmarkEnd w:id="164"/>
      <w:r w:rsidRPr="00986F62">
        <w:rPr>
          <w:rFonts w:ascii="Roboto" w:hAnsi="Roboto"/>
          <w:color w:val="000000"/>
          <w:sz w:val="26"/>
          <w:szCs w:val="26"/>
          <w:shd w:val="clear" w:color="auto" w:fill="FFFFFF"/>
        </w:rPr>
        <w:t xml:space="preserve"> </w:t>
      </w:r>
      <w:r w:rsidRPr="00986F62">
        <w:t>(a) Reaction free energy at constant potential from GCDFT for the oxygen-terminated surface; The inputs show the corresponding optimized structures of reaction intermediates and transition states: (b) *O, (c) *TS1, (d) *OOH-H, (e) *OOH, (f) *OO, (g) *TS2, (h) *OH</w:t>
      </w:r>
      <w:r w:rsidRPr="00986F62">
        <w:rPr>
          <w:vertAlign w:val="subscript"/>
        </w:rPr>
        <w:t>2</w:t>
      </w:r>
      <w:r w:rsidRPr="00986F62">
        <w:t>, and (</w:t>
      </w:r>
      <w:proofErr w:type="spellStart"/>
      <w:r w:rsidRPr="00986F62">
        <w:t>i</w:t>
      </w:r>
      <w:proofErr w:type="spellEnd"/>
      <w:r w:rsidRPr="00986F62">
        <w:t>) *OH.</w:t>
      </w:r>
      <w:r>
        <w:t xml:space="preserve"> Adapted </w:t>
      </w:r>
      <w:r w:rsidR="008866C0">
        <w:t xml:space="preserve">with permission </w:t>
      </w:r>
      <w:r>
        <w:t>from Ref.</w:t>
      </w:r>
      <w:r>
        <w:fldChar w:fldCharType="begin"/>
      </w:r>
      <w:r w:rsidR="00FC5BEB">
        <w:instrText xml:space="preserve"> ADDIN EN.CITE &lt;EndNote&gt;&lt;Cite&gt;&lt;Author&gt;Zhou&lt;/Author&gt;&lt;Year&gt;2023&lt;/Year&gt;&lt;RecNum&gt;481&lt;/RecNum&gt;&lt;DisplayText&gt;&lt;style face="superscript"&gt;483&lt;/style&gt;&lt;/DisplayText&gt;&lt;record&gt;&lt;rec-number&gt;481&lt;/rec-number&gt;&lt;foreign-keys&gt;&lt;key app="EN" db-id="2xex0erf4eexr4e2dpbxpdd829xttesxxxdr" timestamp="1715075297"&gt;481&lt;/key&gt;&lt;/foreign-keys&gt;&lt;ref-type name="Journal Article"&gt;17&lt;/ref-type&gt;&lt;contributors&gt;&lt;authors&gt;&lt;author&gt;Zhou, Zeying&lt;/author&gt;&lt;author&gt;Kan, Erjun&lt;/author&gt;&lt;author&gt;Deng, Kaiming&lt;/author&gt;&lt;author&gt;Ogitsu, Tadashi&lt;/author&gt;&lt;author&gt;Pham, Tuan Anh&lt;/author&gt;&lt;author&gt;Zhan, Cheng&lt;/author&gt;&lt;/authors&gt;&lt;/contributors&gt;&lt;titles&gt;&lt;title&gt;Synergic Effects of Surface Chemistry and Applied Potentials on the Kinetics of the Electrocatalytic Oxygen Evolution Reaction in IrO2&lt;/title&gt;&lt;secondary-title&gt;ACS Appl. Energy Mater.&lt;/secondary-title&gt;&lt;/titles&gt;&lt;periodical&gt;&lt;full-title&gt;ACS Appl. Energy Mater.&lt;/full-title&gt;&lt;/periodical&gt;&lt;pages&gt;11963-11972&lt;/pages&gt;&lt;volume&gt;6&lt;/volume&gt;&lt;dates&gt;&lt;year&gt;2023&lt;/year&gt;&lt;pub-dates&gt;&lt;date&gt;2023/11/20&lt;/date&gt;&lt;/pub-dates&gt;&lt;/dates&gt;&lt;publisher&gt;American Chemical Society&lt;/publisher&gt;&lt;urls&gt;&lt;related-urls&gt;&lt;url&gt;https://doi.org/10.1021/acsaem.3c02136&lt;/url&gt;&lt;/related-urls&gt;&lt;/urls&gt;&lt;electronic-resource-num&gt;10.1021/acsaem.3c02136&lt;/electronic-resource-num&gt;&lt;/record&gt;&lt;/Cite&gt;&lt;/EndNote&gt;</w:instrText>
      </w:r>
      <w:r>
        <w:fldChar w:fldCharType="separate"/>
      </w:r>
      <w:r w:rsidR="00FC5BEB" w:rsidRPr="00FC5BEB">
        <w:rPr>
          <w:noProof/>
          <w:vertAlign w:val="superscript"/>
        </w:rPr>
        <w:t>483</w:t>
      </w:r>
      <w:r>
        <w:fldChar w:fldCharType="end"/>
      </w:r>
      <w:r w:rsidR="00C25A8E">
        <w:t xml:space="preserve"> </w:t>
      </w:r>
      <w:r w:rsidR="00C25A8E" w:rsidRPr="00C25A8E">
        <w:rPr>
          <w:lang w:val="en-US"/>
        </w:rPr>
        <w:t>Copyright 2023 American Chemical Society</w:t>
      </w:r>
      <w:r w:rsidR="00C25A8E">
        <w:rPr>
          <w:lang w:val="en-US"/>
        </w:rPr>
        <w:t>.</w:t>
      </w:r>
    </w:p>
    <w:p w14:paraId="17C5DE0C" w14:textId="77777777" w:rsidR="004E483C" w:rsidRDefault="004E483C" w:rsidP="004E483C">
      <w:pPr>
        <w:rPr>
          <w:rFonts w:eastAsiaTheme="minorEastAsia"/>
        </w:rPr>
      </w:pPr>
    </w:p>
    <w:p w14:paraId="1CE42790" w14:textId="24D7CA0A" w:rsidR="004E483C" w:rsidRDefault="004E483C" w:rsidP="004E483C">
      <w:pPr>
        <w:rPr>
          <w:rFonts w:eastAsiaTheme="minorEastAsia"/>
        </w:rPr>
      </w:pPr>
      <w:r>
        <w:rPr>
          <w:rFonts w:eastAsiaTheme="minorEastAsia"/>
        </w:rPr>
        <w:t xml:space="preserve">The authors then built a microkinetic model considering the effects of the surface hydrogen coverage. They considered separately three different MK models corresponding to three different surface coverages of hydrogen, representative of different applied biases, and then summed the contributions, weighted with a Boltzmann factor, as shown in </w:t>
      </w:r>
      <w:r>
        <w:rPr>
          <w:rFonts w:eastAsiaTheme="minorEastAsia"/>
        </w:rPr>
        <w:fldChar w:fldCharType="begin"/>
      </w:r>
      <w:r>
        <w:rPr>
          <w:rFonts w:eastAsiaTheme="minorEastAsia"/>
        </w:rPr>
        <w:instrText xml:space="preserve"> REF _Ref156548919 \h </w:instrText>
      </w:r>
      <w:r>
        <w:rPr>
          <w:rFonts w:eastAsiaTheme="minorEastAsia"/>
        </w:rPr>
      </w:r>
      <w:r>
        <w:rPr>
          <w:rFonts w:eastAsiaTheme="minorEastAsia"/>
        </w:rPr>
        <w:fldChar w:fldCharType="separate"/>
      </w:r>
      <w:r w:rsidR="00B7319C" w:rsidRPr="00152436">
        <w:rPr>
          <w:b/>
        </w:rPr>
        <w:t xml:space="preserve">Figure </w:t>
      </w:r>
      <w:r w:rsidR="00B7319C">
        <w:rPr>
          <w:b/>
          <w:bCs/>
          <w:noProof/>
        </w:rPr>
        <w:t>58</w:t>
      </w:r>
      <w:r>
        <w:rPr>
          <w:rFonts w:eastAsiaTheme="minorEastAsia"/>
        </w:rPr>
        <w:fldChar w:fldCharType="end"/>
      </w:r>
      <w:r>
        <w:rPr>
          <w:rFonts w:eastAsiaTheme="minorEastAsia"/>
        </w:rPr>
        <w:t xml:space="preserve">. Path A corresponds to a hydrogen coverage of 50%, path B 25% and path A 0%. The agreement with experiments is only modest, predicting Tafel slopes lower than experiment by a factor 2 at low overpotential and extremely large </w:t>
      </w:r>
      <w:r>
        <w:rPr>
          <w:rFonts w:eastAsiaTheme="minorEastAsia"/>
        </w:rPr>
        <w:lastRenderedPageBreak/>
        <w:t xml:space="preserve">Tafel slopes at high overpotential. The authors then used continuous functions to describe both the dependence of the barriers on coverages and potential, and to describe the dependence of the coverage of active sites on the applied potential. The results of a continuum description (as opposed to the original model where the hydrogen coverage changes abruptly between 50%, 25% and 0%) are in better agreement with experiment in the low overpotential region (see in </w:t>
      </w:r>
      <w:r>
        <w:rPr>
          <w:rFonts w:eastAsiaTheme="minorEastAsia"/>
        </w:rPr>
        <w:fldChar w:fldCharType="begin"/>
      </w:r>
      <w:r>
        <w:rPr>
          <w:rFonts w:eastAsiaTheme="minorEastAsia"/>
        </w:rPr>
        <w:instrText xml:space="preserve"> REF _Ref156548919 \h </w:instrText>
      </w:r>
      <w:r>
        <w:rPr>
          <w:rFonts w:eastAsiaTheme="minorEastAsia"/>
        </w:rPr>
      </w:r>
      <w:r>
        <w:rPr>
          <w:rFonts w:eastAsiaTheme="minorEastAsia"/>
        </w:rPr>
        <w:fldChar w:fldCharType="separate"/>
      </w:r>
      <w:r w:rsidR="00B7319C" w:rsidRPr="00152436">
        <w:rPr>
          <w:b/>
        </w:rPr>
        <w:t xml:space="preserve">Figure </w:t>
      </w:r>
      <w:r w:rsidR="00B7319C">
        <w:rPr>
          <w:b/>
          <w:bCs/>
          <w:noProof/>
        </w:rPr>
        <w:t>58</w:t>
      </w:r>
      <w:r>
        <w:rPr>
          <w:rFonts w:eastAsiaTheme="minorEastAsia"/>
        </w:rPr>
        <w:fldChar w:fldCharType="end"/>
      </w:r>
      <w:r w:rsidR="00044BFD" w:rsidRPr="00044BFD">
        <w:rPr>
          <w:rFonts w:eastAsiaTheme="minorEastAsia"/>
          <w:b/>
          <w:bCs/>
        </w:rPr>
        <w:t>d</w:t>
      </w:r>
      <w:r>
        <w:rPr>
          <w:rFonts w:eastAsiaTheme="minorEastAsia"/>
        </w:rPr>
        <w:t xml:space="preserve">).     </w:t>
      </w:r>
    </w:p>
    <w:p w14:paraId="77CE7170" w14:textId="77777777" w:rsidR="004E483C" w:rsidRDefault="004E483C" w:rsidP="004E483C">
      <w:pPr>
        <w:rPr>
          <w:rFonts w:eastAsiaTheme="minorEastAsia"/>
        </w:rPr>
      </w:pPr>
    </w:p>
    <w:p w14:paraId="45E2C362" w14:textId="77777777" w:rsidR="004E483C" w:rsidRDefault="004E483C" w:rsidP="004E483C">
      <w:pPr>
        <w:keepNext/>
      </w:pPr>
      <w:r>
        <w:rPr>
          <w:noProof/>
        </w:rPr>
        <w:drawing>
          <wp:inline distT="0" distB="0" distL="0" distR="0" wp14:anchorId="5D9D117F" wp14:editId="391CEFC1">
            <wp:extent cx="5943600" cy="1497330"/>
            <wp:effectExtent l="0" t="0" r="0" b="127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Zhou_ACSAEM2023_Fig6-7_exp_big.jp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5943600" cy="1497330"/>
                    </a:xfrm>
                    <a:prstGeom prst="rect">
                      <a:avLst/>
                    </a:prstGeom>
                  </pic:spPr>
                </pic:pic>
              </a:graphicData>
            </a:graphic>
          </wp:inline>
        </w:drawing>
      </w:r>
    </w:p>
    <w:p w14:paraId="276E5D72" w14:textId="1A0B3C00" w:rsidR="004E483C" w:rsidRPr="00747678" w:rsidRDefault="004E483C" w:rsidP="004E483C">
      <w:pPr>
        <w:pStyle w:val="Caption"/>
      </w:pPr>
      <w:bookmarkStart w:id="165" w:name="_Ref156548919"/>
      <w:r w:rsidRPr="00152436">
        <w:rPr>
          <w:b/>
          <w:bCs w:val="0"/>
          <w:sz w:val="22"/>
        </w:rPr>
        <w:t xml:space="preserve">Figure </w:t>
      </w:r>
      <w:r w:rsidRPr="00152436">
        <w:rPr>
          <w:b/>
          <w:bCs w:val="0"/>
          <w:sz w:val="22"/>
        </w:rPr>
        <w:fldChar w:fldCharType="begin"/>
      </w:r>
      <w:r w:rsidRPr="00152436">
        <w:rPr>
          <w:b/>
          <w:bCs w:val="0"/>
          <w:sz w:val="22"/>
        </w:rPr>
        <w:instrText xml:space="preserve"> SEQ Figure \* ARABIC </w:instrText>
      </w:r>
      <w:r w:rsidRPr="00152436">
        <w:rPr>
          <w:b/>
          <w:bCs w:val="0"/>
          <w:sz w:val="22"/>
        </w:rPr>
        <w:fldChar w:fldCharType="separate"/>
      </w:r>
      <w:r w:rsidR="00B7319C">
        <w:rPr>
          <w:b/>
          <w:bCs w:val="0"/>
          <w:noProof/>
          <w:sz w:val="22"/>
        </w:rPr>
        <w:t>58</w:t>
      </w:r>
      <w:r w:rsidRPr="00152436">
        <w:rPr>
          <w:b/>
          <w:bCs w:val="0"/>
          <w:noProof/>
          <w:sz w:val="22"/>
        </w:rPr>
        <w:fldChar w:fldCharType="end"/>
      </w:r>
      <w:bookmarkEnd w:id="165"/>
      <w:r w:rsidRPr="00747678">
        <w:t xml:space="preserve"> (a) Simulated Tafel plot from GCDFT-based reaction barrier and surface structure evolution for pH 0 and pH 1 paths with some early experimental data as comparison. (b) H coverage change vs the electrode potential. (c) Decomposed contribution of current from path A/B/C. </w:t>
      </w:r>
      <w:r>
        <w:t xml:space="preserve">(d) </w:t>
      </w:r>
      <w:r w:rsidRPr="00515CDE">
        <w:t xml:space="preserve">Tafel plot simulation by continuum models with and without the </w:t>
      </w:r>
      <w:proofErr w:type="spellStart"/>
      <w:r w:rsidRPr="00495FF0">
        <w:rPr>
          <w:i/>
          <w:iCs/>
        </w:rPr>
        <w:t>θ</w:t>
      </w:r>
      <w:r w:rsidRPr="00515CDE">
        <w:rPr>
          <w:vertAlign w:val="superscript"/>
        </w:rPr>
        <w:t>eff</w:t>
      </w:r>
      <w:proofErr w:type="spellEnd"/>
      <w:r w:rsidRPr="00515CDE">
        <w:t xml:space="preserve"> effect.</w:t>
      </w:r>
      <w:r>
        <w:t xml:space="preserve"> Adapted</w:t>
      </w:r>
      <w:r w:rsidR="003A6E3E">
        <w:t xml:space="preserve"> with permission</w:t>
      </w:r>
      <w:r>
        <w:t xml:space="preserve"> from Ref.</w:t>
      </w:r>
      <w:r>
        <w:fldChar w:fldCharType="begin"/>
      </w:r>
      <w:r w:rsidR="00FC5BEB">
        <w:instrText xml:space="preserve"> ADDIN EN.CITE &lt;EndNote&gt;&lt;Cite&gt;&lt;Author&gt;Zhou&lt;/Author&gt;&lt;Year&gt;2023&lt;/Year&gt;&lt;RecNum&gt;481&lt;/RecNum&gt;&lt;DisplayText&gt;&lt;style face="superscript"&gt;483&lt;/style&gt;&lt;/DisplayText&gt;&lt;record&gt;&lt;rec-number&gt;481&lt;/rec-number&gt;&lt;foreign-keys&gt;&lt;key app="EN" db-id="2xex0erf4eexr4e2dpbxpdd829xttesxxxdr" timestamp="1715075297"&gt;481&lt;/key&gt;&lt;/foreign-keys&gt;&lt;ref-type name="Journal Article"&gt;17&lt;/ref-type&gt;&lt;contributors&gt;&lt;authors&gt;&lt;author&gt;Zhou, Zeying&lt;/author&gt;&lt;author&gt;Kan, Erjun&lt;/author&gt;&lt;author&gt;Deng, Kaiming&lt;/author&gt;&lt;author&gt;Ogitsu, Tadashi&lt;/author&gt;&lt;author&gt;Pham, Tuan Anh&lt;/author&gt;&lt;author&gt;Zhan, Cheng&lt;/author&gt;&lt;/authors&gt;&lt;/contributors&gt;&lt;titles&gt;&lt;title&gt;Synergic Effects of Surface Chemistry and Applied Potentials on the Kinetics of the Electrocatalytic Oxygen Evolution Reaction in IrO2&lt;/title&gt;&lt;secondary-title&gt;ACS Appl. Energy Mater.&lt;/secondary-title&gt;&lt;/titles&gt;&lt;periodical&gt;&lt;full-title&gt;ACS Appl. Energy Mater.&lt;/full-title&gt;&lt;/periodical&gt;&lt;pages&gt;11963-11972&lt;/pages&gt;&lt;volume&gt;6&lt;/volume&gt;&lt;dates&gt;&lt;year&gt;2023&lt;/year&gt;&lt;pub-dates&gt;&lt;date&gt;2023/11/20&lt;/date&gt;&lt;/pub-dates&gt;&lt;/dates&gt;&lt;publisher&gt;American Chemical Society&lt;/publisher&gt;&lt;urls&gt;&lt;related-urls&gt;&lt;url&gt;https://doi.org/10.1021/acsaem.3c02136&lt;/url&gt;&lt;/related-urls&gt;&lt;/urls&gt;&lt;electronic-resource-num&gt;10.1021/acsaem.3c02136&lt;/electronic-resource-num&gt;&lt;/record&gt;&lt;/Cite&gt;&lt;/EndNote&gt;</w:instrText>
      </w:r>
      <w:r>
        <w:fldChar w:fldCharType="separate"/>
      </w:r>
      <w:r w:rsidR="00FC5BEB" w:rsidRPr="00FC5BEB">
        <w:rPr>
          <w:noProof/>
          <w:vertAlign w:val="superscript"/>
        </w:rPr>
        <w:t>483</w:t>
      </w:r>
      <w:r>
        <w:fldChar w:fldCharType="end"/>
      </w:r>
      <w:r w:rsidR="00095301">
        <w:t xml:space="preserve"> </w:t>
      </w:r>
      <w:r w:rsidR="00095301" w:rsidRPr="00095301">
        <w:rPr>
          <w:lang w:val="en-US"/>
        </w:rPr>
        <w:t>Copyright 2023 American Chemical Society</w:t>
      </w:r>
      <w:r w:rsidR="00095301">
        <w:rPr>
          <w:lang w:val="en-US"/>
        </w:rPr>
        <w:t>.</w:t>
      </w:r>
    </w:p>
    <w:p w14:paraId="5003A5E5" w14:textId="0219626A" w:rsidR="004E483C" w:rsidRDefault="004E483C" w:rsidP="00152436">
      <w:pPr>
        <w:ind w:firstLine="720"/>
        <w:rPr>
          <w:rFonts w:eastAsiaTheme="minorEastAsia"/>
        </w:rPr>
      </w:pPr>
      <w:r>
        <w:rPr>
          <w:rFonts w:eastAsiaTheme="minorEastAsia"/>
        </w:rPr>
        <w:t xml:space="preserve">At variance with the approaches described above, the parameters of microkinetic models for the OER can also be derived entirely from experimental data. This is the case for the work by </w:t>
      </w:r>
      <w:proofErr w:type="spellStart"/>
      <w:r>
        <w:rPr>
          <w:rFonts w:eastAsiaTheme="minorEastAsia"/>
        </w:rPr>
        <w:t>Geppert</w:t>
      </w:r>
      <w:proofErr w:type="spellEnd"/>
      <w:r>
        <w:rPr>
          <w:rFonts w:eastAsiaTheme="minorEastAsia"/>
        </w:rPr>
        <w:t xml:space="preserve"> and co-workers</w:t>
      </w:r>
      <w:r>
        <w:rPr>
          <w:rFonts w:eastAsiaTheme="minorEastAsia"/>
        </w:rPr>
        <w:fldChar w:fldCharType="begin"/>
      </w:r>
      <w:r w:rsidR="00FC5BEB">
        <w:rPr>
          <w:rFonts w:eastAsiaTheme="minorEastAsia"/>
        </w:rPr>
        <w:instrText xml:space="preserve"> ADDIN EN.CITE &lt;EndNote&gt;&lt;Cite&gt;&lt;Author&gt;Geppert&lt;/Author&gt;&lt;Year&gt;2022&lt;/Year&gt;&lt;RecNum&gt;519&lt;/RecNum&gt;&lt;DisplayText&gt;&lt;style face="superscript"&gt;521&lt;/style&gt;&lt;/DisplayText&gt;&lt;record&gt;&lt;rec-number&gt;519&lt;/rec-number&gt;&lt;foreign-keys&gt;&lt;key app="EN" db-id="2xex0erf4eexr4e2dpbxpdd829xttesxxxdr" timestamp="1715075297"&gt;519&lt;/key&gt;&lt;/foreign-keys&gt;&lt;ref-type name="Journal Article"&gt;17&lt;/ref-type&gt;&lt;contributors&gt;&lt;authors&gt;&lt;author&gt;Geppert, Janis&lt;/author&gt;&lt;author&gt;Röse, Philipp&lt;/author&gt;&lt;author&gt;Czioska, Steffen&lt;/author&gt;&lt;author&gt;Escalera-López, Daniel&lt;/author&gt;&lt;author&gt;Boubnov, Alexey&lt;/author&gt;&lt;author&gt;Saraçi, Erisa&lt;/author&gt;&lt;author&gt;Cherevko, Serhiy&lt;/author&gt;&lt;author&gt;Grunwaldt, Jan-Dierk&lt;/author&gt;&lt;author&gt;Krewer, Ulrike&lt;/author&gt;&lt;/authors&gt;&lt;/contributors&gt;&lt;titles&gt;&lt;title&gt;Microkinetic Analysis of the Oxygen Evolution Performance at Different Stages of Iridium Oxide Degradation&lt;/title&gt;&lt;secondary-title&gt;Journal of the American Chemical Society&lt;/secondary-title&gt;&lt;/titles&gt;&lt;periodical&gt;&lt;full-title&gt;Journal of the American Chemical Society&lt;/full-title&gt;&lt;abbr-1&gt;J. Am. Chem. Soc.&lt;/abbr-1&gt;&lt;abbr-2&gt;J Am Chem Soc&lt;/abbr-2&gt;&lt;/periodical&gt;&lt;pages&gt;13205-13217&lt;/pages&gt;&lt;volume&gt;144&lt;/volume&gt;&lt;number&gt;29&lt;/number&gt;&lt;dates&gt;&lt;year&gt;2022&lt;/year&gt;&lt;/dates&gt;&lt;publisher&gt;American Chemical Society&lt;/publisher&gt;&lt;urls&gt;&lt;related-urls&gt;&lt;url&gt;https://doi.org/10.1021/jacs.2c03561&lt;/url&gt;&lt;/related-urls&gt;&lt;/urls&gt;&lt;electronic-resource-num&gt;10.1021/jacs.2c03561&lt;/electronic-resource-num&gt;&lt;/record&gt;&lt;/Cite&gt;&lt;/EndNote&gt;</w:instrText>
      </w:r>
      <w:r>
        <w:rPr>
          <w:rFonts w:eastAsiaTheme="minorEastAsia"/>
        </w:rPr>
        <w:fldChar w:fldCharType="separate"/>
      </w:r>
      <w:r w:rsidR="00FC5BEB" w:rsidRPr="00FC5BEB">
        <w:rPr>
          <w:rFonts w:eastAsiaTheme="minorEastAsia"/>
          <w:noProof/>
          <w:vertAlign w:val="superscript"/>
        </w:rPr>
        <w:t>521</w:t>
      </w:r>
      <w:r>
        <w:rPr>
          <w:rFonts w:eastAsiaTheme="minorEastAsia"/>
        </w:rPr>
        <w:fldChar w:fldCharType="end"/>
      </w:r>
      <w:r>
        <w:rPr>
          <w:rFonts w:eastAsiaTheme="minorEastAsia"/>
        </w:rPr>
        <w:t xml:space="preserve"> who modeled the OER on nanoparticulated rutile IrO</w:t>
      </w:r>
      <w:r w:rsidRPr="0039108B">
        <w:rPr>
          <w:rFonts w:eastAsiaTheme="minorEastAsia"/>
          <w:vertAlign w:val="subscript"/>
        </w:rPr>
        <w:t>2</w:t>
      </w:r>
      <w:r>
        <w:rPr>
          <w:rFonts w:eastAsiaTheme="minorEastAsia"/>
        </w:rPr>
        <w:t>. The authors postulated a single site model consisting of the usual adsorbate evolution mechanism via 4 PCET steps where the O-O bond takes place through the formation of the *OOH intermediate, but also explicitly included three chemical steps, namely the adsorption of water at a vacant site and at an oxygen adsorbate, as well as the desorption of molecular oxygen (see</w:t>
      </w:r>
      <w:r w:rsidR="000206E0">
        <w:rPr>
          <w:rFonts w:eastAsiaTheme="minorEastAsia"/>
        </w:rPr>
        <w:t xml:space="preserve"> </w:t>
      </w:r>
      <w:r w:rsidR="000206E0">
        <w:rPr>
          <w:rFonts w:eastAsiaTheme="minorEastAsia"/>
        </w:rPr>
        <w:fldChar w:fldCharType="begin"/>
      </w:r>
      <w:r w:rsidR="000206E0">
        <w:rPr>
          <w:rFonts w:eastAsiaTheme="minorEastAsia"/>
        </w:rPr>
        <w:instrText xml:space="preserve"> REF _Ref154069138 \h </w:instrText>
      </w:r>
      <w:r w:rsidR="000206E0">
        <w:rPr>
          <w:rFonts w:eastAsiaTheme="minorEastAsia"/>
        </w:rPr>
      </w:r>
      <w:r w:rsidR="000206E0">
        <w:rPr>
          <w:rFonts w:eastAsiaTheme="minorEastAsia"/>
        </w:rPr>
        <w:fldChar w:fldCharType="separate"/>
      </w:r>
      <w:r w:rsidR="00B7319C" w:rsidRPr="00152436">
        <w:rPr>
          <w:b/>
        </w:rPr>
        <w:t xml:space="preserve">Figure </w:t>
      </w:r>
      <w:r w:rsidR="00B7319C">
        <w:rPr>
          <w:b/>
          <w:bCs/>
          <w:noProof/>
        </w:rPr>
        <w:t>59</w:t>
      </w:r>
      <w:r w:rsidR="000206E0">
        <w:rPr>
          <w:rFonts w:eastAsiaTheme="minorEastAsia"/>
        </w:rPr>
        <w:fldChar w:fldCharType="end"/>
      </w:r>
      <w:r w:rsidR="000206E0" w:rsidRPr="00E91E6E">
        <w:rPr>
          <w:rFonts w:eastAsiaTheme="minorEastAsia"/>
          <w:b/>
          <w:bCs/>
        </w:rPr>
        <w:t>a</w:t>
      </w:r>
      <w:r>
        <w:rPr>
          <w:rFonts w:eastAsiaTheme="minorEastAsia"/>
        </w:rPr>
        <w:t xml:space="preserve">). The authors assumed for each electrochemical step a Butler-Volmer expression for the rate constant and, at variance with the models discussed so far, did not assume either the quasi-equilibrium approximation nor did they limit themselves to the steady-state conditions; they considered the </w:t>
      </w:r>
      <w:r w:rsidR="00495FF0">
        <w:rPr>
          <w:rFonts w:eastAsiaTheme="minorEastAsia"/>
        </w:rPr>
        <w:t>full-time</w:t>
      </w:r>
      <w:r>
        <w:rPr>
          <w:rFonts w:eastAsiaTheme="minorEastAsia"/>
        </w:rPr>
        <w:t xml:space="preserve"> evolution of the current density as a function of a linearly varying applied potential as obtained from cyclic voltammograms at various scan rates. The symmetry factors in all electrochemical steps were fixed to 0.5 and the pre-exponential frequency factor for all steps were set to a fixed value. The fitted parameters include the activation energies and reaction energy, the double layer capacitance and the density of active sites.</w:t>
      </w:r>
    </w:p>
    <w:p w14:paraId="370026F9" w14:textId="77777777" w:rsidR="004E483C" w:rsidRDefault="004E483C" w:rsidP="004E483C">
      <w:pPr>
        <w:rPr>
          <w:rFonts w:eastAsiaTheme="minorEastAsia"/>
        </w:rPr>
      </w:pPr>
    </w:p>
    <w:p w14:paraId="1BE3DDB3" w14:textId="2D35A63A" w:rsidR="004E483C" w:rsidRDefault="000206E0" w:rsidP="009A7A69">
      <w:pPr>
        <w:keepNext/>
        <w:jc w:val="center"/>
      </w:pPr>
      <w:r>
        <w:rPr>
          <w:noProof/>
          <w14:ligatures w14:val="standardContextual"/>
        </w:rPr>
        <w:lastRenderedPageBreak/>
        <w:drawing>
          <wp:inline distT="0" distB="0" distL="0" distR="0" wp14:anchorId="26C68906" wp14:editId="7D493AD6">
            <wp:extent cx="3590406" cy="2880360"/>
            <wp:effectExtent l="0" t="0" r="3810" b="2540"/>
            <wp:docPr id="1952466104" name="Picture 2" descr="A collage of diagrams showing different types of potential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2466104" name="Picture 2" descr="A collage of diagrams showing different types of potentials&#10;&#10;Description automatically generated with medium confidence"/>
                    <pic:cNvPicPr/>
                  </pic:nvPicPr>
                  <pic:blipFill>
                    <a:blip r:embed="rId69" cstate="print">
                      <a:extLst>
                        <a:ext uri="{28A0092B-C50C-407E-A947-70E740481C1C}">
                          <a14:useLocalDpi xmlns:a14="http://schemas.microsoft.com/office/drawing/2010/main" val="0"/>
                        </a:ext>
                      </a:extLst>
                    </a:blip>
                    <a:stretch>
                      <a:fillRect/>
                    </a:stretch>
                  </pic:blipFill>
                  <pic:spPr>
                    <a:xfrm>
                      <a:off x="0" y="0"/>
                      <a:ext cx="3590406" cy="2880360"/>
                    </a:xfrm>
                    <a:prstGeom prst="rect">
                      <a:avLst/>
                    </a:prstGeom>
                  </pic:spPr>
                </pic:pic>
              </a:graphicData>
            </a:graphic>
          </wp:inline>
        </w:drawing>
      </w:r>
    </w:p>
    <w:p w14:paraId="0FBCDB32" w14:textId="569C9843" w:rsidR="004E483C" w:rsidRPr="008A3DE5" w:rsidRDefault="004E483C" w:rsidP="004E483C">
      <w:pPr>
        <w:pStyle w:val="Caption"/>
      </w:pPr>
      <w:bookmarkStart w:id="166" w:name="_Ref154069138"/>
      <w:r w:rsidRPr="00152436">
        <w:rPr>
          <w:b/>
          <w:bCs w:val="0"/>
          <w:sz w:val="22"/>
        </w:rPr>
        <w:t xml:space="preserve">Figure </w:t>
      </w:r>
      <w:r w:rsidRPr="00152436">
        <w:rPr>
          <w:b/>
          <w:bCs w:val="0"/>
          <w:sz w:val="22"/>
        </w:rPr>
        <w:fldChar w:fldCharType="begin"/>
      </w:r>
      <w:r w:rsidRPr="00152436">
        <w:rPr>
          <w:b/>
          <w:bCs w:val="0"/>
          <w:sz w:val="22"/>
        </w:rPr>
        <w:instrText xml:space="preserve"> SEQ Figure \* ARABIC </w:instrText>
      </w:r>
      <w:r w:rsidRPr="00152436">
        <w:rPr>
          <w:b/>
          <w:bCs w:val="0"/>
          <w:sz w:val="22"/>
        </w:rPr>
        <w:fldChar w:fldCharType="separate"/>
      </w:r>
      <w:r w:rsidR="00B7319C">
        <w:rPr>
          <w:b/>
          <w:bCs w:val="0"/>
          <w:noProof/>
          <w:sz w:val="22"/>
        </w:rPr>
        <w:t>59</w:t>
      </w:r>
      <w:r w:rsidRPr="00152436">
        <w:rPr>
          <w:b/>
          <w:bCs w:val="0"/>
          <w:noProof/>
          <w:sz w:val="22"/>
        </w:rPr>
        <w:fldChar w:fldCharType="end"/>
      </w:r>
      <w:bookmarkEnd w:id="166"/>
      <w:r>
        <w:t xml:space="preserve"> </w:t>
      </w:r>
      <w:r w:rsidRPr="008A3DE5">
        <w:t>(a) Comparison of the experimental and simulated CV curves for a scan rate of 200 mV s</w:t>
      </w:r>
      <w:r w:rsidRPr="008A3DE5">
        <w:rPr>
          <w:vertAlign w:val="superscript"/>
        </w:rPr>
        <w:t>–1</w:t>
      </w:r>
      <w:r w:rsidRPr="008A3DE5">
        <w:t xml:space="preserve"> at the pristine state with the best set of parameters. (b) Identified reaction free-energy parameters for steps 1–6 at electrochemical standard conditions in comparison to DFT-calculated values reported in the literature. </w:t>
      </w:r>
      <w:r>
        <w:t>(</w:t>
      </w:r>
      <w:r w:rsidR="000206E0">
        <w:t>c</w:t>
      </w:r>
      <w:r>
        <w:t>)</w:t>
      </w:r>
      <w:r w:rsidRPr="008A3DE5">
        <w:t xml:space="preserve"> Experimental and simulated polarization curves for technically relevant potentials and the simulated change in elementary charge per active site. Experiments were repeated three times. (</w:t>
      </w:r>
      <w:r w:rsidR="000206E0">
        <w:t>d</w:t>
      </w:r>
      <w:r w:rsidRPr="008A3DE5">
        <w:t>) Corresponding surface coverages of the steady-state simulation.</w:t>
      </w:r>
      <w:r>
        <w:t xml:space="preserve"> Adapted from Ref.</w:t>
      </w:r>
      <w:r>
        <w:fldChar w:fldCharType="begin"/>
      </w:r>
      <w:r w:rsidR="00FC5BEB">
        <w:instrText xml:space="preserve"> ADDIN EN.CITE &lt;EndNote&gt;&lt;Cite&gt;&lt;Author&gt;Geppert&lt;/Author&gt;&lt;Year&gt;2022&lt;/Year&gt;&lt;RecNum&gt;519&lt;/RecNum&gt;&lt;DisplayText&gt;&lt;style face="superscript"&gt;521&lt;/style&gt;&lt;/DisplayText&gt;&lt;record&gt;&lt;rec-number&gt;519&lt;/rec-number&gt;&lt;foreign-keys&gt;&lt;key app="EN" db-id="2xex0erf4eexr4e2dpbxpdd829xttesxxxdr" timestamp="1715075297"&gt;519&lt;/key&gt;&lt;/foreign-keys&gt;&lt;ref-type name="Journal Article"&gt;17&lt;/ref-type&gt;&lt;contributors&gt;&lt;authors&gt;&lt;author&gt;Geppert, Janis&lt;/author&gt;&lt;author&gt;Röse, Philipp&lt;/author&gt;&lt;author&gt;Czioska, Steffen&lt;/author&gt;&lt;author&gt;Escalera-López, Daniel&lt;/author&gt;&lt;author&gt;Boubnov, Alexey&lt;/author&gt;&lt;author&gt;Saraçi, Erisa&lt;/author&gt;&lt;author&gt;Cherevko, Serhiy&lt;/author&gt;&lt;author&gt;Grunwaldt, Jan-Dierk&lt;/author&gt;&lt;author&gt;Krewer, Ulrike&lt;/author&gt;&lt;/authors&gt;&lt;/contributors&gt;&lt;titles&gt;&lt;title&gt;Microkinetic Analysis of the Oxygen Evolution Performance at Different Stages of Iridium Oxide Degradation&lt;/title&gt;&lt;secondary-title&gt;Journal of the American Chemical Society&lt;/secondary-title&gt;&lt;/titles&gt;&lt;periodical&gt;&lt;full-title&gt;Journal of the American Chemical Society&lt;/full-title&gt;&lt;abbr-1&gt;J. Am. Chem. Soc.&lt;/abbr-1&gt;&lt;abbr-2&gt;J Am Chem Soc&lt;/abbr-2&gt;&lt;/periodical&gt;&lt;pages&gt;13205-13217&lt;/pages&gt;&lt;volume&gt;144&lt;/volume&gt;&lt;number&gt;29&lt;/number&gt;&lt;dates&gt;&lt;year&gt;2022&lt;/year&gt;&lt;/dates&gt;&lt;publisher&gt;American Chemical Society&lt;/publisher&gt;&lt;urls&gt;&lt;related-urls&gt;&lt;url&gt;https://doi.org/10.1021/jacs.2c03561&lt;/url&gt;&lt;/related-urls&gt;&lt;/urls&gt;&lt;electronic-resource-num&gt;10.1021/jacs.2c03561&lt;/electronic-resource-num&gt;&lt;/record&gt;&lt;/Cite&gt;&lt;/EndNote&gt;</w:instrText>
      </w:r>
      <w:r>
        <w:fldChar w:fldCharType="separate"/>
      </w:r>
      <w:r w:rsidR="00FC5BEB" w:rsidRPr="00FC5BEB">
        <w:rPr>
          <w:noProof/>
          <w:vertAlign w:val="superscript"/>
        </w:rPr>
        <w:t>521</w:t>
      </w:r>
      <w:r>
        <w:fldChar w:fldCharType="end"/>
      </w:r>
      <w:r w:rsidR="001A246F">
        <w:t xml:space="preserve"> </w:t>
      </w:r>
      <w:r w:rsidR="001A246F" w:rsidRPr="001A246F">
        <w:rPr>
          <w:lang w:val="en-US"/>
        </w:rPr>
        <w:t xml:space="preserve">under the Creative Commons Attribution </w:t>
      </w:r>
      <w:r w:rsidR="001A246F">
        <w:rPr>
          <w:lang w:val="en-US"/>
        </w:rPr>
        <w:t>4</w:t>
      </w:r>
      <w:r w:rsidR="001A246F" w:rsidRPr="001A246F">
        <w:rPr>
          <w:lang w:val="en-US"/>
        </w:rPr>
        <w:t>.0 License</w:t>
      </w:r>
      <w:r w:rsidR="001A246F">
        <w:rPr>
          <w:lang w:val="en-US"/>
        </w:rPr>
        <w:t>.</w:t>
      </w:r>
    </w:p>
    <w:p w14:paraId="5B31C55C" w14:textId="412D21D7" w:rsidR="004E483C" w:rsidRPr="00F32B2A" w:rsidRDefault="004E483C" w:rsidP="004E483C">
      <w:pPr>
        <w:rPr>
          <w:rFonts w:eastAsiaTheme="minorEastAsia"/>
        </w:rPr>
      </w:pPr>
      <w:r w:rsidRPr="00F32B2A">
        <w:rPr>
          <w:rFonts w:eastAsiaTheme="minorEastAsia"/>
        </w:rPr>
        <w:fldChar w:fldCharType="begin"/>
      </w:r>
      <w:r w:rsidRPr="00F32B2A">
        <w:rPr>
          <w:rFonts w:eastAsiaTheme="minorEastAsia"/>
        </w:rPr>
        <w:instrText xml:space="preserve"> REF _Ref154069138 \h </w:instrText>
      </w:r>
      <w:r w:rsidRPr="00F32B2A">
        <w:rPr>
          <w:rFonts w:eastAsiaTheme="minorEastAsia"/>
        </w:rPr>
      </w:r>
      <w:r w:rsidRPr="00F32B2A">
        <w:rPr>
          <w:rFonts w:eastAsiaTheme="minorEastAsia"/>
        </w:rPr>
        <w:fldChar w:fldCharType="separate"/>
      </w:r>
      <w:r w:rsidR="00B7319C" w:rsidRPr="00152436">
        <w:rPr>
          <w:b/>
        </w:rPr>
        <w:t xml:space="preserve">Figure </w:t>
      </w:r>
      <w:r w:rsidR="00B7319C">
        <w:rPr>
          <w:b/>
          <w:bCs/>
          <w:noProof/>
        </w:rPr>
        <w:t>59</w:t>
      </w:r>
      <w:r w:rsidRPr="00F32B2A">
        <w:rPr>
          <w:rFonts w:eastAsiaTheme="minorEastAsia"/>
        </w:rPr>
        <w:fldChar w:fldCharType="end"/>
      </w:r>
      <w:r w:rsidRPr="00044BFD">
        <w:rPr>
          <w:rFonts w:eastAsiaTheme="minorEastAsia"/>
          <w:b/>
          <w:bCs/>
        </w:rPr>
        <w:t>b</w:t>
      </w:r>
      <w:r w:rsidRPr="00F32B2A">
        <w:rPr>
          <w:rFonts w:eastAsiaTheme="minorEastAsia"/>
        </w:rPr>
        <w:t xml:space="preserve"> shows that the reaction free energies for the elementary steps considered in the model fall within the range of values computed with DFT calculations reported in the literature, with the exception of water adsorption on a vacant site, which is predicted to be </w:t>
      </w:r>
      <w:proofErr w:type="spellStart"/>
      <w:r w:rsidRPr="00F32B2A">
        <w:rPr>
          <w:rFonts w:eastAsiaTheme="minorEastAsia"/>
        </w:rPr>
        <w:t>endoergonic</w:t>
      </w:r>
      <w:proofErr w:type="spellEnd"/>
      <w:r w:rsidRPr="00F32B2A">
        <w:rPr>
          <w:rFonts w:eastAsiaTheme="minorEastAsia"/>
        </w:rPr>
        <w:t xml:space="preserve"> (+0.11 eV) while theory predicts it to be strongly </w:t>
      </w:r>
      <w:proofErr w:type="spellStart"/>
      <w:r w:rsidRPr="00F32B2A">
        <w:rPr>
          <w:rFonts w:eastAsiaTheme="minorEastAsia"/>
        </w:rPr>
        <w:t>exoergonic</w:t>
      </w:r>
      <w:proofErr w:type="spellEnd"/>
      <w:r w:rsidRPr="00F32B2A">
        <w:rPr>
          <w:rFonts w:eastAsiaTheme="minorEastAsia"/>
        </w:rPr>
        <w:t xml:space="preserve"> (-0.</w:t>
      </w:r>
      <w:r>
        <w:rPr>
          <w:rFonts w:eastAsiaTheme="minorEastAsia"/>
        </w:rPr>
        <w:t>8</w:t>
      </w:r>
      <w:r w:rsidRPr="00F32B2A">
        <w:rPr>
          <w:rFonts w:eastAsiaTheme="minorEastAsia"/>
        </w:rPr>
        <w:t xml:space="preserve"> eV)</w:t>
      </w:r>
      <w:r>
        <w:rPr>
          <w:rFonts w:eastAsiaTheme="minorEastAsia"/>
        </w:rPr>
        <w:fldChar w:fldCharType="begin"/>
      </w:r>
      <w:r w:rsidR="00FC5BEB">
        <w:rPr>
          <w:rFonts w:eastAsiaTheme="minorEastAsia"/>
        </w:rPr>
        <w:instrText xml:space="preserve"> ADDIN EN.CITE &lt;EndNote&gt;&lt;Cite&gt;&lt;Author&gt;Dickens&lt;/Author&gt;&lt;Year&gt;2019&lt;/Year&gt;&lt;RecNum&gt;397&lt;/RecNum&gt;&lt;DisplayText&gt;&lt;style face="superscript"&gt;399&lt;/style&gt;&lt;/DisplayText&gt;&lt;record&gt;&lt;rec-number&gt;397&lt;/rec-number&gt;&lt;foreign-keys&gt;&lt;key app="EN" db-id="2xex0erf4eexr4e2dpbxpdd829xttesxxxdr" timestamp="1715075297"&gt;397&lt;/key&gt;&lt;/foreign-keys&gt;&lt;ref-type name="Journal Article"&gt;17&lt;/ref-type&gt;&lt;contributors&gt;&lt;authors&gt;&lt;author&gt;Dickens, Colin F.&lt;/author&gt;&lt;author&gt;Kirk, Charlotte&lt;/author&gt;&lt;author&gt;Nørskov, Jens K.&lt;/author&gt;&lt;/authors&gt;&lt;/contributors&gt;&lt;titles&gt;&lt;title&gt;Insights into the Electrochemical Oxygen Evolution Reaction with ab Initio Calculations and Microkinetic Modeling: Beyond the Limiting Potential Volcano&lt;/title&gt;&lt;secondary-title&gt;Journal of Physical Chemistry C&lt;/secondary-title&gt;&lt;/titles&gt;&lt;periodical&gt;&lt;full-title&gt;Journal of Physical Chemistry C&lt;/full-title&gt;&lt;abbr-1&gt;J. Phys. Chem. C&lt;/abbr-1&gt;&lt;/periodical&gt;&lt;pages&gt;18960-18977&lt;/pages&gt;&lt;volume&gt;123&lt;/volume&gt;&lt;number&gt;31&lt;/number&gt;&lt;dates&gt;&lt;year&gt;2019&lt;/year&gt;&lt;pub-dates&gt;&lt;date&gt;2019/08/08&lt;/date&gt;&lt;/pub-dates&gt;&lt;/dates&gt;&lt;publisher&gt;American Chemical Society&lt;/publisher&gt;&lt;isbn&gt;1932-7447&lt;/isbn&gt;&lt;urls&gt;&lt;related-urls&gt;&lt;url&gt;https://doi.org/10.1021/acs.jpcc.9b03830&lt;/url&gt;&lt;/related-urls&gt;&lt;/urls&gt;&lt;electronic-resource-num&gt;10.1021/acs.jpcc.9b03830&lt;/electronic-resource-num&gt;&lt;/record&gt;&lt;/Cite&gt;&lt;/EndNote&gt;</w:instrText>
      </w:r>
      <w:r>
        <w:rPr>
          <w:rFonts w:eastAsiaTheme="minorEastAsia"/>
        </w:rPr>
        <w:fldChar w:fldCharType="separate"/>
      </w:r>
      <w:r w:rsidR="00FC5BEB" w:rsidRPr="00FC5BEB">
        <w:rPr>
          <w:rFonts w:eastAsiaTheme="minorEastAsia"/>
          <w:noProof/>
          <w:vertAlign w:val="superscript"/>
        </w:rPr>
        <w:t>399</w:t>
      </w:r>
      <w:r>
        <w:rPr>
          <w:rFonts w:eastAsiaTheme="minorEastAsia"/>
        </w:rPr>
        <w:fldChar w:fldCharType="end"/>
      </w:r>
      <w:r w:rsidRPr="00F32B2A">
        <w:rPr>
          <w:rFonts w:eastAsiaTheme="minorEastAsia"/>
        </w:rPr>
        <w:t xml:space="preserve">. The resulting Tafel lines (see </w:t>
      </w:r>
      <w:r w:rsidRPr="00F32B2A">
        <w:rPr>
          <w:rFonts w:eastAsiaTheme="minorEastAsia"/>
        </w:rPr>
        <w:fldChar w:fldCharType="begin"/>
      </w:r>
      <w:r w:rsidRPr="00F32B2A">
        <w:rPr>
          <w:rFonts w:eastAsiaTheme="minorEastAsia"/>
        </w:rPr>
        <w:instrText xml:space="preserve"> REF _Ref154069138 \h </w:instrText>
      </w:r>
      <w:r w:rsidRPr="00F32B2A">
        <w:rPr>
          <w:rFonts w:eastAsiaTheme="minorEastAsia"/>
        </w:rPr>
      </w:r>
      <w:r w:rsidRPr="00F32B2A">
        <w:rPr>
          <w:rFonts w:eastAsiaTheme="minorEastAsia"/>
        </w:rPr>
        <w:fldChar w:fldCharType="separate"/>
      </w:r>
      <w:r w:rsidR="00B7319C" w:rsidRPr="00152436">
        <w:rPr>
          <w:b/>
        </w:rPr>
        <w:t xml:space="preserve">Figure </w:t>
      </w:r>
      <w:r w:rsidR="00B7319C">
        <w:rPr>
          <w:b/>
          <w:bCs/>
          <w:noProof/>
        </w:rPr>
        <w:t>59</w:t>
      </w:r>
      <w:r w:rsidRPr="00F32B2A">
        <w:rPr>
          <w:rFonts w:eastAsiaTheme="minorEastAsia"/>
        </w:rPr>
        <w:fldChar w:fldCharType="end"/>
      </w:r>
      <w:r w:rsidR="000206E0">
        <w:rPr>
          <w:rFonts w:eastAsiaTheme="minorEastAsia"/>
          <w:b/>
          <w:bCs/>
        </w:rPr>
        <w:t>c</w:t>
      </w:r>
      <w:r w:rsidRPr="00F32B2A">
        <w:rPr>
          <w:rFonts w:eastAsiaTheme="minorEastAsia"/>
        </w:rPr>
        <w:t xml:space="preserve">) closely match the experimental data. Analyzing the evolution of both the adsorbate coverages and the free energy diagram as a function of the applied bias, the authors stress that the continuous change in the Tafel slope is due to the fact that not only the deprotonation of *OOH is rate limiting but also the two chemical steps of water adsorption and oxygen desorption. Interestingly, the model predicts that above 1.6 V (RHE) half the surface is covered with either *OO or *OOH adsorbates. </w:t>
      </w:r>
      <w:r>
        <w:rPr>
          <w:rFonts w:eastAsiaTheme="minorEastAsia"/>
        </w:rPr>
        <w:t>A previous work on hydrous IrO</w:t>
      </w:r>
      <w:r w:rsidRPr="004B0B07">
        <w:rPr>
          <w:rFonts w:eastAsiaTheme="minorEastAsia"/>
          <w:vertAlign w:val="subscript"/>
        </w:rPr>
        <w:t>2</w:t>
      </w:r>
      <w:r>
        <w:rPr>
          <w:rFonts w:eastAsiaTheme="minorEastAsia"/>
        </w:rPr>
        <w:t xml:space="preserve"> by the same group</w:t>
      </w:r>
      <w:r>
        <w:rPr>
          <w:rFonts w:eastAsiaTheme="minorEastAsia"/>
        </w:rPr>
        <w:fldChar w:fldCharType="begin"/>
      </w:r>
      <w:r w:rsidR="00FC5BEB">
        <w:rPr>
          <w:rFonts w:eastAsiaTheme="minorEastAsia"/>
        </w:rPr>
        <w:instrText xml:space="preserve"> ADDIN EN.CITE &lt;EndNote&gt;&lt;Cite&gt;&lt;Author&gt;Geppert&lt;/Author&gt;&lt;Year&gt;2021&lt;/Year&gt;&lt;RecNum&gt;520&lt;/RecNum&gt;&lt;DisplayText&gt;&lt;style face="superscript"&gt;522&lt;/style&gt;&lt;/DisplayText&gt;&lt;record&gt;&lt;rec-number&gt;520&lt;/rec-number&gt;&lt;foreign-keys&gt;&lt;key app="EN" db-id="2xex0erf4eexr4e2dpbxpdd829xttesxxxdr" timestamp="1715075297"&gt;520&lt;/key&gt;&lt;/foreign-keys&gt;&lt;ref-type name="Journal Article"&gt;17&lt;/ref-type&gt;&lt;contributors&gt;&lt;authors&gt;&lt;author&gt;Geppert, Janis&lt;/author&gt;&lt;author&gt;Kubannek, Fabian&lt;/author&gt;&lt;author&gt;Röse, Philipp&lt;/author&gt;&lt;author&gt;Krewer, Ulrike&lt;/author&gt;&lt;/authors&gt;&lt;/contributors&gt;&lt;titles&gt;&lt;title&gt;Identifying the oxygen evolution mechanism by microkinetic modelling of cyclic voltammograms&lt;/title&gt;&lt;secondary-title&gt;Electrochimica Acta&lt;/secondary-title&gt;&lt;/titles&gt;&lt;periodical&gt;&lt;full-title&gt;Electrochimica Acta&lt;/full-title&gt;&lt;abbr-1&gt;Electrochim. Acta&lt;/abbr-1&gt;&lt;abbr-2&gt;Electrochim Acta&lt;/abbr-2&gt;&lt;/periodical&gt;&lt;pages&gt;137902&lt;/pages&gt;&lt;volume&gt;380&lt;/volume&gt;&lt;keywords&gt;&lt;keyword&gt;Hydrous iridium&lt;/keyword&gt;&lt;keyword&gt;Oxygen evolution reaction&lt;/keyword&gt;&lt;keyword&gt;Mechanistic study&lt;/keyword&gt;&lt;keyword&gt;Reaction kinetics&lt;/keyword&gt;&lt;keyword&gt;Surface coverage&lt;/keyword&gt;&lt;keyword&gt;Electrocatalytic watersplitting&lt;/keyword&gt;&lt;keyword&gt;Dynamic simulation&lt;/keyword&gt;&lt;/keywords&gt;&lt;dates&gt;&lt;year&gt;2021&lt;/year&gt;&lt;pub-dates&gt;&lt;date&gt;2021/06/01/&lt;/date&gt;&lt;/pub-dates&gt;&lt;/dates&gt;&lt;isbn&gt;0013-4686&lt;/isbn&gt;&lt;urls&gt;&lt;related-urls&gt;&lt;url&gt;https://www.sciencedirect.com/science/article/pii/S0013468621001924&lt;/url&gt;&lt;/related-urls&gt;&lt;/urls&gt;&lt;electronic-resource-num&gt;https://doi.org/10.1016/j.electacta.2021.137902&lt;/electronic-resource-num&gt;&lt;/record&gt;&lt;/Cite&gt;&lt;/EndNote&gt;</w:instrText>
      </w:r>
      <w:r>
        <w:rPr>
          <w:rFonts w:eastAsiaTheme="minorEastAsia"/>
        </w:rPr>
        <w:fldChar w:fldCharType="separate"/>
      </w:r>
      <w:r w:rsidR="00FC5BEB" w:rsidRPr="00FC5BEB">
        <w:rPr>
          <w:rFonts w:eastAsiaTheme="minorEastAsia"/>
          <w:noProof/>
          <w:vertAlign w:val="superscript"/>
        </w:rPr>
        <w:t>522</w:t>
      </w:r>
      <w:r>
        <w:rPr>
          <w:rFonts w:eastAsiaTheme="minorEastAsia"/>
        </w:rPr>
        <w:fldChar w:fldCharType="end"/>
      </w:r>
      <w:r>
        <w:rPr>
          <w:rFonts w:eastAsiaTheme="minorEastAsia"/>
        </w:rPr>
        <w:t xml:space="preserve">, based on the same approach, predicted water adsorption to be strongly </w:t>
      </w:r>
      <w:proofErr w:type="spellStart"/>
      <w:r w:rsidRPr="00F32B2A">
        <w:rPr>
          <w:rFonts w:eastAsiaTheme="minorEastAsia"/>
        </w:rPr>
        <w:t>exoergonic</w:t>
      </w:r>
      <w:proofErr w:type="spellEnd"/>
      <w:r w:rsidRPr="00F32B2A">
        <w:rPr>
          <w:rFonts w:eastAsiaTheme="minorEastAsia"/>
        </w:rPr>
        <w:t xml:space="preserve"> </w:t>
      </w:r>
      <w:r>
        <w:rPr>
          <w:rFonts w:eastAsiaTheme="minorEastAsia"/>
        </w:rPr>
        <w:t xml:space="preserve">(-1.37 eV) and the coverages of *OO and *OOH at OER evolution potentials are negligibly small. </w:t>
      </w:r>
      <w:r w:rsidR="00FE64CB" w:rsidRPr="00FE64CB">
        <w:rPr>
          <w:rFonts w:eastAsiaTheme="minorEastAsia"/>
          <w:i/>
        </w:rPr>
        <w:t>Operando</w:t>
      </w:r>
      <w:r w:rsidRPr="00F32B2A">
        <w:rPr>
          <w:rFonts w:eastAsiaTheme="minorEastAsia"/>
        </w:rPr>
        <w:t xml:space="preserve"> measurements able to detect spectroscopic features associated with the O-O bond (e.g. vibrational spectroscopy) could be used to validate this prediction. </w:t>
      </w:r>
    </w:p>
    <w:p w14:paraId="61634659" w14:textId="77777777" w:rsidR="005C7322" w:rsidRDefault="005C7322" w:rsidP="00AD54F9"/>
    <w:p w14:paraId="4E2AA605" w14:textId="29AEE3B0" w:rsidR="006C1C9C" w:rsidRPr="002C1460" w:rsidRDefault="006C1C9C" w:rsidP="00BC7855">
      <w:pPr>
        <w:pStyle w:val="Heading2"/>
      </w:pPr>
      <w:bookmarkStart w:id="167" w:name="_Toc166441752"/>
      <w:r w:rsidRPr="002C1460">
        <w:t>Oxyhydroxides</w:t>
      </w:r>
      <w:bookmarkEnd w:id="167"/>
      <w:r w:rsidRPr="002C1460">
        <w:t xml:space="preserve"> </w:t>
      </w:r>
    </w:p>
    <w:p w14:paraId="552FFEBB" w14:textId="77777777" w:rsidR="006C1C9C" w:rsidRDefault="006C1C9C" w:rsidP="006C1C9C"/>
    <w:p w14:paraId="2D4C41DF" w14:textId="38249EA5" w:rsidR="006C1C9C" w:rsidRDefault="006C1C9C" w:rsidP="00EC6677">
      <w:pPr>
        <w:ind w:firstLine="720"/>
      </w:pPr>
      <w:r w:rsidRPr="00947392">
        <w:t xml:space="preserve">Using </w:t>
      </w:r>
      <w:r>
        <w:t>a grand canonical scheme coupled with the CANDLE implicit model for the solvent</w:t>
      </w:r>
      <w:r w:rsidRPr="00947392">
        <w:t>, Xiao et al.</w:t>
      </w:r>
      <w:r w:rsidR="009513F7">
        <w:fldChar w:fldCharType="begin"/>
      </w:r>
      <w:r w:rsidR="009F6662">
        <w:instrText xml:space="preserve"> ADDIN EN.CITE &lt;EndNote&gt;&lt;Cite&gt;&lt;Author&gt;Xiao&lt;/Author&gt;&lt;Year&gt;2018&lt;/Year&gt;&lt;RecNum&gt;65&lt;/RecNum&gt;&lt;DisplayText&gt;&lt;style face="superscript"&gt;65&lt;/style&gt;&lt;/DisplayText&gt;&lt;record&gt;&lt;rec-number&gt;65&lt;/rec-number&gt;&lt;foreign-keys&gt;&lt;key app="EN" db-id="2xex0erf4eexr4e2dpbxpdd829xttesxxxdr" timestamp="1715075296"&gt;65&lt;/key&gt;&lt;/foreign-keys&gt;&lt;ref-type name="Journal Article"&gt;17&lt;/ref-type&gt;&lt;contributors&gt;&lt;authors&gt;&lt;author&gt;Xiao, Hai&lt;/author&gt;&lt;author&gt;Shin, Hyeyoung&lt;/author&gt;&lt;author&gt;Goddard, William A.&lt;/author&gt;&lt;/authors&gt;&lt;/contributors&gt;&lt;titles&gt;&lt;title&gt;Synergy between Fe and Ni in the optimal performance of (Ni,Fe)OOH catalysts for the oxygen evolution reaction&lt;/title&gt;&lt;secondary-title&gt;Proceedings of the National Academy of Sciences of the United States of America&lt;/secondary-title&gt;&lt;/titles&gt;&lt;periodical&gt;&lt;full-title&gt;Proceedings of the National Academy of Sciences of the United States of America&lt;/full-title&gt;&lt;abbr-1&gt;Proc. Natl. Acad. Sci. U.S.A.&lt;/abbr-1&gt;&lt;abbr-2&gt;Proc Natl Acad Sci USA&lt;/abbr-2&gt;&lt;/periodical&gt;&lt;pages&gt;5872-5877&lt;/pages&gt;&lt;volume&gt;115&lt;/volume&gt;&lt;number&gt;23&lt;/number&gt;&lt;dates&gt;&lt;year&gt;2018&lt;/year&gt;&lt;/dates&gt;&lt;urls&gt;&lt;related-urls&gt;&lt;url&gt;https://www.pnas.org/doi/abs/10.1073/pnas.1722034115&lt;/url&gt;&lt;/related-urls&gt;&lt;/urls&gt;&lt;electronic-resource-num&gt;doi:10.1073/pnas.1722034115&lt;/electronic-resource-num&gt;&lt;/record&gt;&lt;/Cite&gt;&lt;/EndNote&gt;</w:instrText>
      </w:r>
      <w:r w:rsidR="009513F7">
        <w:fldChar w:fldCharType="separate"/>
      </w:r>
      <w:r w:rsidR="009F6662" w:rsidRPr="009F6662">
        <w:rPr>
          <w:noProof/>
          <w:vertAlign w:val="superscript"/>
        </w:rPr>
        <w:t>65</w:t>
      </w:r>
      <w:r w:rsidR="009513F7">
        <w:fldChar w:fldCharType="end"/>
      </w:r>
      <w:r>
        <w:t xml:space="preserve"> investigated the OER on (</w:t>
      </w:r>
      <w:proofErr w:type="spellStart"/>
      <w:r>
        <w:t>Ni,Fe</w:t>
      </w:r>
      <w:proofErr w:type="spellEnd"/>
      <w:r>
        <w:t xml:space="preserve">)OOH electrocatalysts, considering the (100) surface of the </w:t>
      </w:r>
      <w:r w:rsidRPr="007B76E1">
        <w:rPr>
          <w:rFonts w:ascii="Symbol" w:hAnsi="Symbol"/>
        </w:rPr>
        <w:t></w:t>
      </w:r>
      <w:r>
        <w:t>-phase. They identified the</w:t>
      </w:r>
      <w:r w:rsidRPr="000F7FF9">
        <w:t xml:space="preserve"> </w:t>
      </w:r>
      <w:r>
        <w:t>formation o</w:t>
      </w:r>
      <w:r w:rsidR="00871852">
        <w:t>f</w:t>
      </w:r>
      <w:r>
        <w:t xml:space="preserve"> a </w:t>
      </w:r>
      <w:r>
        <w:sym w:font="Symbol" w:char="F06D"/>
      </w:r>
      <w:r>
        <w:rPr>
          <w:vertAlign w:val="subscript"/>
        </w:rPr>
        <w:t>1</w:t>
      </w:r>
      <w:r>
        <w:t>-O</w:t>
      </w:r>
      <w:r w:rsidRPr="000F7FF9">
        <w:t xml:space="preserve"> </w:t>
      </w:r>
      <w:proofErr w:type="spellStart"/>
      <w:r>
        <w:t>oxyl</w:t>
      </w:r>
      <w:proofErr w:type="spellEnd"/>
      <w:r>
        <w:t xml:space="preserve"> </w:t>
      </w:r>
      <w:r w:rsidRPr="000F7FF9">
        <w:t>radical species</w:t>
      </w:r>
      <w:r>
        <w:t xml:space="preserve"> </w:t>
      </w:r>
      <w:r w:rsidRPr="000F7FF9">
        <w:t>and the subsequent O–O coupling</w:t>
      </w:r>
      <w:r>
        <w:t xml:space="preserve"> as the two key steps in the OER</w:t>
      </w:r>
      <w:r w:rsidRPr="000F7FF9">
        <w:t xml:space="preserve">. </w:t>
      </w:r>
      <w:r>
        <w:t xml:space="preserve">The role of Fe surface atoms, in </w:t>
      </w:r>
      <w:r w:rsidRPr="000F7FF9">
        <w:t>d</w:t>
      </w:r>
      <w:r w:rsidRPr="00C5419E">
        <w:rPr>
          <w:vertAlign w:val="superscript"/>
        </w:rPr>
        <w:t>4</w:t>
      </w:r>
      <w:r w:rsidRPr="000F7FF9">
        <w:t xml:space="preserve"> </w:t>
      </w:r>
      <w:proofErr w:type="gramStart"/>
      <w:r w:rsidRPr="000F7FF9">
        <w:t>Fe(</w:t>
      </w:r>
      <w:proofErr w:type="gramEnd"/>
      <w:r w:rsidRPr="000F7FF9">
        <w:t xml:space="preserve">IV) </w:t>
      </w:r>
      <w:r>
        <w:t xml:space="preserve">oxidation state, favors the formation of the radical, while the O-O coupling takes place at a surface </w:t>
      </w:r>
      <w:r w:rsidRPr="000F7FF9">
        <w:t>closed shell d</w:t>
      </w:r>
      <w:r w:rsidRPr="00C5419E">
        <w:rPr>
          <w:vertAlign w:val="superscript"/>
        </w:rPr>
        <w:t>6</w:t>
      </w:r>
      <w:r w:rsidRPr="000F7FF9">
        <w:t xml:space="preserve"> Ni(IV) </w:t>
      </w:r>
      <w:r>
        <w:t xml:space="preserve">site. On pure </w:t>
      </w:r>
      <w:r w:rsidRPr="007B76E1">
        <w:rPr>
          <w:rFonts w:ascii="Symbol" w:hAnsi="Symbol"/>
        </w:rPr>
        <w:t></w:t>
      </w:r>
      <w:r>
        <w:t>-</w:t>
      </w:r>
      <w:proofErr w:type="spellStart"/>
      <w:r>
        <w:t>NiOOH</w:t>
      </w:r>
      <w:proofErr w:type="spellEnd"/>
      <w:r>
        <w:t>, creating the O radical is the most demanding step (</w:t>
      </w:r>
      <w:r w:rsidRPr="00AA2C38">
        <w:rPr>
          <w:rFonts w:ascii="Symbol" w:hAnsi="Symbol"/>
        </w:rPr>
        <w:t></w:t>
      </w:r>
      <w:r w:rsidRPr="00C50F43">
        <w:rPr>
          <w:i/>
          <w:iCs/>
        </w:rPr>
        <w:t>G</w:t>
      </w:r>
      <w:r>
        <w:t xml:space="preserve">=2.44 V) and the dissociative adsorption of water, leading to the O-O bond formation via the </w:t>
      </w:r>
      <w:proofErr w:type="spellStart"/>
      <w:r>
        <w:t>hydroperoxo</w:t>
      </w:r>
      <w:proofErr w:type="spellEnd"/>
      <w:r>
        <w:t xml:space="preserve"> *OOH ligand, has an activation energy of 0.48 eV (see </w:t>
      </w:r>
      <w:r>
        <w:fldChar w:fldCharType="begin"/>
      </w:r>
      <w:r>
        <w:instrText xml:space="preserve"> REF _Ref152146823 \h </w:instrText>
      </w:r>
      <w:r>
        <w:fldChar w:fldCharType="separate"/>
      </w:r>
      <w:r w:rsidR="00B7319C" w:rsidRPr="00EC6677">
        <w:rPr>
          <w:b/>
        </w:rPr>
        <w:t xml:space="preserve">Figure </w:t>
      </w:r>
      <w:r w:rsidR="00B7319C">
        <w:rPr>
          <w:b/>
          <w:bCs/>
          <w:noProof/>
        </w:rPr>
        <w:t>60</w:t>
      </w:r>
      <w:r>
        <w:fldChar w:fldCharType="end"/>
      </w:r>
      <w:r>
        <w:t>). The final release of O</w:t>
      </w:r>
      <w:r w:rsidRPr="00AA2C38">
        <w:rPr>
          <w:vertAlign w:val="subscript"/>
        </w:rPr>
        <w:t>2</w:t>
      </w:r>
      <w:r>
        <w:t xml:space="preserve"> has a barrier of 0.4 eV in PBE calculations while it is not activated with the B3PW91 functional, a large discrepancy suggesting that, at least for this step, the role of exact exchange plays a crucial role. To compute the current density (</w:t>
      </w:r>
      <w:r w:rsidRPr="00024106">
        <w:rPr>
          <w:i/>
        </w:rPr>
        <w:t>j</w:t>
      </w:r>
      <w:r>
        <w:rPr>
          <w:iCs/>
        </w:rPr>
        <w:t>)</w:t>
      </w:r>
      <w:r>
        <w:t xml:space="preserve"> as function of the applied bias, the authors built a microkinetic model assuming a single RDS, while all other steps are treated as quasi-equilibrated. The OER rate is then given by</w:t>
      </w:r>
      <w:r w:rsidRPr="00A000F4">
        <w:t xml:space="preserve"> </w:t>
      </w:r>
      <m:oMath>
        <m:sSub>
          <m:sSubPr>
            <m:ctrlPr>
              <w:rPr>
                <w:rFonts w:ascii="Cambria Math" w:hAnsi="Cambria Math"/>
                <w:i/>
              </w:rPr>
            </m:ctrlPr>
          </m:sSubPr>
          <m:e>
            <m:r>
              <w:rPr>
                <w:rFonts w:ascii="Cambria Math" w:hAnsi="Cambria Math"/>
              </w:rPr>
              <m:t>r</m:t>
            </m:r>
          </m:e>
          <m:sub>
            <m:r>
              <m:rPr>
                <m:sty m:val="p"/>
              </m:rPr>
              <w:rPr>
                <w:rFonts w:ascii="Cambria Math" w:hAnsi="Cambria Math"/>
              </w:rPr>
              <m:t>OER</m:t>
            </m:r>
          </m:sub>
        </m:sSub>
        <m:r>
          <w:rPr>
            <w:rFonts w:ascii="Cambria Math" w:hAnsi="Cambria Math"/>
          </w:rPr>
          <m:t>(U)= c[*</m:t>
        </m:r>
        <m:sSup>
          <m:sSupPr>
            <m:ctrlPr>
              <w:rPr>
                <w:rFonts w:ascii="Cambria Math" w:hAnsi="Cambria Math"/>
                <w:iCs/>
              </w:rPr>
            </m:ctrlPr>
          </m:sSupPr>
          <m:e>
            <m:r>
              <m:rPr>
                <m:sty m:val="p"/>
              </m:rPr>
              <w:rPr>
                <w:rFonts w:ascii="Cambria Math" w:hAnsi="Cambria Math"/>
              </w:rPr>
              <m:t>O</m:t>
            </m:r>
          </m:e>
          <m:sup>
            <m:r>
              <m:rPr>
                <m:sty m:val="p"/>
              </m:rPr>
              <w:rPr>
                <w:rFonts w:ascii="Cambria Math" w:hAnsi="Cambria Math"/>
              </w:rPr>
              <m:t>∙</m:t>
            </m:r>
          </m:sup>
        </m:sSup>
        <m:r>
          <w:rPr>
            <w:rFonts w:ascii="Cambria Math" w:hAnsi="Cambria Math"/>
          </w:rPr>
          <m:t>](</m:t>
        </m:r>
        <m:sSub>
          <m:sSubPr>
            <m:ctrlPr>
              <w:rPr>
                <w:rFonts w:ascii="Cambria Math" w:hAnsi="Cambria Math"/>
                <w:i/>
              </w:rPr>
            </m:ctrlPr>
          </m:sSubPr>
          <m:e>
            <m:r>
              <w:rPr>
                <w:rFonts w:ascii="Cambria Math" w:hAnsi="Cambria Math"/>
              </w:rPr>
              <m:t>k</m:t>
            </m:r>
          </m:e>
          <m:sub>
            <m:r>
              <m:rPr>
                <m:sty m:val="p"/>
              </m:rPr>
              <w:rPr>
                <w:rFonts w:ascii="Cambria Math" w:hAnsi="Cambria Math"/>
              </w:rPr>
              <m:t>B</m:t>
            </m:r>
          </m:sub>
        </m:sSub>
        <m:r>
          <w:rPr>
            <w:rFonts w:ascii="Cambria Math" w:hAnsi="Cambria Math"/>
          </w:rPr>
          <m:t>T/h)</m:t>
        </m:r>
        <m:sSup>
          <m:sSupPr>
            <m:ctrlPr>
              <w:rPr>
                <w:rFonts w:ascii="Cambria Math" w:hAnsi="Cambria Math"/>
                <w:i/>
              </w:rPr>
            </m:ctrlPr>
          </m:sSupPr>
          <m:e>
            <m:r>
              <m:rPr>
                <m:sty m:val="p"/>
              </m:rPr>
              <w:rPr>
                <w:rFonts w:ascii="Cambria Math" w:hAnsi="Cambria Math"/>
              </w:rPr>
              <m:t>e</m:t>
            </m:r>
          </m:e>
          <m:sup>
            <m:r>
              <w:rPr>
                <w:rFonts w:ascii="Cambria Math" w:hAnsi="Cambria Math"/>
              </w:rPr>
              <m:t>-∆</m:t>
            </m:r>
            <m:sSup>
              <m:sSupPr>
                <m:ctrlPr>
                  <w:rPr>
                    <w:rFonts w:ascii="Cambria Math" w:hAnsi="Cambria Math"/>
                    <w:i/>
                  </w:rPr>
                </m:ctrlPr>
              </m:sSupPr>
              <m:e>
                <m:r>
                  <w:rPr>
                    <w:rFonts w:ascii="Cambria Math" w:hAnsi="Cambria Math"/>
                  </w:rPr>
                  <m:t>G</m:t>
                </m:r>
              </m:e>
              <m:sup>
                <m:r>
                  <w:rPr>
                    <w:rFonts w:ascii="Cambria Math" w:hAnsi="Cambria Math"/>
                  </w:rPr>
                  <m:t>a</m:t>
                </m:r>
              </m:sup>
            </m:sSup>
            <m:r>
              <w:rPr>
                <w:rFonts w:ascii="Cambria Math" w:hAnsi="Cambria Math"/>
              </w:rPr>
              <m:t>(U)/</m:t>
            </m:r>
            <m:sSub>
              <m:sSubPr>
                <m:ctrlPr>
                  <w:rPr>
                    <w:rFonts w:ascii="Cambria Math" w:hAnsi="Cambria Math"/>
                    <w:i/>
                  </w:rPr>
                </m:ctrlPr>
              </m:sSubPr>
              <m:e>
                <m:r>
                  <w:rPr>
                    <w:rFonts w:ascii="Cambria Math" w:hAnsi="Cambria Math"/>
                  </w:rPr>
                  <m:t>k</m:t>
                </m:r>
              </m:e>
              <m:sub>
                <m:r>
                  <m:rPr>
                    <m:sty m:val="p"/>
                  </m:rPr>
                  <w:rPr>
                    <w:rFonts w:ascii="Cambria Math" w:hAnsi="Cambria Math"/>
                  </w:rPr>
                  <m:t>B</m:t>
                </m:r>
              </m:sub>
            </m:sSub>
            <m:r>
              <w:rPr>
                <w:rFonts w:ascii="Cambria Math" w:hAnsi="Cambria Math"/>
              </w:rPr>
              <m:t>T</m:t>
            </m:r>
          </m:sup>
        </m:sSup>
      </m:oMath>
      <w:r>
        <w:t xml:space="preserve">, </w:t>
      </w:r>
      <w:r w:rsidRPr="00A000F4">
        <w:t xml:space="preserve">where </w:t>
      </w:r>
      <m:oMath>
        <m:r>
          <w:rPr>
            <w:rFonts w:ascii="Cambria Math" w:hAnsi="Cambria Math"/>
          </w:rPr>
          <m:t>c[*</m:t>
        </m:r>
        <m:sSup>
          <m:sSupPr>
            <m:ctrlPr>
              <w:rPr>
                <w:rFonts w:ascii="Cambria Math" w:hAnsi="Cambria Math"/>
                <w:iCs/>
              </w:rPr>
            </m:ctrlPr>
          </m:sSupPr>
          <m:e>
            <m:r>
              <m:rPr>
                <m:sty m:val="p"/>
              </m:rPr>
              <w:rPr>
                <w:rFonts w:ascii="Cambria Math" w:hAnsi="Cambria Math"/>
              </w:rPr>
              <m:t>O</m:t>
            </m:r>
          </m:e>
          <m:sup>
            <m:r>
              <m:rPr>
                <m:sty m:val="p"/>
              </m:rPr>
              <w:rPr>
                <w:rFonts w:ascii="Cambria Math" w:hAnsi="Cambria Math"/>
              </w:rPr>
              <m:t>∙</m:t>
            </m:r>
          </m:sup>
        </m:sSup>
        <m:r>
          <w:rPr>
            <w:rFonts w:ascii="Cambria Math" w:hAnsi="Cambria Math"/>
          </w:rPr>
          <m:t xml:space="preserve">] </m:t>
        </m:r>
      </m:oMath>
      <w:r>
        <w:t xml:space="preserve">is the surface concentration of the </w:t>
      </w:r>
      <m:oMath>
        <m:sSup>
          <m:sSupPr>
            <m:ctrlPr>
              <w:rPr>
                <w:rFonts w:ascii="Cambria Math" w:hAnsi="Cambria Math"/>
                <w:iCs/>
              </w:rPr>
            </m:ctrlPr>
          </m:sSupPr>
          <m:e>
            <m:r>
              <m:rPr>
                <m:sty m:val="p"/>
              </m:rPr>
              <w:rPr>
                <w:rFonts w:ascii="Cambria Math" w:hAnsi="Cambria Math"/>
              </w:rPr>
              <m:t>O</m:t>
            </m:r>
          </m:e>
          <m:sup>
            <m:r>
              <m:rPr>
                <m:sty m:val="p"/>
              </m:rPr>
              <w:rPr>
                <w:rFonts w:ascii="Cambria Math" w:hAnsi="Cambria Math"/>
              </w:rPr>
              <m:t>∙</m:t>
            </m:r>
          </m:sup>
        </m:sSup>
      </m:oMath>
      <w:r>
        <w:t xml:space="preserve"> radical species, </w:t>
      </w:r>
      <m:oMath>
        <m:r>
          <w:rPr>
            <w:rFonts w:ascii="Cambria Math" w:hAnsi="Cambria Math"/>
          </w:rPr>
          <m:t>∆</m:t>
        </m:r>
        <m:sSup>
          <m:sSupPr>
            <m:ctrlPr>
              <w:rPr>
                <w:rFonts w:ascii="Cambria Math" w:hAnsi="Cambria Math"/>
                <w:i/>
              </w:rPr>
            </m:ctrlPr>
          </m:sSupPr>
          <m:e>
            <m:r>
              <w:rPr>
                <w:rFonts w:ascii="Cambria Math" w:hAnsi="Cambria Math"/>
              </w:rPr>
              <m:t>G</m:t>
            </m:r>
          </m:e>
          <m:sup>
            <m:r>
              <w:rPr>
                <w:rFonts w:ascii="Cambria Math" w:hAnsi="Cambria Math"/>
              </w:rPr>
              <m:t>a</m:t>
            </m:r>
          </m:sup>
        </m:sSup>
        <m:r>
          <w:rPr>
            <w:rFonts w:ascii="Cambria Math" w:hAnsi="Cambria Math"/>
          </w:rPr>
          <m:t>(U)</m:t>
        </m:r>
      </m:oMath>
      <w:r>
        <w:rPr>
          <w:rFonts w:eastAsiaTheme="minorEastAsia"/>
        </w:rPr>
        <w:t xml:space="preserve"> is the barrier for the O-O coupling step. T</w:t>
      </w:r>
      <w:r>
        <w:t>he current</w:t>
      </w:r>
      <w:r w:rsidRPr="00C50F43">
        <w:rPr>
          <w:i/>
          <w:iCs/>
        </w:rPr>
        <w:t xml:space="preserve"> j</w:t>
      </w:r>
      <w:r w:rsidRPr="00A000F4">
        <w:t xml:space="preserve"> </w:t>
      </w:r>
      <w:r>
        <w:t>is computed from</w:t>
      </w:r>
      <w:r w:rsidRPr="00A000F4">
        <w:t xml:space="preserve"> </w:t>
      </w:r>
      <m:oMath>
        <m:sSub>
          <m:sSubPr>
            <m:ctrlPr>
              <w:rPr>
                <w:rFonts w:ascii="Cambria Math" w:hAnsi="Cambria Math"/>
                <w:i/>
              </w:rPr>
            </m:ctrlPr>
          </m:sSubPr>
          <m:e>
            <m:r>
              <w:rPr>
                <w:rFonts w:ascii="Cambria Math" w:hAnsi="Cambria Math"/>
              </w:rPr>
              <m:t>r</m:t>
            </m:r>
          </m:e>
          <m:sub>
            <m:r>
              <m:rPr>
                <m:sty m:val="p"/>
              </m:rPr>
              <w:rPr>
                <w:rFonts w:ascii="Cambria Math" w:hAnsi="Cambria Math"/>
              </w:rPr>
              <m:t>OER</m:t>
            </m:r>
          </m:sub>
        </m:sSub>
      </m:oMath>
      <w:r>
        <w:rPr>
          <w:rFonts w:eastAsiaTheme="minorEastAsia"/>
        </w:rPr>
        <w:t xml:space="preserve"> via the </w:t>
      </w:r>
      <w:r>
        <w:rPr>
          <w:rFonts w:eastAsiaTheme="minorEastAsia"/>
        </w:rPr>
        <w:lastRenderedPageBreak/>
        <w:t xml:space="preserve">charge of the electron transferred and the </w:t>
      </w:r>
      <w:r>
        <w:t xml:space="preserve">overpotential </w:t>
      </w:r>
      <w:r w:rsidRPr="00C50F43">
        <w:rPr>
          <w:i/>
          <w:iCs/>
        </w:rPr>
        <w:sym w:font="Symbol" w:char="F068"/>
      </w:r>
      <w:r>
        <w:t xml:space="preserve"> is evaluated at </w:t>
      </w:r>
      <w:r w:rsidRPr="00024106">
        <w:rPr>
          <w:i/>
        </w:rPr>
        <w:t>j</w:t>
      </w:r>
      <w:r>
        <w:t>=10 mA/cm</w:t>
      </w:r>
      <w:r w:rsidRPr="00024106">
        <w:rPr>
          <w:vertAlign w:val="superscript"/>
        </w:rPr>
        <w:t>2</w:t>
      </w:r>
      <w:r>
        <w:t xml:space="preserve">. In the case of pure </w:t>
      </w:r>
      <w:r w:rsidRPr="007B76E1">
        <w:rPr>
          <w:rFonts w:ascii="Symbol" w:hAnsi="Symbol"/>
        </w:rPr>
        <w:t></w:t>
      </w:r>
      <w:r>
        <w:t>-</w:t>
      </w:r>
      <w:proofErr w:type="spellStart"/>
      <w:r>
        <w:t>NiOOH</w:t>
      </w:r>
      <w:proofErr w:type="spellEnd"/>
      <w:r>
        <w:t xml:space="preserve"> the reported overpotential </w:t>
      </w:r>
      <w:r w:rsidRPr="00C50F43">
        <w:rPr>
          <w:i/>
          <w:iCs/>
        </w:rPr>
        <w:sym w:font="Symbol" w:char="F068"/>
      </w:r>
      <w:r>
        <w:t>=1.22 V does not differ dramatically from the thermodynamic overpotential 2.44-1.06=1.38 V (here 1.06 is the equilibrium potential for the OER obtained with the B3PW91 functional, to be compared with the experimental 1.23 V), but it is significantly higher than the experimental estimate, 0.7 V. This led the authors to suggest that the experimental samples might contain impurities, e.g. Fe, that facilitate the kinetics of the OER.</w:t>
      </w:r>
    </w:p>
    <w:p w14:paraId="6187DE1A" w14:textId="77777777" w:rsidR="006C1C9C" w:rsidRDefault="006C1C9C" w:rsidP="006C1C9C"/>
    <w:p w14:paraId="34608056" w14:textId="77777777" w:rsidR="006C1C9C" w:rsidRDefault="006C1C9C" w:rsidP="001C1AC5">
      <w:pPr>
        <w:keepNext/>
        <w:jc w:val="center"/>
      </w:pPr>
      <w:r>
        <w:rPr>
          <w:noProof/>
        </w:rPr>
        <w:drawing>
          <wp:inline distT="0" distB="0" distL="0" distR="0" wp14:anchorId="739518ED" wp14:editId="3B351DE4">
            <wp:extent cx="3859241" cy="2880000"/>
            <wp:effectExtent l="0" t="0" r="1905" b="317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Xiao_PNAS_exp_big.jp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3859241" cy="2880000"/>
                    </a:xfrm>
                    <a:prstGeom prst="rect">
                      <a:avLst/>
                    </a:prstGeom>
                  </pic:spPr>
                </pic:pic>
              </a:graphicData>
            </a:graphic>
          </wp:inline>
        </w:drawing>
      </w:r>
    </w:p>
    <w:p w14:paraId="75282480" w14:textId="508A2E9C" w:rsidR="006C1C9C" w:rsidRDefault="006C1C9C" w:rsidP="006C1C9C">
      <w:pPr>
        <w:pStyle w:val="Caption"/>
      </w:pPr>
      <w:bookmarkStart w:id="168" w:name="_Ref152146823"/>
      <w:r w:rsidRPr="00EC6677">
        <w:rPr>
          <w:b/>
          <w:bCs w:val="0"/>
          <w:sz w:val="22"/>
        </w:rPr>
        <w:t xml:space="preserve">Figure </w:t>
      </w:r>
      <w:r w:rsidRPr="00EC6677">
        <w:rPr>
          <w:b/>
          <w:bCs w:val="0"/>
          <w:sz w:val="22"/>
        </w:rPr>
        <w:fldChar w:fldCharType="begin"/>
      </w:r>
      <w:r w:rsidRPr="00EC6677">
        <w:rPr>
          <w:b/>
          <w:bCs w:val="0"/>
          <w:sz w:val="22"/>
        </w:rPr>
        <w:instrText xml:space="preserve"> SEQ Figure \* ARABIC </w:instrText>
      </w:r>
      <w:r w:rsidRPr="00EC6677">
        <w:rPr>
          <w:b/>
          <w:bCs w:val="0"/>
          <w:sz w:val="22"/>
        </w:rPr>
        <w:fldChar w:fldCharType="separate"/>
      </w:r>
      <w:r w:rsidR="00B7319C">
        <w:rPr>
          <w:b/>
          <w:bCs w:val="0"/>
          <w:noProof/>
          <w:sz w:val="22"/>
        </w:rPr>
        <w:t>60</w:t>
      </w:r>
      <w:r w:rsidRPr="00EC6677">
        <w:rPr>
          <w:b/>
          <w:bCs w:val="0"/>
          <w:noProof/>
          <w:sz w:val="22"/>
        </w:rPr>
        <w:fldChar w:fldCharType="end"/>
      </w:r>
      <w:bookmarkEnd w:id="168"/>
      <w:r w:rsidRPr="00AA2C38">
        <w:t xml:space="preserve"> Mechanism for OER on pure γ-</w:t>
      </w:r>
      <w:proofErr w:type="spellStart"/>
      <w:r w:rsidRPr="00AA2C38">
        <w:t>NiOOH</w:t>
      </w:r>
      <w:proofErr w:type="spellEnd"/>
      <w:r w:rsidRPr="00AA2C38">
        <w:t xml:space="preserve"> catalyst. (A) The mechanistic cycle of OER </w:t>
      </w:r>
      <w:proofErr w:type="spellStart"/>
      <w:r w:rsidRPr="00AA2C38">
        <w:t>catalyzed</w:t>
      </w:r>
      <w:proofErr w:type="spellEnd"/>
      <w:r w:rsidRPr="00AA2C38">
        <w:t xml:space="preserve"> by pure γ-</w:t>
      </w:r>
      <w:proofErr w:type="spellStart"/>
      <w:r w:rsidRPr="00AA2C38">
        <w:t>NiOOH</w:t>
      </w:r>
      <w:proofErr w:type="spellEnd"/>
      <w:r w:rsidRPr="00AA2C38">
        <w:t xml:space="preserve"> surface [B3PW91 predicted free energy differences ∆G and barrier at </w:t>
      </w:r>
      <w:r w:rsidRPr="00817A4B">
        <w:rPr>
          <w:i/>
          <w:iCs/>
        </w:rPr>
        <w:t>U</w:t>
      </w:r>
      <w:r w:rsidRPr="00AA2C38">
        <w:t xml:space="preserve"> = 2.28 V (</w:t>
      </w:r>
      <w:r w:rsidRPr="00495FF0">
        <w:rPr>
          <w:i/>
          <w:iCs/>
        </w:rPr>
        <w:t>η</w:t>
      </w:r>
      <w:r w:rsidRPr="00AA2C38">
        <w:t xml:space="preserve"> = 1.22 V) corresponding to </w:t>
      </w:r>
      <w:r w:rsidRPr="00495FF0">
        <w:rPr>
          <w:i/>
          <w:iCs/>
        </w:rPr>
        <w:t>j</w:t>
      </w:r>
      <w:r w:rsidRPr="00AA2C38">
        <w:t xml:space="preserve"> = 10 mA/cm</w:t>
      </w:r>
      <w:r w:rsidRPr="00817A4B">
        <w:rPr>
          <w:vertAlign w:val="superscript"/>
        </w:rPr>
        <w:t>2</w:t>
      </w:r>
      <w:r w:rsidRPr="00AA2C38">
        <w:t>]. (B) The structure of TS for O–O coupling.</w:t>
      </w:r>
      <w:r>
        <w:t xml:space="preserve"> Adapted </w:t>
      </w:r>
      <w:r w:rsidR="00314A2E">
        <w:t xml:space="preserve">with permission </w:t>
      </w:r>
      <w:r>
        <w:t>from Ref.</w:t>
      </w:r>
      <w:r w:rsidR="009513F7">
        <w:fldChar w:fldCharType="begin"/>
      </w:r>
      <w:r w:rsidR="009F6662">
        <w:instrText xml:space="preserve"> ADDIN EN.CITE &lt;EndNote&gt;&lt;Cite&gt;&lt;Author&gt;Xiao&lt;/Author&gt;&lt;Year&gt;2018&lt;/Year&gt;&lt;RecNum&gt;65&lt;/RecNum&gt;&lt;DisplayText&gt;&lt;style face="superscript"&gt;65&lt;/style&gt;&lt;/DisplayText&gt;&lt;record&gt;&lt;rec-number&gt;65&lt;/rec-number&gt;&lt;foreign-keys&gt;&lt;key app="EN" db-id="2xex0erf4eexr4e2dpbxpdd829xttesxxxdr" timestamp="1715075296"&gt;65&lt;/key&gt;&lt;/foreign-keys&gt;&lt;ref-type name="Journal Article"&gt;17&lt;/ref-type&gt;&lt;contributors&gt;&lt;authors&gt;&lt;author&gt;Xiao, Hai&lt;/author&gt;&lt;author&gt;Shin, Hyeyoung&lt;/author&gt;&lt;author&gt;Goddard, William A.&lt;/author&gt;&lt;/authors&gt;&lt;/contributors&gt;&lt;titles&gt;&lt;title&gt;Synergy between Fe and Ni in the optimal performance of (Ni,Fe)OOH catalysts for the oxygen evolution reaction&lt;/title&gt;&lt;secondary-title&gt;Proceedings of the National Academy of Sciences of the United States of America&lt;/secondary-title&gt;&lt;/titles&gt;&lt;periodical&gt;&lt;full-title&gt;Proceedings of the National Academy of Sciences of the United States of America&lt;/full-title&gt;&lt;abbr-1&gt;Proc. Natl. Acad. Sci. U.S.A.&lt;/abbr-1&gt;&lt;abbr-2&gt;Proc Natl Acad Sci USA&lt;/abbr-2&gt;&lt;/periodical&gt;&lt;pages&gt;5872-5877&lt;/pages&gt;&lt;volume&gt;115&lt;/volume&gt;&lt;number&gt;23&lt;/number&gt;&lt;dates&gt;&lt;year&gt;2018&lt;/year&gt;&lt;/dates&gt;&lt;urls&gt;&lt;related-urls&gt;&lt;url&gt;https://www.pnas.org/doi/abs/10.1073/pnas.1722034115&lt;/url&gt;&lt;/related-urls&gt;&lt;/urls&gt;&lt;electronic-resource-num&gt;doi:10.1073/pnas.1722034115&lt;/electronic-resource-num&gt;&lt;/record&gt;&lt;/Cite&gt;&lt;/EndNote&gt;</w:instrText>
      </w:r>
      <w:r w:rsidR="009513F7">
        <w:fldChar w:fldCharType="separate"/>
      </w:r>
      <w:r w:rsidR="009F6662" w:rsidRPr="009F6662">
        <w:rPr>
          <w:noProof/>
          <w:vertAlign w:val="superscript"/>
        </w:rPr>
        <w:t>65</w:t>
      </w:r>
      <w:r w:rsidR="009513F7">
        <w:fldChar w:fldCharType="end"/>
      </w:r>
      <w:r w:rsidR="006C2A29">
        <w:t xml:space="preserve"> Copyright 2018. Published under PNAS license.</w:t>
      </w:r>
    </w:p>
    <w:p w14:paraId="200D4AB9" w14:textId="296968A1" w:rsidR="006C1C9C" w:rsidRPr="009A7A69" w:rsidRDefault="006C1C9C" w:rsidP="009513F7">
      <w:pPr>
        <w:pStyle w:val="Caption"/>
        <w:rPr>
          <w:sz w:val="22"/>
        </w:rPr>
      </w:pPr>
      <w:r w:rsidRPr="00C80B22">
        <w:rPr>
          <w:sz w:val="22"/>
        </w:rPr>
        <w:t xml:space="preserve">Indeed, the addition of surface Fe ions leads to a much easier formation of the </w:t>
      </w:r>
      <m:oMath>
        <m:sSup>
          <m:sSupPr>
            <m:ctrlPr>
              <w:rPr>
                <w:rFonts w:ascii="Cambria Math" w:hAnsi="Cambria Math"/>
                <w:iCs/>
                <w:sz w:val="22"/>
              </w:rPr>
            </m:ctrlPr>
          </m:sSupPr>
          <m:e>
            <m:r>
              <m:rPr>
                <m:sty m:val="p"/>
              </m:rPr>
              <w:rPr>
                <w:rFonts w:ascii="Cambria Math" w:hAnsi="Cambria Math"/>
                <w:sz w:val="22"/>
              </w:rPr>
              <m:t>O</m:t>
            </m:r>
          </m:e>
          <m:sup>
            <m:r>
              <m:rPr>
                <m:sty m:val="p"/>
              </m:rPr>
              <w:rPr>
                <w:rFonts w:ascii="Cambria Math" w:hAnsi="Cambria Math"/>
                <w:sz w:val="22"/>
              </w:rPr>
              <m:t>∙</m:t>
            </m:r>
          </m:sup>
        </m:sSup>
      </m:oMath>
      <w:r w:rsidRPr="00C80B22">
        <w:rPr>
          <w:sz w:val="22"/>
        </w:rPr>
        <w:t xml:space="preserve"> radical at the Fe(IV) site, with a free energy cost of 1.99 eV, and the subsequent O-O bond formation via water dissociation has a barrier of 0.37 eV (see</w:t>
      </w:r>
      <w:r w:rsidR="009A7A69">
        <w:rPr>
          <w:sz w:val="22"/>
        </w:rPr>
        <w:t xml:space="preserve"> </w:t>
      </w:r>
      <w:r w:rsidR="009A7A69">
        <w:rPr>
          <w:sz w:val="22"/>
        </w:rPr>
        <w:fldChar w:fldCharType="begin"/>
      </w:r>
      <w:r w:rsidR="009A7A69">
        <w:rPr>
          <w:sz w:val="22"/>
        </w:rPr>
        <w:instrText xml:space="preserve"> REF _Ref165975804 \h </w:instrText>
      </w:r>
      <w:r w:rsidR="009A7A69">
        <w:rPr>
          <w:sz w:val="22"/>
        </w:rPr>
      </w:r>
      <w:r w:rsidR="009A7A69">
        <w:rPr>
          <w:sz w:val="22"/>
        </w:rPr>
        <w:fldChar w:fldCharType="separate"/>
      </w:r>
      <w:r w:rsidR="009A7A69" w:rsidRPr="00AB61EB">
        <w:rPr>
          <w:b/>
          <w:bCs w:val="0"/>
          <w:sz w:val="22"/>
        </w:rPr>
        <w:t xml:space="preserve">Figure </w:t>
      </w:r>
      <w:r w:rsidR="009A7A69">
        <w:rPr>
          <w:b/>
          <w:bCs w:val="0"/>
          <w:noProof/>
          <w:sz w:val="22"/>
        </w:rPr>
        <w:t>61</w:t>
      </w:r>
      <w:r w:rsidR="009A7A69">
        <w:rPr>
          <w:sz w:val="22"/>
        </w:rPr>
        <w:fldChar w:fldCharType="end"/>
      </w:r>
      <w:r w:rsidR="009A7A69">
        <w:rPr>
          <w:sz w:val="22"/>
        </w:rPr>
        <w:t>a</w:t>
      </w:r>
      <w:r w:rsidRPr="00C80B22">
        <w:rPr>
          <w:sz w:val="22"/>
        </w:rPr>
        <w:t xml:space="preserve">). Thermodynamically, the most demanding step is now the first dehydrogenation of a surface *OH group, </w:t>
      </w:r>
      <w:r w:rsidRPr="00C80B22">
        <w:rPr>
          <w:rFonts w:ascii="Symbol" w:hAnsi="Symbol"/>
          <w:sz w:val="22"/>
        </w:rPr>
        <w:t></w:t>
      </w:r>
      <w:r w:rsidRPr="00C80B22">
        <w:rPr>
          <w:i/>
          <w:iCs/>
          <w:sz w:val="22"/>
        </w:rPr>
        <w:t>G</w:t>
      </w:r>
      <w:r w:rsidRPr="00C80B22">
        <w:rPr>
          <w:sz w:val="22"/>
        </w:rPr>
        <w:t xml:space="preserve">=2.06 eV, and the overpotential predicted by the microkinetic model, </w:t>
      </w:r>
      <w:r w:rsidRPr="00C80B22">
        <w:rPr>
          <w:i/>
          <w:iCs/>
          <w:sz w:val="22"/>
        </w:rPr>
        <w:sym w:font="Symbol" w:char="F068"/>
      </w:r>
      <w:r w:rsidRPr="00C80B22">
        <w:rPr>
          <w:sz w:val="22"/>
        </w:rPr>
        <w:t xml:space="preserve">=0.84 V, is again only slightly lower than the thermodynamic overpotential 2.06-1.06=1.00 V. Adding subsurface Fe lowers the cost to for the </w:t>
      </w:r>
      <m:oMath>
        <m:sSup>
          <m:sSupPr>
            <m:ctrlPr>
              <w:rPr>
                <w:rFonts w:ascii="Cambria Math" w:hAnsi="Cambria Math"/>
                <w:iCs/>
                <w:sz w:val="22"/>
              </w:rPr>
            </m:ctrlPr>
          </m:sSupPr>
          <m:e>
            <m:r>
              <m:rPr>
                <m:sty m:val="p"/>
              </m:rPr>
              <w:rPr>
                <w:rFonts w:ascii="Cambria Math" w:hAnsi="Cambria Math"/>
                <w:sz w:val="22"/>
              </w:rPr>
              <m:t>O</m:t>
            </m:r>
          </m:e>
          <m:sup>
            <m:r>
              <m:rPr>
                <m:sty m:val="p"/>
              </m:rPr>
              <w:rPr>
                <w:rFonts w:ascii="Cambria Math" w:hAnsi="Cambria Math"/>
                <w:sz w:val="22"/>
              </w:rPr>
              <m:t>∙</m:t>
            </m:r>
          </m:sup>
        </m:sSup>
      </m:oMath>
      <w:r w:rsidRPr="00C80B22">
        <w:rPr>
          <w:sz w:val="22"/>
        </w:rPr>
        <w:t xml:space="preserve"> radical even further to 1.20 eV, while the most demanding step remains the first dehydrogenation, </w:t>
      </w:r>
      <w:r w:rsidRPr="00C80B22">
        <w:rPr>
          <w:rFonts w:ascii="Symbol" w:hAnsi="Symbol"/>
          <w:sz w:val="22"/>
        </w:rPr>
        <w:t></w:t>
      </w:r>
      <w:r w:rsidRPr="00C80B22">
        <w:rPr>
          <w:i/>
          <w:iCs/>
          <w:sz w:val="22"/>
        </w:rPr>
        <w:t>G</w:t>
      </w:r>
      <w:r w:rsidRPr="00C80B22">
        <w:rPr>
          <w:sz w:val="22"/>
        </w:rPr>
        <w:t xml:space="preserve">=2.04 eV. Surprisingly, the overpotential determined from the microkinetic model, </w:t>
      </w:r>
      <w:r w:rsidRPr="00C80B22">
        <w:rPr>
          <w:i/>
          <w:iCs/>
          <w:sz w:val="22"/>
        </w:rPr>
        <w:sym w:font="Symbol" w:char="F068"/>
      </w:r>
      <w:r w:rsidRPr="00C80B22">
        <w:rPr>
          <w:sz w:val="22"/>
        </w:rPr>
        <w:t xml:space="preserve">=0.42 V, is now much lower than the thermodynamic overpotential 2.04-1.06=0.98 V. Notice that the authors here assumed quasi-equilibrium for the step, which is also the PDS, an assumption that needs to be validated. Interestingly, the effect of Fe is found only when using energies computed with hybrid B3PW91 functional, while PBE calculations indicate that the surface and subsurface Fe ions have only a small influence on the kinetics of the process. </w:t>
      </w:r>
    </w:p>
    <w:p w14:paraId="2A371281" w14:textId="143201E1" w:rsidR="006C1C9C" w:rsidRDefault="006C1C9C" w:rsidP="006C1C9C">
      <w:pPr>
        <w:keepNext/>
      </w:pPr>
    </w:p>
    <w:p w14:paraId="41B9968A" w14:textId="3B7202CC" w:rsidR="005F3A2E" w:rsidRDefault="005F3A2E" w:rsidP="001C1AC5">
      <w:pPr>
        <w:pStyle w:val="Caption"/>
        <w:jc w:val="center"/>
        <w:rPr>
          <w:b/>
          <w:bCs w:val="0"/>
          <w:sz w:val="22"/>
        </w:rPr>
      </w:pPr>
      <w:bookmarkStart w:id="169" w:name="_Ref152147323"/>
      <w:r>
        <w:rPr>
          <w:noProof/>
        </w:rPr>
        <w:drawing>
          <wp:inline distT="0" distB="0" distL="0" distR="0" wp14:anchorId="1FE20DF9" wp14:editId="3E3ED655">
            <wp:extent cx="3034650" cy="2880000"/>
            <wp:effectExtent l="0" t="0" r="1270" b="317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Xiao_PNAS2_exp_big.jp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3034650" cy="2880000"/>
                    </a:xfrm>
                    <a:prstGeom prst="rect">
                      <a:avLst/>
                    </a:prstGeom>
                  </pic:spPr>
                </pic:pic>
              </a:graphicData>
            </a:graphic>
          </wp:inline>
        </w:drawing>
      </w:r>
    </w:p>
    <w:p w14:paraId="1DCDAED0" w14:textId="602B0291" w:rsidR="006C1C9C" w:rsidRPr="00615D5D" w:rsidRDefault="006C1C9C" w:rsidP="006C1C9C">
      <w:pPr>
        <w:pStyle w:val="Caption"/>
      </w:pPr>
      <w:bookmarkStart w:id="170" w:name="_Ref165975804"/>
      <w:r w:rsidRPr="00AB61EB">
        <w:rPr>
          <w:b/>
          <w:bCs w:val="0"/>
          <w:sz w:val="22"/>
        </w:rPr>
        <w:t xml:space="preserve">Figure </w:t>
      </w:r>
      <w:r w:rsidRPr="00AB61EB">
        <w:rPr>
          <w:b/>
          <w:bCs w:val="0"/>
          <w:sz w:val="22"/>
        </w:rPr>
        <w:fldChar w:fldCharType="begin"/>
      </w:r>
      <w:r w:rsidRPr="00AB61EB">
        <w:rPr>
          <w:b/>
          <w:bCs w:val="0"/>
          <w:sz w:val="22"/>
        </w:rPr>
        <w:instrText xml:space="preserve"> SEQ Figure \* ARABIC </w:instrText>
      </w:r>
      <w:r w:rsidRPr="00AB61EB">
        <w:rPr>
          <w:b/>
          <w:bCs w:val="0"/>
          <w:sz w:val="22"/>
        </w:rPr>
        <w:fldChar w:fldCharType="separate"/>
      </w:r>
      <w:r w:rsidR="00B7319C">
        <w:rPr>
          <w:b/>
          <w:bCs w:val="0"/>
          <w:noProof/>
          <w:sz w:val="22"/>
        </w:rPr>
        <w:t>61</w:t>
      </w:r>
      <w:r w:rsidRPr="00AB61EB">
        <w:rPr>
          <w:b/>
          <w:bCs w:val="0"/>
          <w:noProof/>
          <w:sz w:val="22"/>
        </w:rPr>
        <w:fldChar w:fldCharType="end"/>
      </w:r>
      <w:bookmarkEnd w:id="169"/>
      <w:bookmarkEnd w:id="170"/>
      <w:r>
        <w:t>:</w:t>
      </w:r>
      <w:r w:rsidRPr="00637F3F">
        <w:t xml:space="preserve"> The mechanistic cycles for OER on γ-(</w:t>
      </w:r>
      <w:proofErr w:type="spellStart"/>
      <w:proofErr w:type="gramStart"/>
      <w:r w:rsidRPr="00637F3F">
        <w:t>Ni,Fe</w:t>
      </w:r>
      <w:proofErr w:type="spellEnd"/>
      <w:proofErr w:type="gramEnd"/>
      <w:r w:rsidRPr="00637F3F">
        <w:t xml:space="preserve">)OOH catalysts (based on B3PW91 predicted free energies and barriers). (A) One-third surface Fe doping case, leading to </w:t>
      </w:r>
      <w:r w:rsidRPr="00495FF0">
        <w:rPr>
          <w:i/>
          <w:iCs/>
        </w:rPr>
        <w:t>U</w:t>
      </w:r>
      <w:r w:rsidRPr="00637F3F">
        <w:t xml:space="preserve"> = 1.89 V (</w:t>
      </w:r>
      <w:r w:rsidRPr="00495FF0">
        <w:rPr>
          <w:i/>
          <w:iCs/>
        </w:rPr>
        <w:t>η</w:t>
      </w:r>
      <w:r w:rsidRPr="00637F3F">
        <w:t xml:space="preserve"> = 0.83 V) for </w:t>
      </w:r>
      <w:r w:rsidRPr="00495FF0">
        <w:rPr>
          <w:i/>
          <w:iCs/>
        </w:rPr>
        <w:t>j</w:t>
      </w:r>
      <w:r w:rsidRPr="00637F3F">
        <w:t xml:space="preserve"> = 10 mA/cm</w:t>
      </w:r>
      <w:r w:rsidRPr="00817A4B">
        <w:rPr>
          <w:vertAlign w:val="superscript"/>
        </w:rPr>
        <w:t>2</w:t>
      </w:r>
      <w:r w:rsidRPr="00637F3F">
        <w:t xml:space="preserve">. (B) One-third surface Fe doping plus 1/3 subsurface Fe doping, leading to </w:t>
      </w:r>
      <w:r w:rsidRPr="00495FF0">
        <w:rPr>
          <w:i/>
          <w:iCs/>
        </w:rPr>
        <w:t>U</w:t>
      </w:r>
      <w:r w:rsidRPr="00637F3F">
        <w:t xml:space="preserve"> = 1.48 V (</w:t>
      </w:r>
      <w:r w:rsidRPr="00495FF0">
        <w:rPr>
          <w:i/>
          <w:iCs/>
        </w:rPr>
        <w:t>η</w:t>
      </w:r>
      <w:r w:rsidRPr="00637F3F">
        <w:t xml:space="preserve"> = 0.42 V) for </w:t>
      </w:r>
      <w:r w:rsidRPr="00495FF0">
        <w:rPr>
          <w:i/>
          <w:iCs/>
        </w:rPr>
        <w:t>j</w:t>
      </w:r>
      <w:r w:rsidRPr="00637F3F">
        <w:t xml:space="preserve"> = 10 mA/cm</w:t>
      </w:r>
      <w:r w:rsidRPr="00817A4B">
        <w:rPr>
          <w:vertAlign w:val="superscript"/>
        </w:rPr>
        <w:t>2</w:t>
      </w:r>
      <w:r w:rsidRPr="00637F3F">
        <w:t>.</w:t>
      </w:r>
      <w:r w:rsidRPr="00615D5D">
        <w:t xml:space="preserve"> </w:t>
      </w:r>
      <w:r>
        <w:t xml:space="preserve">Adapted </w:t>
      </w:r>
      <w:r w:rsidR="00F572AB">
        <w:t xml:space="preserve">with permission </w:t>
      </w:r>
      <w:r>
        <w:t>from Ref.</w:t>
      </w:r>
      <w:r w:rsidR="009513F7">
        <w:fldChar w:fldCharType="begin"/>
      </w:r>
      <w:r w:rsidR="009F6662">
        <w:instrText xml:space="preserve"> ADDIN EN.CITE &lt;EndNote&gt;&lt;Cite&gt;&lt;Author&gt;Xiao&lt;/Author&gt;&lt;Year&gt;2018&lt;/Year&gt;&lt;RecNum&gt;65&lt;/RecNum&gt;&lt;DisplayText&gt;&lt;style face="superscript"&gt;65&lt;/style&gt;&lt;/DisplayText&gt;&lt;record&gt;&lt;rec-number&gt;65&lt;/rec-number&gt;&lt;foreign-keys&gt;&lt;key app="EN" db-id="2xex0erf4eexr4e2dpbxpdd829xttesxxxdr" timestamp="1715075296"&gt;65&lt;/key&gt;&lt;/foreign-keys&gt;&lt;ref-type name="Journal Article"&gt;17&lt;/ref-type&gt;&lt;contributors&gt;&lt;authors&gt;&lt;author&gt;Xiao, Hai&lt;/author&gt;&lt;author&gt;Shin, Hyeyoung&lt;/author&gt;&lt;author&gt;Goddard, William A.&lt;/author&gt;&lt;/authors&gt;&lt;/contributors&gt;&lt;titles&gt;&lt;title&gt;Synergy between Fe and Ni in the optimal performance of (Ni,Fe)OOH catalysts for the oxygen evolution reaction&lt;/title&gt;&lt;secondary-title&gt;Proceedings of the National Academy of Sciences of the United States of America&lt;/secondary-title&gt;&lt;/titles&gt;&lt;periodical&gt;&lt;full-title&gt;Proceedings of the National Academy of Sciences of the United States of America&lt;/full-title&gt;&lt;abbr-1&gt;Proc. Natl. Acad. Sci. U.S.A.&lt;/abbr-1&gt;&lt;abbr-2&gt;Proc Natl Acad Sci USA&lt;/abbr-2&gt;&lt;/periodical&gt;&lt;pages&gt;5872-5877&lt;/pages&gt;&lt;volume&gt;115&lt;/volume&gt;&lt;number&gt;23&lt;/number&gt;&lt;dates&gt;&lt;year&gt;2018&lt;/year&gt;&lt;/dates&gt;&lt;urls&gt;&lt;related-urls&gt;&lt;url&gt;https://www.pnas.org/doi/abs/10.1073/pnas.1722034115&lt;/url&gt;&lt;/related-urls&gt;&lt;/urls&gt;&lt;electronic-resource-num&gt;doi:10.1073/pnas.1722034115&lt;/electronic-resource-num&gt;&lt;/record&gt;&lt;/Cite&gt;&lt;/EndNote&gt;</w:instrText>
      </w:r>
      <w:r w:rsidR="009513F7">
        <w:fldChar w:fldCharType="separate"/>
      </w:r>
      <w:r w:rsidR="009F6662" w:rsidRPr="009F6662">
        <w:rPr>
          <w:noProof/>
          <w:vertAlign w:val="superscript"/>
        </w:rPr>
        <w:t>65</w:t>
      </w:r>
      <w:r w:rsidR="009513F7">
        <w:fldChar w:fldCharType="end"/>
      </w:r>
      <w:r w:rsidR="00E657C3">
        <w:t xml:space="preserve"> </w:t>
      </w:r>
      <w:r w:rsidR="00E657C3">
        <w:t>Copyright 2018. Published under PNAS license</w:t>
      </w:r>
      <w:r w:rsidR="00E657C3">
        <w:t>.</w:t>
      </w:r>
    </w:p>
    <w:p w14:paraId="76B83421" w14:textId="772EB580" w:rsidR="006C1C9C" w:rsidRDefault="006C1C9C" w:rsidP="005F3A2E">
      <w:pPr>
        <w:ind w:firstLine="720"/>
      </w:pPr>
      <w:r w:rsidRPr="001D7458">
        <w:t>In</w:t>
      </w:r>
      <w:r>
        <w:t xml:space="preserve"> a follow-up work, Xiao and co-workers</w:t>
      </w:r>
      <w:r>
        <w:fldChar w:fldCharType="begin"/>
      </w:r>
      <w:r w:rsidR="00FC5BEB">
        <w:instrText xml:space="preserve"> ADDIN EN.CITE &lt;EndNote&gt;&lt;Cite&gt;&lt;Author&gt;Wang&lt;/Author&gt;&lt;Year&gt;2023&lt;/Year&gt;&lt;RecNum&gt;482&lt;/RecNum&gt;&lt;DisplayText&gt;&lt;style face="superscript"&gt;484&lt;/style&gt;&lt;/DisplayText&gt;&lt;record&gt;&lt;rec-number&gt;482&lt;/rec-number&gt;&lt;foreign-keys&gt;&lt;key app="EN" db-id="2xex0erf4eexr4e2dpbxpdd829xttesxxxdr" timestamp="1715075297"&gt;482&lt;/key&gt;&lt;/foreign-keys&gt;&lt;ref-type name="Journal Article"&gt;17&lt;/ref-type&gt;&lt;contributors&gt;&lt;authors&gt;&lt;author&gt;Wang, Zeyu&lt;/author&gt;&lt;author&gt;Goddard, William A.&lt;/author&gt;&lt;author&gt;Xiao, Hai&lt;/author&gt;&lt;/authors&gt;&lt;/contributors&gt;&lt;titles&gt;&lt;title&gt;Potential-dependent transition of reaction mechanisms for oxygen evolution on layered double hydroxides&lt;/title&gt;&lt;secondary-title&gt;Nat. Commun.&lt;/secondary-title&gt;&lt;/titles&gt;&lt;periodical&gt;&lt;full-title&gt;Nat. Commun.&lt;/full-title&gt;&lt;abbr-1&gt;Nat. Commun.&lt;/abbr-1&gt;&lt;/periodical&gt;&lt;pages&gt;4228&lt;/pages&gt;&lt;volume&gt;14&lt;/volume&gt;&lt;number&gt;1&lt;/number&gt;&lt;dates&gt;&lt;year&gt;2023&lt;/year&gt;&lt;pub-dates&gt;&lt;date&gt;2023/07/15&lt;/date&gt;&lt;/pub-dates&gt;&lt;/dates&gt;&lt;isbn&gt;2041-1723&lt;/isbn&gt;&lt;urls&gt;&lt;related-urls&gt;&lt;url&gt;https://doi.org/10.1038/s41467-023-40011-8&lt;/url&gt;&lt;/related-urls&gt;&lt;/urls&gt;&lt;electronic-resource-num&gt;10.1038/s41467-023-40011-8&lt;/electronic-resource-num&gt;&lt;/record&gt;&lt;/Cite&gt;&lt;/EndNote&gt;</w:instrText>
      </w:r>
      <w:r>
        <w:fldChar w:fldCharType="separate"/>
      </w:r>
      <w:r w:rsidR="00FC5BEB" w:rsidRPr="00FC5BEB">
        <w:rPr>
          <w:noProof/>
          <w:vertAlign w:val="superscript"/>
        </w:rPr>
        <w:t>484</w:t>
      </w:r>
      <w:r>
        <w:fldChar w:fldCharType="end"/>
      </w:r>
      <w:r>
        <w:t xml:space="preserve"> considered the very same system, </w:t>
      </w:r>
      <w:r w:rsidRPr="007B76E1">
        <w:rPr>
          <w:rFonts w:ascii="Symbol" w:hAnsi="Symbol"/>
        </w:rPr>
        <w:t></w:t>
      </w:r>
      <w:r>
        <w:t>-(</w:t>
      </w:r>
      <w:proofErr w:type="spellStart"/>
      <w:r>
        <w:t>Ni,Fe</w:t>
      </w:r>
      <w:proofErr w:type="spellEnd"/>
      <w:r>
        <w:t>)OOH(100), using the same grand-canonical approach but with a different solvation model and employing the PBE+</w:t>
      </w:r>
      <w:r w:rsidRPr="00495FF0">
        <w:rPr>
          <w:i/>
          <w:iCs/>
        </w:rPr>
        <w:t>U</w:t>
      </w:r>
      <w:r>
        <w:t xml:space="preserve"> functional rather than the hybrid B3PW91</w:t>
      </w:r>
      <w:r w:rsidR="005B5E62" w:rsidRPr="005B5E62">
        <w:t xml:space="preserve">; note the </w:t>
      </w:r>
      <w:r w:rsidR="005B5E62" w:rsidRPr="00817A4B">
        <w:rPr>
          <w:i/>
          <w:iCs/>
        </w:rPr>
        <w:t>U</w:t>
      </w:r>
      <w:r w:rsidR="005B5E62" w:rsidRPr="005B5E62">
        <w:t xml:space="preserve"> here is a Hubbard </w:t>
      </w:r>
      <w:r w:rsidR="005B5E62" w:rsidRPr="00817A4B">
        <w:rPr>
          <w:i/>
          <w:iCs/>
        </w:rPr>
        <w:t>U</w:t>
      </w:r>
      <w:r w:rsidR="005B5E62" w:rsidRPr="005B5E62">
        <w:t xml:space="preserve"> term accounting for onsite d-d repulsion and should not be confused with not an electrochemical potential</w:t>
      </w:r>
      <w:r w:rsidR="005B5E62">
        <w:t>.</w:t>
      </w:r>
      <w:r>
        <w:t xml:space="preserve"> </w:t>
      </w:r>
      <w:r w:rsidR="00034159">
        <w:t>Moreover, i</w:t>
      </w:r>
      <w:r>
        <w:t>n this second work the authors considered no surface water ligand, only hydrox</w:t>
      </w:r>
      <w:r w:rsidR="00034159">
        <w:t>ide</w:t>
      </w:r>
      <w:r>
        <w:t xml:space="preserve"> groups. On pure </w:t>
      </w:r>
      <w:proofErr w:type="spellStart"/>
      <w:r>
        <w:t>NiOOH</w:t>
      </w:r>
      <w:proofErr w:type="spellEnd"/>
      <w:r>
        <w:t xml:space="preserve">, when considering the nucleophilic attack of a water molecule on a surface O radical, also known as the AEM, the thermodynamic overpotential is found to be 0.73 V compared to the much larger 1.38 V of the previous study, even though the very same step (the formation of the oxygen radical) is involved. In this work, however, the authors considered also the LOM, involving the coupling of an oxygen adsorbate and an oxygen atom of the lattice, as well as the intramolecular oxygen coupling (IMOC) involving two oxygen adsorbates. For pure </w:t>
      </w:r>
      <w:proofErr w:type="spellStart"/>
      <w:r>
        <w:t>NiOOH</w:t>
      </w:r>
      <w:proofErr w:type="spellEnd"/>
      <w:r>
        <w:t>, the LOM is the favored mechanism at low applied overpotential, with a thermodynamic overpotential of 0.49 V due to O</w:t>
      </w:r>
      <w:r w:rsidRPr="00067F70">
        <w:rPr>
          <w:vertAlign w:val="subscript"/>
        </w:rPr>
        <w:t>2</w:t>
      </w:r>
      <w:r>
        <w:t xml:space="preserve"> release, while the AEM dominates at higher applied bias. The change of mechanism is due to the fact</w:t>
      </w:r>
      <w:r w:rsidR="00D91777">
        <w:t xml:space="preserve"> that</w:t>
      </w:r>
      <w:r>
        <w:t xml:space="preserve"> the barrier of different O-O coupling mechanisms depends on the bias in different ways, a crucial finding that can only be captured with methods like the one adopted here that are able to describe this dependence. Adding Fe</w:t>
      </w:r>
      <w:r w:rsidRPr="00C005B7">
        <w:t xml:space="preserve"> </w:t>
      </w:r>
      <w:r>
        <w:t xml:space="preserve">significantly lowers the energy cost to form the oxygen radical, but the preferred mechanism at low applied bias is the LOM which in fact proceeds without the formation of the radical. </w:t>
      </w:r>
    </w:p>
    <w:p w14:paraId="13B4DCA3" w14:textId="6415DA2D" w:rsidR="006C1C9C" w:rsidRDefault="006C1C9C" w:rsidP="006C1C9C">
      <w:pPr>
        <w:rPr>
          <w:rFonts w:eastAsiaTheme="minorEastAsia"/>
        </w:rPr>
      </w:pPr>
    </w:p>
    <w:p w14:paraId="1C811C6E" w14:textId="7DC3BF8B" w:rsidR="006C1C9C" w:rsidRDefault="006C1C9C" w:rsidP="00EC6677">
      <w:pPr>
        <w:ind w:firstLine="720"/>
        <w:rPr>
          <w:rFonts w:eastAsiaTheme="minorEastAsia"/>
        </w:rPr>
      </w:pPr>
      <w:r>
        <w:rPr>
          <w:rFonts w:eastAsiaTheme="minorEastAsia"/>
        </w:rPr>
        <w:t xml:space="preserve">A related approach has been proposed by </w:t>
      </w:r>
      <w:proofErr w:type="spellStart"/>
      <w:r>
        <w:rPr>
          <w:rFonts w:eastAsiaTheme="minorEastAsia"/>
        </w:rPr>
        <w:t>Mefford</w:t>
      </w:r>
      <w:proofErr w:type="spellEnd"/>
      <w:r>
        <w:rPr>
          <w:rFonts w:eastAsiaTheme="minorEastAsia"/>
        </w:rPr>
        <w:t xml:space="preserve"> and co-workers</w:t>
      </w:r>
      <w:r>
        <w:rPr>
          <w:rFonts w:eastAsiaTheme="minorEastAsia"/>
        </w:rPr>
        <w:fldChar w:fldCharType="begin"/>
      </w:r>
      <w:r w:rsidR="00FC5BEB">
        <w:rPr>
          <w:rFonts w:eastAsiaTheme="minorEastAsia"/>
        </w:rPr>
        <w:instrText xml:space="preserve"> ADDIN EN.CITE &lt;EndNote&gt;&lt;Cite&gt;&lt;Author&gt;Mefford&lt;/Author&gt;&lt;Year&gt;2020&lt;/Year&gt;&lt;RecNum&gt;514&lt;/RecNum&gt;&lt;DisplayText&gt;&lt;style face="superscript"&gt;516&lt;/style&gt;&lt;/DisplayText&gt;&lt;record&gt;&lt;rec-number&gt;514&lt;/rec-number&gt;&lt;foreign-keys&gt;&lt;key app="EN" db-id="2xex0erf4eexr4e2dpbxpdd829xttesxxxdr" timestamp="1715075297"&gt;514&lt;/key&gt;&lt;/foreign-keys&gt;&lt;ref-type name="Journal Article"&gt;17&lt;/ref-type&gt;&lt;contributors&gt;&lt;authors&gt;&lt;author&gt;Mefford, J. Tyler&lt;/author&gt;&lt;author&gt;Zhao, Zhenghang&lt;/author&gt;&lt;author&gt;Bajdich, Michal&lt;/author&gt;&lt;author&gt;Chueh, William C.&lt;/author&gt;&lt;/authors&gt;&lt;/contributors&gt;&lt;titles&gt;&lt;title&gt;Interpreting Tafel behavior of consecutive electrochemical reactions through combined thermodynamic and steady state microkinetic approaches&lt;/title&gt;&lt;secondary-title&gt;Energy Environ. Sci.&lt;/secondary-title&gt;&lt;/titles&gt;&lt;periodical&gt;&lt;full-title&gt;Energy Environ. Sci.&lt;/full-title&gt;&lt;/periodical&gt;&lt;pages&gt;622-634&lt;/pages&gt;&lt;volume&gt;13&lt;/volume&gt;&lt;number&gt;2&lt;/number&gt;&lt;dates&gt;&lt;year&gt;2020&lt;/year&gt;&lt;/dates&gt;&lt;publisher&gt;Royal Society of Chemistry&lt;/publisher&gt;&lt;urls&gt;&lt;related-urls&gt;&lt;url&gt;https://pubs.rsc.org/en/content/articlepdf/2020/ee/c9ee02697e&lt;/url&gt;&lt;/related-urls&gt;&lt;pdf-urls&gt;&lt;url&gt;file://localhost/localhost/localhost/Users/piccinin/Literature/c9ee02697e.pdf&lt;/url&gt;&lt;/pdf-urls&gt;&lt;/urls&gt;&lt;electronic-resource-num&gt;10.1039/c9ee02697e&lt;/electronic-resource-num&gt;&lt;/record&gt;&lt;/Cite&gt;&lt;/EndNote&gt;</w:instrText>
      </w:r>
      <w:r>
        <w:rPr>
          <w:rFonts w:eastAsiaTheme="minorEastAsia"/>
        </w:rPr>
        <w:fldChar w:fldCharType="separate"/>
      </w:r>
      <w:r w:rsidR="00FC5BEB" w:rsidRPr="00FC5BEB">
        <w:rPr>
          <w:rFonts w:eastAsiaTheme="minorEastAsia"/>
          <w:noProof/>
          <w:vertAlign w:val="superscript"/>
        </w:rPr>
        <w:t>516</w:t>
      </w:r>
      <w:r>
        <w:rPr>
          <w:rFonts w:eastAsiaTheme="minorEastAsia"/>
        </w:rPr>
        <w:fldChar w:fldCharType="end"/>
      </w:r>
      <w:r>
        <w:t xml:space="preserve"> </w:t>
      </w:r>
      <w:r>
        <w:rPr>
          <w:rFonts w:eastAsiaTheme="minorEastAsia"/>
        </w:rPr>
        <w:t xml:space="preserve">to model the OER on the </w:t>
      </w:r>
      <w:r>
        <w:t>(</w:t>
      </w:r>
      <m:oMath>
        <m:r>
          <w:rPr>
            <w:rFonts w:ascii="Cambria Math" w:hAnsi="Cambria Math"/>
          </w:rPr>
          <m:t>11</m:t>
        </m:r>
        <m:acc>
          <m:accPr>
            <m:chr m:val="̅"/>
            <m:ctrlPr>
              <w:rPr>
                <w:rFonts w:ascii="Cambria Math" w:hAnsi="Cambria Math"/>
                <w:i/>
              </w:rPr>
            </m:ctrlPr>
          </m:accPr>
          <m:e>
            <m:r>
              <w:rPr>
                <w:rFonts w:ascii="Cambria Math" w:hAnsi="Cambria Math"/>
              </w:rPr>
              <m:t>2</m:t>
            </m:r>
          </m:e>
        </m:acc>
        <m:r>
          <w:rPr>
            <w:rFonts w:ascii="Cambria Math" w:hAnsi="Cambria Math"/>
          </w:rPr>
          <m:t>0</m:t>
        </m:r>
      </m:oMath>
      <w:r>
        <w:t xml:space="preserve">) </w:t>
      </w:r>
      <w:r>
        <w:rPr>
          <w:rFonts w:eastAsiaTheme="minorEastAsia"/>
        </w:rPr>
        <w:t xml:space="preserve"> surface Co-based oxides, hydroxides and oxyhydroxides (CoO</w:t>
      </w:r>
      <w:r w:rsidRPr="00D24B6E">
        <w:rPr>
          <w:rFonts w:eastAsiaTheme="minorEastAsia"/>
          <w:vertAlign w:val="subscript"/>
        </w:rPr>
        <w:t>2</w:t>
      </w:r>
      <w:r>
        <w:rPr>
          <w:rFonts w:eastAsiaTheme="minorEastAsia"/>
        </w:rPr>
        <w:t xml:space="preserve">, </w:t>
      </w:r>
      <w:r w:rsidRPr="00D24B6E">
        <w:rPr>
          <w:rFonts w:ascii="Symbol" w:eastAsiaTheme="minorEastAsia" w:hAnsi="Symbol"/>
        </w:rPr>
        <w:t></w:t>
      </w:r>
      <w:r>
        <w:rPr>
          <w:rFonts w:eastAsiaTheme="minorEastAsia"/>
        </w:rPr>
        <w:t>-Co(OH)</w:t>
      </w:r>
      <w:r w:rsidRPr="00D24B6E">
        <w:rPr>
          <w:rFonts w:eastAsiaTheme="minorEastAsia"/>
          <w:vertAlign w:val="subscript"/>
        </w:rPr>
        <w:t>2</w:t>
      </w:r>
      <w:r>
        <w:rPr>
          <w:rFonts w:eastAsiaTheme="minorEastAsia"/>
        </w:rPr>
        <w:t xml:space="preserve"> and </w:t>
      </w:r>
      <w:r w:rsidRPr="00D24B6E">
        <w:rPr>
          <w:rFonts w:ascii="Symbol" w:eastAsiaTheme="minorEastAsia" w:hAnsi="Symbol"/>
        </w:rPr>
        <w:t></w:t>
      </w:r>
      <w:r>
        <w:rPr>
          <w:rFonts w:eastAsiaTheme="minorEastAsia"/>
        </w:rPr>
        <w:t>-</w:t>
      </w:r>
      <w:proofErr w:type="spellStart"/>
      <w:r>
        <w:rPr>
          <w:rFonts w:eastAsiaTheme="minorEastAsia"/>
        </w:rPr>
        <w:t>CoOOH</w:t>
      </w:r>
      <w:proofErr w:type="spellEnd"/>
      <w:r>
        <w:rPr>
          <w:rFonts w:eastAsiaTheme="minorEastAsia"/>
        </w:rPr>
        <w:t xml:space="preserve">). The authors combined thermodynamic data computed via DFT calculations with microkinetic </w:t>
      </w:r>
      <w:r w:rsidR="002A338C">
        <w:rPr>
          <w:rFonts w:eastAsiaTheme="minorEastAsia"/>
        </w:rPr>
        <w:t>modeling</w:t>
      </w:r>
      <w:r>
        <w:rPr>
          <w:rFonts w:eastAsiaTheme="minorEastAsia"/>
        </w:rPr>
        <w:t xml:space="preserve">, where kinetic parameters were derived from fitting of </w:t>
      </w:r>
      <w:r w:rsidR="00A65FB3">
        <w:rPr>
          <w:rFonts w:eastAsiaTheme="minorEastAsia"/>
        </w:rPr>
        <w:t>experiments</w:t>
      </w:r>
      <w:r>
        <w:rPr>
          <w:rFonts w:eastAsiaTheme="minorEastAsia"/>
        </w:rPr>
        <w:t>. The authors used the PBE+</w:t>
      </w:r>
      <w:r w:rsidRPr="00495FF0">
        <w:rPr>
          <w:rFonts w:eastAsiaTheme="minorEastAsia"/>
          <w:i/>
          <w:iCs/>
        </w:rPr>
        <w:t>U</w:t>
      </w:r>
      <w:r>
        <w:rPr>
          <w:rFonts w:eastAsiaTheme="minorEastAsia"/>
        </w:rPr>
        <w:t xml:space="preserve"> functional and the CHE approach, </w:t>
      </w:r>
      <w:r w:rsidR="002A338C">
        <w:rPr>
          <w:rFonts w:eastAsiaTheme="minorEastAsia"/>
        </w:rPr>
        <w:t>modeling</w:t>
      </w:r>
      <w:r>
        <w:rPr>
          <w:rFonts w:eastAsiaTheme="minorEastAsia"/>
        </w:rPr>
        <w:t xml:space="preserve"> the electrochemical interfaces in vacuum, to obtain bulk and surface (pH, </w:t>
      </w:r>
      <w:r w:rsidRPr="002F5918">
        <w:rPr>
          <w:rFonts w:eastAsiaTheme="minorEastAsia"/>
          <w:i/>
        </w:rPr>
        <w:t>U</w:t>
      </w:r>
      <w:r>
        <w:rPr>
          <w:rFonts w:eastAsiaTheme="minorEastAsia"/>
        </w:rPr>
        <w:t>) diagrams. The authors postulated a 4-step mechanism consisting of the following elementary steps taking place at a single Co surface site:</w:t>
      </w:r>
    </w:p>
    <w:p w14:paraId="202C58D1" w14:textId="460EE798" w:rsidR="006C1C9C" w:rsidRPr="00727A30" w:rsidRDefault="006C1C9C" w:rsidP="00AB61EB">
      <w:pPr>
        <w:pStyle w:val="Caption"/>
        <w:spacing w:after="60"/>
        <w:jc w:val="right"/>
        <w:rPr>
          <w:rFonts w:eastAsiaTheme="minorEastAsia"/>
          <w:lang w:val="it-IT"/>
        </w:rPr>
      </w:pPr>
      <w:r w:rsidRPr="00727A30">
        <w:rPr>
          <w:rFonts w:eastAsiaTheme="minorEastAsia"/>
          <w:lang w:val="it-IT"/>
        </w:rPr>
        <w:t>* + OH</w:t>
      </w:r>
      <w:r w:rsidRPr="00727A30">
        <w:rPr>
          <w:rFonts w:eastAsiaTheme="minorEastAsia"/>
          <w:vertAlign w:val="superscript"/>
          <w:lang w:val="it-IT"/>
        </w:rPr>
        <w:t>-</w:t>
      </w:r>
      <w:r w:rsidRPr="00727A30">
        <w:rPr>
          <w:rFonts w:eastAsiaTheme="minorEastAsia"/>
          <w:lang w:val="it-IT"/>
        </w:rPr>
        <w:t xml:space="preserve"> </w:t>
      </w:r>
      <m:oMath>
        <m:r>
          <w:rPr>
            <w:rFonts w:ascii="Cambria Math" w:eastAsiaTheme="minorEastAsia" w:hAnsi="Cambria Math"/>
            <w:lang w:val="it-IT"/>
          </w:rPr>
          <m:t>⇌</m:t>
        </m:r>
      </m:oMath>
      <w:r w:rsidRPr="00727A30">
        <w:rPr>
          <w:rFonts w:eastAsiaTheme="minorEastAsia"/>
          <w:lang w:val="it-IT"/>
        </w:rPr>
        <w:t xml:space="preserve"> *OH + </w:t>
      </w:r>
      <w:r w:rsidRPr="00EF55AE">
        <w:rPr>
          <w:rFonts w:eastAsiaTheme="minorEastAsia"/>
          <w:lang w:val="it-IT"/>
        </w:rPr>
        <w:t>e</w:t>
      </w:r>
      <w:r w:rsidRPr="00EF55AE">
        <w:rPr>
          <w:rFonts w:eastAsiaTheme="minorEastAsia"/>
          <w:vertAlign w:val="superscript"/>
          <w:lang w:val="it-IT"/>
        </w:rPr>
        <w:t>-</w:t>
      </w:r>
      <w:r w:rsidR="00AB61EB" w:rsidRPr="00727A30">
        <w:rPr>
          <w:rFonts w:eastAsiaTheme="minorEastAsia"/>
          <w:lang w:val="it-IT"/>
        </w:rPr>
        <w:tab/>
      </w:r>
      <w:r w:rsidR="00AB61EB" w:rsidRPr="00727A30">
        <w:rPr>
          <w:rFonts w:eastAsiaTheme="minorEastAsia"/>
          <w:lang w:val="it-IT"/>
        </w:rPr>
        <w:tab/>
      </w:r>
      <w:r w:rsidR="00AB61EB" w:rsidRPr="00727A30">
        <w:rPr>
          <w:rFonts w:eastAsiaTheme="minorEastAsia"/>
          <w:lang w:val="it-IT"/>
        </w:rPr>
        <w:tab/>
      </w:r>
      <w:r w:rsidR="00AB61EB" w:rsidRPr="00727A30">
        <w:rPr>
          <w:rFonts w:eastAsiaTheme="minorEastAsia"/>
          <w:lang w:val="it-IT"/>
        </w:rPr>
        <w:tab/>
      </w:r>
      <w:r w:rsidR="00AB61EB" w:rsidRPr="00727A30">
        <w:rPr>
          <w:rFonts w:eastAsiaTheme="minorEastAsia"/>
          <w:lang w:val="it-IT"/>
        </w:rPr>
        <w:tab/>
      </w:r>
      <w:r w:rsidR="00AB61EB" w:rsidRPr="00727A30">
        <w:rPr>
          <w:lang w:val="it-IT"/>
        </w:rPr>
        <w:t xml:space="preserve">Equation </w:t>
      </w:r>
      <w:r w:rsidR="00AB61EB">
        <w:fldChar w:fldCharType="begin"/>
      </w:r>
      <w:r w:rsidR="00AB61EB" w:rsidRPr="00727A30">
        <w:rPr>
          <w:lang w:val="it-IT"/>
        </w:rPr>
        <w:instrText xml:space="preserve"> SEQ Equation \* ARABIC </w:instrText>
      </w:r>
      <w:r w:rsidR="00AB61EB">
        <w:fldChar w:fldCharType="separate"/>
      </w:r>
      <w:r w:rsidR="00B7319C">
        <w:rPr>
          <w:noProof/>
          <w:lang w:val="it-IT"/>
        </w:rPr>
        <w:t>94</w:t>
      </w:r>
      <w:r w:rsidR="00AB61EB">
        <w:fldChar w:fldCharType="end"/>
      </w:r>
    </w:p>
    <w:p w14:paraId="60580DE2" w14:textId="37B6B0A6" w:rsidR="006C1C9C" w:rsidRPr="00727A30" w:rsidRDefault="006C1C9C" w:rsidP="00AB61EB">
      <w:pPr>
        <w:pStyle w:val="Caption"/>
        <w:spacing w:after="60"/>
        <w:jc w:val="right"/>
        <w:rPr>
          <w:rFonts w:eastAsiaTheme="minorEastAsia"/>
          <w:lang w:val="it-IT"/>
        </w:rPr>
      </w:pPr>
      <w:r w:rsidRPr="00727A30">
        <w:rPr>
          <w:rFonts w:eastAsiaTheme="minorEastAsia"/>
          <w:lang w:val="it-IT"/>
        </w:rPr>
        <w:t>*OH + OH</w:t>
      </w:r>
      <w:r w:rsidRPr="00727A30">
        <w:rPr>
          <w:rFonts w:eastAsiaTheme="minorEastAsia"/>
          <w:vertAlign w:val="superscript"/>
          <w:lang w:val="it-IT"/>
        </w:rPr>
        <w:t>-</w:t>
      </w:r>
      <w:r w:rsidRPr="00727A30">
        <w:rPr>
          <w:rFonts w:eastAsiaTheme="minorEastAsia"/>
          <w:lang w:val="it-IT"/>
        </w:rPr>
        <w:t xml:space="preserve">  </w:t>
      </w:r>
      <m:oMath>
        <m:r>
          <w:rPr>
            <w:rFonts w:ascii="Cambria Math" w:eastAsiaTheme="minorEastAsia" w:hAnsi="Cambria Math"/>
            <w:lang w:val="it-IT"/>
          </w:rPr>
          <m:t>⇌</m:t>
        </m:r>
      </m:oMath>
      <w:r w:rsidRPr="00727A30">
        <w:rPr>
          <w:rFonts w:eastAsiaTheme="minorEastAsia"/>
          <w:lang w:val="it-IT"/>
        </w:rPr>
        <w:t xml:space="preserve">  *O + H</w:t>
      </w:r>
      <w:r w:rsidRPr="00727A30">
        <w:rPr>
          <w:rFonts w:eastAsiaTheme="minorEastAsia"/>
          <w:vertAlign w:val="subscript"/>
          <w:lang w:val="it-IT"/>
        </w:rPr>
        <w:t>2</w:t>
      </w:r>
      <w:r w:rsidRPr="00727A30">
        <w:rPr>
          <w:rFonts w:eastAsiaTheme="minorEastAsia"/>
          <w:lang w:val="it-IT"/>
        </w:rPr>
        <w:t xml:space="preserve">O + </w:t>
      </w:r>
      <w:r w:rsidRPr="00EF55AE">
        <w:rPr>
          <w:rFonts w:eastAsiaTheme="minorEastAsia"/>
          <w:lang w:val="it-IT"/>
        </w:rPr>
        <w:t>e</w:t>
      </w:r>
      <w:r w:rsidRPr="00EF55AE">
        <w:rPr>
          <w:rFonts w:eastAsiaTheme="minorEastAsia"/>
          <w:vertAlign w:val="superscript"/>
          <w:lang w:val="it-IT"/>
        </w:rPr>
        <w:t>-</w:t>
      </w:r>
      <w:r w:rsidR="00AB61EB" w:rsidRPr="00727A30">
        <w:rPr>
          <w:rFonts w:eastAsiaTheme="minorEastAsia"/>
          <w:lang w:val="it-IT"/>
        </w:rPr>
        <w:tab/>
      </w:r>
      <w:r w:rsidR="00AB61EB" w:rsidRPr="00727A30">
        <w:rPr>
          <w:rFonts w:eastAsiaTheme="minorEastAsia"/>
          <w:lang w:val="it-IT"/>
        </w:rPr>
        <w:tab/>
      </w:r>
      <w:r w:rsidR="00AB61EB" w:rsidRPr="00727A30">
        <w:rPr>
          <w:rFonts w:eastAsiaTheme="minorEastAsia"/>
          <w:lang w:val="it-IT"/>
        </w:rPr>
        <w:tab/>
      </w:r>
      <w:r w:rsidR="00AB61EB" w:rsidRPr="00727A30">
        <w:rPr>
          <w:rFonts w:eastAsiaTheme="minorEastAsia"/>
          <w:lang w:val="it-IT"/>
        </w:rPr>
        <w:tab/>
      </w:r>
      <w:r w:rsidR="00AB61EB" w:rsidRPr="00727A30">
        <w:rPr>
          <w:lang w:val="it-IT"/>
        </w:rPr>
        <w:t xml:space="preserve">Equation </w:t>
      </w:r>
      <w:r w:rsidR="00AB61EB">
        <w:fldChar w:fldCharType="begin"/>
      </w:r>
      <w:r w:rsidR="00AB61EB" w:rsidRPr="00727A30">
        <w:rPr>
          <w:lang w:val="it-IT"/>
        </w:rPr>
        <w:instrText xml:space="preserve"> SEQ Equation \* ARABIC </w:instrText>
      </w:r>
      <w:r w:rsidR="00AB61EB">
        <w:fldChar w:fldCharType="separate"/>
      </w:r>
      <w:r w:rsidR="00B7319C">
        <w:rPr>
          <w:noProof/>
          <w:lang w:val="it-IT"/>
        </w:rPr>
        <w:t>95</w:t>
      </w:r>
      <w:r w:rsidR="00AB61EB">
        <w:fldChar w:fldCharType="end"/>
      </w:r>
    </w:p>
    <w:p w14:paraId="2D198DA4" w14:textId="245F38D5" w:rsidR="006C1C9C" w:rsidRPr="00727A30" w:rsidRDefault="006C1C9C" w:rsidP="00AB61EB">
      <w:pPr>
        <w:pStyle w:val="Caption"/>
        <w:spacing w:after="60"/>
        <w:jc w:val="right"/>
        <w:rPr>
          <w:rFonts w:eastAsiaTheme="minorEastAsia"/>
          <w:lang w:val="it-IT"/>
        </w:rPr>
      </w:pPr>
      <w:r w:rsidRPr="00727A30">
        <w:rPr>
          <w:rFonts w:eastAsiaTheme="minorEastAsia"/>
          <w:lang w:val="it-IT"/>
        </w:rPr>
        <w:t>*O + OH</w:t>
      </w:r>
      <w:r w:rsidRPr="00727A30">
        <w:rPr>
          <w:rFonts w:eastAsiaTheme="minorEastAsia"/>
          <w:vertAlign w:val="superscript"/>
          <w:lang w:val="it-IT"/>
        </w:rPr>
        <w:t>-</w:t>
      </w:r>
      <w:r w:rsidRPr="00727A30">
        <w:rPr>
          <w:rFonts w:eastAsiaTheme="minorEastAsia"/>
          <w:lang w:val="it-IT"/>
        </w:rPr>
        <w:t xml:space="preserve">  </w:t>
      </w:r>
      <m:oMath>
        <m:r>
          <w:rPr>
            <w:rFonts w:ascii="Cambria Math" w:eastAsiaTheme="minorEastAsia" w:hAnsi="Cambria Math"/>
            <w:lang w:val="it-IT"/>
          </w:rPr>
          <m:t>⇌</m:t>
        </m:r>
      </m:oMath>
      <w:r w:rsidRPr="00727A30">
        <w:rPr>
          <w:rFonts w:eastAsiaTheme="minorEastAsia"/>
          <w:lang w:val="it-IT"/>
        </w:rPr>
        <w:t xml:space="preserve">  *OOH + </w:t>
      </w:r>
      <w:r w:rsidRPr="00EF55AE">
        <w:rPr>
          <w:rFonts w:eastAsiaTheme="minorEastAsia"/>
          <w:lang w:val="it-IT"/>
        </w:rPr>
        <w:t>e</w:t>
      </w:r>
      <w:r w:rsidRPr="00EF55AE">
        <w:rPr>
          <w:rFonts w:eastAsiaTheme="minorEastAsia"/>
          <w:vertAlign w:val="superscript"/>
          <w:lang w:val="it-IT"/>
        </w:rPr>
        <w:t>-</w:t>
      </w:r>
      <w:r w:rsidR="00AB61EB" w:rsidRPr="00727A30">
        <w:rPr>
          <w:rFonts w:eastAsiaTheme="minorEastAsia"/>
          <w:lang w:val="it-IT"/>
        </w:rPr>
        <w:tab/>
      </w:r>
      <w:r w:rsidR="00AB61EB" w:rsidRPr="00727A30">
        <w:rPr>
          <w:rFonts w:eastAsiaTheme="minorEastAsia"/>
          <w:lang w:val="it-IT"/>
        </w:rPr>
        <w:tab/>
      </w:r>
      <w:r w:rsidR="00AB61EB" w:rsidRPr="00727A30">
        <w:rPr>
          <w:rFonts w:eastAsiaTheme="minorEastAsia"/>
          <w:lang w:val="it-IT"/>
        </w:rPr>
        <w:tab/>
      </w:r>
      <w:r w:rsidR="00AB61EB" w:rsidRPr="00727A30">
        <w:rPr>
          <w:rFonts w:eastAsiaTheme="minorEastAsia"/>
          <w:lang w:val="it-IT"/>
        </w:rPr>
        <w:tab/>
      </w:r>
      <w:r w:rsidR="00AB61EB" w:rsidRPr="00727A30">
        <w:rPr>
          <w:rFonts w:eastAsiaTheme="minorEastAsia"/>
          <w:lang w:val="it-IT"/>
        </w:rPr>
        <w:tab/>
      </w:r>
      <w:r w:rsidR="00AB61EB" w:rsidRPr="00727A30">
        <w:rPr>
          <w:lang w:val="it-IT"/>
        </w:rPr>
        <w:t xml:space="preserve">Equation </w:t>
      </w:r>
      <w:r w:rsidR="00AB61EB">
        <w:fldChar w:fldCharType="begin"/>
      </w:r>
      <w:r w:rsidR="00AB61EB" w:rsidRPr="00727A30">
        <w:rPr>
          <w:lang w:val="it-IT"/>
        </w:rPr>
        <w:instrText xml:space="preserve"> SEQ Equation \* ARABIC </w:instrText>
      </w:r>
      <w:r w:rsidR="00AB61EB">
        <w:fldChar w:fldCharType="separate"/>
      </w:r>
      <w:r w:rsidR="00B7319C">
        <w:rPr>
          <w:noProof/>
          <w:lang w:val="it-IT"/>
        </w:rPr>
        <w:t>96</w:t>
      </w:r>
      <w:r w:rsidR="00AB61EB">
        <w:fldChar w:fldCharType="end"/>
      </w:r>
    </w:p>
    <w:p w14:paraId="485B8DB1" w14:textId="21BE5FC3" w:rsidR="006C1C9C" w:rsidRPr="00727A30" w:rsidRDefault="006C1C9C" w:rsidP="00AB61EB">
      <w:pPr>
        <w:pStyle w:val="Caption"/>
        <w:spacing w:after="60"/>
        <w:jc w:val="right"/>
        <w:rPr>
          <w:rFonts w:eastAsiaTheme="minorEastAsia"/>
          <w:lang w:val="it-IT"/>
        </w:rPr>
      </w:pPr>
      <w:r w:rsidRPr="00727A30">
        <w:rPr>
          <w:rFonts w:eastAsiaTheme="minorEastAsia"/>
          <w:lang w:val="it-IT"/>
        </w:rPr>
        <w:t>*OOH + OH</w:t>
      </w:r>
      <w:r w:rsidRPr="00727A30">
        <w:rPr>
          <w:rFonts w:eastAsiaTheme="minorEastAsia"/>
          <w:vertAlign w:val="superscript"/>
          <w:lang w:val="it-IT"/>
        </w:rPr>
        <w:t>-</w:t>
      </w:r>
      <w:r w:rsidRPr="00727A30">
        <w:rPr>
          <w:rFonts w:eastAsiaTheme="minorEastAsia"/>
          <w:lang w:val="it-IT"/>
        </w:rPr>
        <w:t xml:space="preserve"> </w:t>
      </w:r>
      <m:oMath>
        <m:r>
          <w:rPr>
            <w:rFonts w:ascii="Cambria Math" w:eastAsiaTheme="minorEastAsia" w:hAnsi="Cambria Math"/>
            <w:lang w:val="it-IT"/>
          </w:rPr>
          <m:t>⇌</m:t>
        </m:r>
      </m:oMath>
      <w:r w:rsidRPr="00727A30">
        <w:rPr>
          <w:rFonts w:eastAsiaTheme="minorEastAsia"/>
          <w:lang w:val="it-IT"/>
        </w:rPr>
        <w:t xml:space="preserve"> O</w:t>
      </w:r>
      <w:r w:rsidRPr="00727A30">
        <w:rPr>
          <w:rFonts w:eastAsiaTheme="minorEastAsia"/>
          <w:vertAlign w:val="subscript"/>
          <w:lang w:val="it-IT"/>
        </w:rPr>
        <w:t>2</w:t>
      </w:r>
      <w:r w:rsidRPr="00727A30">
        <w:rPr>
          <w:rFonts w:eastAsiaTheme="minorEastAsia"/>
          <w:lang w:val="it-IT"/>
        </w:rPr>
        <w:t xml:space="preserve"> + H</w:t>
      </w:r>
      <w:r w:rsidRPr="00727A30">
        <w:rPr>
          <w:rFonts w:eastAsiaTheme="minorEastAsia"/>
          <w:vertAlign w:val="subscript"/>
          <w:lang w:val="it-IT"/>
        </w:rPr>
        <w:t>2</w:t>
      </w:r>
      <w:r w:rsidRPr="00727A30">
        <w:rPr>
          <w:rFonts w:eastAsiaTheme="minorEastAsia"/>
          <w:lang w:val="it-IT"/>
        </w:rPr>
        <w:t xml:space="preserve">O + </w:t>
      </w:r>
      <w:r w:rsidRPr="00EF55AE">
        <w:rPr>
          <w:rFonts w:eastAsiaTheme="minorEastAsia"/>
          <w:lang w:val="it-IT"/>
        </w:rPr>
        <w:t>e</w:t>
      </w:r>
      <w:r w:rsidRPr="00EF55AE">
        <w:rPr>
          <w:rFonts w:eastAsiaTheme="minorEastAsia"/>
          <w:vertAlign w:val="superscript"/>
          <w:lang w:val="it-IT"/>
        </w:rPr>
        <w:t>-</w:t>
      </w:r>
      <w:r w:rsidR="00AB61EB" w:rsidRPr="00727A30">
        <w:rPr>
          <w:rFonts w:eastAsiaTheme="minorEastAsia"/>
          <w:lang w:val="it-IT"/>
        </w:rPr>
        <w:tab/>
      </w:r>
      <w:r w:rsidR="00AB61EB" w:rsidRPr="00727A30">
        <w:rPr>
          <w:rFonts w:eastAsiaTheme="minorEastAsia"/>
          <w:lang w:val="it-IT"/>
        </w:rPr>
        <w:tab/>
      </w:r>
      <w:r w:rsidR="00AB61EB" w:rsidRPr="00727A30">
        <w:rPr>
          <w:rFonts w:eastAsiaTheme="minorEastAsia"/>
          <w:lang w:val="it-IT"/>
        </w:rPr>
        <w:tab/>
      </w:r>
      <w:r w:rsidR="00AB61EB" w:rsidRPr="00727A30">
        <w:rPr>
          <w:rFonts w:eastAsiaTheme="minorEastAsia"/>
          <w:lang w:val="it-IT"/>
        </w:rPr>
        <w:tab/>
      </w:r>
      <w:r w:rsidR="00AB61EB" w:rsidRPr="00727A30">
        <w:rPr>
          <w:lang w:val="it-IT"/>
        </w:rPr>
        <w:t xml:space="preserve">Equation </w:t>
      </w:r>
      <w:r w:rsidR="00AB61EB">
        <w:fldChar w:fldCharType="begin"/>
      </w:r>
      <w:r w:rsidR="00AB61EB" w:rsidRPr="00727A30">
        <w:rPr>
          <w:lang w:val="it-IT"/>
        </w:rPr>
        <w:instrText xml:space="preserve"> SEQ Equation \* ARABIC </w:instrText>
      </w:r>
      <w:r w:rsidR="00AB61EB">
        <w:fldChar w:fldCharType="separate"/>
      </w:r>
      <w:r w:rsidR="00B7319C">
        <w:rPr>
          <w:noProof/>
          <w:lang w:val="it-IT"/>
        </w:rPr>
        <w:t>97</w:t>
      </w:r>
      <w:r w:rsidR="00AB61EB">
        <w:fldChar w:fldCharType="end"/>
      </w:r>
    </w:p>
    <w:p w14:paraId="7B579338" w14:textId="24ED68CE" w:rsidR="006C1C9C" w:rsidRDefault="006C1C9C" w:rsidP="006C1C9C">
      <w:pPr>
        <w:rPr>
          <w:rFonts w:eastAsiaTheme="minorEastAsia"/>
        </w:rPr>
      </w:pPr>
      <w:r>
        <w:rPr>
          <w:rFonts w:eastAsiaTheme="minorEastAsia"/>
        </w:rPr>
        <w:lastRenderedPageBreak/>
        <w:t xml:space="preserve">They computed the standard redox potential for each of these steps, </w:t>
      </w:r>
      <m:oMath>
        <m:sSubSup>
          <m:sSubSupPr>
            <m:ctrlPr>
              <w:rPr>
                <w:rFonts w:ascii="Cambria Math" w:eastAsiaTheme="minorEastAsia" w:hAnsi="Cambria Math"/>
                <w:i/>
              </w:rPr>
            </m:ctrlPr>
          </m:sSubSupPr>
          <m:e>
            <m:r>
              <w:rPr>
                <w:rFonts w:ascii="Cambria Math" w:eastAsiaTheme="minorEastAsia" w:hAnsi="Cambria Math"/>
              </w:rPr>
              <m:t>U</m:t>
            </m:r>
          </m:e>
          <m:sub>
            <m:r>
              <w:rPr>
                <w:rFonts w:ascii="Cambria Math" w:eastAsiaTheme="minorEastAsia" w:hAnsi="Cambria Math"/>
              </w:rPr>
              <m:t>i,</m:t>
            </m:r>
            <m:r>
              <m:rPr>
                <m:sty m:val="p"/>
              </m:rPr>
              <w:rPr>
                <w:rFonts w:ascii="Cambria Math" w:eastAsiaTheme="minorEastAsia" w:hAnsi="Cambria Math"/>
              </w:rPr>
              <m:t>DFT</m:t>
            </m:r>
          </m:sub>
          <m:sup>
            <m:sSup>
              <m:sSupPr>
                <m:ctrlPr>
                  <w:rPr>
                    <w:rFonts w:ascii="Cambria Math" w:eastAsiaTheme="minorEastAsia" w:hAnsi="Cambria Math"/>
                    <w:i/>
                  </w:rPr>
                </m:ctrlPr>
              </m:sSupPr>
              <m:e>
                <m:r>
                  <w:rPr>
                    <w:rFonts w:ascii="Cambria Math" w:eastAsiaTheme="minorEastAsia" w:hAnsi="Cambria Math"/>
                  </w:rPr>
                  <m:t>0</m:t>
                </m:r>
              </m:e>
              <m:sup>
                <m:r>
                  <w:rPr>
                    <w:rFonts w:ascii="Cambria Math" w:eastAsiaTheme="minorEastAsia" w:hAnsi="Cambria Math"/>
                  </w:rPr>
                  <m:t>'</m:t>
                </m:r>
              </m:sup>
            </m:sSup>
          </m:sup>
        </m:sSubSup>
        <m:r>
          <w:rPr>
            <w:rFonts w:ascii="Cambria Math" w:eastAsiaTheme="minorEastAsia" w:hAnsi="Cambria Math"/>
          </w:rPr>
          <m:t xml:space="preserve">, </m:t>
        </m:r>
      </m:oMath>
      <w:r>
        <w:rPr>
          <w:rFonts w:eastAsiaTheme="minorEastAsia"/>
        </w:rPr>
        <w:t>considering various coverages of adsorbates at the other Co surface sites (H</w:t>
      </w:r>
      <w:r w:rsidRPr="00E71184">
        <w:rPr>
          <w:rFonts w:eastAsiaTheme="minorEastAsia"/>
          <w:vertAlign w:val="subscript"/>
        </w:rPr>
        <w:t>2</w:t>
      </w:r>
      <w:r>
        <w:rPr>
          <w:rFonts w:eastAsiaTheme="minorEastAsia"/>
        </w:rPr>
        <w:t>O*, *OH, *O). They assumed for the forward and backward rate constants of each step a Butler-Volmer expression:</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5F3A2E" w:rsidRPr="005F3A2E" w14:paraId="090CFB8E" w14:textId="77777777" w:rsidTr="00DE0988">
        <w:tc>
          <w:tcPr>
            <w:tcW w:w="7938" w:type="dxa"/>
            <w:tcMar>
              <w:left w:w="28" w:type="dxa"/>
              <w:right w:w="28" w:type="dxa"/>
            </w:tcMar>
            <w:vAlign w:val="center"/>
          </w:tcPr>
          <w:p w14:paraId="5C0CD901" w14:textId="4C3BDF04" w:rsidR="005F3A2E" w:rsidRPr="005F3A2E" w:rsidRDefault="00000000" w:rsidP="005F3A2E">
            <w:pPr>
              <w:rPr>
                <w:rFonts w:eastAsiaTheme="minorEastAsia"/>
                <w:sz w:val="20"/>
                <w:szCs w:val="20"/>
              </w:rPr>
            </w:pPr>
            <m:oMathPara>
              <m:oMath>
                <m:sSub>
                  <m:sSubPr>
                    <m:ctrlPr>
                      <w:rPr>
                        <w:rFonts w:ascii="Cambria Math" w:eastAsiaTheme="minorEastAsia" w:hAnsi="Cambria Math"/>
                        <w:i/>
                        <w:sz w:val="20"/>
                        <w:szCs w:val="20"/>
                      </w:rPr>
                    </m:ctrlPr>
                  </m:sSubPr>
                  <m:e>
                    <m:r>
                      <w:rPr>
                        <w:rFonts w:ascii="Cambria Math" w:eastAsiaTheme="minorEastAsia" w:hAnsi="Cambria Math"/>
                        <w:sz w:val="20"/>
                        <w:szCs w:val="20"/>
                      </w:rPr>
                      <m:t>k</m:t>
                    </m:r>
                  </m:e>
                  <m:sub>
                    <m:r>
                      <w:rPr>
                        <w:rFonts w:ascii="Cambria Math" w:eastAsiaTheme="minorEastAsia" w:hAnsi="Cambria Math"/>
                        <w:sz w:val="20"/>
                        <w:szCs w:val="20"/>
                      </w:rPr>
                      <m:t>i,f</m:t>
                    </m:r>
                  </m:sub>
                </m:sSub>
                <m:r>
                  <w:rPr>
                    <w:rFonts w:ascii="Cambria Math" w:eastAsiaTheme="minorEastAsia" w:hAnsi="Cambria Math"/>
                    <w:sz w:val="20"/>
                    <w:szCs w:val="20"/>
                  </w:rPr>
                  <m:t>=</m:t>
                </m:r>
                <m:sSubSup>
                  <m:sSubSupPr>
                    <m:ctrlPr>
                      <w:rPr>
                        <w:rFonts w:ascii="Cambria Math" w:eastAsiaTheme="minorEastAsia" w:hAnsi="Cambria Math"/>
                        <w:i/>
                        <w:sz w:val="20"/>
                        <w:szCs w:val="20"/>
                      </w:rPr>
                    </m:ctrlPr>
                  </m:sSubSupPr>
                  <m:e>
                    <m:r>
                      <w:rPr>
                        <w:rFonts w:ascii="Cambria Math" w:eastAsiaTheme="minorEastAsia" w:hAnsi="Cambria Math"/>
                        <w:sz w:val="20"/>
                        <w:szCs w:val="20"/>
                      </w:rPr>
                      <m:t>k</m:t>
                    </m:r>
                  </m:e>
                  <m:sub>
                    <m:r>
                      <w:rPr>
                        <w:rFonts w:ascii="Cambria Math" w:eastAsiaTheme="minorEastAsia" w:hAnsi="Cambria Math"/>
                        <w:sz w:val="20"/>
                        <w:szCs w:val="20"/>
                      </w:rPr>
                      <m:t>i</m:t>
                    </m:r>
                  </m:sub>
                  <m:sup>
                    <m:r>
                      <w:rPr>
                        <w:rFonts w:ascii="Cambria Math" w:eastAsiaTheme="minorEastAsia" w:hAnsi="Cambria Math"/>
                        <w:sz w:val="20"/>
                        <w:szCs w:val="20"/>
                      </w:rPr>
                      <m:t>0</m:t>
                    </m:r>
                  </m:sup>
                </m:sSubSup>
                <m:r>
                  <m:rPr>
                    <m:sty m:val="p"/>
                  </m:rPr>
                  <w:rPr>
                    <w:rFonts w:ascii="Cambria Math" w:eastAsiaTheme="minorEastAsia" w:hAnsi="Cambria Math"/>
                    <w:sz w:val="20"/>
                    <w:szCs w:val="20"/>
                  </w:rPr>
                  <m:t>exp</m:t>
                </m:r>
                <m:d>
                  <m:dPr>
                    <m:ctrlPr>
                      <w:rPr>
                        <w:rFonts w:ascii="Cambria Math" w:eastAsiaTheme="minorEastAsia" w:hAnsi="Cambria Math"/>
                        <w:i/>
                        <w:sz w:val="20"/>
                        <w:szCs w:val="20"/>
                      </w:rPr>
                    </m:ctrlPr>
                  </m:dPr>
                  <m:e>
                    <m:d>
                      <m:dPr>
                        <m:ctrlPr>
                          <w:rPr>
                            <w:rFonts w:ascii="Cambria Math" w:eastAsiaTheme="minorEastAsia" w:hAnsi="Cambria Math"/>
                            <w:i/>
                            <w:sz w:val="20"/>
                            <w:szCs w:val="20"/>
                          </w:rPr>
                        </m:ctrlPr>
                      </m:dPr>
                      <m:e>
                        <m:r>
                          <w:rPr>
                            <w:rFonts w:ascii="Cambria Math" w:eastAsiaTheme="minorEastAsia" w:hAnsi="Cambria Math"/>
                            <w:sz w:val="20"/>
                            <w:szCs w:val="20"/>
                          </w:rPr>
                          <m:t>1-</m:t>
                        </m:r>
                        <m:sSub>
                          <m:sSubPr>
                            <m:ctrlPr>
                              <w:rPr>
                                <w:rFonts w:ascii="Cambria Math" w:eastAsiaTheme="minorEastAsia" w:hAnsi="Cambria Math"/>
                                <w:i/>
                                <w:sz w:val="20"/>
                                <w:szCs w:val="20"/>
                              </w:rPr>
                            </m:ctrlPr>
                          </m:sSubPr>
                          <m:e>
                            <m:r>
                              <w:rPr>
                                <w:rFonts w:ascii="Cambria Math" w:eastAsiaTheme="minorEastAsia" w:hAnsi="Cambria Math"/>
                                <w:sz w:val="20"/>
                                <w:szCs w:val="20"/>
                              </w:rPr>
                              <m:t>β</m:t>
                            </m:r>
                          </m:e>
                          <m:sub>
                            <m:r>
                              <w:rPr>
                                <w:rFonts w:ascii="Cambria Math" w:eastAsiaTheme="minorEastAsia" w:hAnsi="Cambria Math"/>
                                <w:sz w:val="20"/>
                                <w:szCs w:val="20"/>
                              </w:rPr>
                              <m:t>i</m:t>
                            </m:r>
                          </m:sub>
                        </m:sSub>
                      </m:e>
                    </m:d>
                    <m:r>
                      <w:rPr>
                        <w:rFonts w:ascii="Cambria Math" w:eastAsiaTheme="minorEastAsia" w:hAnsi="Cambria Math"/>
                        <w:sz w:val="20"/>
                        <w:szCs w:val="20"/>
                      </w:rPr>
                      <m:t>f</m:t>
                    </m:r>
                    <m:d>
                      <m:dPr>
                        <m:ctrlPr>
                          <w:rPr>
                            <w:rFonts w:ascii="Cambria Math" w:eastAsiaTheme="minorEastAsia" w:hAnsi="Cambria Math"/>
                            <w:i/>
                            <w:sz w:val="20"/>
                            <w:szCs w:val="20"/>
                          </w:rPr>
                        </m:ctrlPr>
                      </m:dPr>
                      <m:e>
                        <m:r>
                          <w:rPr>
                            <w:rFonts w:ascii="Cambria Math" w:eastAsiaTheme="minorEastAsia" w:hAnsi="Cambria Math"/>
                            <w:sz w:val="20"/>
                            <w:szCs w:val="20"/>
                          </w:rPr>
                          <m:t>U-</m:t>
                        </m:r>
                        <m:sSubSup>
                          <m:sSubSupPr>
                            <m:ctrlPr>
                              <w:rPr>
                                <w:rFonts w:ascii="Cambria Math" w:eastAsiaTheme="minorEastAsia" w:hAnsi="Cambria Math"/>
                                <w:i/>
                                <w:sz w:val="20"/>
                                <w:szCs w:val="20"/>
                              </w:rPr>
                            </m:ctrlPr>
                          </m:sSubSupPr>
                          <m:e>
                            <m:r>
                              <w:rPr>
                                <w:rFonts w:ascii="Cambria Math" w:eastAsiaTheme="minorEastAsia" w:hAnsi="Cambria Math"/>
                                <w:sz w:val="20"/>
                                <w:szCs w:val="20"/>
                              </w:rPr>
                              <m:t>U</m:t>
                            </m:r>
                          </m:e>
                          <m:sub>
                            <m:r>
                              <w:rPr>
                                <w:rFonts w:ascii="Cambria Math" w:eastAsiaTheme="minorEastAsia" w:hAnsi="Cambria Math"/>
                                <w:sz w:val="20"/>
                                <w:szCs w:val="20"/>
                              </w:rPr>
                              <m:t>i,</m:t>
                            </m:r>
                            <m:r>
                              <m:rPr>
                                <m:sty m:val="p"/>
                              </m:rPr>
                              <w:rPr>
                                <w:rFonts w:ascii="Cambria Math" w:eastAsiaTheme="minorEastAsia" w:hAnsi="Cambria Math"/>
                                <w:sz w:val="20"/>
                                <w:szCs w:val="20"/>
                              </w:rPr>
                              <m:t>DFT</m:t>
                            </m:r>
                          </m:sub>
                          <m:sup>
                            <m:sSup>
                              <m:sSupPr>
                                <m:ctrlPr>
                                  <w:rPr>
                                    <w:rFonts w:ascii="Cambria Math" w:eastAsiaTheme="minorEastAsia" w:hAnsi="Cambria Math"/>
                                    <w:i/>
                                    <w:sz w:val="20"/>
                                    <w:szCs w:val="20"/>
                                  </w:rPr>
                                </m:ctrlPr>
                              </m:sSupPr>
                              <m:e>
                                <m:r>
                                  <w:rPr>
                                    <w:rFonts w:ascii="Cambria Math" w:eastAsiaTheme="minorEastAsia" w:hAnsi="Cambria Math"/>
                                    <w:sz w:val="20"/>
                                    <w:szCs w:val="20"/>
                                  </w:rPr>
                                  <m:t>0</m:t>
                                </m:r>
                              </m:e>
                              <m:sup>
                                <m:r>
                                  <w:rPr>
                                    <w:rFonts w:ascii="Cambria Math" w:eastAsiaTheme="minorEastAsia" w:hAnsi="Cambria Math"/>
                                    <w:sz w:val="20"/>
                                    <w:szCs w:val="20"/>
                                  </w:rPr>
                                  <m:t>'</m:t>
                                </m:r>
                              </m:sup>
                            </m:sSup>
                          </m:sup>
                        </m:sSubSup>
                      </m:e>
                    </m:d>
                  </m:e>
                </m:d>
              </m:oMath>
            </m:oMathPara>
          </w:p>
        </w:tc>
        <w:tc>
          <w:tcPr>
            <w:tcW w:w="1134" w:type="dxa"/>
            <w:tcMar>
              <w:left w:w="28" w:type="dxa"/>
              <w:right w:w="28" w:type="dxa"/>
            </w:tcMar>
            <w:vAlign w:val="center"/>
          </w:tcPr>
          <w:p w14:paraId="73EDE8E8" w14:textId="5700D235" w:rsidR="005F3A2E" w:rsidRPr="005F3A2E" w:rsidRDefault="005F3A2E" w:rsidP="00E45E28">
            <w:pPr>
              <w:keepNext/>
              <w:jc w:val="right"/>
              <w:rPr>
                <w:bCs/>
                <w:sz w:val="20"/>
                <w:szCs w:val="20"/>
              </w:rPr>
            </w:pPr>
            <w:r w:rsidRPr="005F3A2E">
              <w:rPr>
                <w:sz w:val="20"/>
                <w:szCs w:val="20"/>
              </w:rPr>
              <w:t xml:space="preserve">Equation </w:t>
            </w:r>
            <w:r w:rsidRPr="005F3A2E">
              <w:rPr>
                <w:sz w:val="20"/>
                <w:szCs w:val="20"/>
              </w:rPr>
              <w:fldChar w:fldCharType="begin"/>
            </w:r>
            <w:r w:rsidRPr="005F3A2E">
              <w:rPr>
                <w:sz w:val="20"/>
                <w:szCs w:val="20"/>
              </w:rPr>
              <w:instrText xml:space="preserve"> SEQ Equation \* ARABIC </w:instrText>
            </w:r>
            <w:r w:rsidRPr="005F3A2E">
              <w:rPr>
                <w:sz w:val="20"/>
                <w:szCs w:val="20"/>
              </w:rPr>
              <w:fldChar w:fldCharType="separate"/>
            </w:r>
            <w:r w:rsidR="00B7319C">
              <w:rPr>
                <w:noProof/>
                <w:sz w:val="20"/>
                <w:szCs w:val="20"/>
              </w:rPr>
              <w:t>98</w:t>
            </w:r>
            <w:r w:rsidRPr="005F3A2E">
              <w:rPr>
                <w:sz w:val="20"/>
                <w:szCs w:val="20"/>
              </w:rPr>
              <w:fldChar w:fldCharType="end"/>
            </w:r>
          </w:p>
        </w:tc>
      </w:tr>
      <w:tr w:rsidR="005F3A2E" w:rsidRPr="005F3A2E" w14:paraId="1F9EE66F" w14:textId="77777777" w:rsidTr="00DE0988">
        <w:tc>
          <w:tcPr>
            <w:tcW w:w="7938" w:type="dxa"/>
            <w:tcMar>
              <w:left w:w="28" w:type="dxa"/>
              <w:right w:w="28" w:type="dxa"/>
            </w:tcMar>
            <w:vAlign w:val="center"/>
          </w:tcPr>
          <w:p w14:paraId="02E6CB61" w14:textId="7E121CA4" w:rsidR="005F3A2E" w:rsidRPr="005F3A2E" w:rsidRDefault="00000000" w:rsidP="005F3A2E">
            <w:pPr>
              <w:rPr>
                <w:rFonts w:eastAsiaTheme="minorEastAsia"/>
                <w:sz w:val="20"/>
                <w:szCs w:val="20"/>
              </w:rPr>
            </w:pPr>
            <m:oMathPara>
              <m:oMath>
                <m:sSub>
                  <m:sSubPr>
                    <m:ctrlPr>
                      <w:rPr>
                        <w:rFonts w:ascii="Cambria Math" w:eastAsiaTheme="minorEastAsia" w:hAnsi="Cambria Math"/>
                        <w:i/>
                        <w:sz w:val="20"/>
                        <w:szCs w:val="20"/>
                      </w:rPr>
                    </m:ctrlPr>
                  </m:sSubPr>
                  <m:e>
                    <m:r>
                      <w:rPr>
                        <w:rFonts w:ascii="Cambria Math" w:eastAsiaTheme="minorEastAsia" w:hAnsi="Cambria Math"/>
                        <w:sz w:val="20"/>
                        <w:szCs w:val="20"/>
                      </w:rPr>
                      <m:t>k</m:t>
                    </m:r>
                  </m:e>
                  <m:sub>
                    <m:r>
                      <w:rPr>
                        <w:rFonts w:ascii="Cambria Math" w:eastAsiaTheme="minorEastAsia" w:hAnsi="Cambria Math"/>
                        <w:sz w:val="20"/>
                        <w:szCs w:val="20"/>
                      </w:rPr>
                      <m:t>i,b</m:t>
                    </m:r>
                  </m:sub>
                </m:sSub>
                <m:r>
                  <w:rPr>
                    <w:rFonts w:ascii="Cambria Math" w:eastAsiaTheme="minorEastAsia" w:hAnsi="Cambria Math"/>
                    <w:sz w:val="20"/>
                    <w:szCs w:val="20"/>
                  </w:rPr>
                  <m:t>=</m:t>
                </m:r>
                <m:sSubSup>
                  <m:sSubSupPr>
                    <m:ctrlPr>
                      <w:rPr>
                        <w:rFonts w:ascii="Cambria Math" w:eastAsiaTheme="minorEastAsia" w:hAnsi="Cambria Math"/>
                        <w:i/>
                        <w:sz w:val="20"/>
                        <w:szCs w:val="20"/>
                      </w:rPr>
                    </m:ctrlPr>
                  </m:sSubSupPr>
                  <m:e>
                    <m:r>
                      <w:rPr>
                        <w:rFonts w:ascii="Cambria Math" w:eastAsiaTheme="minorEastAsia" w:hAnsi="Cambria Math"/>
                        <w:sz w:val="20"/>
                        <w:szCs w:val="20"/>
                      </w:rPr>
                      <m:t>k</m:t>
                    </m:r>
                  </m:e>
                  <m:sub>
                    <m:r>
                      <w:rPr>
                        <w:rFonts w:ascii="Cambria Math" w:eastAsiaTheme="minorEastAsia" w:hAnsi="Cambria Math"/>
                        <w:sz w:val="20"/>
                        <w:szCs w:val="20"/>
                      </w:rPr>
                      <m:t>i</m:t>
                    </m:r>
                  </m:sub>
                  <m:sup>
                    <m:r>
                      <w:rPr>
                        <w:rFonts w:ascii="Cambria Math" w:eastAsiaTheme="minorEastAsia" w:hAnsi="Cambria Math"/>
                        <w:sz w:val="20"/>
                        <w:szCs w:val="20"/>
                      </w:rPr>
                      <m:t>0</m:t>
                    </m:r>
                  </m:sup>
                </m:sSubSup>
                <m:r>
                  <m:rPr>
                    <m:sty m:val="p"/>
                  </m:rPr>
                  <w:rPr>
                    <w:rFonts w:ascii="Cambria Math" w:eastAsiaTheme="minorEastAsia" w:hAnsi="Cambria Math"/>
                    <w:sz w:val="20"/>
                    <w:szCs w:val="20"/>
                  </w:rPr>
                  <m:t>exp</m:t>
                </m:r>
                <m:d>
                  <m:dPr>
                    <m:ctrlPr>
                      <w:rPr>
                        <w:rFonts w:ascii="Cambria Math" w:eastAsiaTheme="minorEastAsia" w:hAnsi="Cambria Math"/>
                        <w:i/>
                        <w:sz w:val="20"/>
                        <w:szCs w:val="20"/>
                      </w:rPr>
                    </m:ctrlPr>
                  </m:dPr>
                  <m:e>
                    <m:r>
                      <w:rPr>
                        <w:rFonts w:ascii="Cambria Math" w:eastAsiaTheme="minorEastAsia" w:hAnsi="Cambria Math"/>
                        <w:sz w:val="20"/>
                        <w:szCs w:val="20"/>
                      </w:rPr>
                      <m:t>-</m:t>
                    </m:r>
                    <m:sSub>
                      <m:sSubPr>
                        <m:ctrlPr>
                          <w:rPr>
                            <w:rFonts w:ascii="Cambria Math" w:eastAsiaTheme="minorEastAsia" w:hAnsi="Cambria Math"/>
                            <w:i/>
                            <w:sz w:val="20"/>
                            <w:szCs w:val="20"/>
                          </w:rPr>
                        </m:ctrlPr>
                      </m:sSubPr>
                      <m:e>
                        <m:r>
                          <w:rPr>
                            <w:rFonts w:ascii="Cambria Math" w:eastAsiaTheme="minorEastAsia" w:hAnsi="Cambria Math"/>
                            <w:sz w:val="20"/>
                            <w:szCs w:val="20"/>
                          </w:rPr>
                          <m:t>β</m:t>
                        </m:r>
                      </m:e>
                      <m:sub>
                        <m:r>
                          <w:rPr>
                            <w:rFonts w:ascii="Cambria Math" w:eastAsiaTheme="minorEastAsia" w:hAnsi="Cambria Math"/>
                            <w:sz w:val="20"/>
                            <w:szCs w:val="20"/>
                          </w:rPr>
                          <m:t>i</m:t>
                        </m:r>
                      </m:sub>
                    </m:sSub>
                    <m:r>
                      <w:rPr>
                        <w:rFonts w:ascii="Cambria Math" w:eastAsiaTheme="minorEastAsia" w:hAnsi="Cambria Math"/>
                        <w:sz w:val="20"/>
                        <w:szCs w:val="20"/>
                      </w:rPr>
                      <m:t>f</m:t>
                    </m:r>
                    <m:d>
                      <m:dPr>
                        <m:ctrlPr>
                          <w:rPr>
                            <w:rFonts w:ascii="Cambria Math" w:eastAsiaTheme="minorEastAsia" w:hAnsi="Cambria Math"/>
                            <w:i/>
                            <w:sz w:val="20"/>
                            <w:szCs w:val="20"/>
                          </w:rPr>
                        </m:ctrlPr>
                      </m:dPr>
                      <m:e>
                        <m:r>
                          <w:rPr>
                            <w:rFonts w:ascii="Cambria Math" w:eastAsiaTheme="minorEastAsia" w:hAnsi="Cambria Math"/>
                            <w:sz w:val="20"/>
                            <w:szCs w:val="20"/>
                          </w:rPr>
                          <m:t>U-</m:t>
                        </m:r>
                        <m:sSubSup>
                          <m:sSubSupPr>
                            <m:ctrlPr>
                              <w:rPr>
                                <w:rFonts w:ascii="Cambria Math" w:eastAsiaTheme="minorEastAsia" w:hAnsi="Cambria Math"/>
                                <w:i/>
                                <w:sz w:val="20"/>
                                <w:szCs w:val="20"/>
                              </w:rPr>
                            </m:ctrlPr>
                          </m:sSubSupPr>
                          <m:e>
                            <m:r>
                              <w:rPr>
                                <w:rFonts w:ascii="Cambria Math" w:eastAsiaTheme="minorEastAsia" w:hAnsi="Cambria Math"/>
                                <w:sz w:val="20"/>
                                <w:szCs w:val="20"/>
                              </w:rPr>
                              <m:t>U</m:t>
                            </m:r>
                          </m:e>
                          <m:sub>
                            <m:r>
                              <w:rPr>
                                <w:rFonts w:ascii="Cambria Math" w:eastAsiaTheme="minorEastAsia" w:hAnsi="Cambria Math"/>
                                <w:sz w:val="20"/>
                                <w:szCs w:val="20"/>
                              </w:rPr>
                              <m:t>i,</m:t>
                            </m:r>
                            <m:r>
                              <m:rPr>
                                <m:sty m:val="p"/>
                              </m:rPr>
                              <w:rPr>
                                <w:rFonts w:ascii="Cambria Math" w:eastAsiaTheme="minorEastAsia" w:hAnsi="Cambria Math"/>
                                <w:sz w:val="20"/>
                                <w:szCs w:val="20"/>
                              </w:rPr>
                              <m:t>DFT</m:t>
                            </m:r>
                          </m:sub>
                          <m:sup>
                            <m:sSup>
                              <m:sSupPr>
                                <m:ctrlPr>
                                  <w:rPr>
                                    <w:rFonts w:ascii="Cambria Math" w:eastAsiaTheme="minorEastAsia" w:hAnsi="Cambria Math"/>
                                    <w:i/>
                                    <w:sz w:val="20"/>
                                    <w:szCs w:val="20"/>
                                  </w:rPr>
                                </m:ctrlPr>
                              </m:sSupPr>
                              <m:e>
                                <m:r>
                                  <w:rPr>
                                    <w:rFonts w:ascii="Cambria Math" w:eastAsiaTheme="minorEastAsia" w:hAnsi="Cambria Math"/>
                                    <w:sz w:val="20"/>
                                    <w:szCs w:val="20"/>
                                  </w:rPr>
                                  <m:t>0</m:t>
                                </m:r>
                              </m:e>
                              <m:sup>
                                <m:r>
                                  <w:rPr>
                                    <w:rFonts w:ascii="Cambria Math" w:eastAsiaTheme="minorEastAsia" w:hAnsi="Cambria Math"/>
                                    <w:sz w:val="20"/>
                                    <w:szCs w:val="20"/>
                                  </w:rPr>
                                  <m:t>'</m:t>
                                </m:r>
                              </m:sup>
                            </m:sSup>
                          </m:sup>
                        </m:sSubSup>
                      </m:e>
                    </m:d>
                  </m:e>
                </m:d>
              </m:oMath>
            </m:oMathPara>
          </w:p>
        </w:tc>
        <w:tc>
          <w:tcPr>
            <w:tcW w:w="1134" w:type="dxa"/>
            <w:tcMar>
              <w:left w:w="28" w:type="dxa"/>
              <w:right w:w="28" w:type="dxa"/>
            </w:tcMar>
            <w:vAlign w:val="center"/>
          </w:tcPr>
          <w:p w14:paraId="6B14FF9C" w14:textId="5C61588D" w:rsidR="005F3A2E" w:rsidRPr="005F3A2E" w:rsidRDefault="005F3A2E" w:rsidP="00E45E28">
            <w:pPr>
              <w:keepNext/>
              <w:jc w:val="right"/>
              <w:rPr>
                <w:bCs/>
                <w:sz w:val="20"/>
                <w:szCs w:val="20"/>
              </w:rPr>
            </w:pPr>
            <w:r w:rsidRPr="005F3A2E">
              <w:rPr>
                <w:sz w:val="20"/>
                <w:szCs w:val="20"/>
              </w:rPr>
              <w:t xml:space="preserve">Equation </w:t>
            </w:r>
            <w:r w:rsidRPr="005F3A2E">
              <w:rPr>
                <w:sz w:val="20"/>
                <w:szCs w:val="20"/>
              </w:rPr>
              <w:fldChar w:fldCharType="begin"/>
            </w:r>
            <w:r w:rsidRPr="005F3A2E">
              <w:rPr>
                <w:sz w:val="20"/>
                <w:szCs w:val="20"/>
              </w:rPr>
              <w:instrText xml:space="preserve"> SEQ Equation \* ARABIC </w:instrText>
            </w:r>
            <w:r w:rsidRPr="005F3A2E">
              <w:rPr>
                <w:sz w:val="20"/>
                <w:szCs w:val="20"/>
              </w:rPr>
              <w:fldChar w:fldCharType="separate"/>
            </w:r>
            <w:r w:rsidR="00B7319C">
              <w:rPr>
                <w:noProof/>
                <w:sz w:val="20"/>
                <w:szCs w:val="20"/>
              </w:rPr>
              <w:t>99</w:t>
            </w:r>
            <w:r w:rsidRPr="005F3A2E">
              <w:rPr>
                <w:sz w:val="20"/>
                <w:szCs w:val="20"/>
              </w:rPr>
              <w:fldChar w:fldCharType="end"/>
            </w:r>
          </w:p>
        </w:tc>
      </w:tr>
      <w:tr w:rsidR="005F3A2E" w:rsidRPr="005F3A2E" w14:paraId="5B910896" w14:textId="77777777" w:rsidTr="00DE0988">
        <w:tc>
          <w:tcPr>
            <w:tcW w:w="7938" w:type="dxa"/>
            <w:tcMar>
              <w:left w:w="28" w:type="dxa"/>
              <w:right w:w="28" w:type="dxa"/>
            </w:tcMar>
            <w:vAlign w:val="center"/>
          </w:tcPr>
          <w:p w14:paraId="5A8F0DF9" w14:textId="6D678369" w:rsidR="005F3A2E" w:rsidRPr="005F3A2E" w:rsidRDefault="00000000" w:rsidP="00E45E28">
            <w:pPr>
              <w:spacing w:before="60" w:after="60"/>
              <w:rPr>
                <w:bCs/>
                <w:sz w:val="20"/>
                <w:szCs w:val="20"/>
              </w:rPr>
            </w:pPr>
            <m:oMathPara>
              <m:oMath>
                <m:sSub>
                  <m:sSubPr>
                    <m:ctrlPr>
                      <w:rPr>
                        <w:rFonts w:ascii="Cambria Math" w:eastAsiaTheme="minorEastAsia" w:hAnsi="Cambria Math"/>
                        <w:i/>
                        <w:sz w:val="20"/>
                        <w:szCs w:val="20"/>
                      </w:rPr>
                    </m:ctrlPr>
                  </m:sSubPr>
                  <m:e>
                    <m:r>
                      <w:rPr>
                        <w:rFonts w:ascii="Cambria Math" w:eastAsiaTheme="minorEastAsia" w:hAnsi="Cambria Math"/>
                        <w:sz w:val="20"/>
                        <w:szCs w:val="20"/>
                      </w:rPr>
                      <m:t>υ</m:t>
                    </m:r>
                  </m:e>
                  <m:sub>
                    <m:r>
                      <w:rPr>
                        <w:rFonts w:ascii="Cambria Math" w:eastAsiaTheme="minorEastAsia" w:hAnsi="Cambria Math"/>
                        <w:sz w:val="20"/>
                        <w:szCs w:val="20"/>
                      </w:rPr>
                      <m:t>i</m:t>
                    </m:r>
                  </m:sub>
                </m:sSub>
                <m:r>
                  <w:rPr>
                    <w:rFonts w:ascii="Cambria Math" w:eastAsiaTheme="minorEastAsia" w:hAnsi="Cambria Math"/>
                    <w:sz w:val="20"/>
                    <w:szCs w:val="20"/>
                  </w:rPr>
                  <m:t>=</m:t>
                </m:r>
                <m:sSub>
                  <m:sSubPr>
                    <m:ctrlPr>
                      <w:rPr>
                        <w:rFonts w:ascii="Cambria Math" w:eastAsiaTheme="minorEastAsia" w:hAnsi="Cambria Math"/>
                        <w:i/>
                        <w:sz w:val="20"/>
                        <w:szCs w:val="20"/>
                      </w:rPr>
                    </m:ctrlPr>
                  </m:sSubPr>
                  <m:e>
                    <m:r>
                      <w:rPr>
                        <w:rFonts w:ascii="Cambria Math" w:eastAsiaTheme="minorEastAsia" w:hAnsi="Cambria Math"/>
                        <w:sz w:val="20"/>
                        <w:szCs w:val="20"/>
                      </w:rPr>
                      <m:t>k</m:t>
                    </m:r>
                  </m:e>
                  <m:sub>
                    <m:r>
                      <w:rPr>
                        <w:rFonts w:ascii="Cambria Math" w:eastAsiaTheme="minorEastAsia" w:hAnsi="Cambria Math"/>
                        <w:sz w:val="20"/>
                        <w:szCs w:val="20"/>
                      </w:rPr>
                      <m:t>i,f</m:t>
                    </m:r>
                  </m:sub>
                </m:sSub>
                <m:sSub>
                  <m:sSubPr>
                    <m:ctrlPr>
                      <w:rPr>
                        <w:rFonts w:ascii="Cambria Math" w:eastAsiaTheme="minorEastAsia" w:hAnsi="Cambria Math"/>
                        <w:i/>
                        <w:sz w:val="20"/>
                        <w:szCs w:val="20"/>
                      </w:rPr>
                    </m:ctrlPr>
                  </m:sSubPr>
                  <m:e>
                    <m:r>
                      <w:rPr>
                        <w:rFonts w:ascii="Cambria Math" w:eastAsiaTheme="minorEastAsia" w:hAnsi="Cambria Math"/>
                        <w:sz w:val="20"/>
                        <w:szCs w:val="20"/>
                      </w:rPr>
                      <m:t>θ</m:t>
                    </m:r>
                  </m:e>
                  <m:sub>
                    <m:r>
                      <w:rPr>
                        <w:rFonts w:ascii="Cambria Math" w:eastAsiaTheme="minorEastAsia" w:hAnsi="Cambria Math"/>
                        <w:sz w:val="20"/>
                        <w:szCs w:val="20"/>
                      </w:rPr>
                      <m:t>i,R</m:t>
                    </m:r>
                  </m:sub>
                </m:sSub>
                <m:r>
                  <w:rPr>
                    <w:rFonts w:ascii="Cambria Math" w:eastAsiaTheme="minorEastAsia" w:hAnsi="Cambria Math"/>
                    <w:sz w:val="20"/>
                    <w:szCs w:val="20"/>
                  </w:rPr>
                  <m:t>-</m:t>
                </m:r>
                <m:sSub>
                  <m:sSubPr>
                    <m:ctrlPr>
                      <w:rPr>
                        <w:rFonts w:ascii="Cambria Math" w:eastAsiaTheme="minorEastAsia" w:hAnsi="Cambria Math"/>
                        <w:i/>
                        <w:sz w:val="20"/>
                        <w:szCs w:val="20"/>
                      </w:rPr>
                    </m:ctrlPr>
                  </m:sSubPr>
                  <m:e>
                    <m:r>
                      <w:rPr>
                        <w:rFonts w:ascii="Cambria Math" w:eastAsiaTheme="minorEastAsia" w:hAnsi="Cambria Math"/>
                        <w:sz w:val="20"/>
                        <w:szCs w:val="20"/>
                      </w:rPr>
                      <m:t>k</m:t>
                    </m:r>
                  </m:e>
                  <m:sub>
                    <m:r>
                      <w:rPr>
                        <w:rFonts w:ascii="Cambria Math" w:eastAsiaTheme="minorEastAsia" w:hAnsi="Cambria Math"/>
                        <w:sz w:val="20"/>
                        <w:szCs w:val="20"/>
                      </w:rPr>
                      <m:t>i,b</m:t>
                    </m:r>
                  </m:sub>
                </m:sSub>
                <m:sSub>
                  <m:sSubPr>
                    <m:ctrlPr>
                      <w:rPr>
                        <w:rFonts w:ascii="Cambria Math" w:eastAsiaTheme="minorEastAsia" w:hAnsi="Cambria Math"/>
                        <w:i/>
                        <w:sz w:val="20"/>
                        <w:szCs w:val="20"/>
                      </w:rPr>
                    </m:ctrlPr>
                  </m:sSubPr>
                  <m:e>
                    <m:r>
                      <w:rPr>
                        <w:rFonts w:ascii="Cambria Math" w:eastAsiaTheme="minorEastAsia" w:hAnsi="Cambria Math"/>
                        <w:sz w:val="20"/>
                        <w:szCs w:val="20"/>
                      </w:rPr>
                      <m:t>θ</m:t>
                    </m:r>
                  </m:e>
                  <m:sub>
                    <m:r>
                      <w:rPr>
                        <w:rFonts w:ascii="Cambria Math" w:eastAsiaTheme="minorEastAsia" w:hAnsi="Cambria Math"/>
                        <w:sz w:val="20"/>
                        <w:szCs w:val="20"/>
                      </w:rPr>
                      <m:t>i,P</m:t>
                    </m:r>
                  </m:sub>
                </m:sSub>
              </m:oMath>
            </m:oMathPara>
          </w:p>
        </w:tc>
        <w:tc>
          <w:tcPr>
            <w:tcW w:w="1134" w:type="dxa"/>
            <w:tcMar>
              <w:left w:w="28" w:type="dxa"/>
              <w:right w:w="28" w:type="dxa"/>
            </w:tcMar>
            <w:vAlign w:val="center"/>
          </w:tcPr>
          <w:p w14:paraId="3D17F7FA" w14:textId="2BD561DD" w:rsidR="005F3A2E" w:rsidRPr="005F3A2E" w:rsidRDefault="005F3A2E" w:rsidP="00E45E28">
            <w:pPr>
              <w:keepNext/>
              <w:jc w:val="right"/>
              <w:rPr>
                <w:bCs/>
                <w:sz w:val="20"/>
                <w:szCs w:val="20"/>
              </w:rPr>
            </w:pPr>
            <w:r w:rsidRPr="005F3A2E">
              <w:rPr>
                <w:sz w:val="20"/>
                <w:szCs w:val="20"/>
              </w:rPr>
              <w:t xml:space="preserve">Equation </w:t>
            </w:r>
            <w:r w:rsidRPr="005F3A2E">
              <w:rPr>
                <w:sz w:val="20"/>
                <w:szCs w:val="20"/>
              </w:rPr>
              <w:fldChar w:fldCharType="begin"/>
            </w:r>
            <w:r w:rsidRPr="005F3A2E">
              <w:rPr>
                <w:sz w:val="20"/>
                <w:szCs w:val="20"/>
              </w:rPr>
              <w:instrText xml:space="preserve"> SEQ Equation \* ARABIC </w:instrText>
            </w:r>
            <w:r w:rsidRPr="005F3A2E">
              <w:rPr>
                <w:sz w:val="20"/>
                <w:szCs w:val="20"/>
              </w:rPr>
              <w:fldChar w:fldCharType="separate"/>
            </w:r>
            <w:r w:rsidR="00B7319C">
              <w:rPr>
                <w:noProof/>
                <w:sz w:val="20"/>
                <w:szCs w:val="20"/>
              </w:rPr>
              <w:t>100</w:t>
            </w:r>
            <w:r w:rsidRPr="005F3A2E">
              <w:rPr>
                <w:sz w:val="20"/>
                <w:szCs w:val="20"/>
              </w:rPr>
              <w:fldChar w:fldCharType="end"/>
            </w:r>
          </w:p>
        </w:tc>
      </w:tr>
    </w:tbl>
    <w:p w14:paraId="0A99C4D5" w14:textId="2E3FC55C" w:rsidR="006C1C9C" w:rsidRDefault="006C1C9C" w:rsidP="006C1C9C">
      <w:pPr>
        <w:rPr>
          <w:rFonts w:eastAsiaTheme="minorEastAsia"/>
        </w:rPr>
      </w:pPr>
      <w:r>
        <w:rPr>
          <w:rFonts w:eastAsiaTheme="minorEastAsia"/>
        </w:rPr>
        <w:t xml:space="preserve">where </w:t>
      </w:r>
      <m:oMath>
        <m:sSubSup>
          <m:sSubSupPr>
            <m:ctrlPr>
              <w:rPr>
                <w:rFonts w:ascii="Cambria Math" w:eastAsiaTheme="minorEastAsia" w:hAnsi="Cambria Math"/>
                <w:i/>
              </w:rPr>
            </m:ctrlPr>
          </m:sSubSupPr>
          <m:e>
            <m:r>
              <w:rPr>
                <w:rFonts w:ascii="Cambria Math" w:eastAsiaTheme="minorEastAsia" w:hAnsi="Cambria Math"/>
              </w:rPr>
              <m:t>k</m:t>
            </m:r>
          </m:e>
          <m:sub>
            <m:r>
              <w:rPr>
                <w:rFonts w:ascii="Cambria Math" w:eastAsiaTheme="minorEastAsia" w:hAnsi="Cambria Math"/>
              </w:rPr>
              <m:t>i</m:t>
            </m:r>
          </m:sub>
          <m:sup>
            <m:r>
              <w:rPr>
                <w:rFonts w:ascii="Cambria Math" w:eastAsiaTheme="minorEastAsia" w:hAnsi="Cambria Math"/>
              </w:rPr>
              <m:t>0</m:t>
            </m:r>
          </m:sup>
        </m:sSubSup>
      </m:oMath>
      <w:r>
        <w:rPr>
          <w:rFonts w:eastAsiaTheme="minorEastAsia"/>
        </w:rPr>
        <w:t xml:space="preserve"> is the pre-exponential frequency factor (the intrinsic standard rate constant) of the </w:t>
      </w:r>
      <w:proofErr w:type="spellStart"/>
      <w:r w:rsidRPr="002F5918">
        <w:rPr>
          <w:rFonts w:eastAsiaTheme="minorEastAsia"/>
          <w:i/>
          <w:iCs/>
        </w:rPr>
        <w:t>i</w:t>
      </w:r>
      <w:r>
        <w:rPr>
          <w:rFonts w:eastAsiaTheme="minorEastAsia"/>
        </w:rPr>
        <w:t>-th</w:t>
      </w:r>
      <w:proofErr w:type="spellEnd"/>
      <w:r>
        <w:rPr>
          <w:rFonts w:eastAsiaTheme="minorEastAsia"/>
        </w:rPr>
        <w:t xml:space="preserve"> step, </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i</m:t>
            </m:r>
          </m:sub>
        </m:sSub>
      </m:oMath>
      <w:r>
        <w:rPr>
          <w:rFonts w:eastAsiaTheme="minorEastAsia"/>
        </w:rPr>
        <w:t xml:space="preserve"> is the symmetry (or transfer) coefficient, </w:t>
      </w:r>
      <m:oMath>
        <m:r>
          <w:rPr>
            <w:rFonts w:ascii="Cambria Math" w:eastAsiaTheme="minorEastAsia" w:hAnsi="Cambria Math"/>
          </w:rPr>
          <m:t>f</m:t>
        </m:r>
      </m:oMath>
      <w:r>
        <w:rPr>
          <w:rFonts w:eastAsiaTheme="minorEastAsia"/>
        </w:rPr>
        <w:t xml:space="preserve"> =</w:t>
      </w:r>
      <w:r w:rsidRPr="00817A4B">
        <w:rPr>
          <w:rFonts w:eastAsiaTheme="minorEastAsia"/>
          <w:i/>
          <w:iCs/>
        </w:rPr>
        <w:t>F/RT</w:t>
      </w:r>
      <w:r>
        <w:rPr>
          <w:rFonts w:eastAsiaTheme="minorEastAsia"/>
        </w:rPr>
        <w:t xml:space="preserve"> (</w:t>
      </w:r>
      <w:r w:rsidRPr="00817A4B">
        <w:rPr>
          <w:rFonts w:eastAsiaTheme="minorEastAsia"/>
          <w:i/>
          <w:iCs/>
        </w:rPr>
        <w:t>F</w:t>
      </w:r>
      <w:r>
        <w:rPr>
          <w:rFonts w:eastAsiaTheme="minorEastAsia"/>
        </w:rPr>
        <w:t xml:space="preserve"> is the Faraday constant,</w:t>
      </w:r>
      <w:r w:rsidRPr="00817A4B">
        <w:rPr>
          <w:rFonts w:eastAsiaTheme="minorEastAsia"/>
          <w:i/>
          <w:iCs/>
        </w:rPr>
        <w:t xml:space="preserve"> R</w:t>
      </w:r>
      <w:r>
        <w:rPr>
          <w:rFonts w:eastAsiaTheme="minorEastAsia"/>
        </w:rPr>
        <w:t xml:space="preserve"> is the ideal gas constant and </w:t>
      </w:r>
      <w:r w:rsidRPr="00817A4B">
        <w:rPr>
          <w:rFonts w:eastAsiaTheme="minorEastAsia"/>
          <w:i/>
          <w:iCs/>
        </w:rPr>
        <w:t>T</w:t>
      </w:r>
      <w:r>
        <w:rPr>
          <w:rFonts w:eastAsiaTheme="minorEastAsia"/>
        </w:rPr>
        <w:t xml:space="preserve"> is temperature), </w:t>
      </w:r>
      <w:r>
        <w:rPr>
          <w:rFonts w:eastAsiaTheme="minorEastAsia"/>
          <w:i/>
          <w:iCs/>
        </w:rPr>
        <w:t>U</w:t>
      </w:r>
      <w:r>
        <w:rPr>
          <w:rFonts w:eastAsiaTheme="minorEastAsia"/>
        </w:rPr>
        <w:t xml:space="preserve"> is the applied bias on the RHE scale, </w:t>
      </w:r>
      <m:oMath>
        <m:sSub>
          <m:sSubPr>
            <m:ctrlPr>
              <w:rPr>
                <w:rFonts w:ascii="Cambria Math" w:eastAsiaTheme="minorEastAsia" w:hAnsi="Cambria Math"/>
                <w:i/>
              </w:rPr>
            </m:ctrlPr>
          </m:sSubPr>
          <m:e>
            <m:r>
              <w:rPr>
                <w:rFonts w:ascii="Cambria Math" w:eastAsiaTheme="minorEastAsia" w:hAnsi="Cambria Math"/>
              </w:rPr>
              <m:t>υ</m:t>
            </m:r>
          </m:e>
          <m:sub>
            <m:r>
              <w:rPr>
                <w:rFonts w:ascii="Cambria Math" w:eastAsiaTheme="minorEastAsia" w:hAnsi="Cambria Math"/>
              </w:rPr>
              <m:t>i</m:t>
            </m:r>
          </m:sub>
        </m:sSub>
      </m:oMath>
      <w:r>
        <w:rPr>
          <w:rFonts w:eastAsiaTheme="minorEastAsia"/>
        </w:rPr>
        <w:t xml:space="preserve"> is the net rate, </w:t>
      </w:r>
      <m:oMath>
        <m:sSub>
          <m:sSubPr>
            <m:ctrlPr>
              <w:rPr>
                <w:rFonts w:ascii="Cambria Math" w:eastAsiaTheme="minorEastAsia" w:hAnsi="Cambria Math"/>
                <w:i/>
              </w:rPr>
            </m:ctrlPr>
          </m:sSubPr>
          <m:e>
            <m:r>
              <w:rPr>
                <w:rFonts w:ascii="Cambria Math" w:eastAsiaTheme="minorEastAsia" w:hAnsi="Cambria Math"/>
              </w:rPr>
              <m:t>θ</m:t>
            </m:r>
          </m:e>
          <m:sub>
            <m:r>
              <w:rPr>
                <w:rFonts w:ascii="Cambria Math" w:eastAsiaTheme="minorEastAsia" w:hAnsi="Cambria Math"/>
              </w:rPr>
              <m:t>i,R</m:t>
            </m:r>
          </m:sub>
        </m:sSub>
      </m:oMath>
      <w:r>
        <w:rPr>
          <w:rFonts w:eastAsiaTheme="minorEastAsia"/>
        </w:rPr>
        <w:t xml:space="preserve"> and </w:t>
      </w:r>
      <m:oMath>
        <m:sSub>
          <m:sSubPr>
            <m:ctrlPr>
              <w:rPr>
                <w:rFonts w:ascii="Cambria Math" w:eastAsiaTheme="minorEastAsia" w:hAnsi="Cambria Math"/>
                <w:i/>
              </w:rPr>
            </m:ctrlPr>
          </m:sSubPr>
          <m:e>
            <m:r>
              <w:rPr>
                <w:rFonts w:ascii="Cambria Math" w:eastAsiaTheme="minorEastAsia" w:hAnsi="Cambria Math"/>
              </w:rPr>
              <m:t>θ</m:t>
            </m:r>
          </m:e>
          <m:sub>
            <m:r>
              <w:rPr>
                <w:rFonts w:ascii="Cambria Math" w:eastAsiaTheme="minorEastAsia" w:hAnsi="Cambria Math"/>
              </w:rPr>
              <m:t>i,P</m:t>
            </m:r>
          </m:sub>
        </m:sSub>
      </m:oMath>
      <w:r>
        <w:rPr>
          <w:rFonts w:eastAsiaTheme="minorEastAsia"/>
        </w:rPr>
        <w:t>are the coverages of the reactant and product adsorbates, respectively. The equations are solved at the steady state (</w:t>
      </w:r>
      <m:oMath>
        <m:f>
          <m:fPr>
            <m:ctrlPr>
              <w:rPr>
                <w:rFonts w:ascii="Cambria Math" w:eastAsiaTheme="minorEastAsia" w:hAnsi="Cambria Math"/>
                <w:i/>
              </w:rPr>
            </m:ctrlPr>
          </m:fPr>
          <m:num>
            <m:r>
              <m:rPr>
                <m:sty m:val="p"/>
              </m:rPr>
              <w:rPr>
                <w:rFonts w:ascii="Cambria Math" w:eastAsiaTheme="minorEastAsia" w:hAnsi="Cambria Math"/>
              </w:rPr>
              <m:t>d</m:t>
            </m:r>
            <m:sSub>
              <m:sSubPr>
                <m:ctrlPr>
                  <w:rPr>
                    <w:rFonts w:ascii="Cambria Math" w:eastAsiaTheme="minorEastAsia" w:hAnsi="Cambria Math"/>
                    <w:i/>
                  </w:rPr>
                </m:ctrlPr>
              </m:sSubPr>
              <m:e>
                <m:r>
                  <w:rPr>
                    <w:rFonts w:ascii="Cambria Math" w:eastAsiaTheme="minorEastAsia" w:hAnsi="Cambria Math"/>
                  </w:rPr>
                  <m:t>θ</m:t>
                </m:r>
              </m:e>
              <m:sub>
                <m:r>
                  <w:rPr>
                    <w:rFonts w:ascii="Cambria Math" w:eastAsiaTheme="minorEastAsia" w:hAnsi="Cambria Math"/>
                  </w:rPr>
                  <m:t>i</m:t>
                </m:r>
              </m:sub>
            </m:sSub>
          </m:num>
          <m:den>
            <m:r>
              <m:rPr>
                <m:sty m:val="p"/>
              </m:rPr>
              <w:rPr>
                <w:rFonts w:ascii="Cambria Math" w:eastAsiaTheme="minorEastAsia" w:hAnsi="Cambria Math"/>
              </w:rPr>
              <m:t>d</m:t>
            </m:r>
            <m:r>
              <w:rPr>
                <w:rFonts w:ascii="Cambria Math" w:eastAsiaTheme="minorEastAsia" w:hAnsi="Cambria Math"/>
              </w:rPr>
              <m:t>t</m:t>
            </m:r>
          </m:den>
        </m:f>
        <m:r>
          <w:rPr>
            <w:rFonts w:ascii="Cambria Math" w:eastAsiaTheme="minorEastAsia" w:hAnsi="Cambria Math"/>
          </w:rPr>
          <m:t>=0</m:t>
        </m:r>
      </m:oMath>
      <w:r>
        <w:rPr>
          <w:rFonts w:eastAsiaTheme="minorEastAsia"/>
        </w:rPr>
        <w:t xml:space="preserve">) assuming the symmetry factors are equal to 0.5 and fitting the intrinsic standard rate constants </w:t>
      </w:r>
      <m:oMath>
        <m:sSubSup>
          <m:sSubSupPr>
            <m:ctrlPr>
              <w:rPr>
                <w:rFonts w:ascii="Cambria Math" w:eastAsiaTheme="minorEastAsia" w:hAnsi="Cambria Math"/>
                <w:i/>
              </w:rPr>
            </m:ctrlPr>
          </m:sSubSupPr>
          <m:e>
            <m:r>
              <w:rPr>
                <w:rFonts w:ascii="Cambria Math" w:eastAsiaTheme="minorEastAsia" w:hAnsi="Cambria Math"/>
              </w:rPr>
              <m:t>k</m:t>
            </m:r>
          </m:e>
          <m:sub>
            <m:r>
              <w:rPr>
                <w:rFonts w:ascii="Cambria Math" w:eastAsiaTheme="minorEastAsia" w:hAnsi="Cambria Math"/>
              </w:rPr>
              <m:t>i</m:t>
            </m:r>
          </m:sub>
          <m:sup>
            <m:r>
              <w:rPr>
                <w:rFonts w:ascii="Cambria Math" w:eastAsiaTheme="minorEastAsia" w:hAnsi="Cambria Math"/>
              </w:rPr>
              <m:t>0</m:t>
            </m:r>
          </m:sup>
        </m:sSubSup>
      </m:oMath>
      <w:r>
        <w:rPr>
          <w:rFonts w:eastAsiaTheme="minorEastAsia"/>
        </w:rPr>
        <w:t xml:space="preserve">. Furthermore, the authors used a self-consistency loop to ensure that the coverages utilized to compute the thermodynamics of the elementary steps are consistent with the coverages predicted by the microkinetic model (see </w:t>
      </w:r>
      <w:r>
        <w:rPr>
          <w:rFonts w:eastAsiaTheme="minorEastAsia"/>
        </w:rPr>
        <w:fldChar w:fldCharType="begin"/>
      </w:r>
      <w:r>
        <w:rPr>
          <w:rFonts w:eastAsiaTheme="minorEastAsia"/>
        </w:rPr>
        <w:instrText xml:space="preserve"> REF _Ref154050697 \h </w:instrText>
      </w:r>
      <w:r>
        <w:rPr>
          <w:rFonts w:eastAsiaTheme="minorEastAsia"/>
        </w:rPr>
      </w:r>
      <w:r>
        <w:rPr>
          <w:rFonts w:eastAsiaTheme="minorEastAsia"/>
        </w:rPr>
        <w:fldChar w:fldCharType="separate"/>
      </w:r>
      <w:r w:rsidR="00B7319C" w:rsidRPr="00EC6677">
        <w:rPr>
          <w:b/>
        </w:rPr>
        <w:t xml:space="preserve">Figure </w:t>
      </w:r>
      <w:r w:rsidR="00B7319C">
        <w:rPr>
          <w:b/>
          <w:bCs/>
          <w:noProof/>
        </w:rPr>
        <w:t>62</w:t>
      </w:r>
      <w:r>
        <w:rPr>
          <w:rFonts w:eastAsiaTheme="minorEastAsia"/>
        </w:rPr>
        <w:fldChar w:fldCharType="end"/>
      </w:r>
      <w:r>
        <w:rPr>
          <w:rFonts w:eastAsiaTheme="minorEastAsia"/>
        </w:rPr>
        <w:t xml:space="preserve">). </w:t>
      </w:r>
    </w:p>
    <w:p w14:paraId="4820D5ED" w14:textId="77777777" w:rsidR="006C1C9C" w:rsidRDefault="006C1C9C" w:rsidP="006C1C9C">
      <w:pPr>
        <w:rPr>
          <w:rFonts w:eastAsiaTheme="minorEastAsia"/>
        </w:rPr>
      </w:pPr>
    </w:p>
    <w:p w14:paraId="2EBBC7EE" w14:textId="77777777" w:rsidR="006C1C9C" w:rsidRDefault="006C1C9C" w:rsidP="001C1AC5">
      <w:pPr>
        <w:keepNext/>
        <w:jc w:val="center"/>
      </w:pPr>
      <w:r>
        <w:rPr>
          <w:noProof/>
        </w:rPr>
        <w:drawing>
          <wp:inline distT="0" distB="0" distL="0" distR="0" wp14:anchorId="164AF144" wp14:editId="3F83C34E">
            <wp:extent cx="4111775" cy="2880000"/>
            <wp:effectExtent l="0" t="0" r="3175" b="317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Mefford_EES2020_fig4_exp_big.jp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4111775" cy="2880000"/>
                    </a:xfrm>
                    <a:prstGeom prst="rect">
                      <a:avLst/>
                    </a:prstGeom>
                  </pic:spPr>
                </pic:pic>
              </a:graphicData>
            </a:graphic>
          </wp:inline>
        </w:drawing>
      </w:r>
    </w:p>
    <w:p w14:paraId="74F1BF56" w14:textId="5C22CA61" w:rsidR="006C1C9C" w:rsidRDefault="006C1C9C" w:rsidP="006C1C9C">
      <w:pPr>
        <w:pStyle w:val="Caption"/>
      </w:pPr>
      <w:bookmarkStart w:id="171" w:name="_Ref154050697"/>
      <w:r w:rsidRPr="00EC6677">
        <w:rPr>
          <w:b/>
          <w:bCs w:val="0"/>
          <w:sz w:val="22"/>
        </w:rPr>
        <w:t xml:space="preserve">Figure </w:t>
      </w:r>
      <w:r w:rsidRPr="00EC6677">
        <w:rPr>
          <w:b/>
          <w:bCs w:val="0"/>
          <w:sz w:val="22"/>
        </w:rPr>
        <w:fldChar w:fldCharType="begin"/>
      </w:r>
      <w:r w:rsidRPr="00EC6677">
        <w:rPr>
          <w:b/>
          <w:bCs w:val="0"/>
          <w:sz w:val="22"/>
        </w:rPr>
        <w:instrText xml:space="preserve"> SEQ Figure \* ARABIC </w:instrText>
      </w:r>
      <w:r w:rsidRPr="00EC6677">
        <w:rPr>
          <w:b/>
          <w:bCs w:val="0"/>
          <w:sz w:val="22"/>
        </w:rPr>
        <w:fldChar w:fldCharType="separate"/>
      </w:r>
      <w:r w:rsidR="00B7319C">
        <w:rPr>
          <w:b/>
          <w:bCs w:val="0"/>
          <w:noProof/>
          <w:sz w:val="22"/>
        </w:rPr>
        <w:t>62</w:t>
      </w:r>
      <w:r w:rsidRPr="00EC6677">
        <w:rPr>
          <w:b/>
          <w:bCs w:val="0"/>
          <w:noProof/>
          <w:sz w:val="22"/>
        </w:rPr>
        <w:fldChar w:fldCharType="end"/>
      </w:r>
      <w:bookmarkEnd w:id="171"/>
      <w:r>
        <w:t xml:space="preserve"> </w:t>
      </w:r>
      <w:r w:rsidRPr="009D0B19">
        <w:t>Steady state microkinetic fits and self-consistency criterion evaluation for the β-</w:t>
      </w:r>
      <w:proofErr w:type="spellStart"/>
      <w:r w:rsidRPr="009D0B19">
        <w:t>CoOOH</w:t>
      </w:r>
      <w:proofErr w:type="spellEnd"/>
      <w:r w:rsidRPr="009D0B19">
        <w:t xml:space="preserve"> (11</w:t>
      </w:r>
      <w:r>
        <w:t>2</w:t>
      </w:r>
      <w:r w:rsidRPr="009D0B19">
        <w:t>0) surface with different DFT coverages. The fits are shown in black and the coverage predicted by the steady state microkinetic model shown in red for the clean surface, orange for OH*, green for O*, and blue for OOH* for the (a) surface with 1 ML H</w:t>
      </w:r>
      <w:r w:rsidRPr="009D0B19">
        <w:rPr>
          <w:vertAlign w:val="subscript"/>
        </w:rPr>
        <w:t>2</w:t>
      </w:r>
      <w:r w:rsidRPr="009D0B19">
        <w:t>O* DFT coverage, (b) surface with ½ ML H</w:t>
      </w:r>
      <w:r w:rsidRPr="009D0B19">
        <w:rPr>
          <w:vertAlign w:val="subscript"/>
        </w:rPr>
        <w:t>2</w:t>
      </w:r>
      <w:r w:rsidRPr="009D0B19">
        <w:t>O*, ½ ML OH* DFT coverage, and (c) the surface with 1 ML OH* DFT coverage. The full reaction coordinates at applied voltages from 0 to 2.5 V vs. RHE in 0.1 V increments are shown for the (d) surface with 1 ML H</w:t>
      </w:r>
      <w:r w:rsidRPr="009D0B19">
        <w:rPr>
          <w:vertAlign w:val="subscript"/>
        </w:rPr>
        <w:t>2</w:t>
      </w:r>
      <w:r w:rsidRPr="009D0B19">
        <w:t>O* DFT coverage, (e) surface with ½ ML H</w:t>
      </w:r>
      <w:r w:rsidRPr="009D0B19">
        <w:rPr>
          <w:vertAlign w:val="subscript"/>
        </w:rPr>
        <w:t>2</w:t>
      </w:r>
      <w:r w:rsidRPr="009D0B19">
        <w:t>O*, ½ ML OH* DFT coverage, and (f) the surface with 1 ML OH* DFT coverage. The reaction coordinates at the standard OER potential (</w:t>
      </w:r>
      <w:r w:rsidRPr="00495FF0">
        <w:rPr>
          <w:i/>
          <w:iCs/>
        </w:rPr>
        <w:t>E</w:t>
      </w:r>
      <w:r w:rsidRPr="009D0B19">
        <w:rPr>
          <w:vertAlign w:val="superscript"/>
        </w:rPr>
        <w:t>0</w:t>
      </w:r>
      <w:r w:rsidRPr="009D0B19">
        <w:t xml:space="preserve"> = 1.23 V vs. RHE) and the PLS for the given bulk phase and surface are shown in red and blue, respectively. The RLS is highlighted and compared to the DFT coverage to calculate the thermodynamic adsorbate energetics. Only the β-</w:t>
      </w:r>
      <w:proofErr w:type="spellStart"/>
      <w:r w:rsidRPr="009D0B19">
        <w:t>CoOOH</w:t>
      </w:r>
      <w:proofErr w:type="spellEnd"/>
      <w:r w:rsidRPr="009D0B19">
        <w:t xml:space="preserve"> (11</w:t>
      </w:r>
      <w:r>
        <w:t>2</w:t>
      </w:r>
      <w:r w:rsidRPr="009D0B19">
        <w:t>0) surface with ½ ML H</w:t>
      </w:r>
      <w:r w:rsidRPr="009D0B19">
        <w:rPr>
          <w:vertAlign w:val="subscript"/>
        </w:rPr>
        <w:t>2</w:t>
      </w:r>
      <w:r w:rsidRPr="009D0B19">
        <w:t>O*, ½ ML OH* DFT coverage fits the self-consistency criterion where the kinetics traps the surface in a dominant OH* coverage due to a RLS of OH* → O*.</w:t>
      </w:r>
      <w:r>
        <w:t xml:space="preserve"> Adapted from Ref.</w:t>
      </w:r>
      <w:r>
        <w:fldChar w:fldCharType="begin"/>
      </w:r>
      <w:r w:rsidR="00FC5BEB">
        <w:instrText xml:space="preserve"> ADDIN EN.CITE &lt;EndNote&gt;&lt;Cite&gt;&lt;Author&gt;Mefford&lt;/Author&gt;&lt;Year&gt;2020&lt;/Year&gt;&lt;RecNum&gt;514&lt;/RecNum&gt;&lt;DisplayText&gt;&lt;style face="superscript"&gt;516&lt;/style&gt;&lt;/DisplayText&gt;&lt;record&gt;&lt;rec-number&gt;514&lt;/rec-number&gt;&lt;foreign-keys&gt;&lt;key app="EN" db-id="2xex0erf4eexr4e2dpbxpdd829xttesxxxdr" timestamp="1715075297"&gt;514&lt;/key&gt;&lt;/foreign-keys&gt;&lt;ref-type name="Journal Article"&gt;17&lt;/ref-type&gt;&lt;contributors&gt;&lt;authors&gt;&lt;author&gt;Mefford, J. Tyler&lt;/author&gt;&lt;author&gt;Zhao, Zhenghang&lt;/author&gt;&lt;author&gt;Bajdich, Michal&lt;/author&gt;&lt;author&gt;Chueh, William C.&lt;/author&gt;&lt;/authors&gt;&lt;/contributors&gt;&lt;titles&gt;&lt;title&gt;Interpreting Tafel behavior of consecutive electrochemical reactions through combined thermodynamic and steady state microkinetic approaches&lt;/title&gt;&lt;secondary-title&gt;Energy Environ. Sci.&lt;/secondary-title&gt;&lt;/titles&gt;&lt;periodical&gt;&lt;full-title&gt;Energy Environ. Sci.&lt;/full-title&gt;&lt;/periodical&gt;&lt;pages&gt;622-634&lt;/pages&gt;&lt;volume&gt;13&lt;/volume&gt;&lt;number&gt;2&lt;/number&gt;&lt;dates&gt;&lt;year&gt;2020&lt;/year&gt;&lt;/dates&gt;&lt;publisher&gt;Royal Society of Chemistry&lt;/publisher&gt;&lt;urls&gt;&lt;related-urls&gt;&lt;url&gt;https://pubs.rsc.org/en/content/articlepdf/2020/ee/c9ee02697e&lt;/url&gt;&lt;/related-urls&gt;&lt;pdf-urls&gt;&lt;url&gt;file://localhost/localhost/localhost/Users/piccinin/Literature/c9ee02697e.pdf&lt;/url&gt;&lt;/pdf-urls&gt;&lt;/urls&gt;&lt;electronic-resource-num&gt;10.1039/c9ee02697e&lt;/electronic-resource-num&gt;&lt;/record&gt;&lt;/Cite&gt;&lt;/EndNote&gt;</w:instrText>
      </w:r>
      <w:r>
        <w:fldChar w:fldCharType="separate"/>
      </w:r>
      <w:r w:rsidR="00FC5BEB" w:rsidRPr="00FC5BEB">
        <w:rPr>
          <w:noProof/>
          <w:vertAlign w:val="superscript"/>
        </w:rPr>
        <w:t>516</w:t>
      </w:r>
      <w:r>
        <w:fldChar w:fldCharType="end"/>
      </w:r>
      <w:r w:rsidR="00544891">
        <w:t xml:space="preserve"> </w:t>
      </w:r>
      <w:r w:rsidR="00544891" w:rsidRPr="00544891">
        <w:rPr>
          <w:lang w:val="en-US"/>
        </w:rPr>
        <w:t>with permission from the Royal Society of Chemistry</w:t>
      </w:r>
      <w:r w:rsidR="00544891">
        <w:rPr>
          <w:lang w:val="en-US"/>
        </w:rPr>
        <w:t>.</w:t>
      </w:r>
    </w:p>
    <w:p w14:paraId="79464A30" w14:textId="2603B994" w:rsidR="006C1C9C" w:rsidRPr="00D24B6E" w:rsidRDefault="006C1C9C" w:rsidP="006C1C9C">
      <w:r>
        <w:rPr>
          <w:rFonts w:eastAsiaTheme="minorEastAsia"/>
        </w:rPr>
        <w:t xml:space="preserve">Interestingly, the potential limiting step (PLS) identified </w:t>
      </w:r>
      <w:proofErr w:type="gramStart"/>
      <w:r>
        <w:rPr>
          <w:rFonts w:eastAsiaTheme="minorEastAsia"/>
        </w:rPr>
        <w:t>on the basis of</w:t>
      </w:r>
      <w:proofErr w:type="gramEnd"/>
      <w:r>
        <w:rPr>
          <w:rFonts w:eastAsiaTheme="minorEastAsia"/>
        </w:rPr>
        <w:t xml:space="preserve"> the thermodynamics of the 4 steps via the CHE approach and the rate determining step (RDS) identified solving the kinetics equations do not always coincide. While the Tafel curves displayed in </w:t>
      </w:r>
      <w:r>
        <w:rPr>
          <w:rFonts w:eastAsiaTheme="minorEastAsia"/>
        </w:rPr>
        <w:fldChar w:fldCharType="begin"/>
      </w:r>
      <w:r>
        <w:rPr>
          <w:rFonts w:eastAsiaTheme="minorEastAsia"/>
        </w:rPr>
        <w:instrText xml:space="preserve"> REF _Ref154050697 \h </w:instrText>
      </w:r>
      <w:r>
        <w:rPr>
          <w:rFonts w:eastAsiaTheme="minorEastAsia"/>
        </w:rPr>
      </w:r>
      <w:r>
        <w:rPr>
          <w:rFonts w:eastAsiaTheme="minorEastAsia"/>
        </w:rPr>
        <w:fldChar w:fldCharType="separate"/>
      </w:r>
      <w:r w:rsidR="00B7319C" w:rsidRPr="00EC6677">
        <w:rPr>
          <w:b/>
        </w:rPr>
        <w:t xml:space="preserve">Figure </w:t>
      </w:r>
      <w:r w:rsidR="00B7319C">
        <w:rPr>
          <w:b/>
          <w:bCs/>
          <w:noProof/>
        </w:rPr>
        <w:t>62</w:t>
      </w:r>
      <w:r>
        <w:rPr>
          <w:rFonts w:eastAsiaTheme="minorEastAsia"/>
        </w:rPr>
        <w:fldChar w:fldCharType="end"/>
      </w:r>
      <w:r>
        <w:rPr>
          <w:rFonts w:eastAsiaTheme="minorEastAsia"/>
        </w:rPr>
        <w:t xml:space="preserve"> provide a good fit of the experimental data, further improvement can be achieved by adding to the set of elementary steps a bulk redox process between CoO</w:t>
      </w:r>
      <w:r w:rsidRPr="00D24B6E">
        <w:rPr>
          <w:rFonts w:eastAsiaTheme="minorEastAsia"/>
          <w:vertAlign w:val="subscript"/>
        </w:rPr>
        <w:t>2</w:t>
      </w:r>
      <w:r>
        <w:rPr>
          <w:rFonts w:eastAsiaTheme="minorEastAsia"/>
        </w:rPr>
        <w:t xml:space="preserve">, </w:t>
      </w:r>
      <w:r w:rsidRPr="00D24B6E">
        <w:rPr>
          <w:rFonts w:ascii="Symbol" w:eastAsiaTheme="minorEastAsia" w:hAnsi="Symbol"/>
        </w:rPr>
        <w:t></w:t>
      </w:r>
      <w:r>
        <w:rPr>
          <w:rFonts w:eastAsiaTheme="minorEastAsia"/>
        </w:rPr>
        <w:t>-Co(OH)</w:t>
      </w:r>
      <w:r w:rsidRPr="00D24B6E">
        <w:rPr>
          <w:rFonts w:eastAsiaTheme="minorEastAsia"/>
          <w:vertAlign w:val="subscript"/>
        </w:rPr>
        <w:t>2</w:t>
      </w:r>
      <w:r>
        <w:rPr>
          <w:rFonts w:eastAsiaTheme="minorEastAsia"/>
        </w:rPr>
        <w:t xml:space="preserve"> and </w:t>
      </w:r>
      <w:r w:rsidRPr="00D24B6E">
        <w:rPr>
          <w:rFonts w:ascii="Symbol" w:eastAsiaTheme="minorEastAsia" w:hAnsi="Symbol"/>
        </w:rPr>
        <w:t></w:t>
      </w:r>
      <w:r>
        <w:rPr>
          <w:rFonts w:eastAsiaTheme="minorEastAsia"/>
        </w:rPr>
        <w:t>-</w:t>
      </w:r>
      <w:proofErr w:type="spellStart"/>
      <w:r>
        <w:rPr>
          <w:rFonts w:eastAsiaTheme="minorEastAsia"/>
        </w:rPr>
        <w:t>CoOOH</w:t>
      </w:r>
      <w:proofErr w:type="spellEnd"/>
      <w:r>
        <w:rPr>
          <w:rFonts w:eastAsiaTheme="minorEastAsia"/>
        </w:rPr>
        <w:t xml:space="preserve">, thus considering the possibility that the surface undergoes a transformation as the bias drives the phase change. It is worth stressing that the </w:t>
      </w:r>
      <w:r>
        <w:rPr>
          <w:rFonts w:eastAsiaTheme="minorEastAsia"/>
        </w:rPr>
        <w:lastRenderedPageBreak/>
        <w:t>redox potentials for these transformations obtained through fitting, 1.593 V (RHE) for both transitions, and those obtained from DFT calculations, 1.150 V and 1.758 V, differ quite considerably, possibly due to the limited accuracy of the employed PBE+</w:t>
      </w:r>
      <w:r w:rsidRPr="00495FF0">
        <w:rPr>
          <w:rFonts w:eastAsiaTheme="minorEastAsia"/>
          <w:i/>
          <w:iCs/>
        </w:rPr>
        <w:t>U</w:t>
      </w:r>
      <w:r>
        <w:rPr>
          <w:rFonts w:eastAsiaTheme="minorEastAsia"/>
        </w:rPr>
        <w:t xml:space="preserve"> functional. Moreover, the authors compared results obtained by solving the full model with those where all steps but the RDS were treated as quasi-equilibrated, and concluded that the quasi-equilibrium approximation results in poor agreement with experiments.   </w:t>
      </w:r>
    </w:p>
    <w:p w14:paraId="18990EB3" w14:textId="77777777" w:rsidR="006C1C9C" w:rsidRDefault="006C1C9C" w:rsidP="006C1C9C">
      <w:pPr>
        <w:rPr>
          <w:rFonts w:eastAsiaTheme="minorEastAsia"/>
        </w:rPr>
      </w:pPr>
    </w:p>
    <w:p w14:paraId="42D594DC" w14:textId="77777777" w:rsidR="006C1C9C" w:rsidRPr="001D7458" w:rsidRDefault="006C1C9C" w:rsidP="00EC6677">
      <w:pPr>
        <w:ind w:firstLine="720"/>
      </w:pPr>
      <w:r>
        <w:t xml:space="preserve">These studies on oxyhydroxides clearly indicate that modeling the OER requires considering multiple competing mechanisms, accounting for the fact that the barriers are potential-dependent. Moreover, when dealing with transition metal atoms with partially filled d-shells and with oxygen radicals, there is fairly large uncertainty due to the use of approximate exchange and correlation functionals. Finally, notice that most studies focus on highly idealized surface terminations, not accounting for the structural complexity of real electrochemical interfaces.   </w:t>
      </w:r>
    </w:p>
    <w:p w14:paraId="16BC9FBB" w14:textId="77777777" w:rsidR="006C1C9C" w:rsidRDefault="006C1C9C" w:rsidP="006C1C9C">
      <w:pPr>
        <w:rPr>
          <w:rFonts w:eastAsiaTheme="minorEastAsia"/>
        </w:rPr>
      </w:pPr>
    </w:p>
    <w:p w14:paraId="5D487A4F" w14:textId="051F1B1E" w:rsidR="006C1C9C" w:rsidRPr="00BC7855" w:rsidRDefault="006C1C9C" w:rsidP="00BC7855">
      <w:pPr>
        <w:pStyle w:val="Heading2"/>
        <w:rPr>
          <w:rFonts w:eastAsiaTheme="minorEastAsia"/>
        </w:rPr>
      </w:pPr>
      <w:bookmarkStart w:id="172" w:name="_Toc166441753"/>
      <w:r w:rsidRPr="00BC7855">
        <w:rPr>
          <w:rFonts w:eastAsiaTheme="minorEastAsia"/>
        </w:rPr>
        <w:t>pH and electrolyte effects in MK models</w:t>
      </w:r>
      <w:bookmarkEnd w:id="172"/>
    </w:p>
    <w:p w14:paraId="40891D70" w14:textId="77777777" w:rsidR="006C1C9C" w:rsidRPr="00506497" w:rsidRDefault="006C1C9C" w:rsidP="006C1C9C">
      <w:pPr>
        <w:rPr>
          <w:rFonts w:eastAsiaTheme="minorEastAsia"/>
          <w:color w:val="000000" w:themeColor="text1"/>
        </w:rPr>
      </w:pPr>
      <w:r w:rsidRPr="00506497">
        <w:rPr>
          <w:rFonts w:eastAsiaTheme="minorEastAsia"/>
          <w:color w:val="000000" w:themeColor="text1"/>
        </w:rPr>
        <w:t xml:space="preserve"> </w:t>
      </w:r>
    </w:p>
    <w:p w14:paraId="673B2B60" w14:textId="3C9DB50B" w:rsidR="006C1C9C" w:rsidRDefault="006C1C9C" w:rsidP="00EC6677">
      <w:pPr>
        <w:ind w:firstLine="720"/>
        <w:rPr>
          <w:rFonts w:eastAsiaTheme="minorEastAsia"/>
          <w:color w:val="000000" w:themeColor="text1"/>
        </w:rPr>
      </w:pPr>
      <w:proofErr w:type="spellStart"/>
      <w:r w:rsidRPr="00506497">
        <w:rPr>
          <w:rFonts w:eastAsiaTheme="minorEastAsia"/>
          <w:color w:val="000000" w:themeColor="text1"/>
        </w:rPr>
        <w:t>Bonnefont</w:t>
      </w:r>
      <w:proofErr w:type="spellEnd"/>
      <w:r w:rsidRPr="00506497">
        <w:rPr>
          <w:rFonts w:eastAsiaTheme="minorEastAsia"/>
          <w:color w:val="000000" w:themeColor="text1"/>
        </w:rPr>
        <w:t xml:space="preserve"> reviewed very recently </w:t>
      </w:r>
      <w:r>
        <w:rPr>
          <w:rFonts w:eastAsiaTheme="minorEastAsia"/>
          <w:color w:val="000000" w:themeColor="text1"/>
        </w:rPr>
        <w:t>how</w:t>
      </w:r>
      <w:r w:rsidRPr="00506497">
        <w:rPr>
          <w:rFonts w:eastAsiaTheme="minorEastAsia"/>
          <w:color w:val="000000" w:themeColor="text1"/>
        </w:rPr>
        <w:t xml:space="preserve"> microkinetic simulations </w:t>
      </w:r>
      <w:r>
        <w:rPr>
          <w:rFonts w:eastAsiaTheme="minorEastAsia"/>
          <w:color w:val="000000" w:themeColor="text1"/>
        </w:rPr>
        <w:t xml:space="preserve">can been employed to understand </w:t>
      </w:r>
      <w:r w:rsidRPr="00506497">
        <w:rPr>
          <w:rFonts w:eastAsiaTheme="minorEastAsia"/>
          <w:color w:val="000000" w:themeColor="text1"/>
        </w:rPr>
        <w:t>of the effect of pH on the electrocatalytic reactions in fuel cells and electrolyzers.</w:t>
      </w:r>
      <w:r>
        <w:rPr>
          <w:rFonts w:eastAsiaTheme="minorEastAsia"/>
          <w:color w:val="000000" w:themeColor="text1"/>
        </w:rPr>
        <w:fldChar w:fldCharType="begin"/>
      </w:r>
      <w:r w:rsidR="00FC5BEB">
        <w:rPr>
          <w:rFonts w:eastAsiaTheme="minorEastAsia"/>
          <w:color w:val="000000" w:themeColor="text1"/>
        </w:rPr>
        <w:instrText xml:space="preserve"> ADDIN EN.CITE &lt;EndNote&gt;&lt;Cite&gt;&lt;Author&gt;Bonnefont&lt;/Author&gt;&lt;Year&gt;2023&lt;/Year&gt;&lt;RecNum&gt;521&lt;/RecNum&gt;&lt;DisplayText&gt;&lt;style face="superscript"&gt;523&lt;/style&gt;&lt;/DisplayText&gt;&lt;record&gt;&lt;rec-number&gt;521&lt;/rec-number&gt;&lt;foreign-keys&gt;&lt;key app="EN" db-id="2xex0erf4eexr4e2dpbxpdd829xttesxxxdr" timestamp="1715075297"&gt;521&lt;/key&gt;&lt;/foreign-keys&gt;&lt;ref-type name="Journal Article"&gt;17&lt;/ref-type&gt;&lt;contributors&gt;&lt;authors&gt;&lt;author&gt;Bonnefont, Antoine&lt;/author&gt;&lt;/authors&gt;&lt;/contributors&gt;&lt;titles&gt;&lt;title&gt;Deciphering the effect of pH on electrocatalytic reactions with kinetic modeling&lt;/title&gt;&lt;secondary-title&gt;Curr. Opin. Electrochem.&lt;/secondary-title&gt;&lt;/titles&gt;&lt;periodical&gt;&lt;full-title&gt;Curr. Opin. Electrochem.&lt;/full-title&gt;&lt;/periodical&gt;&lt;pages&gt;101294-101294&lt;/pages&gt;&lt;volume&gt;39&lt;/volume&gt;&lt;keywords&gt;&lt;keyword&gt;Hydrogen electrode reactions&lt;/keyword&gt;&lt;keyword&gt;Microkinetic modeling&lt;/keyword&gt;&lt;keyword&gt;Oxygen evolution&lt;/keyword&gt;&lt;keyword&gt;Oxygen reduction&lt;/keyword&gt;&lt;keyword&gt;pH effect&lt;/keyword&gt;&lt;/keywords&gt;&lt;dates&gt;&lt;year&gt;2023&lt;/year&gt;&lt;/dates&gt;&lt;publisher&gt;Elsevier B.V.&lt;/publisher&gt;&lt;urls&gt;&lt;related-urls&gt;&lt;url&gt;https://doi.org/10.1016/j.coelec.2023.101294&lt;/url&gt;&lt;url&gt;https://www.sciencedirect.com/science/article/pii/S245191032300087X?via%3Dihub&lt;/url&gt;&lt;/related-urls&gt;&lt;pdf-urls&gt;&lt;url&gt;file://localhost/localhost/localhost/Users/piccinin/Literature/1-s2.0-S245191032300087X-main.pdf&lt;/url&gt;&lt;/pdf-urls&gt;&lt;/urls&gt;&lt;electronic-resource-num&gt;10.1016/j.coelec.2023.101294&lt;/electronic-resource-num&gt;&lt;/record&gt;&lt;/Cite&gt;&lt;/EndNote&gt;</w:instrText>
      </w:r>
      <w:r>
        <w:rPr>
          <w:rFonts w:eastAsiaTheme="minorEastAsia"/>
          <w:color w:val="000000" w:themeColor="text1"/>
        </w:rPr>
        <w:fldChar w:fldCharType="separate"/>
      </w:r>
      <w:r w:rsidR="00FC5BEB" w:rsidRPr="00FC5BEB">
        <w:rPr>
          <w:rFonts w:eastAsiaTheme="minorEastAsia"/>
          <w:noProof/>
          <w:color w:val="000000" w:themeColor="text1"/>
          <w:vertAlign w:val="superscript"/>
        </w:rPr>
        <w:t>523</w:t>
      </w:r>
      <w:r>
        <w:rPr>
          <w:rFonts w:eastAsiaTheme="minorEastAsia"/>
          <w:color w:val="000000" w:themeColor="text1"/>
        </w:rPr>
        <w:fldChar w:fldCharType="end"/>
      </w:r>
      <w:r w:rsidRPr="00506497">
        <w:rPr>
          <w:rFonts w:eastAsiaTheme="minorEastAsia"/>
          <w:color w:val="000000" w:themeColor="text1"/>
        </w:rPr>
        <w:t xml:space="preserve"> </w:t>
      </w:r>
      <w:r>
        <w:rPr>
          <w:rFonts w:eastAsiaTheme="minorEastAsia"/>
          <w:color w:val="000000" w:themeColor="text1"/>
        </w:rPr>
        <w:t>A number of recent investigations addressed the open question of why the rate of the HER/HOR on Pt is around 2 orders of magnitude slower in alkaline compared to acidic media</w:t>
      </w:r>
      <w:r w:rsidRPr="00F47023">
        <w:rPr>
          <w:rFonts w:eastAsiaTheme="minorEastAsia"/>
          <w:color w:val="000000" w:themeColor="text1"/>
        </w:rPr>
        <w:t>.</w:t>
      </w:r>
      <w:r>
        <w:rPr>
          <w:rFonts w:eastAsiaTheme="minorEastAsia"/>
          <w:color w:val="000000" w:themeColor="text1"/>
          <w:lang w:val="fr-FR"/>
        </w:rPr>
        <w:fldChar w:fldCharType="begin"/>
      </w:r>
      <w:r w:rsidR="00FC5BEB">
        <w:rPr>
          <w:rFonts w:eastAsiaTheme="minorEastAsia"/>
          <w:color w:val="000000" w:themeColor="text1"/>
          <w:lang w:val="fr-FR"/>
        </w:rPr>
        <w:instrText xml:space="preserve"> ADDIN EN.CITE &lt;EndNote&gt;&lt;Cite&gt;&lt;Author&gt;Jia&lt;/Author&gt;&lt;Year&gt;2018&lt;/Year&gt;&lt;RecNum&gt;522&lt;/RecNum&gt;&lt;DisplayText&gt;&lt;style face="superscript"&gt;524&lt;/style&gt;&lt;/DisplayText&gt;&lt;record&gt;&lt;rec-number&gt;522&lt;/rec-number&gt;&lt;foreign-keys&gt;&lt;key app="EN" db-id="2xex0erf4eexr4e2dpbxpdd829xttesxxxdr" timestamp="1715075297"&gt;522&lt;/key&gt;&lt;/foreign-keys&gt;&lt;ref-type name="Journal Article"&gt;17&lt;/ref-type&gt;&lt;contributors&gt;&lt;authors&gt;&lt;author&gt;Jia, Qingying&lt;/author&gt;&lt;author&gt;Liu, Ershuai&lt;/author&gt;&lt;author&gt;Jiao, Li&lt;/author&gt;&lt;author&gt;Li, Jingkun&lt;/author&gt;&lt;author&gt;Mukerjee, Sanjeev&lt;/author&gt;&lt;/authors&gt;&lt;/contributors&gt;&lt;titles&gt;&lt;title&gt;Current understandings of the sluggish kinetics of the hydrogen evolution and oxidation reactions in base&lt;/title&gt;&lt;secondary-title&gt;Curr. Opin. Electrochem.&lt;/secondary-title&gt;&lt;/titles&gt;&lt;periodical&gt;&lt;full-title&gt;Curr. Opin. Electrochem.&lt;/full-title&gt;&lt;/periodical&gt;&lt;pages&gt;209-217&lt;/pages&gt;&lt;volume&gt;12&lt;/volume&gt;&lt;dates&gt;&lt;year&gt;2018&lt;/year&gt;&lt;/dates&gt;&lt;urls&gt;&lt;related-urls&gt;&lt;url&gt;https://www.sciencedirect.com/science/article/pii/S245191031830214X&lt;/url&gt;&lt;/related-urls&gt;&lt;pdf-urls&gt;&lt;url&gt;file://localhost/localhost/Users/piccinin/Literature/1-s2.0-S245191031830214X-main%2520(1).pdf&lt;/url&gt;&lt;/pdf-urls&gt;&lt;/urls&gt;&lt;electronic-resource-num&gt;https://doi.org/10.1016/j.coelec.2018.11.017&lt;/electronic-resource-num&gt;&lt;/record&gt;&lt;/Cite&gt;&lt;/EndNote&gt;</w:instrText>
      </w:r>
      <w:r>
        <w:rPr>
          <w:rFonts w:eastAsiaTheme="minorEastAsia"/>
          <w:color w:val="000000" w:themeColor="text1"/>
          <w:lang w:val="fr-FR"/>
        </w:rPr>
        <w:fldChar w:fldCharType="separate"/>
      </w:r>
      <w:r w:rsidR="00FC5BEB" w:rsidRPr="00FC5BEB">
        <w:rPr>
          <w:rFonts w:eastAsiaTheme="minorEastAsia"/>
          <w:noProof/>
          <w:color w:val="000000" w:themeColor="text1"/>
          <w:vertAlign w:val="superscript"/>
          <w:lang w:val="fr-FR"/>
        </w:rPr>
        <w:t>524</w:t>
      </w:r>
      <w:r>
        <w:rPr>
          <w:rFonts w:eastAsiaTheme="minorEastAsia"/>
          <w:color w:val="000000" w:themeColor="text1"/>
          <w:lang w:val="fr-FR"/>
        </w:rPr>
        <w:fldChar w:fldCharType="end"/>
      </w:r>
      <w:r w:rsidRPr="00F47023">
        <w:rPr>
          <w:rFonts w:eastAsiaTheme="minorEastAsia"/>
          <w:color w:val="000000" w:themeColor="text1"/>
        </w:rPr>
        <w:t xml:space="preserve"> Lamoureux et al.</w:t>
      </w:r>
      <w:r>
        <w:rPr>
          <w:rFonts w:eastAsiaTheme="minorEastAsia"/>
          <w:color w:val="000000" w:themeColor="text1"/>
          <w:lang w:val="fr-FR"/>
        </w:rPr>
        <w:fldChar w:fldCharType="begin"/>
      </w:r>
      <w:r w:rsidR="00FC5BEB">
        <w:rPr>
          <w:rFonts w:eastAsiaTheme="minorEastAsia"/>
          <w:color w:val="000000" w:themeColor="text1"/>
          <w:lang w:val="fr-FR"/>
        </w:rPr>
        <w:instrText xml:space="preserve"> ADDIN EN.CITE &lt;EndNote&gt;&lt;Cite&gt;&lt;Author&gt;Lamoureux&lt;/Author&gt;&lt;Year&gt;2019&lt;/Year&gt;&lt;RecNum&gt;523&lt;/RecNum&gt;&lt;DisplayText&gt;&lt;style face="superscript"&gt;525&lt;/style&gt;&lt;/DisplayText&gt;&lt;record&gt;&lt;rec-number&gt;523&lt;/rec-number&gt;&lt;foreign-keys&gt;&lt;key app="EN" db-id="2xex0erf4eexr4e2dpbxpdd829xttesxxxdr" timestamp="1715075297"&gt;523&lt;/key&gt;&lt;/foreign-keys&gt;&lt;ref-type name="Journal Article"&gt;17&lt;/ref-type&gt;&lt;contributors&gt;&lt;authors&gt;&lt;author&gt;Lamoureux, Philomena Schlexer&lt;/author&gt;&lt;author&gt;Singh, Aayush R.&lt;/author&gt;&lt;author&gt;Chan, Karen&lt;/author&gt;&lt;/authors&gt;&lt;/contributors&gt;&lt;titles&gt;&lt;title&gt;pH Effects on Hydrogen Evolution and Oxidation over Pt(111): Insights from First-Principles&lt;/title&gt;&lt;secondary-title&gt;ACS Catal.&lt;/secondary-title&gt;&lt;/titles&gt;&lt;periodical&gt;&lt;full-title&gt;ACS Catal.&lt;/full-title&gt;&lt;/periodical&gt;&lt;pages&gt;6194-6201&lt;/pages&gt;&lt;volume&gt;9&lt;/volume&gt;&lt;number&gt;7&lt;/number&gt;&lt;keywords&gt;&lt;keyword&gt;DFT&lt;/keyword&gt;&lt;keyword&gt;electrocatalysis&lt;/keyword&gt;&lt;keyword&gt;hydrogen evolution&lt;/keyword&gt;&lt;keyword&gt;hydrogen oxidation&lt;/keyword&gt;&lt;keyword&gt;kinetics&lt;/keyword&gt;&lt;keyword&gt;microkinetic modeling&lt;/keyword&gt;&lt;keyword&gt;water splitting&lt;/keyword&gt;&lt;/keywords&gt;&lt;dates&gt;&lt;year&gt;2019&lt;/year&gt;&lt;/dates&gt;&lt;urls&gt;&lt;related-urls&gt;&lt;url&gt;https://pubs.acs.org/doi/pdf/10.1021/acscatal.9b00268&lt;/url&gt;&lt;/related-urls&gt;&lt;pdf-urls&gt;&lt;url&gt;file://localhost/localhost/localhost/localhost/Users/piccinin/Literature/acscatal.9b00268.pdf&lt;/url&gt;&lt;/pdf-urls&gt;&lt;/urls&gt;&lt;electronic-resource-num&gt;10.1021/acscatal.9b00268&lt;/electronic-resource-num&gt;&lt;/record&gt;&lt;/Cite&gt;&lt;/EndNote&gt;</w:instrText>
      </w:r>
      <w:r>
        <w:rPr>
          <w:rFonts w:eastAsiaTheme="minorEastAsia"/>
          <w:color w:val="000000" w:themeColor="text1"/>
          <w:lang w:val="fr-FR"/>
        </w:rPr>
        <w:fldChar w:fldCharType="separate"/>
      </w:r>
      <w:r w:rsidR="00FC5BEB" w:rsidRPr="00FC5BEB">
        <w:rPr>
          <w:rFonts w:eastAsiaTheme="minorEastAsia"/>
          <w:noProof/>
          <w:color w:val="000000" w:themeColor="text1"/>
          <w:vertAlign w:val="superscript"/>
          <w:lang w:val="fr-FR"/>
        </w:rPr>
        <w:t>525</w:t>
      </w:r>
      <w:r>
        <w:rPr>
          <w:rFonts w:eastAsiaTheme="minorEastAsia"/>
          <w:color w:val="000000" w:themeColor="text1"/>
          <w:lang w:val="fr-FR"/>
        </w:rPr>
        <w:fldChar w:fldCharType="end"/>
      </w:r>
      <w:r w:rsidRPr="00F47023">
        <w:rPr>
          <w:rFonts w:eastAsiaTheme="minorEastAsia"/>
          <w:color w:val="000000" w:themeColor="text1"/>
        </w:rPr>
        <w:t xml:space="preserve"> used microkinetic modeling based on DFT calculations performed in explicit solvent, testing two models for the proton source in the HER/HOR: The first contains a H</w:t>
      </w:r>
      <w:r w:rsidRPr="00F47023">
        <w:rPr>
          <w:rFonts w:eastAsiaTheme="minorEastAsia"/>
          <w:color w:val="000000" w:themeColor="text1"/>
          <w:vertAlign w:val="subscript"/>
        </w:rPr>
        <w:t>3</w:t>
      </w:r>
      <w:r w:rsidRPr="00F47023">
        <w:rPr>
          <w:rFonts w:eastAsiaTheme="minorEastAsia"/>
          <w:color w:val="000000" w:themeColor="text1"/>
        </w:rPr>
        <w:t>O</w:t>
      </w:r>
      <w:r w:rsidRPr="00F47023">
        <w:rPr>
          <w:rFonts w:eastAsiaTheme="minorEastAsia"/>
          <w:color w:val="000000" w:themeColor="text1"/>
          <w:vertAlign w:val="superscript"/>
        </w:rPr>
        <w:t>+</w:t>
      </w:r>
      <w:r w:rsidRPr="00F47023">
        <w:rPr>
          <w:rFonts w:eastAsiaTheme="minorEastAsia"/>
          <w:color w:val="000000" w:themeColor="text1"/>
        </w:rPr>
        <w:t xml:space="preserve"> ion in a water monolayer, representative of acidic media, the second contains a Na</w:t>
      </w:r>
      <w:r w:rsidRPr="00F47023">
        <w:rPr>
          <w:rFonts w:eastAsiaTheme="minorEastAsia"/>
          <w:color w:val="000000" w:themeColor="text1"/>
          <w:vertAlign w:val="superscript"/>
        </w:rPr>
        <w:t>+</w:t>
      </w:r>
      <w:r w:rsidRPr="00F47023">
        <w:rPr>
          <w:rFonts w:eastAsiaTheme="minorEastAsia"/>
          <w:color w:val="000000" w:themeColor="text1"/>
        </w:rPr>
        <w:t xml:space="preserve"> cation in a water bilayer</w:t>
      </w:r>
      <w:r w:rsidRPr="00F47023">
        <w:t xml:space="preserve">, </w:t>
      </w:r>
      <w:r w:rsidRPr="00F47023">
        <w:rPr>
          <w:rFonts w:eastAsiaTheme="minorEastAsia"/>
          <w:color w:val="000000" w:themeColor="text1"/>
        </w:rPr>
        <w:t xml:space="preserve">representative of alkaline media. </w:t>
      </w:r>
      <w:r>
        <w:rPr>
          <w:rFonts w:eastAsiaTheme="minorEastAsia"/>
          <w:color w:val="000000" w:themeColor="text1"/>
        </w:rPr>
        <w:t>The microkinetic model includes Volmer and Heyrovsky elementary steps both in acidic media (where H</w:t>
      </w:r>
      <w:r w:rsidRPr="008F0971">
        <w:rPr>
          <w:rFonts w:eastAsiaTheme="minorEastAsia"/>
          <w:color w:val="000000" w:themeColor="text1"/>
          <w:vertAlign w:val="subscript"/>
        </w:rPr>
        <w:t>3</w:t>
      </w:r>
      <w:r>
        <w:rPr>
          <w:rFonts w:eastAsiaTheme="minorEastAsia"/>
          <w:color w:val="000000" w:themeColor="text1"/>
        </w:rPr>
        <w:t>O</w:t>
      </w:r>
      <w:r w:rsidRPr="008F0971">
        <w:rPr>
          <w:rFonts w:eastAsiaTheme="minorEastAsia"/>
          <w:color w:val="000000" w:themeColor="text1"/>
          <w:vertAlign w:val="superscript"/>
        </w:rPr>
        <w:t>+</w:t>
      </w:r>
      <w:r>
        <w:rPr>
          <w:rFonts w:eastAsiaTheme="minorEastAsia"/>
          <w:color w:val="000000" w:themeColor="text1"/>
        </w:rPr>
        <w:t xml:space="preserve"> is the proton source) and in alkaline media (where H</w:t>
      </w:r>
      <w:r>
        <w:rPr>
          <w:rFonts w:eastAsiaTheme="minorEastAsia"/>
          <w:color w:val="000000" w:themeColor="text1"/>
          <w:vertAlign w:val="subscript"/>
        </w:rPr>
        <w:t>2</w:t>
      </w:r>
      <w:r>
        <w:rPr>
          <w:rFonts w:eastAsiaTheme="minorEastAsia"/>
          <w:color w:val="000000" w:themeColor="text1"/>
        </w:rPr>
        <w:t>O is the proton source), as well as the Tafel step, water dissociative adsorption and OH adsorption. The pH was introduced in the microkinetic model via the energy of H</w:t>
      </w:r>
      <w:r w:rsidRPr="008F0971">
        <w:rPr>
          <w:rFonts w:eastAsiaTheme="minorEastAsia"/>
          <w:color w:val="000000" w:themeColor="text1"/>
          <w:vertAlign w:val="subscript"/>
        </w:rPr>
        <w:t>3</w:t>
      </w:r>
      <w:r>
        <w:rPr>
          <w:rFonts w:eastAsiaTheme="minorEastAsia"/>
          <w:color w:val="000000" w:themeColor="text1"/>
        </w:rPr>
        <w:t>O</w:t>
      </w:r>
      <w:r w:rsidRPr="008F0971">
        <w:rPr>
          <w:rFonts w:eastAsiaTheme="minorEastAsia"/>
          <w:color w:val="000000" w:themeColor="text1"/>
          <w:vertAlign w:val="superscript"/>
        </w:rPr>
        <w:t>+</w:t>
      </w:r>
      <w:r>
        <w:rPr>
          <w:rFonts w:eastAsiaTheme="minorEastAsia"/>
          <w:color w:val="000000" w:themeColor="text1"/>
        </w:rPr>
        <w:t xml:space="preserve"> and OH</w:t>
      </w:r>
      <w:r>
        <w:rPr>
          <w:rFonts w:eastAsiaTheme="minorEastAsia"/>
          <w:color w:val="000000" w:themeColor="text1"/>
          <w:vertAlign w:val="superscript"/>
        </w:rPr>
        <w:t>-</w:t>
      </w:r>
      <w:r>
        <w:rPr>
          <w:rFonts w:eastAsiaTheme="minorEastAsia"/>
          <w:color w:val="000000" w:themeColor="text1"/>
        </w:rPr>
        <w:t>, since the entropic term results in decrease of the energy of 2.3</w:t>
      </w:r>
      <w:r w:rsidRPr="00495FF0">
        <w:rPr>
          <w:rFonts w:eastAsiaTheme="minorEastAsia"/>
          <w:i/>
          <w:iCs/>
          <w:color w:val="000000" w:themeColor="text1"/>
        </w:rPr>
        <w:t>k</w:t>
      </w:r>
      <w:r w:rsidR="00C2675A">
        <w:rPr>
          <w:rFonts w:eastAsiaTheme="minorEastAsia"/>
          <w:color w:val="000000" w:themeColor="text1"/>
          <w:vertAlign w:val="subscript"/>
        </w:rPr>
        <w:t>B</w:t>
      </w:r>
      <w:r w:rsidRPr="00495FF0">
        <w:rPr>
          <w:rFonts w:eastAsiaTheme="minorEastAsia"/>
          <w:i/>
          <w:iCs/>
          <w:color w:val="000000" w:themeColor="text1"/>
        </w:rPr>
        <w:t>T</w:t>
      </w:r>
      <w:r>
        <w:rPr>
          <w:rFonts w:eastAsiaTheme="minorEastAsia"/>
          <w:color w:val="000000" w:themeColor="text1"/>
        </w:rPr>
        <w:t>*pH for H</w:t>
      </w:r>
      <w:r w:rsidRPr="008F0971">
        <w:rPr>
          <w:rFonts w:eastAsiaTheme="minorEastAsia"/>
          <w:color w:val="000000" w:themeColor="text1"/>
          <w:vertAlign w:val="subscript"/>
        </w:rPr>
        <w:t>3</w:t>
      </w:r>
      <w:r>
        <w:rPr>
          <w:rFonts w:eastAsiaTheme="minorEastAsia"/>
          <w:color w:val="000000" w:themeColor="text1"/>
        </w:rPr>
        <w:t>O</w:t>
      </w:r>
      <w:r w:rsidRPr="008F0971">
        <w:rPr>
          <w:rFonts w:eastAsiaTheme="minorEastAsia"/>
          <w:color w:val="000000" w:themeColor="text1"/>
          <w:vertAlign w:val="superscript"/>
        </w:rPr>
        <w:t>+</w:t>
      </w:r>
      <w:r>
        <w:rPr>
          <w:rFonts w:eastAsiaTheme="minorEastAsia"/>
          <w:color w:val="000000" w:themeColor="text1"/>
        </w:rPr>
        <w:t xml:space="preserve"> and an equal and opposite increase for OH</w:t>
      </w:r>
      <w:r w:rsidRPr="003F6C33">
        <w:rPr>
          <w:rFonts w:eastAsiaTheme="minorEastAsia"/>
          <w:color w:val="000000" w:themeColor="text1"/>
          <w:vertAlign w:val="superscript"/>
        </w:rPr>
        <w:t>-</w:t>
      </w:r>
      <w:r>
        <w:rPr>
          <w:rFonts w:eastAsiaTheme="minorEastAsia"/>
          <w:color w:val="000000" w:themeColor="text1"/>
        </w:rPr>
        <w:t>. Correspondingly, the barriers where H</w:t>
      </w:r>
      <w:r w:rsidRPr="008F0971">
        <w:rPr>
          <w:rFonts w:eastAsiaTheme="minorEastAsia"/>
          <w:color w:val="000000" w:themeColor="text1"/>
          <w:vertAlign w:val="subscript"/>
        </w:rPr>
        <w:t>3</w:t>
      </w:r>
      <w:r>
        <w:rPr>
          <w:rFonts w:eastAsiaTheme="minorEastAsia"/>
          <w:color w:val="000000" w:themeColor="text1"/>
        </w:rPr>
        <w:t>O</w:t>
      </w:r>
      <w:r w:rsidRPr="008F0971">
        <w:rPr>
          <w:rFonts w:eastAsiaTheme="minorEastAsia"/>
          <w:color w:val="000000" w:themeColor="text1"/>
          <w:vertAlign w:val="superscript"/>
        </w:rPr>
        <w:t>+</w:t>
      </w:r>
      <w:r>
        <w:rPr>
          <w:rFonts w:eastAsiaTheme="minorEastAsia"/>
          <w:color w:val="000000" w:themeColor="text1"/>
        </w:rPr>
        <w:t xml:space="preserve"> is a reactant increase with increasing </w:t>
      </w:r>
      <w:proofErr w:type="spellStart"/>
      <w:r>
        <w:rPr>
          <w:rFonts w:eastAsiaTheme="minorEastAsia"/>
          <w:color w:val="000000" w:themeColor="text1"/>
        </w:rPr>
        <w:t>pH.</w:t>
      </w:r>
      <w:proofErr w:type="spellEnd"/>
      <w:r>
        <w:rPr>
          <w:rFonts w:eastAsiaTheme="minorEastAsia"/>
          <w:color w:val="000000" w:themeColor="text1"/>
        </w:rPr>
        <w:t xml:space="preserve"> The resulting model gave results in qualitative agreement with the experiments. It predicts the reaction proceeds via the Volmer-Heyrovsky mechanism with a switch in the proton donor at a pH around 4, and therefore attributes to this change the observed lowering of the rate with increasing </w:t>
      </w:r>
      <w:proofErr w:type="spellStart"/>
      <w:r>
        <w:rPr>
          <w:rFonts w:eastAsiaTheme="minorEastAsia"/>
          <w:color w:val="000000" w:themeColor="text1"/>
        </w:rPr>
        <w:t>pH.</w:t>
      </w:r>
      <w:proofErr w:type="spellEnd"/>
      <w:r>
        <w:rPr>
          <w:rFonts w:eastAsiaTheme="minorEastAsia"/>
          <w:color w:val="000000" w:themeColor="text1"/>
        </w:rPr>
        <w:t xml:space="preserve"> </w:t>
      </w:r>
    </w:p>
    <w:p w14:paraId="63FBEBF9" w14:textId="77777777" w:rsidR="006C1C9C" w:rsidRDefault="006C1C9C" w:rsidP="006C1C9C">
      <w:pPr>
        <w:rPr>
          <w:rFonts w:eastAsiaTheme="minorEastAsia"/>
          <w:color w:val="000000" w:themeColor="text1"/>
        </w:rPr>
      </w:pPr>
    </w:p>
    <w:p w14:paraId="52989116" w14:textId="7316F320" w:rsidR="006C1C9C" w:rsidRDefault="006C1C9C" w:rsidP="00EC6677">
      <w:pPr>
        <w:ind w:firstLine="720"/>
        <w:rPr>
          <w:rFonts w:eastAsiaTheme="minorEastAsia"/>
          <w:color w:val="000000" w:themeColor="text1"/>
        </w:rPr>
      </w:pPr>
      <w:r>
        <w:rPr>
          <w:rFonts w:eastAsiaTheme="minorEastAsia"/>
          <w:color w:val="000000" w:themeColor="text1"/>
        </w:rPr>
        <w:t>Using first principles MD with an explicit description of the electrolyte, Li et al.</w:t>
      </w:r>
      <w:r>
        <w:rPr>
          <w:rFonts w:eastAsiaTheme="minorEastAsia"/>
          <w:color w:val="000000" w:themeColor="text1"/>
        </w:rPr>
        <w:fldChar w:fldCharType="begin"/>
      </w:r>
      <w:r w:rsidR="00FC5BEB">
        <w:rPr>
          <w:rFonts w:eastAsiaTheme="minorEastAsia"/>
          <w:color w:val="000000" w:themeColor="text1"/>
        </w:rPr>
        <w:instrText xml:space="preserve"> ADDIN EN.CITE &lt;EndNote&gt;&lt;Cite&gt;&lt;Author&gt;Li&lt;/Author&gt;&lt;Year&gt;2022&lt;/Year&gt;&lt;RecNum&gt;459&lt;/RecNum&gt;&lt;DisplayText&gt;&lt;style face="superscript"&gt;461&lt;/style&gt;&lt;/DisplayText&gt;&lt;record&gt;&lt;rec-number&gt;459&lt;/rec-number&gt;&lt;foreign-keys&gt;&lt;key app="EN" db-id="2xex0erf4eexr4e2dpbxpdd829xttesxxxdr" timestamp="1715075297"&gt;459&lt;/key&gt;&lt;/foreign-keys&gt;&lt;ref-type name="Journal Article"&gt;17&lt;/ref-type&gt;&lt;contributors&gt;&lt;authors&gt;&lt;author&gt;Li, Peng&lt;/author&gt;&lt;author&gt;Jiang, Yaling&lt;/author&gt;&lt;author&gt;Hu, Youcheng&lt;/author&gt;&lt;author&gt;Men, Yana&lt;/author&gt;&lt;author&gt;Liu, Yuwen&lt;/author&gt;&lt;author&gt;Cai, Wenbin&lt;/author&gt;&lt;author&gt;Chen, Shengli&lt;/author&gt;&lt;/authors&gt;&lt;/contributors&gt;&lt;titles&gt;&lt;title&gt;Hydrogen bond network connectivity in the electric double layer dominates the kinetic pH effect in hydrogen electrocatalysis on Pt&lt;/title&gt;&lt;secondary-title&gt;Nat. Catal.&lt;/secondary-title&gt;&lt;/titles&gt;&lt;periodical&gt;&lt;full-title&gt;Nat. Catal.&lt;/full-title&gt;&lt;abbr-1&gt;Nat. Catal.&lt;/abbr-1&gt;&lt;/periodical&gt;&lt;pages&gt;900-911&lt;/pages&gt;&lt;volume&gt;5&lt;/volume&gt;&lt;number&gt;10&lt;/number&gt;&lt;dates&gt;&lt;year&gt;2022&lt;/year&gt;&lt;/dates&gt;&lt;urls&gt;&lt;related-urls&gt;&lt;url&gt;https://doi.org/10.1038/s41929-022-00846-8&lt;/url&gt;&lt;url&gt;https://www.nature.com/articles/s41929-022-00846-8.pdf&lt;/url&gt;&lt;/related-urls&gt;&lt;pdf-urls&gt;&lt;url&gt;file://localhost/localhost/localhost/Users/piccinin/Literature/s41929-022-00846-8.pdf&lt;/url&gt;&lt;/pdf-urls&gt;&lt;/urls&gt;&lt;electronic-resource-num&gt;10.1038/s41929-022-00846-8&lt;/electronic-resource-num&gt;&lt;/record&gt;&lt;/Cite&gt;&lt;/EndNote&gt;</w:instrText>
      </w:r>
      <w:r>
        <w:rPr>
          <w:rFonts w:eastAsiaTheme="minorEastAsia"/>
          <w:color w:val="000000" w:themeColor="text1"/>
        </w:rPr>
        <w:fldChar w:fldCharType="separate"/>
      </w:r>
      <w:r w:rsidR="00FC5BEB" w:rsidRPr="00FC5BEB">
        <w:rPr>
          <w:rFonts w:eastAsiaTheme="minorEastAsia"/>
          <w:noProof/>
          <w:color w:val="000000" w:themeColor="text1"/>
          <w:vertAlign w:val="superscript"/>
        </w:rPr>
        <w:t>461</w:t>
      </w:r>
      <w:r>
        <w:rPr>
          <w:rFonts w:eastAsiaTheme="minorEastAsia"/>
          <w:color w:val="000000" w:themeColor="text1"/>
        </w:rPr>
        <w:fldChar w:fldCharType="end"/>
      </w:r>
      <w:r>
        <w:rPr>
          <w:rFonts w:eastAsiaTheme="minorEastAsia"/>
          <w:color w:val="000000" w:themeColor="text1"/>
        </w:rPr>
        <w:t xml:space="preserve"> disputed these findings. They showed that </w:t>
      </w:r>
      <w:r w:rsidRPr="0012048D">
        <w:rPr>
          <w:rFonts w:eastAsiaTheme="minorEastAsia"/>
          <w:color w:val="000000" w:themeColor="text1"/>
        </w:rPr>
        <w:t xml:space="preserve">the water distribution and the </w:t>
      </w:r>
      <w:r>
        <w:rPr>
          <w:rFonts w:eastAsiaTheme="minorEastAsia"/>
          <w:color w:val="000000" w:themeColor="text1"/>
        </w:rPr>
        <w:t>structure</w:t>
      </w:r>
      <w:r w:rsidRPr="0012048D">
        <w:rPr>
          <w:rFonts w:eastAsiaTheme="minorEastAsia"/>
          <w:color w:val="000000" w:themeColor="text1"/>
        </w:rPr>
        <w:t xml:space="preserve"> of</w:t>
      </w:r>
      <w:r>
        <w:rPr>
          <w:rFonts w:eastAsiaTheme="minorEastAsia"/>
          <w:color w:val="000000" w:themeColor="text1"/>
        </w:rPr>
        <w:t xml:space="preserve"> the</w:t>
      </w:r>
      <w:r w:rsidRPr="0012048D">
        <w:rPr>
          <w:rFonts w:eastAsiaTheme="minorEastAsia"/>
          <w:color w:val="000000" w:themeColor="text1"/>
        </w:rPr>
        <w:t xml:space="preserve"> H-bond network</w:t>
      </w:r>
      <w:r>
        <w:rPr>
          <w:rFonts w:eastAsiaTheme="minorEastAsia"/>
          <w:color w:val="000000" w:themeColor="text1"/>
        </w:rPr>
        <w:t xml:space="preserve"> in the EDL has an effect on the kinetics of the Volver step in the HER, but it is the opposite of what would be expected: The barrier for the Volmer step in their calculation is higher in acidic media compared to the alkaline case, at variance with the results of </w:t>
      </w:r>
      <w:r w:rsidRPr="00231ECA">
        <w:rPr>
          <w:rFonts w:eastAsiaTheme="minorEastAsia"/>
          <w:color w:val="000000" w:themeColor="text1"/>
        </w:rPr>
        <w:t>Lamoureux et al</w:t>
      </w:r>
      <w:r>
        <w:rPr>
          <w:rFonts w:eastAsiaTheme="minorEastAsia"/>
          <w:color w:val="000000" w:themeColor="text1"/>
        </w:rPr>
        <w:t>.</w:t>
      </w:r>
      <w:r>
        <w:rPr>
          <w:rFonts w:eastAsiaTheme="minorEastAsia"/>
          <w:color w:val="000000" w:themeColor="text1"/>
        </w:rPr>
        <w:fldChar w:fldCharType="begin"/>
      </w:r>
      <w:r w:rsidR="00FC5BEB">
        <w:rPr>
          <w:rFonts w:eastAsiaTheme="minorEastAsia"/>
          <w:color w:val="000000" w:themeColor="text1"/>
        </w:rPr>
        <w:instrText xml:space="preserve"> ADDIN EN.CITE &lt;EndNote&gt;&lt;Cite&gt;&lt;Author&gt;Lamoureux&lt;/Author&gt;&lt;Year&gt;2019&lt;/Year&gt;&lt;RecNum&gt;523&lt;/RecNum&gt;&lt;DisplayText&gt;&lt;style face="superscript"&gt;525&lt;/style&gt;&lt;/DisplayText&gt;&lt;record&gt;&lt;rec-number&gt;523&lt;/rec-number&gt;&lt;foreign-keys&gt;&lt;key app="EN" db-id="2xex0erf4eexr4e2dpbxpdd829xttesxxxdr" timestamp="1715075297"&gt;523&lt;/key&gt;&lt;/foreign-keys&gt;&lt;ref-type name="Journal Article"&gt;17&lt;/ref-type&gt;&lt;contributors&gt;&lt;authors&gt;&lt;author&gt;Lamoureux, Philomena Schlexer&lt;/author&gt;&lt;author&gt;Singh, Aayush R.&lt;/author&gt;&lt;author&gt;Chan, Karen&lt;/author&gt;&lt;/authors&gt;&lt;/contributors&gt;&lt;titles&gt;&lt;title&gt;pH Effects on Hydrogen Evolution and Oxidation over Pt(111): Insights from First-Principles&lt;/title&gt;&lt;secondary-title&gt;ACS Catal.&lt;/secondary-title&gt;&lt;/titles&gt;&lt;periodical&gt;&lt;full-title&gt;ACS Catal.&lt;/full-title&gt;&lt;/periodical&gt;&lt;pages&gt;6194-6201&lt;/pages&gt;&lt;volume&gt;9&lt;/volume&gt;&lt;number&gt;7&lt;/number&gt;&lt;keywords&gt;&lt;keyword&gt;DFT&lt;/keyword&gt;&lt;keyword&gt;electrocatalysis&lt;/keyword&gt;&lt;keyword&gt;hydrogen evolution&lt;/keyword&gt;&lt;keyword&gt;hydrogen oxidation&lt;/keyword&gt;&lt;keyword&gt;kinetics&lt;/keyword&gt;&lt;keyword&gt;microkinetic modeling&lt;/keyword&gt;&lt;keyword&gt;water splitting&lt;/keyword&gt;&lt;/keywords&gt;&lt;dates&gt;&lt;year&gt;2019&lt;/year&gt;&lt;/dates&gt;&lt;urls&gt;&lt;related-urls&gt;&lt;url&gt;https://pubs.acs.org/doi/pdf/10.1021/acscatal.9b00268&lt;/url&gt;&lt;/related-urls&gt;&lt;pdf-urls&gt;&lt;url&gt;file://localhost/localhost/localhost/localhost/Users/piccinin/Literature/acscatal.9b00268.pdf&lt;/url&gt;&lt;/pdf-urls&gt;&lt;/urls&gt;&lt;electronic-resource-num&gt;10.1021/acscatal.9b00268&lt;/electronic-resource-num&gt;&lt;/record&gt;&lt;/Cite&gt;&lt;/EndNote&gt;</w:instrText>
      </w:r>
      <w:r>
        <w:rPr>
          <w:rFonts w:eastAsiaTheme="minorEastAsia"/>
          <w:color w:val="000000" w:themeColor="text1"/>
        </w:rPr>
        <w:fldChar w:fldCharType="separate"/>
      </w:r>
      <w:r w:rsidR="00FC5BEB" w:rsidRPr="00FC5BEB">
        <w:rPr>
          <w:rFonts w:eastAsiaTheme="minorEastAsia"/>
          <w:noProof/>
          <w:color w:val="000000" w:themeColor="text1"/>
          <w:vertAlign w:val="superscript"/>
        </w:rPr>
        <w:t>525</w:t>
      </w:r>
      <w:r>
        <w:rPr>
          <w:rFonts w:eastAsiaTheme="minorEastAsia"/>
          <w:color w:val="000000" w:themeColor="text1"/>
        </w:rPr>
        <w:fldChar w:fldCharType="end"/>
      </w:r>
      <w:r>
        <w:rPr>
          <w:rFonts w:eastAsiaTheme="minorEastAsia"/>
          <w:color w:val="000000" w:themeColor="text1"/>
        </w:rPr>
        <w:t xml:space="preserve"> Notice that the structural model adopted in the work Li et al.</w:t>
      </w:r>
      <w:r>
        <w:rPr>
          <w:rFonts w:eastAsiaTheme="minorEastAsia"/>
          <w:color w:val="000000" w:themeColor="text1"/>
        </w:rPr>
        <w:fldChar w:fldCharType="begin"/>
      </w:r>
      <w:r w:rsidR="00FC5BEB">
        <w:rPr>
          <w:rFonts w:eastAsiaTheme="minorEastAsia"/>
          <w:color w:val="000000" w:themeColor="text1"/>
        </w:rPr>
        <w:instrText xml:space="preserve"> ADDIN EN.CITE &lt;EndNote&gt;&lt;Cite&gt;&lt;Author&gt;Li&lt;/Author&gt;&lt;Year&gt;2022&lt;/Year&gt;&lt;RecNum&gt;459&lt;/RecNum&gt;&lt;DisplayText&gt;&lt;style face="superscript"&gt;461&lt;/style&gt;&lt;/DisplayText&gt;&lt;record&gt;&lt;rec-number&gt;459&lt;/rec-number&gt;&lt;foreign-keys&gt;&lt;key app="EN" db-id="2xex0erf4eexr4e2dpbxpdd829xttesxxxdr" timestamp="1715075297"&gt;459&lt;/key&gt;&lt;/foreign-keys&gt;&lt;ref-type name="Journal Article"&gt;17&lt;/ref-type&gt;&lt;contributors&gt;&lt;authors&gt;&lt;author&gt;Li, Peng&lt;/author&gt;&lt;author&gt;Jiang, Yaling&lt;/author&gt;&lt;author&gt;Hu, Youcheng&lt;/author&gt;&lt;author&gt;Men, Yana&lt;/author&gt;&lt;author&gt;Liu, Yuwen&lt;/author&gt;&lt;author&gt;Cai, Wenbin&lt;/author&gt;&lt;author&gt;Chen, Shengli&lt;/author&gt;&lt;/authors&gt;&lt;/contributors&gt;&lt;titles&gt;&lt;title&gt;Hydrogen bond network connectivity in the electric double layer dominates the kinetic pH effect in hydrogen electrocatalysis on Pt&lt;/title&gt;&lt;secondary-title&gt;Nat. Catal.&lt;/secondary-title&gt;&lt;/titles&gt;&lt;periodical&gt;&lt;full-title&gt;Nat. Catal.&lt;/full-title&gt;&lt;abbr-1&gt;Nat. Catal.&lt;/abbr-1&gt;&lt;/periodical&gt;&lt;pages&gt;900-911&lt;/pages&gt;&lt;volume&gt;5&lt;/volume&gt;&lt;number&gt;10&lt;/number&gt;&lt;dates&gt;&lt;year&gt;2022&lt;/year&gt;&lt;/dates&gt;&lt;urls&gt;&lt;related-urls&gt;&lt;url&gt;https://doi.org/10.1038/s41929-022-00846-8&lt;/url&gt;&lt;url&gt;https://www.nature.com/articles/s41929-022-00846-8.pdf&lt;/url&gt;&lt;/related-urls&gt;&lt;pdf-urls&gt;&lt;url&gt;file://localhost/localhost/localhost/Users/piccinin/Literature/s41929-022-00846-8.pdf&lt;/url&gt;&lt;/pdf-urls&gt;&lt;/urls&gt;&lt;electronic-resource-num&gt;10.1038/s41929-022-00846-8&lt;/electronic-resource-num&gt;&lt;/record&gt;&lt;/Cite&gt;&lt;/EndNote&gt;</w:instrText>
      </w:r>
      <w:r>
        <w:rPr>
          <w:rFonts w:eastAsiaTheme="minorEastAsia"/>
          <w:color w:val="000000" w:themeColor="text1"/>
        </w:rPr>
        <w:fldChar w:fldCharType="separate"/>
      </w:r>
      <w:r w:rsidR="00FC5BEB" w:rsidRPr="00FC5BEB">
        <w:rPr>
          <w:rFonts w:eastAsiaTheme="minorEastAsia"/>
          <w:noProof/>
          <w:color w:val="000000" w:themeColor="text1"/>
          <w:vertAlign w:val="superscript"/>
        </w:rPr>
        <w:t>461</w:t>
      </w:r>
      <w:r>
        <w:rPr>
          <w:rFonts w:eastAsiaTheme="minorEastAsia"/>
          <w:color w:val="000000" w:themeColor="text1"/>
        </w:rPr>
        <w:fldChar w:fldCharType="end"/>
      </w:r>
      <w:r>
        <w:rPr>
          <w:rFonts w:eastAsiaTheme="minorEastAsia"/>
          <w:color w:val="000000" w:themeColor="text1"/>
        </w:rPr>
        <w:t xml:space="preserve"> is far more complex, and like more representative of the experimental interface, compared to the highly simplified one adopted by </w:t>
      </w:r>
      <w:r w:rsidRPr="00231ECA">
        <w:rPr>
          <w:rFonts w:eastAsiaTheme="minorEastAsia"/>
          <w:color w:val="000000" w:themeColor="text1"/>
        </w:rPr>
        <w:t>Lamoureux et al.</w:t>
      </w:r>
      <w:r>
        <w:rPr>
          <w:rFonts w:eastAsiaTheme="minorEastAsia"/>
          <w:color w:val="000000" w:themeColor="text1"/>
        </w:rPr>
        <w:fldChar w:fldCharType="begin"/>
      </w:r>
      <w:r w:rsidR="00FC5BEB">
        <w:rPr>
          <w:rFonts w:eastAsiaTheme="minorEastAsia"/>
          <w:color w:val="000000" w:themeColor="text1"/>
        </w:rPr>
        <w:instrText xml:space="preserve"> ADDIN EN.CITE &lt;EndNote&gt;&lt;Cite&gt;&lt;Author&gt;Lamoureux&lt;/Author&gt;&lt;Year&gt;2019&lt;/Year&gt;&lt;RecNum&gt;523&lt;/RecNum&gt;&lt;DisplayText&gt;&lt;style face="superscript"&gt;525&lt;/style&gt;&lt;/DisplayText&gt;&lt;record&gt;&lt;rec-number&gt;523&lt;/rec-number&gt;&lt;foreign-keys&gt;&lt;key app="EN" db-id="2xex0erf4eexr4e2dpbxpdd829xttesxxxdr" timestamp="1715075297"&gt;523&lt;/key&gt;&lt;/foreign-keys&gt;&lt;ref-type name="Journal Article"&gt;17&lt;/ref-type&gt;&lt;contributors&gt;&lt;authors&gt;&lt;author&gt;Lamoureux, Philomena Schlexer&lt;/author&gt;&lt;author&gt;Singh, Aayush R.&lt;/author&gt;&lt;author&gt;Chan, Karen&lt;/author&gt;&lt;/authors&gt;&lt;/contributors&gt;&lt;titles&gt;&lt;title&gt;pH Effects on Hydrogen Evolution and Oxidation over Pt(111): Insights from First-Principles&lt;/title&gt;&lt;secondary-title&gt;ACS Catal.&lt;/secondary-title&gt;&lt;/titles&gt;&lt;periodical&gt;&lt;full-title&gt;ACS Catal.&lt;/full-title&gt;&lt;/periodical&gt;&lt;pages&gt;6194-6201&lt;/pages&gt;&lt;volume&gt;9&lt;/volume&gt;&lt;number&gt;7&lt;/number&gt;&lt;keywords&gt;&lt;keyword&gt;DFT&lt;/keyword&gt;&lt;keyword&gt;electrocatalysis&lt;/keyword&gt;&lt;keyword&gt;hydrogen evolution&lt;/keyword&gt;&lt;keyword&gt;hydrogen oxidation&lt;/keyword&gt;&lt;keyword&gt;kinetics&lt;/keyword&gt;&lt;keyword&gt;microkinetic modeling&lt;/keyword&gt;&lt;keyword&gt;water splitting&lt;/keyword&gt;&lt;/keywords&gt;&lt;dates&gt;&lt;year&gt;2019&lt;/year&gt;&lt;/dates&gt;&lt;urls&gt;&lt;related-urls&gt;&lt;url&gt;https://pubs.acs.org/doi/pdf/10.1021/acscatal.9b00268&lt;/url&gt;&lt;/related-urls&gt;&lt;pdf-urls&gt;&lt;url&gt;file://localhost/localhost/localhost/localhost/Users/piccinin/Literature/acscatal.9b00268.pdf&lt;/url&gt;&lt;/pdf-urls&gt;&lt;/urls&gt;&lt;electronic-resource-num&gt;10.1021/acscatal.9b00268&lt;/electronic-resource-num&gt;&lt;/record&gt;&lt;/Cite&gt;&lt;/EndNote&gt;</w:instrText>
      </w:r>
      <w:r>
        <w:rPr>
          <w:rFonts w:eastAsiaTheme="minorEastAsia"/>
          <w:color w:val="000000" w:themeColor="text1"/>
        </w:rPr>
        <w:fldChar w:fldCharType="separate"/>
      </w:r>
      <w:r w:rsidR="00FC5BEB" w:rsidRPr="00FC5BEB">
        <w:rPr>
          <w:rFonts w:eastAsiaTheme="minorEastAsia"/>
          <w:noProof/>
          <w:color w:val="000000" w:themeColor="text1"/>
          <w:vertAlign w:val="superscript"/>
        </w:rPr>
        <w:t>525</w:t>
      </w:r>
      <w:r>
        <w:rPr>
          <w:rFonts w:eastAsiaTheme="minorEastAsia"/>
          <w:color w:val="000000" w:themeColor="text1"/>
        </w:rPr>
        <w:fldChar w:fldCharType="end"/>
      </w:r>
      <w:r>
        <w:rPr>
          <w:rFonts w:eastAsiaTheme="minorEastAsia"/>
          <w:color w:val="000000" w:themeColor="text1"/>
        </w:rPr>
        <w:t xml:space="preserve"> They suggest, however, that a gap in the </w:t>
      </w:r>
      <w:r w:rsidRPr="007617F3">
        <w:rPr>
          <w:rFonts w:eastAsiaTheme="minorEastAsia"/>
          <w:color w:val="000000" w:themeColor="text1"/>
        </w:rPr>
        <w:t>H-bond network gap in the alkaline EDL</w:t>
      </w:r>
      <w:r>
        <w:rPr>
          <w:rFonts w:eastAsiaTheme="minorEastAsia"/>
          <w:color w:val="000000" w:themeColor="text1"/>
        </w:rPr>
        <w:t xml:space="preserve"> is responsible for the observed dependence of the rate of the HER on </w:t>
      </w:r>
      <w:proofErr w:type="spellStart"/>
      <w:r>
        <w:rPr>
          <w:rFonts w:eastAsiaTheme="minorEastAsia"/>
          <w:color w:val="000000" w:themeColor="text1"/>
        </w:rPr>
        <w:t>pH.</w:t>
      </w:r>
      <w:proofErr w:type="spellEnd"/>
      <w:r>
        <w:rPr>
          <w:rFonts w:eastAsiaTheme="minorEastAsia"/>
          <w:color w:val="000000" w:themeColor="text1"/>
        </w:rPr>
        <w:t xml:space="preserve"> The role of pH in the HER/HOR is therefore still an open issue. </w:t>
      </w:r>
    </w:p>
    <w:p w14:paraId="4202ECD5" w14:textId="77777777" w:rsidR="006C1C9C" w:rsidRDefault="006C1C9C" w:rsidP="006C1C9C"/>
    <w:p w14:paraId="05447A2E" w14:textId="1D0D7C34" w:rsidR="006C1C9C" w:rsidRDefault="006C1C9C" w:rsidP="00EC6677">
      <w:pPr>
        <w:ind w:firstLine="720"/>
      </w:pPr>
      <w:r>
        <w:t xml:space="preserve">In the case of the OER, </w:t>
      </w:r>
      <w:proofErr w:type="spellStart"/>
      <w:r>
        <w:t>Rajan</w:t>
      </w:r>
      <w:proofErr w:type="spellEnd"/>
      <w:r>
        <w:t xml:space="preserve"> and Carter</w:t>
      </w:r>
      <w:r>
        <w:fldChar w:fldCharType="begin"/>
      </w:r>
      <w:r w:rsidR="00FC5BEB">
        <w:instrText xml:space="preserve"> ADDIN EN.CITE &lt;EndNote&gt;&lt;Cite&gt;&lt;Author&gt;Govind Rajan&lt;/Author&gt;&lt;Year&gt;2020&lt;/Year&gt;&lt;RecNum&gt;524&lt;/RecNum&gt;&lt;DisplayText&gt;&lt;style face="superscript"&gt;526&lt;/style&gt;&lt;/DisplayText&gt;&lt;record&gt;&lt;rec-number&gt;524&lt;/rec-number&gt;&lt;foreign-keys&gt;&lt;key app="EN" db-id="2xex0erf4eexr4e2dpbxpdd829xttesxxxdr" timestamp="1715075297"&gt;524&lt;/key&gt;&lt;/foreign-keys&gt;&lt;ref-type name="Journal Article"&gt;17&lt;/ref-type&gt;&lt;contributors&gt;&lt;authors&gt;&lt;author&gt;Govind Rajan, Ananth&lt;/author&gt;&lt;author&gt;Carter, Emily A.&lt;/author&gt;&lt;/authors&gt;&lt;/contributors&gt;&lt;titles&gt;&lt;title&gt;Microkinetic model for pH- And potential-dependent oxygen evolution during water splitting on Fe-doped β-NiOOH&lt;/title&gt;&lt;secondary-title&gt;Energy Environ. Sci.&lt;/secondary-title&gt;&lt;/titles&gt;&lt;periodical&gt;&lt;full-title&gt;Energy Environ. Sci.&lt;/full-title&gt;&lt;/periodical&gt;&lt;pages&gt;4962-4976&lt;/pages&gt;&lt;volume&gt;13&lt;/volume&gt;&lt;number&gt;12&lt;/number&gt;&lt;dates&gt;&lt;year&gt;2020&lt;/year&gt;&lt;/dates&gt;&lt;publisher&gt;Royal Society of Chemistry&lt;/publisher&gt;&lt;urls&gt;&lt;related-urls&gt;&lt;url&gt;https://pubs.rsc.org/en/content/articlepdf/2020/ee/d0ee02292f&lt;/url&gt;&lt;/related-urls&gt;&lt;pdf-urls&gt;&lt;url&gt;file://localhost/localhost/localhost/Users/piccinin/Literature/d0ee02292f.pdf&lt;/url&gt;&lt;/pdf-urls&gt;&lt;/urls&gt;&lt;electronic-resource-num&gt;10.1039/d0ee02292f&lt;/electronic-resource-num&gt;&lt;/record&gt;&lt;/Cite&gt;&lt;/EndNote&gt;</w:instrText>
      </w:r>
      <w:r>
        <w:fldChar w:fldCharType="separate"/>
      </w:r>
      <w:r w:rsidR="00FC5BEB" w:rsidRPr="00FC5BEB">
        <w:rPr>
          <w:noProof/>
          <w:vertAlign w:val="superscript"/>
        </w:rPr>
        <w:t>526</w:t>
      </w:r>
      <w:r>
        <w:fldChar w:fldCharType="end"/>
      </w:r>
      <w:r>
        <w:t xml:space="preserve"> proposed a microkinetic model for the reaction on Fe-doped </w:t>
      </w:r>
      <w:r w:rsidRPr="00C31A2C">
        <w:rPr>
          <w:rFonts w:ascii="Symbol" w:hAnsi="Symbol"/>
        </w:rPr>
        <w:t></w:t>
      </w:r>
      <w:r>
        <w:t>-</w:t>
      </w:r>
      <w:proofErr w:type="spellStart"/>
      <w:r>
        <w:t>NiOOH</w:t>
      </w:r>
      <w:proofErr w:type="spellEnd"/>
      <w:r>
        <w:t xml:space="preserve"> on the basis of their previous study</w:t>
      </w:r>
      <w:r>
        <w:fldChar w:fldCharType="begin"/>
      </w:r>
      <w:r w:rsidR="00FC5BEB">
        <w:instrText xml:space="preserve"> ADDIN EN.CITE &lt;EndNote&gt;&lt;Cite&gt;&lt;Author&gt;Martirez&lt;/Author&gt;&lt;Year&gt;2019&lt;/Year&gt;&lt;RecNum&gt;231&lt;/RecNum&gt;&lt;DisplayText&gt;&lt;style face="superscript"&gt;233&lt;/style&gt;&lt;/DisplayText&gt;&lt;record&gt;&lt;rec-number&gt;231&lt;/rec-number&gt;&lt;foreign-keys&gt;&lt;key app="EN" db-id="2xex0erf4eexr4e2dpbxpdd829xttesxxxdr" timestamp="1715075296"&gt;231&lt;/key&gt;&lt;/foreign-keys&gt;&lt;ref-type name="Journal Article"&gt;17&lt;/ref-type&gt;&lt;contributors&gt;&lt;authors&gt;&lt;author&gt;Martirez, John Mark P.&lt;/author&gt;&lt;author&gt;Carter, Emily A.&lt;/author&gt;&lt;/authors&gt;&lt;/contributors&gt;&lt;titles&gt;&lt;title&gt;Unraveling Oxygen Evolution on Iron-Doped β-Nickel Oxyhydroxide: The Key Role of Highly Active Molecular-like Sites&lt;/title&gt;&lt;secondary-title&gt;Journal of the American Chemical Society&lt;/secondary-title&gt;&lt;/titles&gt;&lt;periodical&gt;&lt;full-title&gt;Journal of the American Chemical Society&lt;/full-title&gt;&lt;abbr-1&gt;J. Am. Chem. Soc.&lt;/abbr-1&gt;&lt;abbr-2&gt;J Am Chem Soc&lt;/abbr-2&gt;&lt;/periodical&gt;&lt;pages&gt;693-705&lt;/pages&gt;&lt;volume&gt;141&lt;/volume&gt;&lt;number&gt;1&lt;/number&gt;&lt;dates&gt;&lt;year&gt;2019&lt;/year&gt;&lt;/dates&gt;&lt;publisher&gt;American Chemical Society&lt;/publisher&gt;&lt;urls&gt;&lt;related-urls&gt;&lt;url&gt;https://doi.org/10.1021/jacs.8b12386&lt;/url&gt;&lt;/related-urls&gt;&lt;/urls&gt;&lt;electronic-resource-num&gt;10.1021/jacs.8b12386&lt;/electronic-resource-num&gt;&lt;/record&gt;&lt;/Cite&gt;&lt;/EndNote&gt;</w:instrText>
      </w:r>
      <w:r>
        <w:fldChar w:fldCharType="separate"/>
      </w:r>
      <w:r w:rsidR="00FC5BEB" w:rsidRPr="00FC5BEB">
        <w:rPr>
          <w:noProof/>
          <w:vertAlign w:val="superscript"/>
        </w:rPr>
        <w:t>233</w:t>
      </w:r>
      <w:r>
        <w:fldChar w:fldCharType="end"/>
      </w:r>
      <w:r>
        <w:t>, where they used the CHE approach in combination with hybrid functional calculations to identify possible reaction paths on the (</w:t>
      </w:r>
      <m:oMath>
        <m:acc>
          <m:accPr>
            <m:chr m:val="̅"/>
            <m:ctrlPr>
              <w:rPr>
                <w:rFonts w:ascii="Cambria Math" w:hAnsi="Cambria Math"/>
                <w:i/>
              </w:rPr>
            </m:ctrlPr>
          </m:accPr>
          <m:e>
            <m:r>
              <w:rPr>
                <w:rFonts w:ascii="Cambria Math" w:hAnsi="Cambria Math"/>
              </w:rPr>
              <m:t>1</m:t>
            </m:r>
          </m:e>
        </m:acc>
        <m:r>
          <w:rPr>
            <w:rFonts w:ascii="Cambria Math" w:hAnsi="Cambria Math"/>
          </w:rPr>
          <m:t>2</m:t>
        </m:r>
        <m:acc>
          <m:accPr>
            <m:chr m:val="̅"/>
            <m:ctrlPr>
              <w:rPr>
                <w:rFonts w:ascii="Cambria Math" w:hAnsi="Cambria Math"/>
                <w:i/>
              </w:rPr>
            </m:ctrlPr>
          </m:accPr>
          <m:e>
            <m:r>
              <w:rPr>
                <w:rFonts w:ascii="Cambria Math" w:hAnsi="Cambria Math"/>
              </w:rPr>
              <m:t>1</m:t>
            </m:r>
          </m:e>
        </m:acc>
        <m:r>
          <w:rPr>
            <w:rFonts w:ascii="Cambria Math" w:hAnsi="Cambria Math"/>
          </w:rPr>
          <m:t>1</m:t>
        </m:r>
      </m:oMath>
      <w:r>
        <w:t>) surface. They considered a path consisting of four intermediates:</w:t>
      </w:r>
      <w:r w:rsidRPr="00557C18">
        <w:t xml:space="preserve"> </w:t>
      </w:r>
      <w:r>
        <w:t xml:space="preserve">a </w:t>
      </w:r>
      <w:proofErr w:type="spellStart"/>
      <w:r w:rsidRPr="00557C18">
        <w:t>dihydroxo</w:t>
      </w:r>
      <w:proofErr w:type="spellEnd"/>
      <w:r w:rsidRPr="00557C18">
        <w:t xml:space="preserve"> species (HO*OH), a </w:t>
      </w:r>
      <w:proofErr w:type="spellStart"/>
      <w:r w:rsidRPr="00557C18">
        <w:t>hydroxo</w:t>
      </w:r>
      <w:proofErr w:type="spellEnd"/>
      <w:r w:rsidRPr="00557C18">
        <w:t>-oxo species (HO</w:t>
      </w:r>
      <w:r w:rsidRPr="00557C18">
        <w:rPr>
          <w:vertAlign w:val="superscript"/>
        </w:rPr>
        <w:t>*</w:t>
      </w:r>
      <w:r w:rsidRPr="00557C18">
        <w:t>O +</w:t>
      </w:r>
      <w:r w:rsidRPr="00557C18">
        <w:rPr>
          <w:vertAlign w:val="superscript"/>
        </w:rPr>
        <w:t xml:space="preserve"> </w:t>
      </w:r>
      <w:r w:rsidRPr="00557C18">
        <w:rPr>
          <w:rFonts w:ascii="Symbol" w:hAnsi="Symbol"/>
          <w:vertAlign w:val="superscript"/>
        </w:rPr>
        <w:t></w:t>
      </w:r>
      <w:r w:rsidRPr="00557C18">
        <w:t xml:space="preserve">OH), a </w:t>
      </w:r>
      <w:proofErr w:type="spellStart"/>
      <w:r w:rsidRPr="00557C18">
        <w:t>hydroxo</w:t>
      </w:r>
      <w:proofErr w:type="spellEnd"/>
      <w:r w:rsidRPr="00557C18">
        <w:t xml:space="preserve"> species (HO</w:t>
      </w:r>
      <w:r w:rsidRPr="00557C18">
        <w:rPr>
          <w:vertAlign w:val="superscript"/>
        </w:rPr>
        <w:t>*</w:t>
      </w:r>
      <w:r w:rsidRPr="00557C18">
        <w:t xml:space="preserve"> + </w:t>
      </w:r>
      <w:r w:rsidRPr="00557C18">
        <w:rPr>
          <w:rFonts w:ascii="Symbol" w:hAnsi="Symbol"/>
          <w:vertAlign w:val="superscript"/>
        </w:rPr>
        <w:t></w:t>
      </w:r>
      <w:r w:rsidRPr="00557C18">
        <w:t>OH</w:t>
      </w:r>
      <w:r w:rsidRPr="00557C18">
        <w:rPr>
          <w:vertAlign w:val="subscript"/>
        </w:rPr>
        <w:t>2</w:t>
      </w:r>
      <w:r w:rsidRPr="00557C18">
        <w:t xml:space="preserve">), and a </w:t>
      </w:r>
      <w:proofErr w:type="spellStart"/>
      <w:r w:rsidRPr="00557C18">
        <w:t>hydroxo</w:t>
      </w:r>
      <w:proofErr w:type="spellEnd"/>
      <w:r w:rsidRPr="00557C18">
        <w:t>-aqua species (HO</w:t>
      </w:r>
      <w:r w:rsidRPr="00557C18">
        <w:rPr>
          <w:vertAlign w:val="superscript"/>
        </w:rPr>
        <w:t>*</w:t>
      </w:r>
      <w:r w:rsidRPr="00557C18">
        <w:t>OH</w:t>
      </w:r>
      <w:r w:rsidRPr="00557C18">
        <w:rPr>
          <w:vertAlign w:val="subscript"/>
        </w:rPr>
        <w:t>2</w:t>
      </w:r>
      <w:r w:rsidRPr="00557C18">
        <w:t>), where * and</w:t>
      </w:r>
      <w:r w:rsidRPr="00557C18">
        <w:rPr>
          <w:rFonts w:ascii="Symbol" w:hAnsi="Symbol"/>
        </w:rPr>
        <w:t></w:t>
      </w:r>
      <w:r w:rsidRPr="00557C18">
        <w:rPr>
          <w:rFonts w:ascii="Symbol" w:hAnsi="Symbol"/>
        </w:rPr>
        <w:t></w:t>
      </w:r>
      <w:r w:rsidRPr="00557C18">
        <w:t xml:space="preserve"> denote</w:t>
      </w:r>
      <w:r>
        <w:t xml:space="preserve"> surface</w:t>
      </w:r>
      <w:r w:rsidRPr="00557C18">
        <w:t xml:space="preserve"> Fe and Ni atoms</w:t>
      </w:r>
      <w:r>
        <w:t xml:space="preserve">. Each of the four elementary steps of the model involves a PCET reaction, with reaction free energies computed with the CHE approach assuming bulk concentration of the reactants. The authors used experimental data to fit some of the parameters in their model, in particular the free energy term </w:t>
      </w:r>
      <w:r>
        <w:rPr>
          <w:rFonts w:ascii="Symbol" w:hAnsi="Symbol"/>
        </w:rPr>
        <w:t></w:t>
      </w:r>
      <w:r w:rsidRPr="000E1793">
        <w:rPr>
          <w:rFonts w:ascii="Symbol" w:hAnsi="Symbol"/>
          <w:i/>
          <w:iCs/>
        </w:rPr>
        <w:t></w:t>
      </w:r>
      <w:r>
        <w:rPr>
          <w:rFonts w:ascii="Symbol" w:hAnsi="Symbol"/>
        </w:rPr>
        <w:t></w:t>
      </w:r>
      <w:r>
        <w:t xml:space="preserve">corresponding to the work done to bring reactants and products from the bulk of the electrolyte to the catalyst surface, and the parameters </w:t>
      </w:r>
      <w:r>
        <w:lastRenderedPageBreak/>
        <w:t>to describe the kinetics of the elementary steps. The kinetics was formulated on the basis of Marcus theory of outer sphere electron transfer, resulting in the following expression for the forward rate of the</w:t>
      </w:r>
      <w:r w:rsidRPr="002F5918">
        <w:rPr>
          <w:i/>
          <w:iCs/>
        </w:rPr>
        <w:t xml:space="preserve"> </w:t>
      </w:r>
      <w:proofErr w:type="spellStart"/>
      <w:r w:rsidRPr="002F5918">
        <w:rPr>
          <w:i/>
          <w:iCs/>
        </w:rPr>
        <w:t>i</w:t>
      </w:r>
      <w:r>
        <w:t>-th</w:t>
      </w:r>
      <w:proofErr w:type="spellEnd"/>
      <w:r>
        <w:t xml:space="preserve"> elementary step:</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5F3A2E" w:rsidRPr="005F3A2E" w14:paraId="3BC1CD7F" w14:textId="77777777" w:rsidTr="00DE0988">
        <w:tc>
          <w:tcPr>
            <w:tcW w:w="7938" w:type="dxa"/>
            <w:tcMar>
              <w:left w:w="28" w:type="dxa"/>
              <w:right w:w="28" w:type="dxa"/>
            </w:tcMar>
            <w:vAlign w:val="center"/>
          </w:tcPr>
          <w:p w14:paraId="374027CB" w14:textId="40F0E385" w:rsidR="005F3A2E" w:rsidRPr="005F3A2E" w:rsidRDefault="00000000" w:rsidP="00E45E28">
            <w:pPr>
              <w:spacing w:before="60" w:after="60"/>
              <w:rPr>
                <w:bCs/>
                <w:sz w:val="20"/>
                <w:szCs w:val="20"/>
              </w:rPr>
            </w:pPr>
            <m:oMathPara>
              <m:oMath>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fi</m:t>
                    </m:r>
                  </m:sub>
                </m:sSub>
                <m:r>
                  <w:rPr>
                    <w:rFonts w:ascii="Cambria Math" w:hAnsi="Cambria Math"/>
                    <w:sz w:val="20"/>
                    <w:szCs w:val="20"/>
                  </w:rPr>
                  <m:t xml:space="preserve"> = </m:t>
                </m:r>
                <m:f>
                  <m:fPr>
                    <m:ctrlPr>
                      <w:rPr>
                        <w:rFonts w:ascii="Cambria Math" w:hAnsi="Cambria Math"/>
                        <w:i/>
                        <w:sz w:val="20"/>
                        <w:szCs w:val="20"/>
                      </w:rPr>
                    </m:ctrlPr>
                  </m:fPr>
                  <m:num>
                    <m:sSub>
                      <m:sSubPr>
                        <m:ctrlPr>
                          <w:rPr>
                            <w:rFonts w:ascii="Cambria Math" w:hAnsi="Cambria Math"/>
                            <w:i/>
                            <w:sz w:val="20"/>
                            <w:szCs w:val="20"/>
                          </w:rPr>
                        </m:ctrlPr>
                      </m:sSubPr>
                      <m:e>
                        <m:r>
                          <w:rPr>
                            <w:rFonts w:ascii="Cambria Math" w:hAnsi="Cambria Math"/>
                            <w:sz w:val="20"/>
                            <w:szCs w:val="20"/>
                          </w:rPr>
                          <m:t>k</m:t>
                        </m:r>
                      </m:e>
                      <m:sub>
                        <m:r>
                          <m:rPr>
                            <m:sty m:val="p"/>
                          </m:rPr>
                          <w:rPr>
                            <w:rFonts w:ascii="Cambria Math" w:hAnsi="Cambria Math"/>
                            <w:sz w:val="20"/>
                            <w:szCs w:val="20"/>
                          </w:rPr>
                          <m:t>B</m:t>
                        </m:r>
                      </m:sub>
                    </m:sSub>
                    <m:r>
                      <w:rPr>
                        <w:rFonts w:ascii="Cambria Math" w:hAnsi="Cambria Math"/>
                        <w:sz w:val="20"/>
                        <w:szCs w:val="20"/>
                      </w:rPr>
                      <m:t>T</m:t>
                    </m:r>
                  </m:num>
                  <m:den>
                    <m:r>
                      <w:rPr>
                        <w:rFonts w:ascii="Cambria Math" w:hAnsi="Cambria Math"/>
                        <w:sz w:val="20"/>
                        <w:szCs w:val="20"/>
                      </w:rPr>
                      <m:t>h</m:t>
                    </m:r>
                  </m:den>
                </m:f>
                <m:r>
                  <m:rPr>
                    <m:sty m:val="p"/>
                  </m:rPr>
                  <w:rPr>
                    <w:rFonts w:ascii="Cambria Math" w:hAnsi="Cambria Math"/>
                    <w:sz w:val="20"/>
                    <w:szCs w:val="20"/>
                  </w:rPr>
                  <m:t>exp</m:t>
                </m:r>
                <m:d>
                  <m:dPr>
                    <m:ctrlPr>
                      <w:rPr>
                        <w:rFonts w:ascii="Cambria Math" w:hAnsi="Cambria Math"/>
                        <w:i/>
                        <w:sz w:val="20"/>
                        <w:szCs w:val="20"/>
                      </w:rPr>
                    </m:ctrlPr>
                  </m:dPr>
                  <m:e>
                    <m:r>
                      <w:rPr>
                        <w:rFonts w:ascii="Cambria Math" w:hAnsi="Cambria Math"/>
                        <w:sz w:val="20"/>
                        <w:szCs w:val="20"/>
                      </w:rPr>
                      <m:t>-</m:t>
                    </m:r>
                    <m:f>
                      <m:fPr>
                        <m:ctrlPr>
                          <w:rPr>
                            <w:rFonts w:ascii="Cambria Math" w:hAnsi="Cambria Math"/>
                            <w:i/>
                            <w:sz w:val="20"/>
                            <w:szCs w:val="20"/>
                          </w:rPr>
                        </m:ctrlPr>
                      </m:fPr>
                      <m:num>
                        <m:sSub>
                          <m:sSubPr>
                            <m:ctrlPr>
                              <w:rPr>
                                <w:rFonts w:ascii="Cambria Math" w:hAnsi="Cambria Math"/>
                                <w:i/>
                                <w:sz w:val="20"/>
                                <w:szCs w:val="20"/>
                              </w:rPr>
                            </m:ctrlPr>
                          </m:sSubPr>
                          <m:e>
                            <m:r>
                              <w:rPr>
                                <w:rFonts w:ascii="Cambria Math" w:hAnsi="Cambria Math"/>
                                <w:sz w:val="20"/>
                                <w:szCs w:val="20"/>
                              </w:rPr>
                              <m:t>λ</m:t>
                            </m:r>
                          </m:e>
                          <m:sub>
                            <m:r>
                              <w:rPr>
                                <w:rFonts w:ascii="Cambria Math" w:hAnsi="Cambria Math"/>
                                <w:sz w:val="20"/>
                                <w:szCs w:val="20"/>
                              </w:rPr>
                              <m:t>i</m:t>
                            </m:r>
                          </m:sub>
                        </m:sSub>
                      </m:num>
                      <m:den>
                        <m:r>
                          <w:rPr>
                            <w:rFonts w:ascii="Cambria Math" w:hAnsi="Cambria Math"/>
                            <w:sz w:val="20"/>
                            <w:szCs w:val="20"/>
                          </w:rPr>
                          <m:t>4</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B</m:t>
                            </m:r>
                          </m:sub>
                        </m:sSub>
                        <m:r>
                          <w:rPr>
                            <w:rFonts w:ascii="Cambria Math" w:hAnsi="Cambria Math"/>
                            <w:sz w:val="20"/>
                            <w:szCs w:val="20"/>
                          </w:rPr>
                          <m:t>T</m:t>
                        </m:r>
                      </m:den>
                    </m:f>
                    <m:sSup>
                      <m:sSupPr>
                        <m:ctrlPr>
                          <w:rPr>
                            <w:rFonts w:ascii="Cambria Math" w:hAnsi="Cambria Math"/>
                            <w:i/>
                            <w:sz w:val="20"/>
                            <w:szCs w:val="20"/>
                          </w:rPr>
                        </m:ctrlPr>
                      </m:sSupPr>
                      <m:e>
                        <m:d>
                          <m:dPr>
                            <m:ctrlPr>
                              <w:rPr>
                                <w:rFonts w:ascii="Cambria Math" w:hAnsi="Cambria Math"/>
                                <w:i/>
                                <w:sz w:val="20"/>
                                <w:szCs w:val="20"/>
                              </w:rPr>
                            </m:ctrlPr>
                          </m:dPr>
                          <m:e>
                            <m:r>
                              <w:rPr>
                                <w:rFonts w:ascii="Cambria Math" w:hAnsi="Cambria Math"/>
                                <w:sz w:val="20"/>
                                <w:szCs w:val="20"/>
                              </w:rPr>
                              <m:t>1+</m:t>
                            </m:r>
                            <m:f>
                              <m:fPr>
                                <m:ctrlPr>
                                  <w:rPr>
                                    <w:rFonts w:ascii="Cambria Math" w:hAnsi="Cambria Math"/>
                                    <w:i/>
                                    <w:sz w:val="20"/>
                                    <w:szCs w:val="20"/>
                                  </w:rPr>
                                </m:ctrlPr>
                              </m:fPr>
                              <m:num>
                                <m:r>
                                  <m:rPr>
                                    <m:sty m:val="p"/>
                                  </m:rPr>
                                  <w:rPr>
                                    <w:rFonts w:ascii="Cambria Math" w:hAnsi="Cambria Math"/>
                                    <w:sz w:val="20"/>
                                    <w:szCs w:val="20"/>
                                  </w:rPr>
                                  <m:t>Δ</m:t>
                                </m:r>
                                <m:sSubSup>
                                  <m:sSubSupPr>
                                    <m:ctrlPr>
                                      <w:rPr>
                                        <w:rFonts w:ascii="Cambria Math" w:hAnsi="Cambria Math"/>
                                        <w:i/>
                                        <w:sz w:val="20"/>
                                        <w:szCs w:val="20"/>
                                      </w:rPr>
                                    </m:ctrlPr>
                                  </m:sSubSupPr>
                                  <m:e>
                                    <m:r>
                                      <w:rPr>
                                        <w:rFonts w:ascii="Cambria Math" w:hAnsi="Cambria Math"/>
                                        <w:sz w:val="20"/>
                                        <w:szCs w:val="20"/>
                                      </w:rPr>
                                      <m:t>G</m:t>
                                    </m:r>
                                  </m:e>
                                  <m:sub>
                                    <m:r>
                                      <w:rPr>
                                        <w:rFonts w:ascii="Cambria Math" w:hAnsi="Cambria Math"/>
                                        <w:sz w:val="20"/>
                                        <w:szCs w:val="20"/>
                                      </w:rPr>
                                      <m:t>bulk,i</m:t>
                                    </m:r>
                                  </m:sub>
                                  <m:sup>
                                    <m:r>
                                      <w:rPr>
                                        <w:rFonts w:ascii="Cambria Math" w:hAnsi="Cambria Math"/>
                                        <w:sz w:val="20"/>
                                        <w:szCs w:val="20"/>
                                      </w:rPr>
                                      <m:t>0</m:t>
                                    </m:r>
                                  </m:sup>
                                </m:sSubSup>
                                <m:r>
                                  <w:rPr>
                                    <w:rFonts w:ascii="Cambria Math" w:hAnsi="Cambria Math"/>
                                    <w:sz w:val="20"/>
                                    <w:szCs w:val="20"/>
                                  </w:rPr>
                                  <m:t>(U)+</m:t>
                                </m:r>
                                <m:r>
                                  <m:rPr>
                                    <m:sty m:val="p"/>
                                  </m:rPr>
                                  <w:rPr>
                                    <w:rFonts w:ascii="Cambria Math" w:hAnsi="Cambria Math"/>
                                    <w:sz w:val="20"/>
                                    <w:szCs w:val="20"/>
                                  </w:rPr>
                                  <m:t>Δ</m:t>
                                </m:r>
                                <m:sSub>
                                  <m:sSubPr>
                                    <m:ctrlPr>
                                      <w:rPr>
                                        <w:rFonts w:ascii="Cambria Math" w:hAnsi="Cambria Math"/>
                                        <w:i/>
                                        <w:sz w:val="20"/>
                                        <w:szCs w:val="20"/>
                                      </w:rPr>
                                    </m:ctrlPr>
                                  </m:sSubPr>
                                  <m:e>
                                    <m:r>
                                      <w:rPr>
                                        <w:rFonts w:ascii="Cambria Math" w:hAnsi="Cambria Math"/>
                                        <w:sz w:val="20"/>
                                        <w:szCs w:val="20"/>
                                      </w:rPr>
                                      <m:t>ω</m:t>
                                    </m:r>
                                  </m:e>
                                  <m:sub>
                                    <m:r>
                                      <w:rPr>
                                        <w:rFonts w:ascii="Cambria Math" w:hAnsi="Cambria Math"/>
                                        <w:sz w:val="20"/>
                                        <w:szCs w:val="20"/>
                                      </w:rPr>
                                      <m:t>i</m:t>
                                    </m:r>
                                  </m:sub>
                                </m:sSub>
                              </m:num>
                              <m:den>
                                <m:sSub>
                                  <m:sSubPr>
                                    <m:ctrlPr>
                                      <w:rPr>
                                        <w:rFonts w:ascii="Cambria Math" w:hAnsi="Cambria Math"/>
                                        <w:i/>
                                        <w:sz w:val="20"/>
                                        <w:szCs w:val="20"/>
                                      </w:rPr>
                                    </m:ctrlPr>
                                  </m:sSubPr>
                                  <m:e>
                                    <m:r>
                                      <w:rPr>
                                        <w:rFonts w:ascii="Cambria Math" w:hAnsi="Cambria Math"/>
                                        <w:sz w:val="20"/>
                                        <w:szCs w:val="20"/>
                                      </w:rPr>
                                      <m:t>λ</m:t>
                                    </m:r>
                                  </m:e>
                                  <m:sub>
                                    <m:r>
                                      <w:rPr>
                                        <w:rFonts w:ascii="Cambria Math" w:hAnsi="Cambria Math"/>
                                        <w:sz w:val="20"/>
                                        <w:szCs w:val="20"/>
                                      </w:rPr>
                                      <m:t>i</m:t>
                                    </m:r>
                                  </m:sub>
                                </m:sSub>
                              </m:den>
                            </m:f>
                          </m:e>
                        </m:d>
                      </m:e>
                      <m:sup>
                        <m:r>
                          <w:rPr>
                            <w:rFonts w:ascii="Cambria Math" w:hAnsi="Cambria Math"/>
                            <w:sz w:val="20"/>
                            <w:szCs w:val="20"/>
                          </w:rPr>
                          <m:t>2</m:t>
                        </m:r>
                      </m:sup>
                    </m:sSup>
                  </m:e>
                </m:d>
              </m:oMath>
            </m:oMathPara>
          </w:p>
        </w:tc>
        <w:tc>
          <w:tcPr>
            <w:tcW w:w="1134" w:type="dxa"/>
            <w:tcMar>
              <w:left w:w="28" w:type="dxa"/>
              <w:right w:w="28" w:type="dxa"/>
            </w:tcMar>
            <w:vAlign w:val="center"/>
          </w:tcPr>
          <w:p w14:paraId="3343668C" w14:textId="50F271D1" w:rsidR="005F3A2E" w:rsidRPr="005F3A2E" w:rsidRDefault="005F3A2E" w:rsidP="00E45E28">
            <w:pPr>
              <w:keepNext/>
              <w:jc w:val="right"/>
              <w:rPr>
                <w:bCs/>
                <w:sz w:val="20"/>
                <w:szCs w:val="20"/>
              </w:rPr>
            </w:pPr>
            <w:r w:rsidRPr="005F3A2E">
              <w:rPr>
                <w:sz w:val="20"/>
                <w:szCs w:val="20"/>
              </w:rPr>
              <w:t xml:space="preserve">Equation </w:t>
            </w:r>
            <w:r w:rsidRPr="005F3A2E">
              <w:rPr>
                <w:sz w:val="20"/>
                <w:szCs w:val="20"/>
              </w:rPr>
              <w:fldChar w:fldCharType="begin"/>
            </w:r>
            <w:r w:rsidRPr="005F3A2E">
              <w:rPr>
                <w:sz w:val="20"/>
                <w:szCs w:val="20"/>
              </w:rPr>
              <w:instrText xml:space="preserve"> SEQ Equation \* ARABIC </w:instrText>
            </w:r>
            <w:r w:rsidRPr="005F3A2E">
              <w:rPr>
                <w:sz w:val="20"/>
                <w:szCs w:val="20"/>
              </w:rPr>
              <w:fldChar w:fldCharType="separate"/>
            </w:r>
            <w:r w:rsidR="00B7319C">
              <w:rPr>
                <w:noProof/>
                <w:sz w:val="20"/>
                <w:szCs w:val="20"/>
              </w:rPr>
              <w:t>101</w:t>
            </w:r>
            <w:r w:rsidRPr="005F3A2E">
              <w:rPr>
                <w:sz w:val="20"/>
                <w:szCs w:val="20"/>
              </w:rPr>
              <w:fldChar w:fldCharType="end"/>
            </w:r>
          </w:p>
        </w:tc>
      </w:tr>
    </w:tbl>
    <w:p w14:paraId="113040BC" w14:textId="135D32BE" w:rsidR="006C1C9C" w:rsidRDefault="006C1C9C" w:rsidP="006C1C9C">
      <w:pPr>
        <w:rPr>
          <w:rFonts w:eastAsiaTheme="minorEastAsia"/>
        </w:rPr>
      </w:pPr>
      <w:r>
        <w:t xml:space="preserve">where </w:t>
      </w:r>
      <m:oMath>
        <m:sSub>
          <m:sSubPr>
            <m:ctrlPr>
              <w:rPr>
                <w:rFonts w:ascii="Cambria Math" w:hAnsi="Cambria Math"/>
                <w:i/>
              </w:rPr>
            </m:ctrlPr>
          </m:sSubPr>
          <m:e>
            <m:r>
              <w:rPr>
                <w:rFonts w:ascii="Cambria Math" w:hAnsi="Cambria Math"/>
              </w:rPr>
              <m:t>λ</m:t>
            </m:r>
          </m:e>
          <m:sub>
            <m:r>
              <w:rPr>
                <w:rFonts w:ascii="Cambria Math" w:hAnsi="Cambria Math"/>
              </w:rPr>
              <m:t>i</m:t>
            </m:r>
          </m:sub>
        </m:sSub>
      </m:oMath>
      <w:r>
        <w:rPr>
          <w:rFonts w:eastAsiaTheme="minorEastAsia"/>
        </w:rPr>
        <w:t xml:space="preserve"> is the reorganization energy, which is fitted against the experiments of Louie and Bell.</w:t>
      </w:r>
      <w:r>
        <w:rPr>
          <w:rFonts w:eastAsiaTheme="minorEastAsia"/>
        </w:rPr>
        <w:fldChar w:fldCharType="begin"/>
      </w:r>
      <w:r w:rsidR="00FC5BEB">
        <w:rPr>
          <w:rFonts w:eastAsiaTheme="minorEastAsia"/>
        </w:rPr>
        <w:instrText xml:space="preserve"> ADDIN EN.CITE &lt;EndNote&gt;&lt;Cite&gt;&lt;Author&gt;Louie&lt;/Author&gt;&lt;Year&gt;2013&lt;/Year&gt;&lt;RecNum&gt;525&lt;/RecNum&gt;&lt;DisplayText&gt;&lt;style face="superscript"&gt;527&lt;/style&gt;&lt;/DisplayText&gt;&lt;record&gt;&lt;rec-number&gt;525&lt;/rec-number&gt;&lt;foreign-keys&gt;&lt;key app="EN" db-id="2xex0erf4eexr4e2dpbxpdd829xttesxxxdr" timestamp="1715075297"&gt;525&lt;/key&gt;&lt;/foreign-keys&gt;&lt;ref-type name="Journal Article"&gt;17&lt;/ref-type&gt;&lt;contributors&gt;&lt;authors&gt;&lt;author&gt;Louie, Mary W.&lt;/author&gt;&lt;author&gt;Bell, Alexis T.&lt;/author&gt;&lt;/authors&gt;&lt;/contributors&gt;&lt;titles&gt;&lt;title&gt;An Investigation of Thin-Film Ni–Fe Oxide Catalysts for the Electrochemical Evolution of Oxygen&lt;/title&gt;&lt;secondary-title&gt;Journal of the American Chemical Society&lt;/secondary-title&gt;&lt;/titles&gt;&lt;periodical&gt;&lt;full-title&gt;Journal of the American Chemical Society&lt;/full-title&gt;&lt;abbr-1&gt;J. Am. Chem. Soc.&lt;/abbr-1&gt;&lt;abbr-2&gt;J Am Chem Soc&lt;/abbr-2&gt;&lt;/periodical&gt;&lt;pages&gt;12329-12337&lt;/pages&gt;&lt;volume&gt;135&lt;/volume&gt;&lt;number&gt;33&lt;/number&gt;&lt;dates&gt;&lt;year&gt;2013&lt;/year&gt;&lt;pub-dates&gt;&lt;date&gt;2013/08/21&lt;/date&gt;&lt;/pub-dates&gt;&lt;/dates&gt;&lt;publisher&gt;American Chemical Society&lt;/publisher&gt;&lt;isbn&gt;0002-7863&lt;/isbn&gt;&lt;urls&gt;&lt;related-urls&gt;&lt;url&gt;https://doi.org/10.1021/ja405351s&lt;/url&gt;&lt;/related-urls&gt;&lt;/urls&gt;&lt;electronic-resource-num&gt;10.1021/ja405351s&lt;/electronic-resource-num&gt;&lt;/record&gt;&lt;/Cite&gt;&lt;/EndNote&gt;</w:instrText>
      </w:r>
      <w:r>
        <w:rPr>
          <w:rFonts w:eastAsiaTheme="minorEastAsia"/>
        </w:rPr>
        <w:fldChar w:fldCharType="separate"/>
      </w:r>
      <w:r w:rsidR="00FC5BEB" w:rsidRPr="00FC5BEB">
        <w:rPr>
          <w:rFonts w:eastAsiaTheme="minorEastAsia"/>
          <w:noProof/>
          <w:vertAlign w:val="superscript"/>
        </w:rPr>
        <w:t>527</w:t>
      </w:r>
      <w:r>
        <w:rPr>
          <w:rFonts w:eastAsiaTheme="minorEastAsia"/>
        </w:rPr>
        <w:fldChar w:fldCharType="end"/>
      </w:r>
      <w:r>
        <w:rPr>
          <w:rFonts w:eastAsiaTheme="minorEastAsia"/>
        </w:rPr>
        <w:t xml:space="preserve"> </w:t>
      </w:r>
    </w:p>
    <w:p w14:paraId="033024A6" w14:textId="77777777" w:rsidR="006C1C9C" w:rsidRDefault="006C1C9C" w:rsidP="006C1C9C">
      <w:pPr>
        <w:rPr>
          <w:rFonts w:eastAsiaTheme="minorEastAsia"/>
        </w:rPr>
      </w:pPr>
    </w:p>
    <w:p w14:paraId="68FA9831" w14:textId="77777777" w:rsidR="006C1C9C" w:rsidRDefault="006C1C9C" w:rsidP="001C1AC5">
      <w:pPr>
        <w:keepNext/>
        <w:jc w:val="center"/>
      </w:pPr>
      <w:r>
        <w:rPr>
          <w:rFonts w:eastAsiaTheme="minorEastAsia"/>
          <w:noProof/>
        </w:rPr>
        <w:drawing>
          <wp:inline distT="0" distB="0" distL="0" distR="0" wp14:anchorId="7C48A025" wp14:editId="0934B743">
            <wp:extent cx="3600000" cy="2762308"/>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Rajan_EES2020_Fig6.gif"/>
                    <pic:cNvPicPr/>
                  </pic:nvPicPr>
                  <pic:blipFill>
                    <a:blip r:embed="rId73" cstate="print">
                      <a:extLst>
                        <a:ext uri="{28A0092B-C50C-407E-A947-70E740481C1C}">
                          <a14:useLocalDpi xmlns:a14="http://schemas.microsoft.com/office/drawing/2010/main" val="0"/>
                        </a:ext>
                      </a:extLst>
                    </a:blip>
                    <a:stretch>
                      <a:fillRect/>
                    </a:stretch>
                  </pic:blipFill>
                  <pic:spPr>
                    <a:xfrm>
                      <a:off x="0" y="0"/>
                      <a:ext cx="3600000" cy="2762308"/>
                    </a:xfrm>
                    <a:prstGeom prst="rect">
                      <a:avLst/>
                    </a:prstGeom>
                  </pic:spPr>
                </pic:pic>
              </a:graphicData>
            </a:graphic>
          </wp:inline>
        </w:drawing>
      </w:r>
    </w:p>
    <w:p w14:paraId="70AD903A" w14:textId="3DBAC707" w:rsidR="006C1C9C" w:rsidRDefault="006C1C9C" w:rsidP="006C1C9C">
      <w:pPr>
        <w:pStyle w:val="Caption"/>
        <w:rPr>
          <w:rFonts w:eastAsiaTheme="minorEastAsia"/>
        </w:rPr>
      </w:pPr>
      <w:bookmarkStart w:id="173" w:name="_Ref153873517"/>
      <w:r w:rsidRPr="00AB61EB">
        <w:rPr>
          <w:b/>
          <w:bCs w:val="0"/>
        </w:rPr>
        <w:t xml:space="preserve">Figure </w:t>
      </w:r>
      <w:r w:rsidRPr="00AB61EB">
        <w:rPr>
          <w:b/>
          <w:bCs w:val="0"/>
        </w:rPr>
        <w:fldChar w:fldCharType="begin"/>
      </w:r>
      <w:r w:rsidRPr="00AB61EB">
        <w:rPr>
          <w:b/>
          <w:bCs w:val="0"/>
        </w:rPr>
        <w:instrText xml:space="preserve"> SEQ Figure \* ARABIC </w:instrText>
      </w:r>
      <w:r w:rsidRPr="00AB61EB">
        <w:rPr>
          <w:b/>
          <w:bCs w:val="0"/>
        </w:rPr>
        <w:fldChar w:fldCharType="separate"/>
      </w:r>
      <w:r w:rsidR="00B7319C">
        <w:rPr>
          <w:b/>
          <w:bCs w:val="0"/>
          <w:noProof/>
        </w:rPr>
        <w:t>63</w:t>
      </w:r>
      <w:r w:rsidRPr="00AB61EB">
        <w:rPr>
          <w:b/>
          <w:bCs w:val="0"/>
          <w:noProof/>
        </w:rPr>
        <w:fldChar w:fldCharType="end"/>
      </w:r>
      <w:bookmarkEnd w:id="173"/>
      <w:r w:rsidRPr="00F62BC6">
        <w:t xml:space="preserve"> OER current densities attributed to H</w:t>
      </w:r>
      <w:r w:rsidRPr="00F62BC6">
        <w:rPr>
          <w:vertAlign w:val="superscript"/>
        </w:rPr>
        <w:t>+</w:t>
      </w:r>
      <w:r w:rsidRPr="00F62BC6">
        <w:t xml:space="preserve"> (solid lines) and OH</w:t>
      </w:r>
      <w:r w:rsidRPr="00F62BC6">
        <w:rPr>
          <w:vertAlign w:val="superscript"/>
        </w:rPr>
        <w:t>−</w:t>
      </w:r>
      <w:r w:rsidRPr="00F62BC6">
        <w:t xml:space="preserve"> (dashed lines) pathways at various applied potential and pH values. The rightmost (black) curve represents pH = 13.0 and the leftmost (red) curve represents pH = 14.7.</w:t>
      </w:r>
      <w:r>
        <w:t xml:space="preserve"> Reproduced </w:t>
      </w:r>
      <w:r w:rsidR="00175B9B">
        <w:t xml:space="preserve">with permission </w:t>
      </w:r>
      <w:r>
        <w:t>from Ref.</w:t>
      </w:r>
      <w:r>
        <w:fldChar w:fldCharType="begin"/>
      </w:r>
      <w:r w:rsidR="00FC5BEB">
        <w:instrText xml:space="preserve"> ADDIN EN.CITE &lt;EndNote&gt;&lt;Cite&gt;&lt;Author&gt;Govind Rajan&lt;/Author&gt;&lt;Year&gt;2020&lt;/Year&gt;&lt;RecNum&gt;524&lt;/RecNum&gt;&lt;DisplayText&gt;&lt;style face="superscript"&gt;526&lt;/style&gt;&lt;/DisplayText&gt;&lt;record&gt;&lt;rec-number&gt;524&lt;/rec-number&gt;&lt;foreign-keys&gt;&lt;key app="EN" db-id="2xex0erf4eexr4e2dpbxpdd829xttesxxxdr" timestamp="1715075297"&gt;524&lt;/key&gt;&lt;/foreign-keys&gt;&lt;ref-type name="Journal Article"&gt;17&lt;/ref-type&gt;&lt;contributors&gt;&lt;authors&gt;&lt;author&gt;Govind Rajan, Ananth&lt;/author&gt;&lt;author&gt;Carter, Emily A.&lt;/author&gt;&lt;/authors&gt;&lt;/contributors&gt;&lt;titles&gt;&lt;title&gt;Microkinetic model for pH- And potential-dependent oxygen evolution during water splitting on Fe-doped β-NiOOH&lt;/title&gt;&lt;secondary-title&gt;Energy Environ. Sci.&lt;/secondary-title&gt;&lt;/titles&gt;&lt;periodical&gt;&lt;full-title&gt;Energy Environ. Sci.&lt;/full-title&gt;&lt;/periodical&gt;&lt;pages&gt;4962-4976&lt;/pages&gt;&lt;volume&gt;13&lt;/volume&gt;&lt;number&gt;12&lt;/number&gt;&lt;dates&gt;&lt;year&gt;2020&lt;/year&gt;&lt;/dates&gt;&lt;publisher&gt;Royal Society of Chemistry&lt;/publisher&gt;&lt;urls&gt;&lt;related-urls&gt;&lt;url&gt;https://pubs.rsc.org/en/content/articlepdf/2020/ee/d0ee02292f&lt;/url&gt;&lt;/related-urls&gt;&lt;pdf-urls&gt;&lt;url&gt;file://localhost/localhost/localhost/Users/piccinin/Literature/d0ee02292f.pdf&lt;/url&gt;&lt;/pdf-urls&gt;&lt;/urls&gt;&lt;electronic-resource-num&gt;10.1039/d0ee02292f&lt;/electronic-resource-num&gt;&lt;/record&gt;&lt;/Cite&gt;&lt;/EndNote&gt;</w:instrText>
      </w:r>
      <w:r>
        <w:fldChar w:fldCharType="separate"/>
      </w:r>
      <w:r w:rsidR="00FC5BEB" w:rsidRPr="00FC5BEB">
        <w:rPr>
          <w:noProof/>
          <w:vertAlign w:val="superscript"/>
        </w:rPr>
        <w:t>526</w:t>
      </w:r>
      <w:r>
        <w:fldChar w:fldCharType="end"/>
      </w:r>
      <w:r w:rsidR="00AF3CEE">
        <w:t xml:space="preserve"> </w:t>
      </w:r>
      <w:r w:rsidR="00AF3CEE" w:rsidRPr="00AF3CEE">
        <w:rPr>
          <w:lang w:val="en-US"/>
        </w:rPr>
        <w:t>with permission from the Royal Society of Chemistry</w:t>
      </w:r>
      <w:r w:rsidR="00AF3CEE">
        <w:rPr>
          <w:lang w:val="en-US"/>
        </w:rPr>
        <w:t>.</w:t>
      </w:r>
    </w:p>
    <w:p w14:paraId="4D82FEA6" w14:textId="41F41AF4" w:rsidR="006C1C9C" w:rsidRDefault="006C1C9C" w:rsidP="006C1C9C">
      <w:pPr>
        <w:rPr>
          <w:rFonts w:eastAsiaTheme="minorEastAsia"/>
        </w:rPr>
      </w:pPr>
      <w:r>
        <w:rPr>
          <w:rFonts w:eastAsiaTheme="minorEastAsia"/>
        </w:rPr>
        <w:t xml:space="preserve">The authors considered the possibility that each of the four PCET steps can involve either protons or hydroxide ions as reactants, and fitting produced vastly different reorganization energies for these two species, </w:t>
      </w:r>
      <m:oMath>
        <m:sSub>
          <m:sSubPr>
            <m:ctrlPr>
              <w:rPr>
                <w:rFonts w:ascii="Cambria Math" w:eastAsiaTheme="minorEastAsia" w:hAnsi="Cambria Math"/>
                <w:i/>
              </w:rPr>
            </m:ctrlPr>
          </m:sSubPr>
          <m:e>
            <m:r>
              <w:rPr>
                <w:rFonts w:ascii="Cambria Math" w:eastAsiaTheme="minorEastAsia" w:hAnsi="Cambria Math"/>
              </w:rPr>
              <m:t>λ</m:t>
            </m:r>
          </m:e>
          <m:sub>
            <m:sSup>
              <m:sSupPr>
                <m:ctrlPr>
                  <w:rPr>
                    <w:rFonts w:ascii="Cambria Math" w:eastAsiaTheme="minorEastAsia" w:hAnsi="Cambria Math"/>
                    <w:i/>
                  </w:rPr>
                </m:ctrlPr>
              </m:sSupPr>
              <m:e>
                <m:r>
                  <w:rPr>
                    <w:rFonts w:ascii="Cambria Math" w:eastAsiaTheme="minorEastAsia" w:hAnsi="Cambria Math"/>
                  </w:rPr>
                  <m:t>H</m:t>
                </m:r>
              </m:e>
              <m:sup>
                <m:r>
                  <w:rPr>
                    <w:rFonts w:ascii="Cambria Math" w:eastAsiaTheme="minorEastAsia" w:hAnsi="Cambria Math"/>
                  </w:rPr>
                  <m:t>+</m:t>
                </m:r>
              </m:sup>
            </m:sSup>
          </m:sub>
        </m:sSub>
      </m:oMath>
      <w:r>
        <w:rPr>
          <w:rFonts w:eastAsiaTheme="minorEastAsia"/>
        </w:rPr>
        <w:t xml:space="preserve"> = 0.744 eV and </w:t>
      </w:r>
      <m:oMath>
        <m:sSub>
          <m:sSubPr>
            <m:ctrlPr>
              <w:rPr>
                <w:rFonts w:ascii="Cambria Math" w:eastAsiaTheme="minorEastAsia" w:hAnsi="Cambria Math"/>
                <w:i/>
              </w:rPr>
            </m:ctrlPr>
          </m:sSubPr>
          <m:e>
            <m:r>
              <w:rPr>
                <w:rFonts w:ascii="Cambria Math" w:eastAsiaTheme="minorEastAsia" w:hAnsi="Cambria Math"/>
              </w:rPr>
              <m:t>λ</m:t>
            </m:r>
          </m:e>
          <m:sub>
            <m:sSup>
              <m:sSupPr>
                <m:ctrlPr>
                  <w:rPr>
                    <w:rFonts w:ascii="Cambria Math" w:eastAsiaTheme="minorEastAsia" w:hAnsi="Cambria Math"/>
                    <w:i/>
                  </w:rPr>
                </m:ctrlPr>
              </m:sSupPr>
              <m:e>
                <m:r>
                  <w:rPr>
                    <w:rFonts w:ascii="Cambria Math" w:eastAsiaTheme="minorEastAsia" w:hAnsi="Cambria Math"/>
                  </w:rPr>
                  <m:t>OH</m:t>
                </m:r>
              </m:e>
              <m:sup>
                <m:r>
                  <w:rPr>
                    <w:rFonts w:ascii="Cambria Math" w:eastAsiaTheme="minorEastAsia" w:hAnsi="Cambria Math"/>
                  </w:rPr>
                  <m:t>-</m:t>
                </m:r>
              </m:sup>
            </m:sSup>
          </m:sub>
        </m:sSub>
      </m:oMath>
      <w:r>
        <w:rPr>
          <w:rFonts w:eastAsiaTheme="minorEastAsia"/>
        </w:rPr>
        <w:t xml:space="preserve"> = 2.474 eV. The outcome is that the kinetics of steps involving protons are considerably faster than those involving hydroxide, to the point that, according to this model, even at pH=14 the OER proceeds mainly via acidic steps (see </w:t>
      </w:r>
      <w:r>
        <w:rPr>
          <w:rFonts w:eastAsiaTheme="minorEastAsia"/>
        </w:rPr>
        <w:fldChar w:fldCharType="begin"/>
      </w:r>
      <w:r>
        <w:rPr>
          <w:rFonts w:eastAsiaTheme="minorEastAsia"/>
        </w:rPr>
        <w:instrText xml:space="preserve"> REF _Ref153873517 \h </w:instrText>
      </w:r>
      <w:r>
        <w:rPr>
          <w:rFonts w:eastAsiaTheme="minorEastAsia"/>
        </w:rPr>
      </w:r>
      <w:r>
        <w:rPr>
          <w:rFonts w:eastAsiaTheme="minorEastAsia"/>
        </w:rPr>
        <w:fldChar w:fldCharType="separate"/>
      </w:r>
      <w:r w:rsidR="00B7319C" w:rsidRPr="00AB61EB">
        <w:rPr>
          <w:b/>
        </w:rPr>
        <w:t xml:space="preserve">Figure </w:t>
      </w:r>
      <w:r w:rsidR="00B7319C">
        <w:rPr>
          <w:b/>
          <w:bCs/>
          <w:noProof/>
        </w:rPr>
        <w:t>63</w:t>
      </w:r>
      <w:r>
        <w:rPr>
          <w:rFonts w:eastAsiaTheme="minorEastAsia"/>
        </w:rPr>
        <w:fldChar w:fldCharType="end"/>
      </w:r>
      <w:r>
        <w:rPr>
          <w:rFonts w:eastAsiaTheme="minorEastAsia"/>
        </w:rPr>
        <w:t xml:space="preserve">). This is a very counterintuitive finding, since in highly alkaline electrolytes the OER is normally expected to involve hydroxide ions, and Louie and Bell's experiments show that the </w:t>
      </w:r>
      <w:r w:rsidRPr="00FF2AAB">
        <w:rPr>
          <w:rFonts w:eastAsiaTheme="minorEastAsia"/>
        </w:rPr>
        <w:t>reaction order in OH</w:t>
      </w:r>
      <w:r w:rsidRPr="00FF2AAB">
        <w:rPr>
          <w:rFonts w:eastAsiaTheme="minorEastAsia"/>
          <w:vertAlign w:val="superscript"/>
        </w:rPr>
        <w:t>−</w:t>
      </w:r>
      <w:r w:rsidRPr="00FF2AAB">
        <w:rPr>
          <w:rFonts w:eastAsiaTheme="minorEastAsia"/>
        </w:rPr>
        <w:t xml:space="preserve"> </w:t>
      </w:r>
      <w:r>
        <w:rPr>
          <w:rFonts w:eastAsiaTheme="minorEastAsia"/>
        </w:rPr>
        <w:t>is one.</w:t>
      </w:r>
      <w:r>
        <w:rPr>
          <w:rFonts w:eastAsiaTheme="minorEastAsia"/>
        </w:rPr>
        <w:fldChar w:fldCharType="begin"/>
      </w:r>
      <w:r w:rsidR="00FC5BEB">
        <w:rPr>
          <w:rFonts w:eastAsiaTheme="minorEastAsia"/>
        </w:rPr>
        <w:instrText xml:space="preserve"> ADDIN EN.CITE &lt;EndNote&gt;&lt;Cite&gt;&lt;Author&gt;Louie&lt;/Author&gt;&lt;Year&gt;2013&lt;/Year&gt;&lt;RecNum&gt;525&lt;/RecNum&gt;&lt;DisplayText&gt;&lt;style face="superscript"&gt;527&lt;/style&gt;&lt;/DisplayText&gt;&lt;record&gt;&lt;rec-number&gt;525&lt;/rec-number&gt;&lt;foreign-keys&gt;&lt;key app="EN" db-id="2xex0erf4eexr4e2dpbxpdd829xttesxxxdr" timestamp="1715075297"&gt;525&lt;/key&gt;&lt;/foreign-keys&gt;&lt;ref-type name="Journal Article"&gt;17&lt;/ref-type&gt;&lt;contributors&gt;&lt;authors&gt;&lt;author&gt;Louie, Mary W.&lt;/author&gt;&lt;author&gt;Bell, Alexis T.&lt;/author&gt;&lt;/authors&gt;&lt;/contributors&gt;&lt;titles&gt;&lt;title&gt;An Investigation of Thin-Film Ni–Fe Oxide Catalysts for the Electrochemical Evolution of Oxygen&lt;/title&gt;&lt;secondary-title&gt;Journal of the American Chemical Society&lt;/secondary-title&gt;&lt;/titles&gt;&lt;periodical&gt;&lt;full-title&gt;Journal of the American Chemical Society&lt;/full-title&gt;&lt;abbr-1&gt;J. Am. Chem. Soc.&lt;/abbr-1&gt;&lt;abbr-2&gt;J Am Chem Soc&lt;/abbr-2&gt;&lt;/periodical&gt;&lt;pages&gt;12329-12337&lt;/pages&gt;&lt;volume&gt;135&lt;/volume&gt;&lt;number&gt;33&lt;/number&gt;&lt;dates&gt;&lt;year&gt;2013&lt;/year&gt;&lt;pub-dates&gt;&lt;date&gt;2013/08/21&lt;/date&gt;&lt;/pub-dates&gt;&lt;/dates&gt;&lt;publisher&gt;American Chemical Society&lt;/publisher&gt;&lt;isbn&gt;0002-7863&lt;/isbn&gt;&lt;urls&gt;&lt;related-urls&gt;&lt;url&gt;https://doi.org/10.1021/ja405351s&lt;/url&gt;&lt;/related-urls&gt;&lt;/urls&gt;&lt;electronic-resource-num&gt;10.1021/ja405351s&lt;/electronic-resource-num&gt;&lt;/record&gt;&lt;/Cite&gt;&lt;/EndNote&gt;</w:instrText>
      </w:r>
      <w:r>
        <w:rPr>
          <w:rFonts w:eastAsiaTheme="minorEastAsia"/>
        </w:rPr>
        <w:fldChar w:fldCharType="separate"/>
      </w:r>
      <w:r w:rsidR="00FC5BEB" w:rsidRPr="00FC5BEB">
        <w:rPr>
          <w:rFonts w:eastAsiaTheme="minorEastAsia"/>
          <w:noProof/>
          <w:vertAlign w:val="superscript"/>
        </w:rPr>
        <w:t>527</w:t>
      </w:r>
      <w:r>
        <w:rPr>
          <w:rFonts w:eastAsiaTheme="minorEastAsia"/>
        </w:rPr>
        <w:fldChar w:fldCharType="end"/>
      </w:r>
      <w:r>
        <w:rPr>
          <w:rFonts w:eastAsiaTheme="minorEastAsia"/>
        </w:rPr>
        <w:t xml:space="preserve"> </w:t>
      </w:r>
      <w:proofErr w:type="spellStart"/>
      <w:r>
        <w:t>Rajan</w:t>
      </w:r>
      <w:proofErr w:type="spellEnd"/>
      <w:r>
        <w:t xml:space="preserve"> and Carter</w:t>
      </w:r>
      <w:r w:rsidDel="00C005B7">
        <w:rPr>
          <w:rFonts w:eastAsiaTheme="minorEastAsia"/>
        </w:rPr>
        <w:t xml:space="preserve"> </w:t>
      </w:r>
      <w:r>
        <w:rPr>
          <w:rFonts w:eastAsiaTheme="minorEastAsia"/>
        </w:rPr>
        <w:t xml:space="preserve">also find that the surface is positively charged with their model, while one would expect an opposite finding in an alkaline electrolyte where hydroxide anions can bind to the surface. Furthermore, the authors predict that the exchange current for this system is around 3.5 </w:t>
      </w:r>
      <w:r w:rsidRPr="00EB6255">
        <w:rPr>
          <w:rFonts w:ascii="Symbol" w:eastAsiaTheme="minorEastAsia" w:hAnsi="Symbol"/>
        </w:rPr>
        <w:t></w:t>
      </w:r>
      <w:r>
        <w:rPr>
          <w:rFonts w:eastAsiaTheme="minorEastAsia"/>
        </w:rPr>
        <w:t>A cm</w:t>
      </w:r>
      <w:r w:rsidRPr="00EB6255">
        <w:rPr>
          <w:rFonts w:eastAsiaTheme="minorEastAsia"/>
          <w:vertAlign w:val="superscript"/>
        </w:rPr>
        <w:t>-2</w:t>
      </w:r>
      <w:r>
        <w:rPr>
          <w:rFonts w:eastAsiaTheme="minorEastAsia"/>
        </w:rPr>
        <w:t>, a value in line with that of RuO</w:t>
      </w:r>
      <w:r w:rsidRPr="00EB6255">
        <w:rPr>
          <w:rFonts w:eastAsiaTheme="minorEastAsia"/>
          <w:vertAlign w:val="subscript"/>
        </w:rPr>
        <w:t>2</w:t>
      </w:r>
      <w:r>
        <w:rPr>
          <w:rFonts w:eastAsiaTheme="minorEastAsia"/>
        </w:rPr>
        <w:t xml:space="preserve">, one of the most active catalysts for the OER. Clearly, to support the validity of these findings, it would be interesting to validate the estimates of the reorganization energies with first principles calculations. In fact, </w:t>
      </w:r>
      <w:r w:rsidRPr="001B67EC">
        <w:rPr>
          <w:rFonts w:eastAsiaTheme="minorEastAsia"/>
        </w:rPr>
        <w:t>Lamoureux</w:t>
      </w:r>
      <w:r>
        <w:rPr>
          <w:rFonts w:eastAsiaTheme="minorEastAsia"/>
        </w:rPr>
        <w:t xml:space="preserve"> et al.</w:t>
      </w:r>
      <w:r>
        <w:rPr>
          <w:rFonts w:eastAsiaTheme="minorEastAsia"/>
        </w:rPr>
        <w:fldChar w:fldCharType="begin"/>
      </w:r>
      <w:r w:rsidR="00FC5BEB">
        <w:rPr>
          <w:rFonts w:eastAsiaTheme="minorEastAsia"/>
        </w:rPr>
        <w:instrText xml:space="preserve"> ADDIN EN.CITE &lt;EndNote&gt;&lt;Cite&gt;&lt;Author&gt;Lamoureux&lt;/Author&gt;&lt;Year&gt;2019&lt;/Year&gt;&lt;RecNum&gt;523&lt;/RecNum&gt;&lt;DisplayText&gt;&lt;style face="superscript"&gt;525&lt;/style&gt;&lt;/DisplayText&gt;&lt;record&gt;&lt;rec-number&gt;523&lt;/rec-number&gt;&lt;foreign-keys&gt;&lt;key app="EN" db-id="2xex0erf4eexr4e2dpbxpdd829xttesxxxdr" timestamp="1715075297"&gt;523&lt;/key&gt;&lt;/foreign-keys&gt;&lt;ref-type name="Journal Article"&gt;17&lt;/ref-type&gt;&lt;contributors&gt;&lt;authors&gt;&lt;author&gt;Lamoureux, Philomena Schlexer&lt;/author&gt;&lt;author&gt;Singh, Aayush R.&lt;/author&gt;&lt;author&gt;Chan, Karen&lt;/author&gt;&lt;/authors&gt;&lt;/contributors&gt;&lt;titles&gt;&lt;title&gt;pH Effects on Hydrogen Evolution and Oxidation over Pt(111): Insights from First-Principles&lt;/title&gt;&lt;secondary-title&gt;ACS Catal.&lt;/secondary-title&gt;&lt;/titles&gt;&lt;periodical&gt;&lt;full-title&gt;ACS Catal.&lt;/full-title&gt;&lt;/periodical&gt;&lt;pages&gt;6194-6201&lt;/pages&gt;&lt;volume&gt;9&lt;/volume&gt;&lt;number&gt;7&lt;/number&gt;&lt;keywords&gt;&lt;keyword&gt;DFT&lt;/keyword&gt;&lt;keyword&gt;electrocatalysis&lt;/keyword&gt;&lt;keyword&gt;hydrogen evolution&lt;/keyword&gt;&lt;keyword&gt;hydrogen oxidation&lt;/keyword&gt;&lt;keyword&gt;kinetics&lt;/keyword&gt;&lt;keyword&gt;microkinetic modeling&lt;/keyword&gt;&lt;keyword&gt;water splitting&lt;/keyword&gt;&lt;/keywords&gt;&lt;dates&gt;&lt;year&gt;2019&lt;/year&gt;&lt;/dates&gt;&lt;urls&gt;&lt;related-urls&gt;&lt;url&gt;https://pubs.acs.org/doi/pdf/10.1021/acscatal.9b00268&lt;/url&gt;&lt;/related-urls&gt;&lt;pdf-urls&gt;&lt;url&gt;file://localhost/localhost/localhost/localhost/Users/piccinin/Literature/acscatal.9b00268.pdf&lt;/url&gt;&lt;/pdf-urls&gt;&lt;/urls&gt;&lt;electronic-resource-num&gt;10.1021/acscatal.9b00268&lt;/electronic-resource-num&gt;&lt;/record&gt;&lt;/Cite&gt;&lt;/EndNote&gt;</w:instrText>
      </w:r>
      <w:r>
        <w:rPr>
          <w:rFonts w:eastAsiaTheme="minorEastAsia"/>
        </w:rPr>
        <w:fldChar w:fldCharType="separate"/>
      </w:r>
      <w:r w:rsidR="00FC5BEB" w:rsidRPr="00FC5BEB">
        <w:rPr>
          <w:rFonts w:eastAsiaTheme="minorEastAsia"/>
          <w:noProof/>
          <w:vertAlign w:val="superscript"/>
        </w:rPr>
        <w:t>525</w:t>
      </w:r>
      <w:r>
        <w:rPr>
          <w:rFonts w:eastAsiaTheme="minorEastAsia"/>
        </w:rPr>
        <w:fldChar w:fldCharType="end"/>
      </w:r>
      <w:r>
        <w:rPr>
          <w:rFonts w:eastAsiaTheme="minorEastAsia"/>
        </w:rPr>
        <w:t>, argued against such</w:t>
      </w:r>
      <w:r w:rsidR="009B6227">
        <w:rPr>
          <w:rFonts w:eastAsiaTheme="minorEastAsia"/>
        </w:rPr>
        <w:t xml:space="preserve"> a</w:t>
      </w:r>
      <w:r>
        <w:rPr>
          <w:rFonts w:eastAsiaTheme="minorEastAsia"/>
        </w:rPr>
        <w:t xml:space="preserve"> hypothesis, which was formulated to explain the fastest rate of the HER on Pt in acidic media compared to alkaline media.</w:t>
      </w:r>
    </w:p>
    <w:p w14:paraId="357010A1" w14:textId="77777777" w:rsidR="006C1C9C" w:rsidRDefault="006C1C9C" w:rsidP="006C1C9C">
      <w:pPr>
        <w:rPr>
          <w:rFonts w:eastAsiaTheme="minorEastAsia"/>
        </w:rPr>
      </w:pPr>
    </w:p>
    <w:p w14:paraId="273AC0AA" w14:textId="3D8AE868" w:rsidR="006C1C9C" w:rsidRDefault="006C1C9C" w:rsidP="00EC6677">
      <w:pPr>
        <w:ind w:firstLine="720"/>
        <w:rPr>
          <w:rFonts w:eastAsiaTheme="minorEastAsia"/>
          <w:color w:val="000000" w:themeColor="text1"/>
        </w:rPr>
      </w:pPr>
      <w:proofErr w:type="spellStart"/>
      <w:r w:rsidRPr="00F47023">
        <w:rPr>
          <w:rFonts w:eastAsiaTheme="minorEastAsia"/>
        </w:rPr>
        <w:t>Fornaciari</w:t>
      </w:r>
      <w:proofErr w:type="spellEnd"/>
      <w:r w:rsidRPr="00F47023">
        <w:rPr>
          <w:rFonts w:eastAsiaTheme="minorEastAsia"/>
        </w:rPr>
        <w:t xml:space="preserve"> et al.</w:t>
      </w:r>
      <w:r>
        <w:rPr>
          <w:rFonts w:eastAsiaTheme="minorEastAsia"/>
          <w:lang w:val="fr-FR"/>
        </w:rPr>
        <w:fldChar w:fldCharType="begin"/>
      </w:r>
      <w:r w:rsidR="009F6662">
        <w:rPr>
          <w:rFonts w:eastAsiaTheme="minorEastAsia"/>
          <w:lang w:val="fr-FR"/>
        </w:rPr>
        <w:instrText xml:space="preserve"> ADDIN EN.CITE &lt;EndNote&gt;&lt;Cite&gt;&lt;Author&gt;Fornaciari&lt;/Author&gt;&lt;Year&gt;2022&lt;/Year&gt;&lt;RecNum&gt;67&lt;/RecNum&gt;&lt;DisplayText&gt;&lt;style face="superscript"&gt;67&lt;/style&gt;&lt;/DisplayText&gt;&lt;record&gt;&lt;rec-number&gt;67&lt;/rec-number&gt;&lt;foreign-keys&gt;&lt;key app="EN" db-id="2xex0erf4eexr4e2dpbxpdd829xttesxxxdr" timestamp="1715075296"&gt;67&lt;/key&gt;&lt;/foreign-keys&gt;&lt;ref-type name="Journal Article"&gt;17&lt;/ref-type&gt;&lt;contributors&gt;&lt;authors&gt;&lt;author&gt;Fornaciari, Julie C.&lt;/author&gt;&lt;author&gt;Weng, Lien-Chun&lt;/author&gt;&lt;author&gt;Alia, Shaun M.&lt;/author&gt;&lt;author&gt;Zhan, Cheng&lt;/author&gt;&lt;author&gt;Pham, Tuan Anh&lt;/author&gt;&lt;author&gt;Bell, Alexis T.&lt;/author&gt;&lt;author&gt;Ogitsu, Tadashi&lt;/author&gt;&lt;author&gt;Danilovic, Nemanja&lt;/author&gt;&lt;author&gt;Weber, Adam Z.&lt;/author&gt;&lt;/authors&gt;&lt;/contributors&gt;&lt;titles&gt;&lt;title&gt;Mechanistic understanding of pH effects on the oxygen evolution reaction&lt;/title&gt;&lt;secondary-title&gt;Electrochimica Acta&lt;/secondary-title&gt;&lt;/titles&gt;&lt;periodical&gt;&lt;full-title&gt;Electrochimica Acta&lt;/full-title&gt;&lt;abbr-1&gt;Electrochim. Acta&lt;/abbr-1&gt;&lt;abbr-2&gt;Electrochim Acta&lt;/abbr-2&gt;&lt;/periodical&gt;&lt;pages&gt;139810&lt;/pages&gt;&lt;volume&gt;405&lt;/volume&gt;&lt;keywords&gt;&lt;keyword&gt;Microkinetics&lt;/keyword&gt;&lt;keyword&gt;Electrochemistry&lt;/keyword&gt;&lt;keyword&gt;Oxygen evolution reaction&lt;/keyword&gt;&lt;/keywords&gt;&lt;dates&gt;&lt;year&gt;2022&lt;/year&gt;&lt;pub-dates&gt;&lt;date&gt;2022/02/10/&lt;/date&gt;&lt;/pub-dates&gt;&lt;/dates&gt;&lt;isbn&gt;0013-4686&lt;/isbn&gt;&lt;urls&gt;&lt;related-urls&gt;&lt;url&gt;https://www.sciencedirect.com/science/article/pii/S0013468621020934&lt;/url&gt;&lt;/related-urls&gt;&lt;/urls&gt;&lt;electronic-resource-num&gt;https://doi.org/10.1016/j.electacta.2021.139810&lt;/electronic-resource-num&gt;&lt;/record&gt;&lt;/Cite&gt;&lt;/EndNote&gt;</w:instrText>
      </w:r>
      <w:r>
        <w:rPr>
          <w:rFonts w:eastAsiaTheme="minorEastAsia"/>
          <w:lang w:val="fr-FR"/>
        </w:rPr>
        <w:fldChar w:fldCharType="separate"/>
      </w:r>
      <w:r w:rsidR="009F6662" w:rsidRPr="009F6662">
        <w:rPr>
          <w:rFonts w:eastAsiaTheme="minorEastAsia"/>
          <w:noProof/>
          <w:vertAlign w:val="superscript"/>
          <w:lang w:val="fr-FR"/>
        </w:rPr>
        <w:t>67</w:t>
      </w:r>
      <w:r>
        <w:rPr>
          <w:rFonts w:eastAsiaTheme="minorEastAsia"/>
          <w:lang w:val="fr-FR"/>
        </w:rPr>
        <w:fldChar w:fldCharType="end"/>
      </w:r>
      <w:r w:rsidRPr="00F47023">
        <w:rPr>
          <w:rFonts w:eastAsiaTheme="minorEastAsia"/>
          <w:color w:val="000000" w:themeColor="text1"/>
        </w:rPr>
        <w:t xml:space="preserve"> performed a combined experimental and theoretical study to understand the pH effects on the OER in IrO</w:t>
      </w:r>
      <w:r w:rsidRPr="00F47023">
        <w:rPr>
          <w:rFonts w:eastAsiaTheme="minorEastAsia"/>
          <w:color w:val="000000" w:themeColor="text1"/>
          <w:vertAlign w:val="subscript"/>
        </w:rPr>
        <w:t>2</w:t>
      </w:r>
      <w:r w:rsidRPr="00F47023">
        <w:rPr>
          <w:rFonts w:eastAsiaTheme="minorEastAsia"/>
          <w:color w:val="000000" w:themeColor="text1"/>
        </w:rPr>
        <w:t xml:space="preserve">(110). </w:t>
      </w:r>
      <w:r>
        <w:rPr>
          <w:rFonts w:eastAsiaTheme="minorEastAsia"/>
          <w:color w:val="000000" w:themeColor="text1"/>
        </w:rPr>
        <w:t xml:space="preserve">In their MK model, the authors considered the adsorbate evolution mechanism, comprising eight PCET steps, including both acidic and alkaline conditions: </w:t>
      </w:r>
    </w:p>
    <w:p w14:paraId="13FDFAE0" w14:textId="0960A269" w:rsidR="006C1C9C" w:rsidRPr="00727A30" w:rsidRDefault="006C1C9C" w:rsidP="005F3A2E">
      <w:pPr>
        <w:pStyle w:val="Caption"/>
        <w:spacing w:after="60"/>
        <w:jc w:val="right"/>
        <w:rPr>
          <w:rFonts w:eastAsiaTheme="minorEastAsia"/>
          <w:lang w:val="it-IT"/>
        </w:rPr>
      </w:pPr>
      <w:r w:rsidRPr="00727A30">
        <w:rPr>
          <w:rFonts w:eastAsiaTheme="minorEastAsia"/>
          <w:lang w:val="it-IT"/>
        </w:rPr>
        <w:t xml:space="preserve">R1: *OH </w:t>
      </w:r>
      <m:oMath>
        <m:r>
          <w:rPr>
            <w:rFonts w:ascii="Cambria Math" w:eastAsiaTheme="minorEastAsia" w:hAnsi="Cambria Math"/>
            <w:lang w:val="it-IT"/>
          </w:rPr>
          <m:t>⇌</m:t>
        </m:r>
      </m:oMath>
      <w:r w:rsidRPr="00727A30">
        <w:rPr>
          <w:rFonts w:eastAsiaTheme="minorEastAsia"/>
          <w:lang w:val="it-IT"/>
        </w:rPr>
        <w:t xml:space="preserve"> *O + H</w:t>
      </w:r>
      <w:r w:rsidRPr="00727A30">
        <w:rPr>
          <w:rFonts w:eastAsiaTheme="minorEastAsia"/>
          <w:vertAlign w:val="superscript"/>
          <w:lang w:val="it-IT"/>
        </w:rPr>
        <w:t>+</w:t>
      </w:r>
      <w:r w:rsidRPr="00727A30">
        <w:rPr>
          <w:rFonts w:eastAsiaTheme="minorEastAsia"/>
          <w:lang w:val="it-IT"/>
        </w:rPr>
        <w:t xml:space="preserve"> + </w:t>
      </w:r>
      <w:r w:rsidRPr="00FF4405">
        <w:rPr>
          <w:rFonts w:eastAsiaTheme="minorEastAsia"/>
          <w:lang w:val="it-IT"/>
        </w:rPr>
        <w:t>e</w:t>
      </w:r>
      <w:r w:rsidRPr="00FF4405">
        <w:rPr>
          <w:rFonts w:eastAsiaTheme="minorEastAsia"/>
          <w:vertAlign w:val="superscript"/>
          <w:lang w:val="it-IT"/>
        </w:rPr>
        <w:t>-</w:t>
      </w:r>
      <w:r w:rsidR="005F3A2E" w:rsidRPr="00727A30">
        <w:rPr>
          <w:rFonts w:eastAsiaTheme="minorEastAsia"/>
          <w:lang w:val="it-IT"/>
        </w:rPr>
        <w:tab/>
      </w:r>
      <w:r w:rsidR="005F3A2E" w:rsidRPr="00727A30">
        <w:rPr>
          <w:rFonts w:eastAsiaTheme="minorEastAsia"/>
          <w:lang w:val="it-IT"/>
        </w:rPr>
        <w:tab/>
      </w:r>
      <w:r w:rsidR="005F3A2E" w:rsidRPr="00727A30">
        <w:rPr>
          <w:rFonts w:eastAsiaTheme="minorEastAsia"/>
          <w:lang w:val="it-IT"/>
        </w:rPr>
        <w:tab/>
      </w:r>
      <w:r w:rsidR="005F3A2E" w:rsidRPr="00727A30">
        <w:rPr>
          <w:rFonts w:eastAsiaTheme="minorEastAsia"/>
          <w:lang w:val="it-IT"/>
        </w:rPr>
        <w:tab/>
      </w:r>
      <w:r w:rsidR="005F3A2E" w:rsidRPr="00727A30">
        <w:rPr>
          <w:rFonts w:eastAsiaTheme="minorEastAsia"/>
          <w:lang w:val="it-IT"/>
        </w:rPr>
        <w:tab/>
      </w:r>
      <w:r w:rsidR="005F3A2E" w:rsidRPr="00727A30">
        <w:rPr>
          <w:lang w:val="it-IT"/>
        </w:rPr>
        <w:t xml:space="preserve">Equation </w:t>
      </w:r>
      <w:r w:rsidR="005F3A2E">
        <w:fldChar w:fldCharType="begin"/>
      </w:r>
      <w:r w:rsidR="005F3A2E" w:rsidRPr="00727A30">
        <w:rPr>
          <w:lang w:val="it-IT"/>
        </w:rPr>
        <w:instrText xml:space="preserve"> SEQ Equation \* ARABIC </w:instrText>
      </w:r>
      <w:r w:rsidR="005F3A2E">
        <w:fldChar w:fldCharType="separate"/>
      </w:r>
      <w:r w:rsidR="00B7319C">
        <w:rPr>
          <w:noProof/>
          <w:lang w:val="it-IT"/>
        </w:rPr>
        <w:t>102</w:t>
      </w:r>
      <w:r w:rsidR="005F3A2E">
        <w:fldChar w:fldCharType="end"/>
      </w:r>
    </w:p>
    <w:p w14:paraId="118E10EF" w14:textId="646D1C71" w:rsidR="006C1C9C" w:rsidRPr="00727A30" w:rsidRDefault="006C1C9C" w:rsidP="005F3A2E">
      <w:pPr>
        <w:pStyle w:val="Caption"/>
        <w:spacing w:after="60"/>
        <w:jc w:val="right"/>
        <w:rPr>
          <w:rFonts w:eastAsiaTheme="minorEastAsia"/>
          <w:lang w:val="it-IT"/>
        </w:rPr>
      </w:pPr>
      <w:r w:rsidRPr="00727A30">
        <w:rPr>
          <w:rFonts w:eastAsiaTheme="minorEastAsia"/>
          <w:lang w:val="it-IT"/>
        </w:rPr>
        <w:t>R2: H</w:t>
      </w:r>
      <w:r w:rsidRPr="00727A30">
        <w:rPr>
          <w:rFonts w:eastAsiaTheme="minorEastAsia"/>
          <w:vertAlign w:val="subscript"/>
          <w:lang w:val="it-IT"/>
        </w:rPr>
        <w:t>2</w:t>
      </w:r>
      <w:r w:rsidRPr="00727A30">
        <w:rPr>
          <w:rFonts w:eastAsiaTheme="minorEastAsia"/>
          <w:lang w:val="it-IT"/>
        </w:rPr>
        <w:t xml:space="preserve">O + *O </w:t>
      </w:r>
      <m:oMath>
        <m:r>
          <w:rPr>
            <w:rFonts w:ascii="Cambria Math" w:eastAsiaTheme="minorEastAsia" w:hAnsi="Cambria Math"/>
            <w:lang w:val="it-IT"/>
          </w:rPr>
          <m:t>⇌</m:t>
        </m:r>
      </m:oMath>
      <w:r w:rsidRPr="00727A30">
        <w:rPr>
          <w:rFonts w:eastAsiaTheme="minorEastAsia"/>
          <w:lang w:val="it-IT"/>
        </w:rPr>
        <w:t xml:space="preserve"> *OOH + H</w:t>
      </w:r>
      <w:r w:rsidRPr="00727A30">
        <w:rPr>
          <w:rFonts w:eastAsiaTheme="minorEastAsia"/>
          <w:vertAlign w:val="superscript"/>
          <w:lang w:val="it-IT"/>
        </w:rPr>
        <w:t>+</w:t>
      </w:r>
      <w:r w:rsidRPr="00727A30">
        <w:rPr>
          <w:rFonts w:eastAsiaTheme="minorEastAsia"/>
          <w:lang w:val="it-IT"/>
        </w:rPr>
        <w:t xml:space="preserve"> + </w:t>
      </w:r>
      <w:r w:rsidRPr="00FF4405">
        <w:rPr>
          <w:rFonts w:eastAsiaTheme="minorEastAsia"/>
          <w:lang w:val="it-IT"/>
        </w:rPr>
        <w:t>e</w:t>
      </w:r>
      <w:r w:rsidRPr="00FF4405">
        <w:rPr>
          <w:rFonts w:eastAsiaTheme="minorEastAsia"/>
          <w:vertAlign w:val="superscript"/>
          <w:lang w:val="it-IT"/>
        </w:rPr>
        <w:t>-</w:t>
      </w:r>
      <w:r w:rsidR="005F3A2E" w:rsidRPr="00727A30">
        <w:rPr>
          <w:rFonts w:eastAsiaTheme="minorEastAsia"/>
          <w:lang w:val="it-IT"/>
        </w:rPr>
        <w:tab/>
      </w:r>
      <w:r w:rsidR="005F3A2E" w:rsidRPr="00727A30">
        <w:rPr>
          <w:rFonts w:eastAsiaTheme="minorEastAsia"/>
          <w:lang w:val="it-IT"/>
        </w:rPr>
        <w:tab/>
      </w:r>
      <w:r w:rsidR="005F3A2E" w:rsidRPr="00727A30">
        <w:rPr>
          <w:rFonts w:eastAsiaTheme="minorEastAsia"/>
          <w:lang w:val="it-IT"/>
        </w:rPr>
        <w:tab/>
      </w:r>
      <w:r w:rsidR="005F3A2E" w:rsidRPr="00727A30">
        <w:rPr>
          <w:rFonts w:eastAsiaTheme="minorEastAsia"/>
          <w:lang w:val="it-IT"/>
        </w:rPr>
        <w:tab/>
      </w:r>
      <w:r w:rsidR="005F3A2E" w:rsidRPr="00727A30">
        <w:rPr>
          <w:lang w:val="it-IT"/>
        </w:rPr>
        <w:t xml:space="preserve">Equation </w:t>
      </w:r>
      <w:r w:rsidR="005F3A2E">
        <w:fldChar w:fldCharType="begin"/>
      </w:r>
      <w:r w:rsidR="005F3A2E" w:rsidRPr="00727A30">
        <w:rPr>
          <w:lang w:val="it-IT"/>
        </w:rPr>
        <w:instrText xml:space="preserve"> SEQ Equation \* ARABIC </w:instrText>
      </w:r>
      <w:r w:rsidR="005F3A2E">
        <w:fldChar w:fldCharType="separate"/>
      </w:r>
      <w:r w:rsidR="00B7319C">
        <w:rPr>
          <w:noProof/>
          <w:lang w:val="it-IT"/>
        </w:rPr>
        <w:t>103</w:t>
      </w:r>
      <w:r w:rsidR="005F3A2E">
        <w:fldChar w:fldCharType="end"/>
      </w:r>
    </w:p>
    <w:p w14:paraId="122C6516" w14:textId="2625B112" w:rsidR="006C1C9C" w:rsidRPr="00727A30" w:rsidRDefault="006C1C9C" w:rsidP="005F3A2E">
      <w:pPr>
        <w:pStyle w:val="Caption"/>
        <w:spacing w:after="60"/>
        <w:jc w:val="right"/>
        <w:rPr>
          <w:rFonts w:eastAsiaTheme="minorEastAsia"/>
          <w:lang w:val="it-IT"/>
        </w:rPr>
      </w:pPr>
      <w:r w:rsidRPr="00727A30">
        <w:rPr>
          <w:rFonts w:eastAsiaTheme="minorEastAsia"/>
          <w:lang w:val="it-IT"/>
        </w:rPr>
        <w:t xml:space="preserve">R3: *OOH </w:t>
      </w:r>
      <m:oMath>
        <m:r>
          <w:rPr>
            <w:rFonts w:ascii="Cambria Math" w:eastAsiaTheme="minorEastAsia" w:hAnsi="Cambria Math"/>
            <w:lang w:val="it-IT"/>
          </w:rPr>
          <m:t>⇌</m:t>
        </m:r>
      </m:oMath>
      <w:r w:rsidRPr="00727A30">
        <w:rPr>
          <w:rFonts w:eastAsiaTheme="minorEastAsia"/>
          <w:lang w:val="it-IT"/>
        </w:rPr>
        <w:t xml:space="preserve"> * + O</w:t>
      </w:r>
      <w:r w:rsidRPr="00727A30">
        <w:rPr>
          <w:rFonts w:eastAsiaTheme="minorEastAsia"/>
          <w:vertAlign w:val="subscript"/>
          <w:lang w:val="it-IT"/>
        </w:rPr>
        <w:t>2</w:t>
      </w:r>
      <w:r w:rsidRPr="00727A30">
        <w:rPr>
          <w:rFonts w:eastAsiaTheme="minorEastAsia"/>
          <w:lang w:val="it-IT"/>
        </w:rPr>
        <w:t xml:space="preserve"> + H</w:t>
      </w:r>
      <w:r w:rsidRPr="00727A30">
        <w:rPr>
          <w:rFonts w:eastAsiaTheme="minorEastAsia"/>
          <w:vertAlign w:val="superscript"/>
          <w:lang w:val="it-IT"/>
        </w:rPr>
        <w:t>+</w:t>
      </w:r>
      <w:r w:rsidRPr="00727A30">
        <w:rPr>
          <w:rFonts w:eastAsiaTheme="minorEastAsia"/>
          <w:lang w:val="it-IT"/>
        </w:rPr>
        <w:t xml:space="preserve"> + </w:t>
      </w:r>
      <w:r w:rsidRPr="00FF4405">
        <w:rPr>
          <w:rFonts w:eastAsiaTheme="minorEastAsia"/>
          <w:lang w:val="it-IT"/>
        </w:rPr>
        <w:t>e</w:t>
      </w:r>
      <w:r w:rsidRPr="00FF4405">
        <w:rPr>
          <w:rFonts w:eastAsiaTheme="minorEastAsia"/>
          <w:vertAlign w:val="superscript"/>
          <w:lang w:val="it-IT"/>
        </w:rPr>
        <w:t>-</w:t>
      </w:r>
      <w:r w:rsidR="005F3A2E" w:rsidRPr="00727A30">
        <w:rPr>
          <w:rFonts w:eastAsiaTheme="minorEastAsia"/>
          <w:lang w:val="it-IT"/>
        </w:rPr>
        <w:tab/>
      </w:r>
      <w:r w:rsidR="005F3A2E" w:rsidRPr="00727A30">
        <w:rPr>
          <w:rFonts w:eastAsiaTheme="minorEastAsia"/>
          <w:lang w:val="it-IT"/>
        </w:rPr>
        <w:tab/>
      </w:r>
      <w:r w:rsidR="005F3A2E" w:rsidRPr="00727A30">
        <w:rPr>
          <w:rFonts w:eastAsiaTheme="minorEastAsia"/>
          <w:lang w:val="it-IT"/>
        </w:rPr>
        <w:tab/>
      </w:r>
      <w:r w:rsidR="005F3A2E" w:rsidRPr="00727A30">
        <w:rPr>
          <w:rFonts w:eastAsiaTheme="minorEastAsia"/>
          <w:lang w:val="it-IT"/>
        </w:rPr>
        <w:tab/>
      </w:r>
      <w:r w:rsidR="005F3A2E" w:rsidRPr="00727A30">
        <w:rPr>
          <w:lang w:val="it-IT"/>
        </w:rPr>
        <w:t xml:space="preserve">Equation </w:t>
      </w:r>
      <w:r w:rsidR="005F3A2E">
        <w:fldChar w:fldCharType="begin"/>
      </w:r>
      <w:r w:rsidR="005F3A2E" w:rsidRPr="00727A30">
        <w:rPr>
          <w:lang w:val="it-IT"/>
        </w:rPr>
        <w:instrText xml:space="preserve"> SEQ Equation \* ARABIC </w:instrText>
      </w:r>
      <w:r w:rsidR="005F3A2E">
        <w:fldChar w:fldCharType="separate"/>
      </w:r>
      <w:r w:rsidR="00B7319C">
        <w:rPr>
          <w:noProof/>
          <w:lang w:val="it-IT"/>
        </w:rPr>
        <w:t>104</w:t>
      </w:r>
      <w:r w:rsidR="005F3A2E">
        <w:fldChar w:fldCharType="end"/>
      </w:r>
    </w:p>
    <w:p w14:paraId="4C2EC2AD" w14:textId="4636950A" w:rsidR="006C1C9C" w:rsidRPr="00727A30" w:rsidRDefault="006C1C9C" w:rsidP="005F3A2E">
      <w:pPr>
        <w:pStyle w:val="Caption"/>
        <w:spacing w:after="60"/>
        <w:jc w:val="right"/>
        <w:rPr>
          <w:rFonts w:eastAsiaTheme="minorEastAsia"/>
          <w:lang w:val="it-IT"/>
        </w:rPr>
      </w:pPr>
      <w:r w:rsidRPr="00727A30">
        <w:rPr>
          <w:rFonts w:eastAsiaTheme="minorEastAsia"/>
          <w:lang w:val="it-IT"/>
        </w:rPr>
        <w:t>R4: * + H</w:t>
      </w:r>
      <w:r w:rsidRPr="00727A30">
        <w:rPr>
          <w:rFonts w:eastAsiaTheme="minorEastAsia"/>
          <w:vertAlign w:val="subscript"/>
          <w:lang w:val="it-IT"/>
        </w:rPr>
        <w:t>2</w:t>
      </w:r>
      <w:r w:rsidRPr="00727A30">
        <w:rPr>
          <w:rFonts w:eastAsiaTheme="minorEastAsia"/>
          <w:lang w:val="it-IT"/>
        </w:rPr>
        <w:t xml:space="preserve">O </w:t>
      </w:r>
      <m:oMath>
        <m:r>
          <w:rPr>
            <w:rFonts w:ascii="Cambria Math" w:eastAsiaTheme="minorEastAsia" w:hAnsi="Cambria Math"/>
            <w:lang w:val="it-IT"/>
          </w:rPr>
          <m:t>⇌</m:t>
        </m:r>
      </m:oMath>
      <w:r w:rsidRPr="00727A30">
        <w:rPr>
          <w:rFonts w:eastAsiaTheme="minorEastAsia"/>
          <w:lang w:val="it-IT"/>
        </w:rPr>
        <w:t xml:space="preserve"> *OH + H</w:t>
      </w:r>
      <w:r w:rsidRPr="00727A30">
        <w:rPr>
          <w:rFonts w:eastAsiaTheme="minorEastAsia"/>
          <w:vertAlign w:val="superscript"/>
          <w:lang w:val="it-IT"/>
        </w:rPr>
        <w:t>+</w:t>
      </w:r>
      <w:r w:rsidRPr="00727A30">
        <w:rPr>
          <w:rFonts w:eastAsiaTheme="minorEastAsia"/>
          <w:lang w:val="it-IT"/>
        </w:rPr>
        <w:t xml:space="preserve"> + </w:t>
      </w:r>
      <w:r w:rsidRPr="00FF4405">
        <w:rPr>
          <w:rFonts w:eastAsiaTheme="minorEastAsia"/>
          <w:lang w:val="it-IT"/>
        </w:rPr>
        <w:t>e</w:t>
      </w:r>
      <w:r w:rsidRPr="00FF4405">
        <w:rPr>
          <w:rFonts w:eastAsiaTheme="minorEastAsia"/>
          <w:vertAlign w:val="superscript"/>
          <w:lang w:val="it-IT"/>
        </w:rPr>
        <w:t>-</w:t>
      </w:r>
      <w:r w:rsidR="005F3A2E" w:rsidRPr="00727A30">
        <w:rPr>
          <w:rFonts w:eastAsiaTheme="minorEastAsia"/>
          <w:lang w:val="it-IT"/>
        </w:rPr>
        <w:tab/>
      </w:r>
      <w:r w:rsidR="005F3A2E" w:rsidRPr="00727A30">
        <w:rPr>
          <w:rFonts w:eastAsiaTheme="minorEastAsia"/>
          <w:lang w:val="it-IT"/>
        </w:rPr>
        <w:tab/>
      </w:r>
      <w:r w:rsidR="005F3A2E" w:rsidRPr="00727A30">
        <w:rPr>
          <w:rFonts w:eastAsiaTheme="minorEastAsia"/>
          <w:lang w:val="it-IT"/>
        </w:rPr>
        <w:tab/>
      </w:r>
      <w:r w:rsidR="005F3A2E" w:rsidRPr="00727A30">
        <w:rPr>
          <w:rFonts w:eastAsiaTheme="minorEastAsia"/>
          <w:lang w:val="it-IT"/>
        </w:rPr>
        <w:tab/>
      </w:r>
      <w:r w:rsidR="005F3A2E" w:rsidRPr="00727A30">
        <w:rPr>
          <w:lang w:val="it-IT"/>
        </w:rPr>
        <w:t xml:space="preserve">Equation </w:t>
      </w:r>
      <w:r w:rsidR="005F3A2E">
        <w:fldChar w:fldCharType="begin"/>
      </w:r>
      <w:r w:rsidR="005F3A2E" w:rsidRPr="00727A30">
        <w:rPr>
          <w:lang w:val="it-IT"/>
        </w:rPr>
        <w:instrText xml:space="preserve"> SEQ Equation \* ARABIC </w:instrText>
      </w:r>
      <w:r w:rsidR="005F3A2E">
        <w:fldChar w:fldCharType="separate"/>
      </w:r>
      <w:r w:rsidR="00B7319C">
        <w:rPr>
          <w:noProof/>
          <w:lang w:val="it-IT"/>
        </w:rPr>
        <w:t>105</w:t>
      </w:r>
      <w:r w:rsidR="005F3A2E">
        <w:fldChar w:fldCharType="end"/>
      </w:r>
    </w:p>
    <w:p w14:paraId="38EF3DD7" w14:textId="6AB0E8BC" w:rsidR="006C1C9C" w:rsidRPr="00727A30" w:rsidRDefault="006C1C9C" w:rsidP="005F3A2E">
      <w:pPr>
        <w:pStyle w:val="Caption"/>
        <w:spacing w:after="60"/>
        <w:jc w:val="right"/>
        <w:rPr>
          <w:rFonts w:eastAsiaTheme="minorEastAsia"/>
          <w:lang w:val="it-IT"/>
        </w:rPr>
      </w:pPr>
      <w:r w:rsidRPr="00727A30">
        <w:rPr>
          <w:rFonts w:eastAsiaTheme="minorEastAsia"/>
          <w:lang w:val="it-IT"/>
        </w:rPr>
        <w:t>R5: *OH + OH</w:t>
      </w:r>
      <w:r w:rsidRPr="00727A30">
        <w:rPr>
          <w:rFonts w:eastAsiaTheme="minorEastAsia"/>
          <w:vertAlign w:val="superscript"/>
          <w:lang w:val="it-IT"/>
        </w:rPr>
        <w:t>-</w:t>
      </w:r>
      <w:r w:rsidRPr="00727A30">
        <w:rPr>
          <w:rFonts w:eastAsiaTheme="minorEastAsia"/>
          <w:lang w:val="it-IT"/>
        </w:rPr>
        <w:t xml:space="preserve">  </w:t>
      </w:r>
      <m:oMath>
        <m:r>
          <w:rPr>
            <w:rFonts w:ascii="Cambria Math" w:eastAsiaTheme="minorEastAsia" w:hAnsi="Cambria Math"/>
            <w:lang w:val="it-IT"/>
          </w:rPr>
          <m:t>⇌</m:t>
        </m:r>
      </m:oMath>
      <w:r w:rsidRPr="00727A30">
        <w:rPr>
          <w:rFonts w:eastAsiaTheme="minorEastAsia"/>
          <w:lang w:val="it-IT"/>
        </w:rPr>
        <w:t xml:space="preserve">  *O + H</w:t>
      </w:r>
      <w:r w:rsidRPr="00727A30">
        <w:rPr>
          <w:rFonts w:eastAsiaTheme="minorEastAsia"/>
          <w:vertAlign w:val="subscript"/>
          <w:lang w:val="it-IT"/>
        </w:rPr>
        <w:t>2</w:t>
      </w:r>
      <w:r w:rsidRPr="00727A30">
        <w:rPr>
          <w:rFonts w:eastAsiaTheme="minorEastAsia"/>
          <w:lang w:val="it-IT"/>
        </w:rPr>
        <w:t xml:space="preserve">O + </w:t>
      </w:r>
      <w:r w:rsidRPr="00FF4405">
        <w:rPr>
          <w:rFonts w:eastAsiaTheme="minorEastAsia"/>
          <w:lang w:val="it-IT"/>
        </w:rPr>
        <w:t>e</w:t>
      </w:r>
      <w:r w:rsidRPr="00FF4405">
        <w:rPr>
          <w:rFonts w:eastAsiaTheme="minorEastAsia"/>
          <w:vertAlign w:val="superscript"/>
          <w:lang w:val="it-IT"/>
        </w:rPr>
        <w:t>-</w:t>
      </w:r>
      <w:r w:rsidR="005F3A2E" w:rsidRPr="00727A30">
        <w:rPr>
          <w:rFonts w:eastAsiaTheme="minorEastAsia"/>
          <w:lang w:val="it-IT"/>
        </w:rPr>
        <w:tab/>
      </w:r>
      <w:r w:rsidR="005F3A2E" w:rsidRPr="00727A30">
        <w:rPr>
          <w:rFonts w:eastAsiaTheme="minorEastAsia"/>
          <w:lang w:val="it-IT"/>
        </w:rPr>
        <w:tab/>
      </w:r>
      <w:r w:rsidR="005F3A2E" w:rsidRPr="00727A30">
        <w:rPr>
          <w:rFonts w:eastAsiaTheme="minorEastAsia"/>
          <w:lang w:val="it-IT"/>
        </w:rPr>
        <w:tab/>
      </w:r>
      <w:r w:rsidR="005F3A2E" w:rsidRPr="00727A30">
        <w:rPr>
          <w:rFonts w:eastAsiaTheme="minorEastAsia"/>
          <w:lang w:val="it-IT"/>
        </w:rPr>
        <w:tab/>
      </w:r>
      <w:r w:rsidR="005F3A2E" w:rsidRPr="00727A30">
        <w:rPr>
          <w:lang w:val="it-IT"/>
        </w:rPr>
        <w:t xml:space="preserve">Equation </w:t>
      </w:r>
      <w:r w:rsidR="005F3A2E">
        <w:fldChar w:fldCharType="begin"/>
      </w:r>
      <w:r w:rsidR="005F3A2E" w:rsidRPr="00727A30">
        <w:rPr>
          <w:lang w:val="it-IT"/>
        </w:rPr>
        <w:instrText xml:space="preserve"> SEQ Equation \* ARABIC </w:instrText>
      </w:r>
      <w:r w:rsidR="005F3A2E">
        <w:fldChar w:fldCharType="separate"/>
      </w:r>
      <w:r w:rsidR="00B7319C">
        <w:rPr>
          <w:noProof/>
          <w:lang w:val="it-IT"/>
        </w:rPr>
        <w:t>106</w:t>
      </w:r>
      <w:r w:rsidR="005F3A2E">
        <w:fldChar w:fldCharType="end"/>
      </w:r>
    </w:p>
    <w:p w14:paraId="4D243686" w14:textId="78D78A2C" w:rsidR="006C1C9C" w:rsidRPr="00727A30" w:rsidRDefault="006C1C9C" w:rsidP="005F3A2E">
      <w:pPr>
        <w:pStyle w:val="Caption"/>
        <w:spacing w:after="60"/>
        <w:jc w:val="right"/>
        <w:rPr>
          <w:rFonts w:eastAsiaTheme="minorEastAsia"/>
          <w:lang w:val="it-IT"/>
        </w:rPr>
      </w:pPr>
      <w:r w:rsidRPr="00727A30">
        <w:rPr>
          <w:rFonts w:eastAsiaTheme="minorEastAsia"/>
          <w:lang w:val="it-IT"/>
        </w:rPr>
        <w:lastRenderedPageBreak/>
        <w:t>R6: *O + OH</w:t>
      </w:r>
      <w:r w:rsidRPr="00727A30">
        <w:rPr>
          <w:rFonts w:eastAsiaTheme="minorEastAsia"/>
          <w:vertAlign w:val="superscript"/>
          <w:lang w:val="it-IT"/>
        </w:rPr>
        <w:t>-</w:t>
      </w:r>
      <w:r w:rsidRPr="00727A30">
        <w:rPr>
          <w:rFonts w:eastAsiaTheme="minorEastAsia"/>
          <w:lang w:val="it-IT"/>
        </w:rPr>
        <w:t xml:space="preserve">  </w:t>
      </w:r>
      <m:oMath>
        <m:r>
          <w:rPr>
            <w:rFonts w:ascii="Cambria Math" w:eastAsiaTheme="minorEastAsia" w:hAnsi="Cambria Math"/>
            <w:lang w:val="it-IT"/>
          </w:rPr>
          <m:t>⇌</m:t>
        </m:r>
      </m:oMath>
      <w:r w:rsidRPr="00727A30">
        <w:rPr>
          <w:rFonts w:eastAsiaTheme="minorEastAsia"/>
          <w:lang w:val="it-IT"/>
        </w:rPr>
        <w:t xml:space="preserve">  *OOH + </w:t>
      </w:r>
      <w:r w:rsidRPr="00FF4405">
        <w:rPr>
          <w:rFonts w:eastAsiaTheme="minorEastAsia"/>
          <w:lang w:val="it-IT"/>
        </w:rPr>
        <w:t>e</w:t>
      </w:r>
      <w:r w:rsidRPr="00FF4405">
        <w:rPr>
          <w:rFonts w:eastAsiaTheme="minorEastAsia"/>
          <w:vertAlign w:val="superscript"/>
          <w:lang w:val="it-IT"/>
        </w:rPr>
        <w:t>-</w:t>
      </w:r>
      <w:r w:rsidR="005F3A2E" w:rsidRPr="00727A30">
        <w:rPr>
          <w:rFonts w:eastAsiaTheme="minorEastAsia"/>
          <w:lang w:val="it-IT"/>
        </w:rPr>
        <w:tab/>
      </w:r>
      <w:r w:rsidR="005F3A2E" w:rsidRPr="00727A30">
        <w:rPr>
          <w:rFonts w:eastAsiaTheme="minorEastAsia"/>
          <w:lang w:val="it-IT"/>
        </w:rPr>
        <w:tab/>
      </w:r>
      <w:r w:rsidR="005F3A2E" w:rsidRPr="00727A30">
        <w:rPr>
          <w:rFonts w:eastAsiaTheme="minorEastAsia"/>
          <w:lang w:val="it-IT"/>
        </w:rPr>
        <w:tab/>
      </w:r>
      <w:r w:rsidR="005F3A2E" w:rsidRPr="00727A30">
        <w:rPr>
          <w:rFonts w:eastAsiaTheme="minorEastAsia"/>
          <w:lang w:val="it-IT"/>
        </w:rPr>
        <w:tab/>
      </w:r>
      <w:r w:rsidR="005F3A2E" w:rsidRPr="00727A30">
        <w:rPr>
          <w:lang w:val="it-IT"/>
        </w:rPr>
        <w:t xml:space="preserve">Equation </w:t>
      </w:r>
      <w:r w:rsidR="005F3A2E">
        <w:fldChar w:fldCharType="begin"/>
      </w:r>
      <w:r w:rsidR="005F3A2E" w:rsidRPr="00727A30">
        <w:rPr>
          <w:lang w:val="it-IT"/>
        </w:rPr>
        <w:instrText xml:space="preserve"> SEQ Equation \* ARABIC </w:instrText>
      </w:r>
      <w:r w:rsidR="005F3A2E">
        <w:fldChar w:fldCharType="separate"/>
      </w:r>
      <w:r w:rsidR="00B7319C">
        <w:rPr>
          <w:noProof/>
          <w:lang w:val="it-IT"/>
        </w:rPr>
        <w:t>107</w:t>
      </w:r>
      <w:r w:rsidR="005F3A2E">
        <w:fldChar w:fldCharType="end"/>
      </w:r>
    </w:p>
    <w:p w14:paraId="014C8F38" w14:textId="631DD0BD" w:rsidR="006C1C9C" w:rsidRPr="00727A30" w:rsidRDefault="006C1C9C" w:rsidP="005F3A2E">
      <w:pPr>
        <w:pStyle w:val="Caption"/>
        <w:spacing w:after="60"/>
        <w:jc w:val="right"/>
        <w:rPr>
          <w:rFonts w:eastAsiaTheme="minorEastAsia"/>
          <w:lang w:val="it-IT"/>
        </w:rPr>
      </w:pPr>
      <w:r w:rsidRPr="00727A30">
        <w:rPr>
          <w:rFonts w:eastAsiaTheme="minorEastAsia"/>
          <w:lang w:val="it-IT"/>
        </w:rPr>
        <w:t>R7: *OOH + OH</w:t>
      </w:r>
      <w:r w:rsidRPr="00727A30">
        <w:rPr>
          <w:rFonts w:eastAsiaTheme="minorEastAsia"/>
          <w:vertAlign w:val="superscript"/>
          <w:lang w:val="it-IT"/>
        </w:rPr>
        <w:t>-</w:t>
      </w:r>
      <w:r w:rsidRPr="00727A30">
        <w:rPr>
          <w:rFonts w:eastAsiaTheme="minorEastAsia"/>
          <w:lang w:val="it-IT"/>
        </w:rPr>
        <w:t xml:space="preserve"> </w:t>
      </w:r>
      <m:oMath>
        <m:r>
          <w:rPr>
            <w:rFonts w:ascii="Cambria Math" w:eastAsiaTheme="minorEastAsia" w:hAnsi="Cambria Math"/>
            <w:lang w:val="it-IT"/>
          </w:rPr>
          <m:t>⇌</m:t>
        </m:r>
      </m:oMath>
      <w:r w:rsidRPr="00727A30">
        <w:rPr>
          <w:rFonts w:eastAsiaTheme="minorEastAsia"/>
          <w:lang w:val="it-IT"/>
        </w:rPr>
        <w:t xml:space="preserve"> * + O</w:t>
      </w:r>
      <w:r w:rsidRPr="00727A30">
        <w:rPr>
          <w:rFonts w:eastAsiaTheme="minorEastAsia"/>
          <w:vertAlign w:val="subscript"/>
          <w:lang w:val="it-IT"/>
        </w:rPr>
        <w:t>2</w:t>
      </w:r>
      <w:r w:rsidRPr="00727A30">
        <w:rPr>
          <w:rFonts w:eastAsiaTheme="minorEastAsia"/>
          <w:lang w:val="it-IT"/>
        </w:rPr>
        <w:t xml:space="preserve"> + H</w:t>
      </w:r>
      <w:r w:rsidRPr="00727A30">
        <w:rPr>
          <w:rFonts w:eastAsiaTheme="minorEastAsia"/>
          <w:vertAlign w:val="subscript"/>
          <w:lang w:val="it-IT"/>
        </w:rPr>
        <w:t>2</w:t>
      </w:r>
      <w:r w:rsidRPr="00727A30">
        <w:rPr>
          <w:rFonts w:eastAsiaTheme="minorEastAsia"/>
          <w:lang w:val="it-IT"/>
        </w:rPr>
        <w:t xml:space="preserve">O + </w:t>
      </w:r>
      <w:r w:rsidRPr="00FF4405">
        <w:rPr>
          <w:rFonts w:eastAsiaTheme="minorEastAsia"/>
          <w:lang w:val="it-IT"/>
        </w:rPr>
        <w:t>e</w:t>
      </w:r>
      <w:r w:rsidRPr="00FF4405">
        <w:rPr>
          <w:rFonts w:eastAsiaTheme="minorEastAsia"/>
          <w:vertAlign w:val="superscript"/>
          <w:lang w:val="it-IT"/>
        </w:rPr>
        <w:t>-</w:t>
      </w:r>
      <w:r w:rsidR="005F3A2E" w:rsidRPr="00727A30">
        <w:rPr>
          <w:rFonts w:eastAsiaTheme="minorEastAsia"/>
          <w:lang w:val="it-IT"/>
        </w:rPr>
        <w:tab/>
      </w:r>
      <w:r w:rsidR="005F3A2E" w:rsidRPr="00727A30">
        <w:rPr>
          <w:rFonts w:eastAsiaTheme="minorEastAsia"/>
          <w:lang w:val="it-IT"/>
        </w:rPr>
        <w:tab/>
      </w:r>
      <w:r w:rsidR="005F3A2E" w:rsidRPr="00727A30">
        <w:rPr>
          <w:rFonts w:eastAsiaTheme="minorEastAsia"/>
          <w:lang w:val="it-IT"/>
        </w:rPr>
        <w:tab/>
      </w:r>
      <w:r w:rsidR="005F3A2E" w:rsidRPr="00727A30">
        <w:rPr>
          <w:lang w:val="it-IT"/>
        </w:rPr>
        <w:t xml:space="preserve">Equation </w:t>
      </w:r>
      <w:r w:rsidR="005F3A2E">
        <w:fldChar w:fldCharType="begin"/>
      </w:r>
      <w:r w:rsidR="005F3A2E" w:rsidRPr="00727A30">
        <w:rPr>
          <w:lang w:val="it-IT"/>
        </w:rPr>
        <w:instrText xml:space="preserve"> SEQ Equation \* ARABIC </w:instrText>
      </w:r>
      <w:r w:rsidR="005F3A2E">
        <w:fldChar w:fldCharType="separate"/>
      </w:r>
      <w:r w:rsidR="00B7319C">
        <w:rPr>
          <w:noProof/>
          <w:lang w:val="it-IT"/>
        </w:rPr>
        <w:t>108</w:t>
      </w:r>
      <w:r w:rsidR="005F3A2E">
        <w:fldChar w:fldCharType="end"/>
      </w:r>
    </w:p>
    <w:p w14:paraId="711F1754" w14:textId="67A52DE8" w:rsidR="006C1C9C" w:rsidRPr="005F3A2E" w:rsidRDefault="006C1C9C" w:rsidP="005F3A2E">
      <w:pPr>
        <w:pStyle w:val="Caption"/>
        <w:spacing w:after="60"/>
        <w:jc w:val="right"/>
        <w:rPr>
          <w:rFonts w:eastAsiaTheme="minorEastAsia"/>
        </w:rPr>
      </w:pPr>
      <w:r>
        <w:rPr>
          <w:rFonts w:eastAsiaTheme="minorEastAsia"/>
        </w:rPr>
        <w:t>R8: * + OH</w:t>
      </w:r>
      <w:r w:rsidRPr="00D24B6E">
        <w:rPr>
          <w:rFonts w:eastAsiaTheme="minorEastAsia"/>
          <w:vertAlign w:val="superscript"/>
        </w:rPr>
        <w:t>-</w:t>
      </w:r>
      <w:r>
        <w:rPr>
          <w:rFonts w:eastAsiaTheme="minorEastAsia"/>
        </w:rPr>
        <w:t xml:space="preserve"> </w:t>
      </w:r>
      <m:oMath>
        <m:r>
          <w:rPr>
            <w:rFonts w:ascii="Cambria Math" w:eastAsiaTheme="minorEastAsia" w:hAnsi="Cambria Math"/>
          </w:rPr>
          <m:t>⇌</m:t>
        </m:r>
      </m:oMath>
      <w:r>
        <w:rPr>
          <w:rFonts w:eastAsiaTheme="minorEastAsia"/>
        </w:rPr>
        <w:t xml:space="preserve"> *OH + e</w:t>
      </w:r>
      <w:r w:rsidRPr="00D24B6E">
        <w:rPr>
          <w:rFonts w:eastAsiaTheme="minorEastAsia"/>
          <w:vertAlign w:val="superscript"/>
        </w:rPr>
        <w:t>-</w:t>
      </w:r>
      <w:r w:rsidR="005F3A2E">
        <w:rPr>
          <w:rFonts w:eastAsiaTheme="minorEastAsia"/>
        </w:rPr>
        <w:tab/>
      </w:r>
      <w:r w:rsidR="005F3A2E">
        <w:rPr>
          <w:rFonts w:eastAsiaTheme="minorEastAsia"/>
        </w:rPr>
        <w:tab/>
      </w:r>
      <w:r w:rsidR="005F3A2E">
        <w:rPr>
          <w:rFonts w:eastAsiaTheme="minorEastAsia"/>
        </w:rPr>
        <w:tab/>
      </w:r>
      <w:r w:rsidR="005F3A2E">
        <w:rPr>
          <w:rFonts w:eastAsiaTheme="minorEastAsia"/>
        </w:rPr>
        <w:tab/>
      </w:r>
      <w:r w:rsidR="005F3A2E">
        <w:rPr>
          <w:rFonts w:eastAsiaTheme="minorEastAsia"/>
        </w:rPr>
        <w:tab/>
      </w:r>
      <w:r w:rsidR="005F3A2E">
        <w:t xml:space="preserve">Equation </w:t>
      </w:r>
      <w:r w:rsidR="005F3A2E">
        <w:fldChar w:fldCharType="begin"/>
      </w:r>
      <w:r w:rsidR="005F3A2E">
        <w:instrText xml:space="preserve"> SEQ Equation \* ARABIC </w:instrText>
      </w:r>
      <w:r w:rsidR="005F3A2E">
        <w:fldChar w:fldCharType="separate"/>
      </w:r>
      <w:r w:rsidR="00B7319C">
        <w:rPr>
          <w:noProof/>
        </w:rPr>
        <w:t>109</w:t>
      </w:r>
      <w:r w:rsidR="005F3A2E">
        <w:fldChar w:fldCharType="end"/>
      </w:r>
    </w:p>
    <w:p w14:paraId="2ECE34F6" w14:textId="77777777" w:rsidR="006C1C9C" w:rsidRDefault="006C1C9C" w:rsidP="006C1C9C">
      <w:pPr>
        <w:rPr>
          <w:rFonts w:eastAsiaTheme="minorEastAsia"/>
          <w:color w:val="000000" w:themeColor="text1"/>
        </w:rPr>
      </w:pPr>
      <w:r>
        <w:rPr>
          <w:rFonts w:eastAsiaTheme="minorEastAsia"/>
          <w:color w:val="000000" w:themeColor="text1"/>
        </w:rPr>
        <w:t>The pH enters into the model via the concentration of the reactant and products H</w:t>
      </w:r>
      <w:r w:rsidRPr="006C3647">
        <w:rPr>
          <w:rFonts w:eastAsiaTheme="minorEastAsia"/>
          <w:color w:val="000000" w:themeColor="text1"/>
          <w:vertAlign w:val="superscript"/>
        </w:rPr>
        <w:t>+</w:t>
      </w:r>
      <w:r>
        <w:rPr>
          <w:rFonts w:eastAsiaTheme="minorEastAsia"/>
          <w:color w:val="000000" w:themeColor="text1"/>
        </w:rPr>
        <w:t xml:space="preserve"> and OH</w:t>
      </w:r>
      <w:r w:rsidRPr="006C3647">
        <w:rPr>
          <w:rFonts w:eastAsiaTheme="minorEastAsia"/>
          <w:color w:val="000000" w:themeColor="text1"/>
          <w:vertAlign w:val="superscript"/>
        </w:rPr>
        <w:t>-</w:t>
      </w:r>
      <w:r>
        <w:rPr>
          <w:rFonts w:eastAsiaTheme="minorEastAsia"/>
          <w:color w:val="000000" w:themeColor="text1"/>
        </w:rPr>
        <w:t xml:space="preserve">. The forward rate constant of the </w:t>
      </w:r>
      <w:proofErr w:type="spellStart"/>
      <w:r w:rsidRPr="006C3647">
        <w:rPr>
          <w:rFonts w:eastAsiaTheme="minorEastAsia"/>
          <w:i/>
          <w:color w:val="000000" w:themeColor="text1"/>
        </w:rPr>
        <w:t>i</w:t>
      </w:r>
      <w:r>
        <w:rPr>
          <w:rFonts w:eastAsiaTheme="minorEastAsia"/>
          <w:color w:val="000000" w:themeColor="text1"/>
        </w:rPr>
        <w:t>-th</w:t>
      </w:r>
      <w:proofErr w:type="spellEnd"/>
      <w:r>
        <w:rPr>
          <w:rFonts w:eastAsiaTheme="minorEastAsia"/>
          <w:color w:val="000000" w:themeColor="text1"/>
        </w:rPr>
        <w:t xml:space="preserve"> step </w:t>
      </w:r>
      <m:oMath>
        <m:sSub>
          <m:sSubPr>
            <m:ctrlPr>
              <w:rPr>
                <w:rFonts w:ascii="Cambria Math" w:eastAsiaTheme="minorEastAsia" w:hAnsi="Cambria Math"/>
                <w:i/>
                <w:color w:val="000000" w:themeColor="text1"/>
              </w:rPr>
            </m:ctrlPr>
          </m:sSubPr>
          <m:e>
            <m:r>
              <w:rPr>
                <w:rFonts w:ascii="Cambria Math" w:eastAsiaTheme="minorEastAsia" w:hAnsi="Cambria Math"/>
                <w:color w:val="000000" w:themeColor="text1"/>
              </w:rPr>
              <m:t>k</m:t>
            </m:r>
          </m:e>
          <m:sub>
            <m:r>
              <w:rPr>
                <w:rFonts w:ascii="Cambria Math" w:eastAsiaTheme="minorEastAsia" w:hAnsi="Cambria Math"/>
                <w:color w:val="000000" w:themeColor="text1"/>
              </w:rPr>
              <m:t>fi</m:t>
            </m:r>
          </m:sub>
        </m:sSub>
      </m:oMath>
      <w:r>
        <w:rPr>
          <w:rFonts w:eastAsiaTheme="minorEastAsia"/>
          <w:color w:val="000000" w:themeColor="text1"/>
        </w:rPr>
        <w:t xml:space="preserve"> is assumed to have a Butler-Volmer form,</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5F3A2E" w:rsidRPr="005F3A2E" w14:paraId="672CBEC8" w14:textId="77777777" w:rsidTr="00DE0988">
        <w:tc>
          <w:tcPr>
            <w:tcW w:w="7938" w:type="dxa"/>
            <w:tcMar>
              <w:left w:w="28" w:type="dxa"/>
              <w:right w:w="28" w:type="dxa"/>
            </w:tcMar>
            <w:vAlign w:val="center"/>
          </w:tcPr>
          <w:p w14:paraId="59D82604" w14:textId="251221E6" w:rsidR="005F3A2E" w:rsidRPr="005F3A2E" w:rsidRDefault="00000000" w:rsidP="005F3A2E">
            <w:pPr>
              <w:rPr>
                <w:rFonts w:eastAsiaTheme="minorEastAsia"/>
                <w:color w:val="000000" w:themeColor="text1"/>
                <w:sz w:val="20"/>
                <w:szCs w:val="20"/>
              </w:rPr>
            </w:pPr>
            <m:oMathPara>
              <m:oMath>
                <m:sSub>
                  <m:sSubPr>
                    <m:ctrlPr>
                      <w:rPr>
                        <w:rFonts w:ascii="Cambria Math" w:eastAsiaTheme="minorEastAsia" w:hAnsi="Cambria Math"/>
                        <w:i/>
                        <w:color w:val="000000" w:themeColor="text1"/>
                        <w:sz w:val="20"/>
                        <w:szCs w:val="20"/>
                      </w:rPr>
                    </m:ctrlPr>
                  </m:sSubPr>
                  <m:e>
                    <m:r>
                      <w:rPr>
                        <w:rFonts w:ascii="Cambria Math" w:eastAsiaTheme="minorEastAsia" w:hAnsi="Cambria Math"/>
                        <w:color w:val="000000" w:themeColor="text1"/>
                        <w:sz w:val="20"/>
                        <w:szCs w:val="20"/>
                      </w:rPr>
                      <m:t>k</m:t>
                    </m:r>
                  </m:e>
                  <m:sub>
                    <m:r>
                      <w:rPr>
                        <w:rFonts w:ascii="Cambria Math" w:eastAsiaTheme="minorEastAsia" w:hAnsi="Cambria Math"/>
                        <w:color w:val="000000" w:themeColor="text1"/>
                        <w:sz w:val="20"/>
                        <w:szCs w:val="20"/>
                      </w:rPr>
                      <m:t>fi</m:t>
                    </m:r>
                  </m:sub>
                </m:sSub>
                <m:r>
                  <w:rPr>
                    <w:rFonts w:ascii="Cambria Math" w:eastAsiaTheme="minorEastAsia" w:hAnsi="Cambria Math"/>
                    <w:color w:val="000000" w:themeColor="text1"/>
                    <w:sz w:val="20"/>
                    <w:szCs w:val="20"/>
                  </w:rPr>
                  <m:t>= A</m:t>
                </m:r>
                <m:r>
                  <m:rPr>
                    <m:sty m:val="p"/>
                  </m:rPr>
                  <w:rPr>
                    <w:rFonts w:ascii="Cambria Math" w:eastAsiaTheme="minorEastAsia" w:hAnsi="Cambria Math"/>
                    <w:color w:val="000000" w:themeColor="text1"/>
                    <w:sz w:val="20"/>
                    <w:szCs w:val="20"/>
                  </w:rPr>
                  <m:t>exp</m:t>
                </m:r>
                <m:d>
                  <m:dPr>
                    <m:ctrlPr>
                      <w:rPr>
                        <w:rFonts w:ascii="Cambria Math" w:eastAsiaTheme="minorEastAsia" w:hAnsi="Cambria Math"/>
                        <w:i/>
                        <w:color w:val="000000" w:themeColor="text1"/>
                        <w:sz w:val="20"/>
                        <w:szCs w:val="20"/>
                      </w:rPr>
                    </m:ctrlPr>
                  </m:dPr>
                  <m:e>
                    <m:f>
                      <m:fPr>
                        <m:ctrlPr>
                          <w:rPr>
                            <w:rFonts w:ascii="Cambria Math" w:eastAsiaTheme="minorEastAsia" w:hAnsi="Cambria Math"/>
                            <w:i/>
                            <w:color w:val="000000" w:themeColor="text1"/>
                            <w:sz w:val="20"/>
                            <w:szCs w:val="20"/>
                          </w:rPr>
                        </m:ctrlPr>
                      </m:fPr>
                      <m:num>
                        <m:r>
                          <w:rPr>
                            <w:rFonts w:ascii="Cambria Math" w:eastAsiaTheme="minorEastAsia" w:hAnsi="Cambria Math"/>
                            <w:color w:val="000000" w:themeColor="text1"/>
                            <w:sz w:val="20"/>
                            <w:szCs w:val="20"/>
                          </w:rPr>
                          <m:t>∆</m:t>
                        </m:r>
                        <m:sSub>
                          <m:sSubPr>
                            <m:ctrlPr>
                              <w:rPr>
                                <w:rFonts w:ascii="Cambria Math" w:eastAsiaTheme="minorEastAsia" w:hAnsi="Cambria Math"/>
                                <w:i/>
                                <w:color w:val="000000" w:themeColor="text1"/>
                                <w:sz w:val="20"/>
                                <w:szCs w:val="20"/>
                              </w:rPr>
                            </m:ctrlPr>
                          </m:sSubPr>
                          <m:e>
                            <m:r>
                              <w:rPr>
                                <w:rFonts w:ascii="Cambria Math" w:eastAsiaTheme="minorEastAsia" w:hAnsi="Cambria Math"/>
                                <w:color w:val="000000" w:themeColor="text1"/>
                                <w:sz w:val="20"/>
                                <w:szCs w:val="20"/>
                              </w:rPr>
                              <m:t>E</m:t>
                            </m:r>
                          </m:e>
                          <m:sub>
                            <m:r>
                              <w:rPr>
                                <w:rFonts w:ascii="Cambria Math" w:eastAsiaTheme="minorEastAsia" w:hAnsi="Cambria Math"/>
                                <w:color w:val="000000" w:themeColor="text1"/>
                                <w:sz w:val="20"/>
                                <w:szCs w:val="20"/>
                              </w:rPr>
                              <m:t>0V</m:t>
                            </m:r>
                          </m:sub>
                        </m:sSub>
                        <m:r>
                          <w:rPr>
                            <w:rFonts w:ascii="Cambria Math" w:eastAsiaTheme="minorEastAsia" w:hAnsi="Cambria Math"/>
                            <w:color w:val="000000" w:themeColor="text1"/>
                            <w:sz w:val="20"/>
                            <w:szCs w:val="20"/>
                          </w:rPr>
                          <m:t>-β</m:t>
                        </m:r>
                        <m:sSub>
                          <m:sSubPr>
                            <m:ctrlPr>
                              <w:rPr>
                                <w:rFonts w:ascii="Cambria Math" w:eastAsiaTheme="minorEastAsia" w:hAnsi="Cambria Math"/>
                                <w:i/>
                                <w:color w:val="000000" w:themeColor="text1"/>
                                <w:sz w:val="20"/>
                                <w:szCs w:val="20"/>
                              </w:rPr>
                            </m:ctrlPr>
                          </m:sSubPr>
                          <m:e>
                            <m:r>
                              <w:rPr>
                                <w:rFonts w:ascii="Cambria Math" w:eastAsiaTheme="minorEastAsia" w:hAnsi="Cambria Math"/>
                                <w:color w:val="000000" w:themeColor="text1"/>
                                <w:sz w:val="20"/>
                                <w:szCs w:val="20"/>
                              </w:rPr>
                              <m:t>n</m:t>
                            </m:r>
                          </m:e>
                          <m:sub>
                            <m:r>
                              <w:rPr>
                                <w:rFonts w:ascii="Cambria Math" w:eastAsiaTheme="minorEastAsia" w:hAnsi="Cambria Math"/>
                                <w:color w:val="000000" w:themeColor="text1"/>
                                <w:sz w:val="20"/>
                                <w:szCs w:val="20"/>
                              </w:rPr>
                              <m:t>i</m:t>
                            </m:r>
                          </m:sub>
                        </m:sSub>
                        <m:r>
                          <w:rPr>
                            <w:rFonts w:ascii="Cambria Math" w:eastAsiaTheme="minorEastAsia" w:hAnsi="Cambria Math"/>
                            <w:color w:val="000000" w:themeColor="text1"/>
                            <w:sz w:val="20"/>
                            <w:szCs w:val="20"/>
                          </w:rPr>
                          <m:t>eη</m:t>
                        </m:r>
                      </m:num>
                      <m:den>
                        <m:sSub>
                          <m:sSubPr>
                            <m:ctrlPr>
                              <w:rPr>
                                <w:rFonts w:ascii="Cambria Math" w:eastAsiaTheme="minorEastAsia" w:hAnsi="Cambria Math"/>
                                <w:i/>
                                <w:color w:val="000000" w:themeColor="text1"/>
                                <w:sz w:val="20"/>
                                <w:szCs w:val="20"/>
                              </w:rPr>
                            </m:ctrlPr>
                          </m:sSubPr>
                          <m:e>
                            <m:r>
                              <w:rPr>
                                <w:rFonts w:ascii="Cambria Math" w:eastAsiaTheme="minorEastAsia" w:hAnsi="Cambria Math"/>
                                <w:color w:val="000000" w:themeColor="text1"/>
                                <w:sz w:val="20"/>
                                <w:szCs w:val="20"/>
                              </w:rPr>
                              <m:t>k</m:t>
                            </m:r>
                          </m:e>
                          <m:sub>
                            <m:r>
                              <m:rPr>
                                <m:sty m:val="p"/>
                              </m:rPr>
                              <w:rPr>
                                <w:rFonts w:ascii="Cambria Math" w:eastAsiaTheme="minorEastAsia" w:hAnsi="Cambria Math"/>
                                <w:color w:val="000000" w:themeColor="text1"/>
                                <w:sz w:val="20"/>
                                <w:szCs w:val="20"/>
                              </w:rPr>
                              <m:t>B</m:t>
                            </m:r>
                          </m:sub>
                        </m:sSub>
                        <m:r>
                          <w:rPr>
                            <w:rFonts w:ascii="Cambria Math" w:eastAsiaTheme="minorEastAsia" w:hAnsi="Cambria Math"/>
                            <w:color w:val="000000" w:themeColor="text1"/>
                            <w:sz w:val="20"/>
                            <w:szCs w:val="20"/>
                          </w:rPr>
                          <m:t>T</m:t>
                        </m:r>
                      </m:den>
                    </m:f>
                  </m:e>
                </m:d>
              </m:oMath>
            </m:oMathPara>
          </w:p>
        </w:tc>
        <w:tc>
          <w:tcPr>
            <w:tcW w:w="1134" w:type="dxa"/>
            <w:tcMar>
              <w:left w:w="28" w:type="dxa"/>
              <w:right w:w="28" w:type="dxa"/>
            </w:tcMar>
            <w:vAlign w:val="center"/>
          </w:tcPr>
          <w:p w14:paraId="543743B1" w14:textId="25BC5842" w:rsidR="005F3A2E" w:rsidRPr="005F3A2E" w:rsidRDefault="005F3A2E" w:rsidP="00E45E28">
            <w:pPr>
              <w:keepNext/>
              <w:jc w:val="right"/>
              <w:rPr>
                <w:bCs/>
                <w:sz w:val="20"/>
                <w:szCs w:val="20"/>
              </w:rPr>
            </w:pPr>
            <w:r w:rsidRPr="005F3A2E">
              <w:rPr>
                <w:sz w:val="20"/>
                <w:szCs w:val="20"/>
              </w:rPr>
              <w:t xml:space="preserve">Equation </w:t>
            </w:r>
            <w:r w:rsidRPr="005F3A2E">
              <w:rPr>
                <w:sz w:val="20"/>
                <w:szCs w:val="20"/>
              </w:rPr>
              <w:fldChar w:fldCharType="begin"/>
            </w:r>
            <w:r w:rsidRPr="005F3A2E">
              <w:rPr>
                <w:sz w:val="20"/>
                <w:szCs w:val="20"/>
              </w:rPr>
              <w:instrText xml:space="preserve"> SEQ Equation \* ARABIC </w:instrText>
            </w:r>
            <w:r w:rsidRPr="005F3A2E">
              <w:rPr>
                <w:sz w:val="20"/>
                <w:szCs w:val="20"/>
              </w:rPr>
              <w:fldChar w:fldCharType="separate"/>
            </w:r>
            <w:r w:rsidR="00B7319C">
              <w:rPr>
                <w:noProof/>
                <w:sz w:val="20"/>
                <w:szCs w:val="20"/>
              </w:rPr>
              <w:t>110</w:t>
            </w:r>
            <w:r w:rsidRPr="005F3A2E">
              <w:rPr>
                <w:sz w:val="20"/>
                <w:szCs w:val="20"/>
              </w:rPr>
              <w:fldChar w:fldCharType="end"/>
            </w:r>
          </w:p>
        </w:tc>
      </w:tr>
    </w:tbl>
    <w:p w14:paraId="26486A0A" w14:textId="4D61562C" w:rsidR="006C1C9C" w:rsidRDefault="006C1C9C" w:rsidP="006C1C9C">
      <w:pPr>
        <w:rPr>
          <w:rFonts w:eastAsiaTheme="minorEastAsia"/>
          <w:color w:val="000000" w:themeColor="text1"/>
        </w:rPr>
      </w:pPr>
      <w:r w:rsidRPr="006C3647">
        <w:rPr>
          <w:rFonts w:eastAsiaTheme="minorEastAsia"/>
          <w:color w:val="000000" w:themeColor="text1"/>
        </w:rPr>
        <w:t xml:space="preserve">where </w:t>
      </w:r>
      <w:r w:rsidRPr="006C3647">
        <w:rPr>
          <w:rFonts w:eastAsiaTheme="minorEastAsia"/>
          <w:i/>
          <w:color w:val="000000" w:themeColor="text1"/>
        </w:rPr>
        <w:t>A</w:t>
      </w:r>
      <w:r>
        <w:rPr>
          <w:rFonts w:eastAsiaTheme="minorEastAsia"/>
          <w:color w:val="000000" w:themeColor="text1"/>
        </w:rPr>
        <w:t xml:space="preserve"> is a </w:t>
      </w:r>
      <w:proofErr w:type="spellStart"/>
      <w:r>
        <w:rPr>
          <w:rFonts w:eastAsiaTheme="minorEastAsia"/>
          <w:color w:val="000000" w:themeColor="text1"/>
        </w:rPr>
        <w:t>prefactor</w:t>
      </w:r>
      <w:proofErr w:type="spellEnd"/>
      <w:r>
        <w:rPr>
          <w:rFonts w:eastAsiaTheme="minorEastAsia"/>
          <w:color w:val="000000" w:themeColor="text1"/>
        </w:rPr>
        <w:t xml:space="preserve">, </w:t>
      </w:r>
      <m:oMath>
        <m:r>
          <w:rPr>
            <w:rFonts w:ascii="Cambria Math" w:eastAsiaTheme="minorEastAsia" w:hAnsi="Cambria Math"/>
            <w:color w:val="000000" w:themeColor="text1"/>
          </w:rPr>
          <m:t>∆</m:t>
        </m:r>
        <m:sSub>
          <m:sSubPr>
            <m:ctrlPr>
              <w:rPr>
                <w:rFonts w:ascii="Cambria Math" w:eastAsiaTheme="minorEastAsia" w:hAnsi="Cambria Math"/>
                <w:i/>
                <w:color w:val="000000" w:themeColor="text1"/>
              </w:rPr>
            </m:ctrlPr>
          </m:sSubPr>
          <m:e>
            <m:r>
              <w:rPr>
                <w:rFonts w:ascii="Cambria Math" w:eastAsiaTheme="minorEastAsia" w:hAnsi="Cambria Math"/>
                <w:color w:val="000000" w:themeColor="text1"/>
              </w:rPr>
              <m:t>E</m:t>
            </m:r>
          </m:e>
          <m:sub>
            <m:r>
              <w:rPr>
                <w:rFonts w:ascii="Cambria Math" w:eastAsiaTheme="minorEastAsia" w:hAnsi="Cambria Math"/>
                <w:color w:val="000000" w:themeColor="text1"/>
              </w:rPr>
              <m:t>0V</m:t>
            </m:r>
          </m:sub>
        </m:sSub>
      </m:oMath>
      <w:r>
        <w:rPr>
          <w:rFonts w:eastAsiaTheme="minorEastAsia"/>
          <w:color w:val="000000" w:themeColor="text1"/>
        </w:rPr>
        <w:t xml:space="preserve"> is the activation energy at equilibrium potential, </w:t>
      </w:r>
      <w:r w:rsidRPr="006C3647">
        <w:rPr>
          <w:rFonts w:ascii="Symbol" w:eastAsiaTheme="minorEastAsia" w:hAnsi="Symbol"/>
          <w:i/>
          <w:color w:val="000000" w:themeColor="text1"/>
        </w:rPr>
        <w:t></w:t>
      </w:r>
      <w:r>
        <w:rPr>
          <w:rFonts w:eastAsiaTheme="minorEastAsia"/>
          <w:color w:val="000000" w:themeColor="text1"/>
        </w:rPr>
        <w:t xml:space="preserve"> is the transfer coefficient, </w:t>
      </w:r>
      <w:proofErr w:type="spellStart"/>
      <w:r w:rsidRPr="006C3647">
        <w:rPr>
          <w:rFonts w:eastAsiaTheme="minorEastAsia"/>
          <w:i/>
          <w:color w:val="000000" w:themeColor="text1"/>
        </w:rPr>
        <w:t>n</w:t>
      </w:r>
      <w:r w:rsidRPr="006C3647">
        <w:rPr>
          <w:rFonts w:eastAsiaTheme="minorEastAsia"/>
          <w:i/>
          <w:color w:val="000000" w:themeColor="text1"/>
          <w:vertAlign w:val="subscript"/>
        </w:rPr>
        <w:t>i</w:t>
      </w:r>
      <w:proofErr w:type="spellEnd"/>
      <w:r>
        <w:rPr>
          <w:rFonts w:eastAsiaTheme="minorEastAsia"/>
          <w:color w:val="000000" w:themeColor="text1"/>
        </w:rPr>
        <w:t xml:space="preserve"> the number of electrons involved in the reaction, </w:t>
      </w:r>
      <m:oMath>
        <m:r>
          <w:rPr>
            <w:rFonts w:ascii="Cambria Math" w:eastAsiaTheme="minorEastAsia" w:hAnsi="Cambria Math"/>
            <w:color w:val="000000" w:themeColor="text1"/>
          </w:rPr>
          <m:t>η</m:t>
        </m:r>
      </m:oMath>
      <w:r>
        <w:rPr>
          <w:rFonts w:eastAsiaTheme="minorEastAsia"/>
          <w:color w:val="000000" w:themeColor="text1"/>
        </w:rPr>
        <w:t xml:space="preserve"> is the overpotential. The kinetic parameters in the model are extracted from the work of Exner et al.</w:t>
      </w:r>
      <w:r>
        <w:rPr>
          <w:rFonts w:eastAsiaTheme="minorEastAsia"/>
          <w:color w:val="000000" w:themeColor="text1"/>
        </w:rPr>
        <w:fldChar w:fldCharType="begin"/>
      </w:r>
      <w:r w:rsidR="00FC5BEB">
        <w:rPr>
          <w:rFonts w:eastAsiaTheme="minorEastAsia"/>
          <w:color w:val="000000" w:themeColor="text1"/>
        </w:rPr>
        <w:instrText xml:space="preserve"> ADDIN EN.CITE &lt;EndNote&gt;&lt;Cite&gt;&lt;Author&gt;Exner&lt;/Author&gt;&lt;Year&gt;2019&lt;/Year&gt;&lt;RecNum&gt;526&lt;/RecNum&gt;&lt;DisplayText&gt;&lt;style face="superscript"&gt;528&lt;/style&gt;&lt;/DisplayText&gt;&lt;record&gt;&lt;rec-number&gt;526&lt;/rec-number&gt;&lt;foreign-keys&gt;&lt;key app="EN" db-id="2xex0erf4eexr4e2dpbxpdd829xttesxxxdr" timestamp="1715075297"&gt;526&lt;/key&gt;&lt;/foreign-keys&gt;&lt;ref-type name="Journal Article"&gt;17&lt;/ref-type&gt;&lt;contributors&gt;&lt;authors&gt;&lt;author&gt;Exner, K. S.&lt;/author&gt;&lt;author&gt;Over, H.&lt;/author&gt;&lt;/authors&gt;&lt;/contributors&gt;&lt;titles&gt;&lt;title&gt;Beyond the rate-determining step in the oxygen evolution reaction over a single-crystalline IrO2(110) model electrode: kinetic scaling relations&lt;/title&gt;&lt;secondary-title&gt;ACS Catal.&lt;/secondary-title&gt;&lt;/titles&gt;&lt;periodical&gt;&lt;full-title&gt;ACS Catal.&lt;/full-title&gt;&lt;/periodical&gt;&lt;pages&gt;6755-65&lt;/pages&gt;&lt;volume&gt;9&lt;/volume&gt;&lt;dates&gt;&lt;year&gt;2019&lt;/year&gt;&lt;/dates&gt;&lt;urls&gt;&lt;related-urls&gt;&lt;url&gt;https://doi.org/10.1021/acscatal.9b01564&lt;/url&gt;&lt;/related-urls&gt;&lt;/urls&gt;&lt;electronic-resource-num&gt;10.1021/acscatal.9b01564&lt;/electronic-resource-num&gt;&lt;/record&gt;&lt;/Cite&gt;&lt;/EndNote&gt;</w:instrText>
      </w:r>
      <w:r>
        <w:rPr>
          <w:rFonts w:eastAsiaTheme="minorEastAsia"/>
          <w:color w:val="000000" w:themeColor="text1"/>
        </w:rPr>
        <w:fldChar w:fldCharType="separate"/>
      </w:r>
      <w:r w:rsidR="00FC5BEB" w:rsidRPr="00FC5BEB">
        <w:rPr>
          <w:rFonts w:eastAsiaTheme="minorEastAsia"/>
          <w:noProof/>
          <w:color w:val="000000" w:themeColor="text1"/>
          <w:vertAlign w:val="superscript"/>
        </w:rPr>
        <w:t>528</w:t>
      </w:r>
      <w:r>
        <w:rPr>
          <w:rFonts w:eastAsiaTheme="minorEastAsia"/>
          <w:color w:val="000000" w:themeColor="text1"/>
        </w:rPr>
        <w:fldChar w:fldCharType="end"/>
      </w:r>
      <w:r>
        <w:rPr>
          <w:rFonts w:eastAsiaTheme="minorEastAsia"/>
          <w:color w:val="000000" w:themeColor="text1"/>
        </w:rPr>
        <w:t xml:space="preserve">, while the reaction free energies are computed with the CHE approach in vacuum. In their experiments, they controlled the pH via titration of the electrolyte rather </w:t>
      </w:r>
      <w:r w:rsidR="00ED56DC">
        <w:rPr>
          <w:rFonts w:eastAsiaTheme="minorEastAsia"/>
          <w:color w:val="000000" w:themeColor="text1"/>
        </w:rPr>
        <w:t xml:space="preserve">than </w:t>
      </w:r>
      <w:r>
        <w:rPr>
          <w:rFonts w:eastAsiaTheme="minorEastAsia"/>
          <w:color w:val="000000" w:themeColor="text1"/>
        </w:rPr>
        <w:t xml:space="preserve">with buffers. </w:t>
      </w:r>
    </w:p>
    <w:p w14:paraId="4318C5D1" w14:textId="77777777" w:rsidR="006C1C9C" w:rsidRDefault="006C1C9C" w:rsidP="001C1AC5">
      <w:pPr>
        <w:keepNext/>
        <w:jc w:val="center"/>
      </w:pPr>
      <w:r>
        <w:rPr>
          <w:noProof/>
        </w:rPr>
        <w:drawing>
          <wp:inline distT="0" distB="0" distL="0" distR="0" wp14:anchorId="46673691" wp14:editId="5EF6DCDC">
            <wp:extent cx="3708971" cy="2880000"/>
            <wp:effectExtent l="0" t="0" r="0" b="317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Fornaciari_EA2022_Fig3_exp_big.jp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3708971" cy="2880000"/>
                    </a:xfrm>
                    <a:prstGeom prst="rect">
                      <a:avLst/>
                    </a:prstGeom>
                  </pic:spPr>
                </pic:pic>
              </a:graphicData>
            </a:graphic>
          </wp:inline>
        </w:drawing>
      </w:r>
    </w:p>
    <w:p w14:paraId="2869C801" w14:textId="520BCEBC" w:rsidR="006C1C9C" w:rsidRPr="0022568C" w:rsidRDefault="006C1C9C" w:rsidP="006C1C9C">
      <w:pPr>
        <w:pStyle w:val="Caption"/>
      </w:pPr>
      <w:bookmarkStart w:id="174" w:name="_Ref156567680"/>
      <w:r w:rsidRPr="00EC6677">
        <w:rPr>
          <w:b/>
          <w:bCs w:val="0"/>
          <w:sz w:val="22"/>
        </w:rPr>
        <w:t xml:space="preserve">Figure </w:t>
      </w:r>
      <w:r w:rsidRPr="00EC6677">
        <w:rPr>
          <w:b/>
          <w:bCs w:val="0"/>
          <w:sz w:val="22"/>
        </w:rPr>
        <w:fldChar w:fldCharType="begin"/>
      </w:r>
      <w:r w:rsidRPr="00EC6677">
        <w:rPr>
          <w:b/>
          <w:bCs w:val="0"/>
          <w:sz w:val="22"/>
        </w:rPr>
        <w:instrText xml:space="preserve"> SEQ Figure \* ARABIC </w:instrText>
      </w:r>
      <w:r w:rsidRPr="00EC6677">
        <w:rPr>
          <w:b/>
          <w:bCs w:val="0"/>
          <w:sz w:val="22"/>
        </w:rPr>
        <w:fldChar w:fldCharType="separate"/>
      </w:r>
      <w:r w:rsidR="00B7319C">
        <w:rPr>
          <w:b/>
          <w:bCs w:val="0"/>
          <w:noProof/>
          <w:sz w:val="22"/>
        </w:rPr>
        <w:t>64</w:t>
      </w:r>
      <w:r w:rsidRPr="00EC6677">
        <w:rPr>
          <w:b/>
          <w:bCs w:val="0"/>
          <w:noProof/>
          <w:sz w:val="22"/>
        </w:rPr>
        <w:fldChar w:fldCharType="end"/>
      </w:r>
      <w:bookmarkEnd w:id="174"/>
      <w:r>
        <w:t>:</w:t>
      </w:r>
      <w:r w:rsidRPr="0022568C">
        <w:rPr>
          <w:rFonts w:ascii="Georgia" w:hAnsi="Georgia"/>
          <w:color w:val="1F1F1F"/>
        </w:rPr>
        <w:t xml:space="preserve"> </w:t>
      </w:r>
      <w:r w:rsidRPr="0022568C">
        <w:t>Oxygen evolution overpotential as a function of bulk pH, for IrO</w:t>
      </w:r>
      <w:r w:rsidRPr="0022568C">
        <w:rPr>
          <w:vertAlign w:val="subscript"/>
        </w:rPr>
        <w:t>2</w:t>
      </w:r>
      <w:r w:rsidRPr="0022568C">
        <w:t> nanoparticles from experiments (circles) and simulations (squares). The potentials were reported at current densities of (a) 2 mA cm</w:t>
      </w:r>
      <w:r w:rsidRPr="0022568C">
        <w:rPr>
          <w:vertAlign w:val="superscript"/>
        </w:rPr>
        <w:t>−2</w:t>
      </w:r>
      <w:r w:rsidRPr="0022568C">
        <w:t> and (b) 12 mA cm</w:t>
      </w:r>
      <w:r w:rsidRPr="0022568C">
        <w:rPr>
          <w:vertAlign w:val="superscript"/>
        </w:rPr>
        <w:t>−2</w:t>
      </w:r>
      <w:r w:rsidRPr="0022568C">
        <w:t>. The current densities were reported at corresponding voltages of (c) 1.5 V and (d) 1.65 V. The pH's ran in the simulation are pH 0, 2, 9, and 13. The red star indicates the pH at the surface of the electrode, 2.34, determined by the transport model, when the bulk pH is 9.</w:t>
      </w:r>
      <w:r>
        <w:t xml:space="preserve"> Adapted from </w:t>
      </w:r>
      <w:r w:rsidRPr="0022568C">
        <w:t>Ref.</w:t>
      </w:r>
      <w:r>
        <w:fldChar w:fldCharType="begin"/>
      </w:r>
      <w:r w:rsidR="009F6662">
        <w:instrText xml:space="preserve"> ADDIN EN.CITE &lt;EndNote&gt;&lt;Cite&gt;&lt;Author&gt;Fornaciari&lt;/Author&gt;&lt;Year&gt;2022&lt;/Year&gt;&lt;RecNum&gt;67&lt;/RecNum&gt;&lt;DisplayText&gt;&lt;style face="superscript"&gt;67&lt;/style&gt;&lt;/DisplayText&gt;&lt;record&gt;&lt;rec-number&gt;67&lt;/rec-number&gt;&lt;foreign-keys&gt;&lt;key app="EN" db-id="2xex0erf4eexr4e2dpbxpdd829xttesxxxdr" timestamp="1715075296"&gt;67&lt;/key&gt;&lt;/foreign-keys&gt;&lt;ref-type name="Journal Article"&gt;17&lt;/ref-type&gt;&lt;contributors&gt;&lt;authors&gt;&lt;author&gt;Fornaciari, Julie C.&lt;/author&gt;&lt;author&gt;Weng, Lien-Chun&lt;/author&gt;&lt;author&gt;Alia, Shaun M.&lt;/author&gt;&lt;author&gt;Zhan, Cheng&lt;/author&gt;&lt;author&gt;Pham, Tuan Anh&lt;/author&gt;&lt;author&gt;Bell, Alexis T.&lt;/author&gt;&lt;author&gt;Ogitsu, Tadashi&lt;/author&gt;&lt;author&gt;Danilovic, Nemanja&lt;/author&gt;&lt;author&gt;Weber, Adam Z.&lt;/author&gt;&lt;/authors&gt;&lt;/contributors&gt;&lt;titles&gt;&lt;title&gt;Mechanistic understanding of pH effects on the oxygen evolution reaction&lt;/title&gt;&lt;secondary-title&gt;Electrochimica Acta&lt;/secondary-title&gt;&lt;/titles&gt;&lt;periodical&gt;&lt;full-title&gt;Electrochimica Acta&lt;/full-title&gt;&lt;abbr-1&gt;Electrochim. Acta&lt;/abbr-1&gt;&lt;abbr-2&gt;Electrochim Acta&lt;/abbr-2&gt;&lt;/periodical&gt;&lt;pages&gt;139810&lt;/pages&gt;&lt;volume&gt;405&lt;/volume&gt;&lt;keywords&gt;&lt;keyword&gt;Microkinetics&lt;/keyword&gt;&lt;keyword&gt;Electrochemistry&lt;/keyword&gt;&lt;keyword&gt;Oxygen evolution reaction&lt;/keyword&gt;&lt;/keywords&gt;&lt;dates&gt;&lt;year&gt;2022&lt;/year&gt;&lt;pub-dates&gt;&lt;date&gt;2022/02/10/&lt;/date&gt;&lt;/pub-dates&gt;&lt;/dates&gt;&lt;isbn&gt;0013-4686&lt;/isbn&gt;&lt;urls&gt;&lt;related-urls&gt;&lt;url&gt;https://www.sciencedirect.com/science/article/pii/S0013468621020934&lt;/url&gt;&lt;/related-urls&gt;&lt;/urls&gt;&lt;electronic-resource-num&gt;https://doi.org/10.1016/j.electacta.2021.139810&lt;/electronic-resource-num&gt;&lt;/record&gt;&lt;/Cite&gt;&lt;/EndNote&gt;</w:instrText>
      </w:r>
      <w:r>
        <w:fldChar w:fldCharType="separate"/>
      </w:r>
      <w:r w:rsidR="009F6662" w:rsidRPr="009F6662">
        <w:rPr>
          <w:noProof/>
          <w:vertAlign w:val="superscript"/>
        </w:rPr>
        <w:t>67</w:t>
      </w:r>
      <w:r>
        <w:fldChar w:fldCharType="end"/>
      </w:r>
      <w:r w:rsidR="00CF52AD">
        <w:t xml:space="preserve"> </w:t>
      </w:r>
      <w:r w:rsidR="00CF52AD" w:rsidRPr="00CF52AD">
        <w:rPr>
          <w:lang w:val="en-US"/>
        </w:rPr>
        <w:t xml:space="preserve">under the Creative Commons Attribution </w:t>
      </w:r>
      <w:r w:rsidR="00CF52AD">
        <w:rPr>
          <w:lang w:val="en-US"/>
        </w:rPr>
        <w:t>4</w:t>
      </w:r>
      <w:r w:rsidR="00CF52AD" w:rsidRPr="00CF52AD">
        <w:rPr>
          <w:lang w:val="en-US"/>
        </w:rPr>
        <w:t>.0 License</w:t>
      </w:r>
      <w:r w:rsidR="00CF52AD">
        <w:rPr>
          <w:lang w:val="en-US"/>
        </w:rPr>
        <w:t>.</w:t>
      </w:r>
    </w:p>
    <w:p w14:paraId="59494450" w14:textId="63E5D677" w:rsidR="006C1C9C" w:rsidRDefault="006C1C9C" w:rsidP="006C1C9C">
      <w:pPr>
        <w:rPr>
          <w:rFonts w:eastAsiaTheme="minorEastAsia"/>
          <w:color w:val="000000" w:themeColor="text1"/>
        </w:rPr>
      </w:pPr>
      <w:r>
        <w:rPr>
          <w:rFonts w:eastAsiaTheme="minorEastAsia"/>
          <w:color w:val="000000" w:themeColor="text1"/>
        </w:rPr>
        <w:t>As shown in</w:t>
      </w:r>
      <w:r w:rsidR="00EC6677">
        <w:rPr>
          <w:rFonts w:eastAsiaTheme="minorEastAsia"/>
          <w:color w:val="000000" w:themeColor="text1"/>
        </w:rPr>
        <w:t xml:space="preserve"> </w:t>
      </w:r>
      <w:r>
        <w:rPr>
          <w:rFonts w:eastAsiaTheme="minorEastAsia"/>
          <w:color w:val="000000" w:themeColor="text1"/>
        </w:rPr>
        <w:fldChar w:fldCharType="begin"/>
      </w:r>
      <w:r>
        <w:rPr>
          <w:rFonts w:eastAsiaTheme="minorEastAsia"/>
          <w:color w:val="000000" w:themeColor="text1"/>
        </w:rPr>
        <w:instrText xml:space="preserve"> REF _Ref156567680 \h </w:instrText>
      </w:r>
      <w:r>
        <w:rPr>
          <w:rFonts w:eastAsiaTheme="minorEastAsia"/>
          <w:color w:val="000000" w:themeColor="text1"/>
        </w:rPr>
      </w:r>
      <w:r>
        <w:rPr>
          <w:rFonts w:eastAsiaTheme="minorEastAsia"/>
          <w:color w:val="000000" w:themeColor="text1"/>
        </w:rPr>
        <w:fldChar w:fldCharType="separate"/>
      </w:r>
      <w:r w:rsidR="00B7319C" w:rsidRPr="00EC6677">
        <w:rPr>
          <w:b/>
        </w:rPr>
        <w:t xml:space="preserve">Figure </w:t>
      </w:r>
      <w:r w:rsidR="00B7319C">
        <w:rPr>
          <w:b/>
          <w:bCs/>
          <w:noProof/>
        </w:rPr>
        <w:t>64</w:t>
      </w:r>
      <w:r>
        <w:rPr>
          <w:rFonts w:eastAsiaTheme="minorEastAsia"/>
          <w:color w:val="000000" w:themeColor="text1"/>
        </w:rPr>
        <w:fldChar w:fldCharType="end"/>
      </w:r>
      <w:r>
        <w:rPr>
          <w:rFonts w:eastAsiaTheme="minorEastAsia"/>
          <w:color w:val="000000" w:themeColor="text1"/>
        </w:rPr>
        <w:t>, low current density (2 mA cm</w:t>
      </w:r>
      <w:r>
        <w:rPr>
          <w:rFonts w:eastAsiaTheme="minorEastAsia"/>
          <w:color w:val="000000" w:themeColor="text1"/>
          <w:vertAlign w:val="superscript"/>
        </w:rPr>
        <w:t>-2</w:t>
      </w:r>
      <w:r>
        <w:rPr>
          <w:rFonts w:eastAsiaTheme="minorEastAsia"/>
          <w:color w:val="000000" w:themeColor="text1"/>
        </w:rPr>
        <w:t>), they measured lower overpotentials in the near neutral pH range, while at high current density (12 mA cm</w:t>
      </w:r>
      <w:r>
        <w:rPr>
          <w:rFonts w:eastAsiaTheme="minorEastAsia"/>
          <w:color w:val="000000" w:themeColor="text1"/>
          <w:vertAlign w:val="superscript"/>
        </w:rPr>
        <w:t>-2</w:t>
      </w:r>
      <w:r>
        <w:rPr>
          <w:rFonts w:eastAsiaTheme="minorEastAsia"/>
          <w:color w:val="000000" w:themeColor="text1"/>
        </w:rPr>
        <w:t xml:space="preserve"> </w:t>
      </w:r>
      <w:r w:rsidRPr="000D3BDB">
        <w:rPr>
          <w:rFonts w:eastAsiaTheme="minorEastAsia"/>
          <w:color w:val="000000" w:themeColor="text1"/>
        </w:rPr>
        <w:t xml:space="preserve">or higher potential </w:t>
      </w:r>
      <w:r>
        <w:rPr>
          <w:rFonts w:eastAsiaTheme="minorEastAsia"/>
          <w:color w:val="000000" w:themeColor="text1"/>
        </w:rPr>
        <w:t>the</w:t>
      </w:r>
      <w:r w:rsidRPr="000D3BDB">
        <w:rPr>
          <w:rFonts w:eastAsiaTheme="minorEastAsia"/>
          <w:color w:val="000000" w:themeColor="text1"/>
        </w:rPr>
        <w:t xml:space="preserve"> trend is reversed</w:t>
      </w:r>
      <w:r>
        <w:rPr>
          <w:rFonts w:eastAsiaTheme="minorEastAsia"/>
          <w:color w:val="000000" w:themeColor="text1"/>
        </w:rPr>
        <w:t>,</w:t>
      </w:r>
      <w:r w:rsidRPr="000D3BDB">
        <w:rPr>
          <w:rFonts w:eastAsiaTheme="minorEastAsia"/>
          <w:color w:val="000000" w:themeColor="text1"/>
        </w:rPr>
        <w:t xml:space="preserve"> </w:t>
      </w:r>
      <w:r>
        <w:rPr>
          <w:rFonts w:eastAsiaTheme="minorEastAsia"/>
          <w:color w:val="000000" w:themeColor="text1"/>
        </w:rPr>
        <w:t xml:space="preserve">with highly acidic or alkaline conditions outperforming neutral conditions. The microkinetic model provides good agreement with experiments, even though to reconcile theory and measurements the predicted activation energies for the alkaline steps had to be readjusted. A noticeable exception </w:t>
      </w:r>
      <w:r w:rsidR="0053450A">
        <w:rPr>
          <w:rFonts w:eastAsiaTheme="minorEastAsia"/>
          <w:color w:val="000000" w:themeColor="text1"/>
        </w:rPr>
        <w:t xml:space="preserve">is </w:t>
      </w:r>
      <w:r>
        <w:rPr>
          <w:rFonts w:eastAsiaTheme="minorEastAsia"/>
          <w:color w:val="000000" w:themeColor="text1"/>
        </w:rPr>
        <w:t xml:space="preserve">pH 9, where the agreement is rather poor. The authors used a transport model to simulate the rotating-disk-electrode experimental setup and concluded that at these pH conditions mass-transfer effects are crucial, since the local pH is considerably </w:t>
      </w:r>
      <w:r w:rsidR="0050726F">
        <w:rPr>
          <w:rFonts w:eastAsiaTheme="minorEastAsia"/>
          <w:color w:val="000000" w:themeColor="text1"/>
        </w:rPr>
        <w:t xml:space="preserve">more </w:t>
      </w:r>
      <w:r>
        <w:rPr>
          <w:rFonts w:eastAsiaTheme="minorEastAsia"/>
          <w:color w:val="000000" w:themeColor="text1"/>
        </w:rPr>
        <w:t>alkaline than the bulk electrolyte. Correcting for these effects results in a considerable improvement (see</w:t>
      </w:r>
      <w:r w:rsidR="00EC6677">
        <w:rPr>
          <w:rFonts w:eastAsiaTheme="minorEastAsia"/>
          <w:color w:val="000000" w:themeColor="text1"/>
        </w:rPr>
        <w:t xml:space="preserve"> </w:t>
      </w:r>
      <w:r>
        <w:rPr>
          <w:rFonts w:eastAsiaTheme="minorEastAsia"/>
          <w:color w:val="000000" w:themeColor="text1"/>
        </w:rPr>
        <w:fldChar w:fldCharType="begin"/>
      </w:r>
      <w:r>
        <w:rPr>
          <w:rFonts w:eastAsiaTheme="minorEastAsia"/>
          <w:color w:val="000000" w:themeColor="text1"/>
        </w:rPr>
        <w:instrText xml:space="preserve"> REF _Ref156567680 \h </w:instrText>
      </w:r>
      <w:r>
        <w:rPr>
          <w:rFonts w:eastAsiaTheme="minorEastAsia"/>
          <w:color w:val="000000" w:themeColor="text1"/>
        </w:rPr>
      </w:r>
      <w:r>
        <w:rPr>
          <w:rFonts w:eastAsiaTheme="minorEastAsia"/>
          <w:color w:val="000000" w:themeColor="text1"/>
        </w:rPr>
        <w:fldChar w:fldCharType="separate"/>
      </w:r>
      <w:r w:rsidR="00B7319C" w:rsidRPr="00EC6677">
        <w:rPr>
          <w:b/>
        </w:rPr>
        <w:t xml:space="preserve">Figure </w:t>
      </w:r>
      <w:r w:rsidR="00B7319C">
        <w:rPr>
          <w:b/>
          <w:bCs/>
          <w:noProof/>
        </w:rPr>
        <w:t>64</w:t>
      </w:r>
      <w:r>
        <w:rPr>
          <w:rFonts w:eastAsiaTheme="minorEastAsia"/>
          <w:color w:val="000000" w:themeColor="text1"/>
        </w:rPr>
        <w:fldChar w:fldCharType="end"/>
      </w:r>
      <w:r w:rsidRPr="00044BFD">
        <w:rPr>
          <w:rFonts w:eastAsiaTheme="minorEastAsia"/>
          <w:b/>
          <w:bCs/>
          <w:color w:val="000000" w:themeColor="text1"/>
        </w:rPr>
        <w:t>d</w:t>
      </w:r>
      <w:r>
        <w:rPr>
          <w:rFonts w:eastAsiaTheme="minorEastAsia"/>
          <w:color w:val="000000" w:themeColor="text1"/>
        </w:rPr>
        <w:t>). Interestingly, a sensitivity analysis</w:t>
      </w:r>
      <w:r w:rsidR="00BC0730">
        <w:rPr>
          <w:rFonts w:eastAsiaTheme="minorEastAsia"/>
          <w:color w:val="000000" w:themeColor="text1"/>
        </w:rPr>
        <w:t xml:space="preserve"> </w:t>
      </w:r>
      <w:r>
        <w:rPr>
          <w:rFonts w:eastAsiaTheme="minorEastAsia"/>
          <w:color w:val="000000" w:themeColor="text1"/>
        </w:rPr>
        <w:t>shows that at pH 0 at low overpotential there are two RDS's, the formation of *OOH and the release of O</w:t>
      </w:r>
      <w:r w:rsidRPr="00F7766D">
        <w:rPr>
          <w:rFonts w:eastAsiaTheme="minorEastAsia"/>
          <w:color w:val="000000" w:themeColor="text1"/>
          <w:vertAlign w:val="subscript"/>
        </w:rPr>
        <w:t>2</w:t>
      </w:r>
      <w:r>
        <w:rPr>
          <w:rFonts w:eastAsiaTheme="minorEastAsia"/>
          <w:color w:val="000000" w:themeColor="text1"/>
        </w:rPr>
        <w:t xml:space="preserve">, while at pH 9 and 13 and at high overpotentials the formation of *OOH is the sole RDS. These results suggest that both the acidic and alkaline pathways may occur at neutral pH and low bias, which explains the improved performance at these conditions. The authors suggest that at high current densities transport effects dominate, resulting in a drop of the interface pH, a scenario not captured by the microkinetic model.  </w:t>
      </w:r>
    </w:p>
    <w:p w14:paraId="6ACE9EC1" w14:textId="77777777" w:rsidR="006C1C9C" w:rsidRDefault="006C1C9C" w:rsidP="006C1C9C">
      <w:pPr>
        <w:rPr>
          <w:rFonts w:eastAsiaTheme="minorEastAsia"/>
          <w:color w:val="000000" w:themeColor="text1"/>
        </w:rPr>
      </w:pPr>
    </w:p>
    <w:p w14:paraId="13AD4F52" w14:textId="6BB55D61" w:rsidR="006C1C9C" w:rsidRDefault="006C1C9C" w:rsidP="00EC6677">
      <w:pPr>
        <w:ind w:firstLine="720"/>
        <w:rPr>
          <w:rFonts w:eastAsiaTheme="minorEastAsia"/>
          <w:color w:val="000000" w:themeColor="text1"/>
        </w:rPr>
      </w:pPr>
      <w:r>
        <w:rPr>
          <w:rFonts w:eastAsiaTheme="minorEastAsia"/>
          <w:color w:val="000000" w:themeColor="text1"/>
        </w:rPr>
        <w:t xml:space="preserve">Microkinetic modeling has been used not only to capture the effects of pH but also to describe the influence of electrolyte ions on the OER catalytic activity. </w:t>
      </w:r>
      <w:r w:rsidRPr="00E00099">
        <w:rPr>
          <w:rFonts w:eastAsiaTheme="minorEastAsia"/>
          <w:color w:val="000000" w:themeColor="text1"/>
        </w:rPr>
        <w:t>Huang et al.</w:t>
      </w:r>
      <w:r>
        <w:rPr>
          <w:rFonts w:eastAsiaTheme="minorEastAsia"/>
          <w:color w:val="000000" w:themeColor="text1"/>
        </w:rPr>
        <w:fldChar w:fldCharType="begin"/>
      </w:r>
      <w:r w:rsidR="00FC5BEB">
        <w:rPr>
          <w:rFonts w:eastAsiaTheme="minorEastAsia"/>
          <w:color w:val="000000" w:themeColor="text1"/>
        </w:rPr>
        <w:instrText xml:space="preserve"> ADDIN EN.CITE &lt;EndNote&gt;&lt;Cite&gt;&lt;Author&gt;Huang&lt;/Author&gt;&lt;Year&gt;2021&lt;/Year&gt;&lt;RecNum&gt;527&lt;/RecNum&gt;&lt;DisplayText&gt;&lt;style face="superscript"&gt;529&lt;/style&gt;&lt;/DisplayText&gt;&lt;record&gt;&lt;rec-number&gt;527&lt;/rec-number&gt;&lt;foreign-keys&gt;&lt;key app="EN" db-id="2xex0erf4eexr4e2dpbxpdd829xttesxxxdr" timestamp="1715075297"&gt;527&lt;/key&gt;&lt;/foreign-keys&gt;&lt;ref-type name="Journal Article"&gt;17&lt;/ref-type&gt;&lt;contributors&gt;&lt;authors&gt;&lt;author&gt;Huang, Jun&lt;/author&gt;&lt;author&gt;Li, Mengru&lt;/author&gt;&lt;author&gt;Eslamibidgoli, Mohammad J.&lt;/author&gt;&lt;author&gt;Eikerling, Michael&lt;/author&gt;&lt;author&gt;Groß, Axel&lt;/author&gt;&lt;/authors&gt;&lt;/contributors&gt;&lt;titles&gt;&lt;title&gt;Cation Overcrowding Effect on the Oxygen Evolution Reaction&lt;/title&gt;&lt;secondary-title&gt;JACS Au&lt;/secondary-title&gt;&lt;/titles&gt;&lt;pages&gt;1752-1765&lt;/pages&gt;&lt;volume&gt;1&lt;/volume&gt;&lt;number&gt;10&lt;/number&gt;&lt;keywords&gt;&lt;keyword&gt;Electric double layer&lt;/keyword&gt;&lt;keyword&gt;Electrolyte cation effects&lt;/keyword&gt;&lt;keyword&gt;Hydrogen production&lt;/keyword&gt;&lt;keyword&gt;Local reaction condition&lt;/keyword&gt;&lt;keyword&gt;Oxygen evolution reaction&lt;/keyword&gt;&lt;keyword&gt;Surface charging effects&lt;/keyword&gt;&lt;/keywords&gt;&lt;dates&gt;&lt;year&gt;2021&lt;/year&gt;&lt;/dates&gt;&lt;urls&gt;&lt;related-urls&gt;&lt;url&gt;https://www.ncbi.nlm.nih.gov/pmc/articles/PMC8549051/pdf/au1c00315.pdf&lt;/url&gt;&lt;/related-urls&gt;&lt;pdf-urls&gt;&lt;url&gt;file://localhost/localhost/Users/piccinin/Literature/huang-et-al-2021-cation-overcrowding-effect-on-the-oxygen-evolution-reaction.pdf&lt;/url&gt;&lt;/pdf-urls&gt;&lt;/urls&gt;&lt;electronic-resource-num&gt;10.1021/jacsau.1c00315&lt;/electronic-resource-num&gt;&lt;/record&gt;&lt;/Cite&gt;&lt;/EndNote&gt;</w:instrText>
      </w:r>
      <w:r>
        <w:rPr>
          <w:rFonts w:eastAsiaTheme="minorEastAsia"/>
          <w:color w:val="000000" w:themeColor="text1"/>
        </w:rPr>
        <w:fldChar w:fldCharType="separate"/>
      </w:r>
      <w:r w:rsidR="00FC5BEB" w:rsidRPr="00FC5BEB">
        <w:rPr>
          <w:rFonts w:eastAsiaTheme="minorEastAsia"/>
          <w:noProof/>
          <w:color w:val="000000" w:themeColor="text1"/>
          <w:vertAlign w:val="superscript"/>
        </w:rPr>
        <w:t>529</w:t>
      </w:r>
      <w:r>
        <w:rPr>
          <w:rFonts w:eastAsiaTheme="minorEastAsia"/>
          <w:color w:val="000000" w:themeColor="text1"/>
        </w:rPr>
        <w:fldChar w:fldCharType="end"/>
      </w:r>
      <w:r w:rsidRPr="00E00099">
        <w:rPr>
          <w:rFonts w:eastAsiaTheme="minorEastAsia"/>
          <w:color w:val="000000" w:themeColor="text1"/>
        </w:rPr>
        <w:t xml:space="preserve">, in particular built a </w:t>
      </w:r>
      <w:r w:rsidRPr="00E00099">
        <w:rPr>
          <w:rFonts w:eastAsiaTheme="minorEastAsia"/>
          <w:color w:val="000000" w:themeColor="text1"/>
        </w:rPr>
        <w:lastRenderedPageBreak/>
        <w:t xml:space="preserve">model for the </w:t>
      </w:r>
      <w:r w:rsidRPr="00BD40A8">
        <w:rPr>
          <w:rFonts w:ascii="Symbol" w:eastAsiaTheme="minorEastAsia" w:hAnsi="Symbol"/>
          <w:color w:val="000000" w:themeColor="text1"/>
        </w:rPr>
        <w:t></w:t>
      </w:r>
      <w:r w:rsidRPr="00E00099">
        <w:rPr>
          <w:rFonts w:eastAsiaTheme="minorEastAsia"/>
          <w:color w:val="000000" w:themeColor="text1"/>
        </w:rPr>
        <w:t>-</w:t>
      </w:r>
      <w:proofErr w:type="spellStart"/>
      <w:r w:rsidRPr="00E00099">
        <w:rPr>
          <w:rFonts w:eastAsiaTheme="minorEastAsia"/>
          <w:color w:val="000000" w:themeColor="text1"/>
        </w:rPr>
        <w:t>NiOOH</w:t>
      </w:r>
      <w:proofErr w:type="spellEnd"/>
      <w:r w:rsidRPr="00E00099">
        <w:rPr>
          <w:rFonts w:eastAsiaTheme="minorEastAsia"/>
          <w:color w:val="000000" w:themeColor="text1"/>
        </w:rPr>
        <w:t xml:space="preserve">(0001) surface targeting the effects of </w:t>
      </w:r>
      <w:r w:rsidR="00AB61EB" w:rsidRPr="00E00099">
        <w:rPr>
          <w:rFonts w:eastAsiaTheme="minorEastAsia"/>
          <w:color w:val="000000" w:themeColor="text1"/>
        </w:rPr>
        <w:t>non-specifically</w:t>
      </w:r>
      <w:r w:rsidRPr="00E00099">
        <w:rPr>
          <w:rFonts w:eastAsiaTheme="minorEastAsia"/>
          <w:color w:val="000000" w:themeColor="text1"/>
        </w:rPr>
        <w:t xml:space="preserve"> adsorbed alkali metal cations. </w:t>
      </w:r>
      <w:r>
        <w:rPr>
          <w:rFonts w:eastAsiaTheme="minorEastAsia"/>
          <w:color w:val="000000" w:themeColor="text1"/>
        </w:rPr>
        <w:t xml:space="preserve">They combined a DFT description of the elementary steps of the OER and continuum model for the EDL structure. The authors assumed the 4-PCET step AEM model in alkaline conditions. The reaction energies of the elementary steps were evaluated with the CHE approach, while the rate constant </w:t>
      </w:r>
      <m:oMath>
        <m:sSubSup>
          <m:sSubSupPr>
            <m:ctrlPr>
              <w:rPr>
                <w:rFonts w:ascii="Cambria Math" w:eastAsiaTheme="minorEastAsia" w:hAnsi="Cambria Math"/>
                <w:i/>
                <w:color w:val="000000" w:themeColor="text1"/>
              </w:rPr>
            </m:ctrlPr>
          </m:sSubSupPr>
          <m:e>
            <m:r>
              <w:rPr>
                <w:rFonts w:ascii="Cambria Math" w:eastAsiaTheme="minorEastAsia" w:hAnsi="Cambria Math"/>
                <w:color w:val="000000" w:themeColor="text1"/>
              </w:rPr>
              <m:t>k</m:t>
            </m:r>
          </m:e>
          <m:sub>
            <m:r>
              <w:rPr>
                <w:rFonts w:ascii="Cambria Math" w:eastAsiaTheme="minorEastAsia" w:hAnsi="Cambria Math"/>
                <w:color w:val="000000" w:themeColor="text1"/>
              </w:rPr>
              <m:t>i</m:t>
            </m:r>
          </m:sub>
          <m:sup>
            <m:r>
              <w:rPr>
                <w:rFonts w:ascii="Cambria Math" w:eastAsiaTheme="minorEastAsia" w:hAnsi="Cambria Math"/>
                <w:color w:val="000000" w:themeColor="text1"/>
              </w:rPr>
              <m:t>f,b</m:t>
            </m:r>
          </m:sup>
        </m:sSubSup>
      </m:oMath>
      <w:r>
        <w:rPr>
          <w:rFonts w:eastAsiaTheme="minorEastAsia"/>
          <w:color w:val="000000" w:themeColor="text1"/>
        </w:rPr>
        <w:t xml:space="preserve"> for the </w:t>
      </w:r>
      <w:proofErr w:type="spellStart"/>
      <w:r w:rsidRPr="00A769EC">
        <w:rPr>
          <w:rFonts w:eastAsiaTheme="minorEastAsia"/>
          <w:i/>
          <w:color w:val="000000" w:themeColor="text1"/>
        </w:rPr>
        <w:t>i</w:t>
      </w:r>
      <w:r>
        <w:rPr>
          <w:rFonts w:eastAsiaTheme="minorEastAsia"/>
          <w:color w:val="000000" w:themeColor="text1"/>
        </w:rPr>
        <w:t>-th</w:t>
      </w:r>
      <w:proofErr w:type="spellEnd"/>
      <w:r>
        <w:rPr>
          <w:rFonts w:eastAsiaTheme="minorEastAsia"/>
          <w:color w:val="000000" w:themeColor="text1"/>
        </w:rPr>
        <w:t xml:space="preserve"> step has a Butler-Volmer dependence on the applied bias: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5F3A2E" w:rsidRPr="005F3A2E" w14:paraId="1183DD61" w14:textId="77777777" w:rsidTr="00DE0988">
        <w:tc>
          <w:tcPr>
            <w:tcW w:w="7938" w:type="dxa"/>
            <w:tcMar>
              <w:left w:w="28" w:type="dxa"/>
              <w:right w:w="28" w:type="dxa"/>
            </w:tcMar>
            <w:vAlign w:val="center"/>
          </w:tcPr>
          <w:p w14:paraId="4BBD252D" w14:textId="47D1DC01" w:rsidR="005F3A2E" w:rsidRPr="005F3A2E" w:rsidRDefault="00000000" w:rsidP="00E45E28">
            <w:pPr>
              <w:spacing w:before="60" w:after="60"/>
              <w:rPr>
                <w:bCs/>
                <w:sz w:val="20"/>
                <w:szCs w:val="20"/>
              </w:rPr>
            </w:pPr>
            <m:oMathPara>
              <m:oMath>
                <m:sSubSup>
                  <m:sSubSupPr>
                    <m:ctrlPr>
                      <w:rPr>
                        <w:rFonts w:ascii="Cambria Math" w:eastAsiaTheme="minorEastAsia" w:hAnsi="Cambria Math"/>
                        <w:i/>
                        <w:color w:val="000000" w:themeColor="text1"/>
                        <w:sz w:val="20"/>
                        <w:szCs w:val="20"/>
                      </w:rPr>
                    </m:ctrlPr>
                  </m:sSubSupPr>
                  <m:e>
                    <m:r>
                      <w:rPr>
                        <w:rFonts w:ascii="Cambria Math" w:eastAsiaTheme="minorEastAsia" w:hAnsi="Cambria Math"/>
                        <w:color w:val="000000" w:themeColor="text1"/>
                        <w:sz w:val="20"/>
                        <w:szCs w:val="20"/>
                      </w:rPr>
                      <m:t>k</m:t>
                    </m:r>
                  </m:e>
                  <m:sub>
                    <m:r>
                      <w:rPr>
                        <w:rFonts w:ascii="Cambria Math" w:eastAsiaTheme="minorEastAsia" w:hAnsi="Cambria Math"/>
                        <w:color w:val="000000" w:themeColor="text1"/>
                        <w:sz w:val="20"/>
                        <w:szCs w:val="20"/>
                      </w:rPr>
                      <m:t>i</m:t>
                    </m:r>
                  </m:sub>
                  <m:sup>
                    <m:r>
                      <w:rPr>
                        <w:rFonts w:ascii="Cambria Math" w:eastAsiaTheme="minorEastAsia" w:hAnsi="Cambria Math"/>
                        <w:color w:val="000000" w:themeColor="text1"/>
                        <w:sz w:val="20"/>
                        <w:szCs w:val="20"/>
                      </w:rPr>
                      <m:t>f,b</m:t>
                    </m:r>
                  </m:sup>
                </m:sSubSup>
                <m:r>
                  <w:rPr>
                    <w:rFonts w:ascii="Cambria Math" w:eastAsiaTheme="minorEastAsia" w:hAnsi="Cambria Math"/>
                    <w:color w:val="000000" w:themeColor="text1"/>
                    <w:sz w:val="20"/>
                    <w:szCs w:val="20"/>
                  </w:rPr>
                  <m:t>=</m:t>
                </m:r>
                <m:f>
                  <m:fPr>
                    <m:ctrlPr>
                      <w:rPr>
                        <w:rFonts w:ascii="Cambria Math" w:eastAsiaTheme="minorEastAsia" w:hAnsi="Cambria Math"/>
                        <w:i/>
                        <w:color w:val="000000" w:themeColor="text1"/>
                        <w:sz w:val="20"/>
                        <w:szCs w:val="20"/>
                      </w:rPr>
                    </m:ctrlPr>
                  </m:fPr>
                  <m:num>
                    <m:sSub>
                      <m:sSubPr>
                        <m:ctrlPr>
                          <w:rPr>
                            <w:rFonts w:ascii="Cambria Math" w:eastAsiaTheme="minorEastAsia" w:hAnsi="Cambria Math"/>
                            <w:i/>
                            <w:color w:val="000000" w:themeColor="text1"/>
                            <w:sz w:val="20"/>
                            <w:szCs w:val="20"/>
                          </w:rPr>
                        </m:ctrlPr>
                      </m:sSubPr>
                      <m:e>
                        <m:r>
                          <w:rPr>
                            <w:rFonts w:ascii="Cambria Math" w:eastAsiaTheme="minorEastAsia" w:hAnsi="Cambria Math"/>
                            <w:color w:val="000000" w:themeColor="text1"/>
                            <w:sz w:val="20"/>
                            <w:szCs w:val="20"/>
                          </w:rPr>
                          <m:t>k</m:t>
                        </m:r>
                      </m:e>
                      <m:sub>
                        <m:r>
                          <m:rPr>
                            <m:sty m:val="p"/>
                          </m:rPr>
                          <w:rPr>
                            <w:rFonts w:ascii="Cambria Math" w:eastAsiaTheme="minorEastAsia" w:hAnsi="Cambria Math"/>
                            <w:color w:val="000000" w:themeColor="text1"/>
                            <w:sz w:val="20"/>
                            <w:szCs w:val="20"/>
                          </w:rPr>
                          <m:t>B</m:t>
                        </m:r>
                      </m:sub>
                    </m:sSub>
                    <m:r>
                      <w:rPr>
                        <w:rFonts w:ascii="Cambria Math" w:eastAsiaTheme="minorEastAsia" w:hAnsi="Cambria Math"/>
                        <w:color w:val="000000" w:themeColor="text1"/>
                        <w:sz w:val="20"/>
                        <w:szCs w:val="20"/>
                      </w:rPr>
                      <m:t>T</m:t>
                    </m:r>
                  </m:num>
                  <m:den>
                    <m:r>
                      <w:rPr>
                        <w:rFonts w:ascii="Cambria Math" w:eastAsiaTheme="minorEastAsia" w:hAnsi="Cambria Math"/>
                        <w:color w:val="000000" w:themeColor="text1"/>
                        <w:sz w:val="20"/>
                        <w:szCs w:val="20"/>
                      </w:rPr>
                      <m:t>h</m:t>
                    </m:r>
                  </m:den>
                </m:f>
                <m:r>
                  <m:rPr>
                    <m:sty m:val="p"/>
                  </m:rPr>
                  <w:rPr>
                    <w:rFonts w:ascii="Cambria Math" w:eastAsiaTheme="minorEastAsia" w:hAnsi="Cambria Math"/>
                    <w:color w:val="000000" w:themeColor="text1"/>
                    <w:sz w:val="20"/>
                    <w:szCs w:val="20"/>
                  </w:rPr>
                  <m:t>exp</m:t>
                </m:r>
                <m:d>
                  <m:dPr>
                    <m:ctrlPr>
                      <w:rPr>
                        <w:rFonts w:ascii="Cambria Math" w:eastAsiaTheme="minorEastAsia" w:hAnsi="Cambria Math"/>
                        <w:i/>
                        <w:color w:val="000000" w:themeColor="text1"/>
                        <w:sz w:val="20"/>
                        <w:szCs w:val="20"/>
                      </w:rPr>
                    </m:ctrlPr>
                  </m:dPr>
                  <m:e>
                    <m:r>
                      <w:rPr>
                        <w:rFonts w:ascii="Cambria Math" w:eastAsiaTheme="minorEastAsia" w:hAnsi="Cambria Math"/>
                        <w:color w:val="000000" w:themeColor="text1"/>
                        <w:sz w:val="20"/>
                        <w:szCs w:val="20"/>
                      </w:rPr>
                      <m:t>-</m:t>
                    </m:r>
                    <m:f>
                      <m:fPr>
                        <m:ctrlPr>
                          <w:rPr>
                            <w:rFonts w:ascii="Cambria Math" w:eastAsiaTheme="minorEastAsia" w:hAnsi="Cambria Math"/>
                            <w:i/>
                            <w:color w:val="000000" w:themeColor="text1"/>
                            <w:sz w:val="20"/>
                            <w:szCs w:val="20"/>
                          </w:rPr>
                        </m:ctrlPr>
                      </m:fPr>
                      <m:num>
                        <m:sSubSup>
                          <m:sSubSupPr>
                            <m:ctrlPr>
                              <w:rPr>
                                <w:rFonts w:ascii="Cambria Math" w:eastAsiaTheme="minorEastAsia" w:hAnsi="Cambria Math"/>
                                <w:i/>
                                <w:color w:val="000000" w:themeColor="text1"/>
                                <w:sz w:val="20"/>
                                <w:szCs w:val="20"/>
                              </w:rPr>
                            </m:ctrlPr>
                          </m:sSubSupPr>
                          <m:e>
                            <m:r>
                              <w:rPr>
                                <w:rFonts w:ascii="Cambria Math" w:eastAsiaTheme="minorEastAsia" w:hAnsi="Cambria Math"/>
                                <w:color w:val="000000" w:themeColor="text1"/>
                                <w:sz w:val="20"/>
                                <w:szCs w:val="20"/>
                              </w:rPr>
                              <m:t>G</m:t>
                            </m:r>
                          </m:e>
                          <m:sub>
                            <m:r>
                              <w:rPr>
                                <w:rFonts w:ascii="Cambria Math" w:eastAsiaTheme="minorEastAsia" w:hAnsi="Cambria Math"/>
                                <w:color w:val="000000" w:themeColor="text1"/>
                                <w:sz w:val="20"/>
                                <w:szCs w:val="20"/>
                              </w:rPr>
                              <m:t>a,i</m:t>
                            </m:r>
                          </m:sub>
                          <m:sup>
                            <m:r>
                              <w:rPr>
                                <w:rFonts w:ascii="Cambria Math" w:eastAsiaTheme="minorEastAsia" w:hAnsi="Cambria Math"/>
                                <w:color w:val="000000" w:themeColor="text1"/>
                                <w:sz w:val="20"/>
                                <w:szCs w:val="20"/>
                              </w:rPr>
                              <m:t>f,b</m:t>
                            </m:r>
                          </m:sup>
                        </m:sSubSup>
                      </m:num>
                      <m:den>
                        <m:sSub>
                          <m:sSubPr>
                            <m:ctrlPr>
                              <w:rPr>
                                <w:rFonts w:ascii="Cambria Math" w:eastAsiaTheme="minorEastAsia" w:hAnsi="Cambria Math"/>
                                <w:i/>
                                <w:color w:val="000000" w:themeColor="text1"/>
                                <w:sz w:val="20"/>
                                <w:szCs w:val="20"/>
                              </w:rPr>
                            </m:ctrlPr>
                          </m:sSubPr>
                          <m:e>
                            <m:r>
                              <w:rPr>
                                <w:rFonts w:ascii="Cambria Math" w:eastAsiaTheme="minorEastAsia" w:hAnsi="Cambria Math"/>
                                <w:color w:val="000000" w:themeColor="text1"/>
                                <w:sz w:val="20"/>
                                <w:szCs w:val="20"/>
                              </w:rPr>
                              <m:t>k</m:t>
                            </m:r>
                          </m:e>
                          <m:sub>
                            <m:r>
                              <m:rPr>
                                <m:sty m:val="p"/>
                              </m:rPr>
                              <w:rPr>
                                <w:rFonts w:ascii="Cambria Math" w:eastAsiaTheme="minorEastAsia" w:hAnsi="Cambria Math"/>
                                <w:color w:val="000000" w:themeColor="text1"/>
                                <w:sz w:val="20"/>
                                <w:szCs w:val="20"/>
                              </w:rPr>
                              <m:t>B</m:t>
                            </m:r>
                          </m:sub>
                        </m:sSub>
                        <m:r>
                          <w:rPr>
                            <w:rFonts w:ascii="Cambria Math" w:eastAsiaTheme="minorEastAsia" w:hAnsi="Cambria Math"/>
                            <w:color w:val="000000" w:themeColor="text1"/>
                            <w:sz w:val="20"/>
                            <w:szCs w:val="20"/>
                          </w:rPr>
                          <m:t>T</m:t>
                        </m:r>
                      </m:den>
                    </m:f>
                  </m:e>
                </m:d>
              </m:oMath>
            </m:oMathPara>
          </w:p>
        </w:tc>
        <w:tc>
          <w:tcPr>
            <w:tcW w:w="1134" w:type="dxa"/>
            <w:tcMar>
              <w:left w:w="28" w:type="dxa"/>
              <w:right w:w="28" w:type="dxa"/>
            </w:tcMar>
            <w:vAlign w:val="center"/>
          </w:tcPr>
          <w:p w14:paraId="32480F68" w14:textId="328CDA6E" w:rsidR="005F3A2E" w:rsidRPr="005F3A2E" w:rsidRDefault="005F3A2E" w:rsidP="00E45E28">
            <w:pPr>
              <w:keepNext/>
              <w:jc w:val="right"/>
              <w:rPr>
                <w:bCs/>
                <w:sz w:val="20"/>
                <w:szCs w:val="20"/>
              </w:rPr>
            </w:pPr>
            <w:r w:rsidRPr="005F3A2E">
              <w:rPr>
                <w:sz w:val="20"/>
                <w:szCs w:val="20"/>
              </w:rPr>
              <w:t xml:space="preserve">Equation </w:t>
            </w:r>
            <w:r w:rsidRPr="005F3A2E">
              <w:rPr>
                <w:sz w:val="20"/>
                <w:szCs w:val="20"/>
              </w:rPr>
              <w:fldChar w:fldCharType="begin"/>
            </w:r>
            <w:r w:rsidRPr="005F3A2E">
              <w:rPr>
                <w:sz w:val="20"/>
                <w:szCs w:val="20"/>
              </w:rPr>
              <w:instrText xml:space="preserve"> SEQ Equation \* ARABIC </w:instrText>
            </w:r>
            <w:r w:rsidRPr="005F3A2E">
              <w:rPr>
                <w:sz w:val="20"/>
                <w:szCs w:val="20"/>
              </w:rPr>
              <w:fldChar w:fldCharType="separate"/>
            </w:r>
            <w:r w:rsidR="00B7319C">
              <w:rPr>
                <w:noProof/>
                <w:sz w:val="20"/>
                <w:szCs w:val="20"/>
              </w:rPr>
              <w:t>111</w:t>
            </w:r>
            <w:r w:rsidRPr="005F3A2E">
              <w:rPr>
                <w:sz w:val="20"/>
                <w:szCs w:val="20"/>
              </w:rPr>
              <w:fldChar w:fldCharType="end"/>
            </w:r>
          </w:p>
        </w:tc>
      </w:tr>
      <w:tr w:rsidR="005F3A2E" w:rsidRPr="005F3A2E" w14:paraId="6E7E212A" w14:textId="77777777" w:rsidTr="00DE0988">
        <w:tc>
          <w:tcPr>
            <w:tcW w:w="7938" w:type="dxa"/>
            <w:tcMar>
              <w:left w:w="28" w:type="dxa"/>
              <w:right w:w="28" w:type="dxa"/>
            </w:tcMar>
            <w:vAlign w:val="center"/>
          </w:tcPr>
          <w:p w14:paraId="5F08A80A" w14:textId="46E18722" w:rsidR="005F3A2E" w:rsidRPr="005F3A2E" w:rsidRDefault="00000000" w:rsidP="00E45E28">
            <w:pPr>
              <w:spacing w:before="60" w:after="60"/>
              <w:rPr>
                <w:bCs/>
                <w:sz w:val="20"/>
                <w:szCs w:val="20"/>
              </w:rPr>
            </w:pPr>
            <m:oMathPara>
              <m:oMath>
                <m:sSubSup>
                  <m:sSubSupPr>
                    <m:ctrlPr>
                      <w:rPr>
                        <w:rFonts w:ascii="Cambria Math" w:eastAsiaTheme="minorEastAsia" w:hAnsi="Cambria Math"/>
                        <w:i/>
                        <w:sz w:val="20"/>
                        <w:szCs w:val="20"/>
                      </w:rPr>
                    </m:ctrlPr>
                  </m:sSubSupPr>
                  <m:e>
                    <m:r>
                      <w:rPr>
                        <w:rFonts w:ascii="Cambria Math" w:eastAsiaTheme="minorEastAsia" w:hAnsi="Cambria Math"/>
                        <w:sz w:val="20"/>
                        <w:szCs w:val="20"/>
                      </w:rPr>
                      <m:t>G</m:t>
                    </m:r>
                  </m:e>
                  <m:sub>
                    <m:r>
                      <w:rPr>
                        <w:rFonts w:ascii="Cambria Math" w:eastAsiaTheme="minorEastAsia" w:hAnsi="Cambria Math"/>
                        <w:sz w:val="20"/>
                        <w:szCs w:val="20"/>
                      </w:rPr>
                      <m:t>a,i</m:t>
                    </m:r>
                  </m:sub>
                  <m:sup>
                    <m:r>
                      <w:rPr>
                        <w:rFonts w:ascii="Cambria Math" w:eastAsiaTheme="minorEastAsia" w:hAnsi="Cambria Math"/>
                        <w:sz w:val="20"/>
                        <w:szCs w:val="20"/>
                      </w:rPr>
                      <m:t>f</m:t>
                    </m:r>
                  </m:sup>
                </m:sSubSup>
                <m:r>
                  <w:rPr>
                    <w:rFonts w:ascii="Cambria Math" w:eastAsiaTheme="minorEastAsia" w:hAnsi="Cambria Math"/>
                    <w:sz w:val="20"/>
                    <w:szCs w:val="20"/>
                  </w:rPr>
                  <m:t>=</m:t>
                </m:r>
                <m:sSubSup>
                  <m:sSubSupPr>
                    <m:ctrlPr>
                      <w:rPr>
                        <w:rFonts w:ascii="Cambria Math" w:eastAsiaTheme="minorEastAsia" w:hAnsi="Cambria Math"/>
                        <w:i/>
                        <w:sz w:val="20"/>
                        <w:szCs w:val="20"/>
                      </w:rPr>
                    </m:ctrlPr>
                  </m:sSubSupPr>
                  <m:e>
                    <m:r>
                      <w:rPr>
                        <w:rFonts w:ascii="Cambria Math" w:eastAsiaTheme="minorEastAsia" w:hAnsi="Cambria Math"/>
                        <w:sz w:val="20"/>
                        <w:szCs w:val="20"/>
                      </w:rPr>
                      <m:t>G</m:t>
                    </m:r>
                  </m:e>
                  <m:sub>
                    <m:r>
                      <w:rPr>
                        <w:rFonts w:ascii="Cambria Math" w:eastAsiaTheme="minorEastAsia" w:hAnsi="Cambria Math"/>
                        <w:sz w:val="20"/>
                        <w:szCs w:val="20"/>
                      </w:rPr>
                      <m:t>a,i</m:t>
                    </m:r>
                  </m:sub>
                  <m:sup>
                    <m:r>
                      <w:rPr>
                        <w:rFonts w:ascii="Cambria Math" w:eastAsiaTheme="minorEastAsia" w:hAnsi="Cambria Math"/>
                        <w:sz w:val="20"/>
                        <w:szCs w:val="20"/>
                      </w:rPr>
                      <m:t>0</m:t>
                    </m:r>
                  </m:sup>
                </m:sSubSup>
                <m:r>
                  <w:rPr>
                    <w:rFonts w:ascii="Cambria Math" w:eastAsiaTheme="minorEastAsia" w:hAnsi="Cambria Math"/>
                    <w:sz w:val="20"/>
                    <w:szCs w:val="20"/>
                  </w:rPr>
                  <m:t>+</m:t>
                </m:r>
                <m:sSub>
                  <m:sSubPr>
                    <m:ctrlPr>
                      <w:rPr>
                        <w:rFonts w:ascii="Cambria Math" w:eastAsiaTheme="minorEastAsia" w:hAnsi="Cambria Math"/>
                        <w:i/>
                        <w:sz w:val="20"/>
                        <w:szCs w:val="20"/>
                      </w:rPr>
                    </m:ctrlPr>
                  </m:sSubPr>
                  <m:e>
                    <m:r>
                      <w:rPr>
                        <w:rFonts w:ascii="Cambria Math" w:eastAsiaTheme="minorEastAsia" w:hAnsi="Cambria Math"/>
                        <w:sz w:val="20"/>
                        <w:szCs w:val="20"/>
                      </w:rPr>
                      <m:t>β</m:t>
                    </m:r>
                  </m:e>
                  <m:sub>
                    <m:r>
                      <w:rPr>
                        <w:rFonts w:ascii="Cambria Math" w:eastAsiaTheme="minorEastAsia" w:hAnsi="Cambria Math"/>
                        <w:sz w:val="20"/>
                        <w:szCs w:val="20"/>
                      </w:rPr>
                      <m:t>i</m:t>
                    </m:r>
                  </m:sub>
                </m:sSub>
                <m:r>
                  <m:rPr>
                    <m:sty m:val="p"/>
                  </m:rPr>
                  <w:rPr>
                    <w:rFonts w:ascii="Cambria Math" w:eastAsiaTheme="minorEastAsia" w:hAnsi="Cambria Math"/>
                    <w:sz w:val="20"/>
                    <w:szCs w:val="20"/>
                  </w:rPr>
                  <m:t>ΔΔ</m:t>
                </m:r>
                <m:sSub>
                  <m:sSubPr>
                    <m:ctrlPr>
                      <w:rPr>
                        <w:rFonts w:ascii="Cambria Math" w:eastAsiaTheme="minorEastAsia" w:hAnsi="Cambria Math"/>
                        <w:i/>
                        <w:sz w:val="20"/>
                        <w:szCs w:val="20"/>
                      </w:rPr>
                    </m:ctrlPr>
                  </m:sSubPr>
                  <m:e>
                    <m:r>
                      <w:rPr>
                        <w:rFonts w:ascii="Cambria Math" w:eastAsiaTheme="minorEastAsia" w:hAnsi="Cambria Math"/>
                        <w:sz w:val="20"/>
                        <w:szCs w:val="20"/>
                      </w:rPr>
                      <m:t>G</m:t>
                    </m:r>
                  </m:e>
                  <m:sub>
                    <m:r>
                      <w:rPr>
                        <w:rFonts w:ascii="Cambria Math" w:eastAsiaTheme="minorEastAsia" w:hAnsi="Cambria Math"/>
                        <w:sz w:val="20"/>
                        <w:szCs w:val="20"/>
                      </w:rPr>
                      <m:t>i</m:t>
                    </m:r>
                  </m:sub>
                </m:sSub>
                <m:r>
                  <w:rPr>
                    <w:rFonts w:ascii="Cambria Math" w:eastAsiaTheme="minorEastAsia" w:hAnsi="Cambria Math"/>
                    <w:sz w:val="20"/>
                    <w:szCs w:val="20"/>
                  </w:rPr>
                  <m:t xml:space="preserve">,   </m:t>
                </m:r>
                <m:sSubSup>
                  <m:sSubSupPr>
                    <m:ctrlPr>
                      <w:rPr>
                        <w:rFonts w:ascii="Cambria Math" w:eastAsiaTheme="minorEastAsia" w:hAnsi="Cambria Math"/>
                        <w:i/>
                        <w:sz w:val="20"/>
                        <w:szCs w:val="20"/>
                      </w:rPr>
                    </m:ctrlPr>
                  </m:sSubSupPr>
                  <m:e>
                    <m:r>
                      <w:rPr>
                        <w:rFonts w:ascii="Cambria Math" w:eastAsiaTheme="minorEastAsia" w:hAnsi="Cambria Math"/>
                        <w:sz w:val="20"/>
                        <w:szCs w:val="20"/>
                      </w:rPr>
                      <m:t>G</m:t>
                    </m:r>
                  </m:e>
                  <m:sub>
                    <m:r>
                      <w:rPr>
                        <w:rFonts w:ascii="Cambria Math" w:eastAsiaTheme="minorEastAsia" w:hAnsi="Cambria Math"/>
                        <w:sz w:val="20"/>
                        <w:szCs w:val="20"/>
                      </w:rPr>
                      <m:t>a,i</m:t>
                    </m:r>
                  </m:sub>
                  <m:sup>
                    <m:r>
                      <w:rPr>
                        <w:rFonts w:ascii="Cambria Math" w:eastAsiaTheme="minorEastAsia" w:hAnsi="Cambria Math"/>
                        <w:sz w:val="20"/>
                        <w:szCs w:val="20"/>
                      </w:rPr>
                      <m:t>b</m:t>
                    </m:r>
                  </m:sup>
                </m:sSubSup>
                <m:r>
                  <w:rPr>
                    <w:rFonts w:ascii="Cambria Math" w:eastAsiaTheme="minorEastAsia" w:hAnsi="Cambria Math"/>
                    <w:sz w:val="20"/>
                    <w:szCs w:val="20"/>
                  </w:rPr>
                  <m:t>=</m:t>
                </m:r>
                <m:sSubSup>
                  <m:sSubSupPr>
                    <m:ctrlPr>
                      <w:rPr>
                        <w:rFonts w:ascii="Cambria Math" w:eastAsiaTheme="minorEastAsia" w:hAnsi="Cambria Math"/>
                        <w:i/>
                        <w:sz w:val="20"/>
                        <w:szCs w:val="20"/>
                      </w:rPr>
                    </m:ctrlPr>
                  </m:sSubSupPr>
                  <m:e>
                    <m:r>
                      <w:rPr>
                        <w:rFonts w:ascii="Cambria Math" w:eastAsiaTheme="minorEastAsia" w:hAnsi="Cambria Math"/>
                        <w:sz w:val="20"/>
                        <w:szCs w:val="20"/>
                      </w:rPr>
                      <m:t>G</m:t>
                    </m:r>
                  </m:e>
                  <m:sub>
                    <m:r>
                      <w:rPr>
                        <w:rFonts w:ascii="Cambria Math" w:eastAsiaTheme="minorEastAsia" w:hAnsi="Cambria Math"/>
                        <w:sz w:val="20"/>
                        <w:szCs w:val="20"/>
                      </w:rPr>
                      <m:t>a,i</m:t>
                    </m:r>
                  </m:sub>
                  <m:sup>
                    <m:r>
                      <w:rPr>
                        <w:rFonts w:ascii="Cambria Math" w:eastAsiaTheme="minorEastAsia" w:hAnsi="Cambria Math"/>
                        <w:sz w:val="20"/>
                        <w:szCs w:val="20"/>
                      </w:rPr>
                      <m:t>0</m:t>
                    </m:r>
                  </m:sup>
                </m:sSubSup>
                <m:r>
                  <w:rPr>
                    <w:rFonts w:ascii="Cambria Math" w:eastAsiaTheme="minorEastAsia" w:hAnsi="Cambria Math"/>
                    <w:sz w:val="20"/>
                    <w:szCs w:val="20"/>
                  </w:rPr>
                  <m:t>+(1-</m:t>
                </m:r>
                <m:sSub>
                  <m:sSubPr>
                    <m:ctrlPr>
                      <w:rPr>
                        <w:rFonts w:ascii="Cambria Math" w:eastAsiaTheme="minorEastAsia" w:hAnsi="Cambria Math"/>
                        <w:i/>
                        <w:sz w:val="20"/>
                        <w:szCs w:val="20"/>
                      </w:rPr>
                    </m:ctrlPr>
                  </m:sSubPr>
                  <m:e>
                    <m:r>
                      <w:rPr>
                        <w:rFonts w:ascii="Cambria Math" w:eastAsiaTheme="minorEastAsia" w:hAnsi="Cambria Math"/>
                        <w:sz w:val="20"/>
                        <w:szCs w:val="20"/>
                      </w:rPr>
                      <m:t>β</m:t>
                    </m:r>
                  </m:e>
                  <m:sub>
                    <m:r>
                      <w:rPr>
                        <w:rFonts w:ascii="Cambria Math" w:eastAsiaTheme="minorEastAsia" w:hAnsi="Cambria Math"/>
                        <w:sz w:val="20"/>
                        <w:szCs w:val="20"/>
                      </w:rPr>
                      <m:t>i</m:t>
                    </m:r>
                  </m:sub>
                </m:sSub>
                <m:r>
                  <m:rPr>
                    <m:sty m:val="p"/>
                  </m:rPr>
                  <w:rPr>
                    <w:rFonts w:ascii="Cambria Math" w:eastAsiaTheme="minorEastAsia" w:hAnsi="Cambria Math"/>
                    <w:sz w:val="20"/>
                    <w:szCs w:val="20"/>
                  </w:rPr>
                  <m:t>)ΔΔ</m:t>
                </m:r>
                <m:sSub>
                  <m:sSubPr>
                    <m:ctrlPr>
                      <w:rPr>
                        <w:rFonts w:ascii="Cambria Math" w:eastAsiaTheme="minorEastAsia" w:hAnsi="Cambria Math"/>
                        <w:i/>
                        <w:sz w:val="20"/>
                        <w:szCs w:val="20"/>
                      </w:rPr>
                    </m:ctrlPr>
                  </m:sSubPr>
                  <m:e>
                    <m:r>
                      <w:rPr>
                        <w:rFonts w:ascii="Cambria Math" w:eastAsiaTheme="minorEastAsia" w:hAnsi="Cambria Math"/>
                        <w:sz w:val="20"/>
                        <w:szCs w:val="20"/>
                      </w:rPr>
                      <m:t>G</m:t>
                    </m:r>
                  </m:e>
                  <m:sub>
                    <m:r>
                      <w:rPr>
                        <w:rFonts w:ascii="Cambria Math" w:eastAsiaTheme="minorEastAsia" w:hAnsi="Cambria Math"/>
                        <w:sz w:val="20"/>
                        <w:szCs w:val="20"/>
                      </w:rPr>
                      <m:t>i</m:t>
                    </m:r>
                  </m:sub>
                </m:sSub>
                <m:r>
                  <w:rPr>
                    <w:rFonts w:ascii="Cambria Math" w:eastAsiaTheme="minorEastAsia" w:hAnsi="Cambria Math"/>
                    <w:sz w:val="20"/>
                    <w:szCs w:val="20"/>
                  </w:rPr>
                  <m:t>,</m:t>
                </m:r>
              </m:oMath>
            </m:oMathPara>
          </w:p>
        </w:tc>
        <w:tc>
          <w:tcPr>
            <w:tcW w:w="1134" w:type="dxa"/>
            <w:tcMar>
              <w:left w:w="28" w:type="dxa"/>
              <w:right w:w="28" w:type="dxa"/>
            </w:tcMar>
            <w:vAlign w:val="center"/>
          </w:tcPr>
          <w:p w14:paraId="6A237CF8" w14:textId="47D1136F" w:rsidR="005F3A2E" w:rsidRPr="005F3A2E" w:rsidRDefault="005F3A2E" w:rsidP="00E45E28">
            <w:pPr>
              <w:keepNext/>
              <w:jc w:val="right"/>
              <w:rPr>
                <w:bCs/>
                <w:sz w:val="20"/>
                <w:szCs w:val="20"/>
              </w:rPr>
            </w:pPr>
            <w:r w:rsidRPr="005F3A2E">
              <w:rPr>
                <w:sz w:val="20"/>
                <w:szCs w:val="20"/>
              </w:rPr>
              <w:t xml:space="preserve">Equation </w:t>
            </w:r>
            <w:r w:rsidRPr="005F3A2E">
              <w:rPr>
                <w:sz w:val="20"/>
                <w:szCs w:val="20"/>
              </w:rPr>
              <w:fldChar w:fldCharType="begin"/>
            </w:r>
            <w:r w:rsidRPr="005F3A2E">
              <w:rPr>
                <w:sz w:val="20"/>
                <w:szCs w:val="20"/>
              </w:rPr>
              <w:instrText xml:space="preserve"> SEQ Equation \* ARABIC </w:instrText>
            </w:r>
            <w:r w:rsidRPr="005F3A2E">
              <w:rPr>
                <w:sz w:val="20"/>
                <w:szCs w:val="20"/>
              </w:rPr>
              <w:fldChar w:fldCharType="separate"/>
            </w:r>
            <w:r w:rsidR="00B7319C">
              <w:rPr>
                <w:noProof/>
                <w:sz w:val="20"/>
                <w:szCs w:val="20"/>
              </w:rPr>
              <w:t>112</w:t>
            </w:r>
            <w:r w:rsidRPr="005F3A2E">
              <w:rPr>
                <w:sz w:val="20"/>
                <w:szCs w:val="20"/>
              </w:rPr>
              <w:fldChar w:fldCharType="end"/>
            </w:r>
          </w:p>
        </w:tc>
      </w:tr>
    </w:tbl>
    <w:p w14:paraId="17F9201C" w14:textId="6C31B6E6" w:rsidR="006C1C9C" w:rsidRDefault="006C1C9C" w:rsidP="006C1C9C">
      <w:pPr>
        <w:rPr>
          <w:rFonts w:eastAsiaTheme="minorEastAsia"/>
        </w:rPr>
      </w:pPr>
      <w:r>
        <w:rPr>
          <w:rFonts w:eastAsiaTheme="minorEastAsia"/>
        </w:rPr>
        <w:t xml:space="preserve">where </w:t>
      </w:r>
      <w:r w:rsidRPr="000B16B4">
        <w:rPr>
          <w:rFonts w:eastAsiaTheme="minorEastAsia"/>
          <w:i/>
        </w:rPr>
        <w:t>f</w:t>
      </w:r>
      <w:r>
        <w:rPr>
          <w:rFonts w:eastAsiaTheme="minorEastAsia"/>
        </w:rPr>
        <w:t xml:space="preserve"> and</w:t>
      </w:r>
      <w:r w:rsidRPr="000B16B4">
        <w:rPr>
          <w:rFonts w:eastAsiaTheme="minorEastAsia"/>
          <w:i/>
        </w:rPr>
        <w:t xml:space="preserve"> b</w:t>
      </w:r>
      <w:r>
        <w:rPr>
          <w:rFonts w:eastAsiaTheme="minorEastAsia"/>
        </w:rPr>
        <w:t xml:space="preserve"> indicate the forward and backward reaction, </w:t>
      </w:r>
      <m:oMath>
        <m:sSubSup>
          <m:sSubSupPr>
            <m:ctrlPr>
              <w:rPr>
                <w:rFonts w:ascii="Cambria Math" w:eastAsiaTheme="minorEastAsia" w:hAnsi="Cambria Math"/>
                <w:i/>
              </w:rPr>
            </m:ctrlPr>
          </m:sSubSupPr>
          <m:e>
            <m:r>
              <w:rPr>
                <w:rFonts w:ascii="Cambria Math" w:eastAsiaTheme="minorEastAsia" w:hAnsi="Cambria Math"/>
              </w:rPr>
              <m:t>G</m:t>
            </m:r>
          </m:e>
          <m:sub>
            <m:r>
              <w:rPr>
                <w:rFonts w:ascii="Cambria Math" w:eastAsiaTheme="minorEastAsia" w:hAnsi="Cambria Math"/>
              </w:rPr>
              <m:t>a,i</m:t>
            </m:r>
          </m:sub>
          <m:sup>
            <m:r>
              <w:rPr>
                <w:rFonts w:ascii="Cambria Math" w:eastAsiaTheme="minorEastAsia" w:hAnsi="Cambria Math"/>
              </w:rPr>
              <m:t>0</m:t>
            </m:r>
          </m:sup>
        </m:sSubSup>
        <m:r>
          <w:rPr>
            <w:rFonts w:ascii="Cambria Math" w:eastAsiaTheme="minorEastAsia" w:hAnsi="Cambria Math"/>
          </w:rPr>
          <m:t xml:space="preserve"> </m:t>
        </m:r>
      </m:oMath>
      <w:r>
        <w:rPr>
          <w:rFonts w:eastAsiaTheme="minorEastAsia"/>
        </w:rPr>
        <w:t xml:space="preserve">is the activation energy at equilibrium conditions, </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i</m:t>
            </m:r>
          </m:sub>
        </m:sSub>
      </m:oMath>
      <w:r>
        <w:rPr>
          <w:rFonts w:eastAsiaTheme="minorEastAsia"/>
        </w:rPr>
        <w:t xml:space="preserve"> is the symmetry factor and </w:t>
      </w:r>
      <m:oMath>
        <m:r>
          <m:rPr>
            <m:sty m:val="p"/>
          </m:rPr>
          <w:rPr>
            <w:rFonts w:ascii="Cambria Math" w:eastAsiaTheme="minorEastAsia" w:hAnsi="Cambria Math"/>
          </w:rPr>
          <m:t>ΔΔ</m:t>
        </m:r>
        <m:sSub>
          <m:sSubPr>
            <m:ctrlPr>
              <w:rPr>
                <w:rFonts w:ascii="Cambria Math" w:eastAsiaTheme="minorEastAsia" w:hAnsi="Cambria Math"/>
                <w:i/>
              </w:rPr>
            </m:ctrlPr>
          </m:sSubPr>
          <m:e>
            <m:r>
              <w:rPr>
                <w:rFonts w:ascii="Cambria Math" w:eastAsiaTheme="minorEastAsia" w:hAnsi="Cambria Math"/>
              </w:rPr>
              <m:t>G</m:t>
            </m:r>
          </m:e>
          <m:sub>
            <m:r>
              <w:rPr>
                <w:rFonts w:ascii="Cambria Math" w:eastAsiaTheme="minorEastAsia" w:hAnsi="Cambria Math"/>
              </w:rPr>
              <m:t>i</m:t>
            </m:r>
          </m:sub>
        </m:sSub>
      </m:oMath>
      <w:r>
        <w:rPr>
          <w:rFonts w:eastAsiaTheme="minorEastAsia"/>
        </w:rPr>
        <w:t xml:space="preserve"> is the variation of the reaction energy with respect </w:t>
      </w:r>
      <w:r w:rsidR="00E35D73">
        <w:rPr>
          <w:rFonts w:eastAsiaTheme="minorEastAsia"/>
        </w:rPr>
        <w:t xml:space="preserve">to </w:t>
      </w:r>
      <w:r>
        <w:rPr>
          <w:rFonts w:eastAsiaTheme="minorEastAsia"/>
        </w:rPr>
        <w:t>equilibrium, which include the effects of the bias (</w:t>
      </w:r>
      <w:r w:rsidRPr="00A769EC">
        <w:rPr>
          <w:rFonts w:eastAsiaTheme="minorEastAsia"/>
          <w:i/>
        </w:rPr>
        <w:t>a la</w:t>
      </w:r>
      <w:r>
        <w:rPr>
          <w:rFonts w:eastAsiaTheme="minorEastAsia"/>
        </w:rPr>
        <w:t xml:space="preserve"> </w:t>
      </w:r>
      <w:r>
        <w:rPr>
          <w:rFonts w:eastAsiaTheme="minorEastAsia"/>
          <w:color w:val="000000" w:themeColor="text1"/>
        </w:rPr>
        <w:t>Butler-Volmer</w:t>
      </w:r>
      <w:r>
        <w:rPr>
          <w:rFonts w:eastAsiaTheme="minorEastAsia"/>
        </w:rPr>
        <w:t>), of the coverages (</w:t>
      </w:r>
      <w:r w:rsidRPr="00A769EC">
        <w:rPr>
          <w:rFonts w:eastAsiaTheme="minorEastAsia"/>
          <w:i/>
        </w:rPr>
        <w:t>a la</w:t>
      </w:r>
      <w:r>
        <w:rPr>
          <w:rFonts w:eastAsiaTheme="minorEastAsia"/>
        </w:rPr>
        <w:t xml:space="preserve"> </w:t>
      </w:r>
      <w:proofErr w:type="spellStart"/>
      <w:r w:rsidRPr="00A769EC">
        <w:rPr>
          <w:rFonts w:eastAsiaTheme="minorEastAsia"/>
        </w:rPr>
        <w:t>Br</w:t>
      </w:r>
      <w:r>
        <w:rPr>
          <w:rFonts w:eastAsiaTheme="minorEastAsia"/>
        </w:rPr>
        <w:t>ø</w:t>
      </w:r>
      <w:r w:rsidRPr="00A769EC">
        <w:rPr>
          <w:rFonts w:eastAsiaTheme="minorEastAsia"/>
        </w:rPr>
        <w:t>nsted</w:t>
      </w:r>
      <w:proofErr w:type="spellEnd"/>
      <w:r w:rsidRPr="00A769EC">
        <w:rPr>
          <w:rFonts w:eastAsiaTheme="minorEastAsia"/>
        </w:rPr>
        <w:t>−Evans−Polanyi</w:t>
      </w:r>
      <w:r>
        <w:rPr>
          <w:rFonts w:eastAsiaTheme="minorEastAsia"/>
        </w:rPr>
        <w:t xml:space="preserve">) and of the electric field in the double layer. The effects of the double layer are modeled via a Poisson-Boltzmann type of equation that include an electric field dependence of local dielectric constant. The properties of the electrolyte considered in the model enter via the relative size of the solvated cations. The reaction energies of the elementary steps are computed with the CHE approach, the symmetry factors are fixed to 0.5, activation energies at equilibrium potential are fitted, and the charges and dipoles of the adsorbates are also fitted.  </w:t>
      </w:r>
    </w:p>
    <w:p w14:paraId="4B51972E" w14:textId="3B7A5274" w:rsidR="006C1C9C" w:rsidRDefault="006C1C9C" w:rsidP="001C1AC5">
      <w:pPr>
        <w:keepNext/>
        <w:jc w:val="center"/>
      </w:pPr>
      <w:r>
        <w:rPr>
          <w:noProof/>
        </w:rPr>
        <w:drawing>
          <wp:inline distT="0" distB="0" distL="0" distR="0" wp14:anchorId="763C96B8" wp14:editId="4799A8E0">
            <wp:extent cx="4149115" cy="2880000"/>
            <wp:effectExtent l="0" t="0" r="3810" b="317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Huang_JACS2021_Fig2_exp_big.jp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4149115" cy="2880000"/>
                    </a:xfrm>
                    <a:prstGeom prst="rect">
                      <a:avLst/>
                    </a:prstGeom>
                  </pic:spPr>
                </pic:pic>
              </a:graphicData>
            </a:graphic>
          </wp:inline>
        </w:drawing>
      </w:r>
    </w:p>
    <w:p w14:paraId="4262BC29" w14:textId="63F01F9E" w:rsidR="0054349E" w:rsidRPr="0022568C" w:rsidRDefault="006C1C9C" w:rsidP="0054349E">
      <w:pPr>
        <w:pStyle w:val="Caption"/>
      </w:pPr>
      <w:bookmarkStart w:id="175" w:name="_Ref156565119"/>
      <w:r w:rsidRPr="00EC6677">
        <w:rPr>
          <w:b/>
          <w:bCs w:val="0"/>
          <w:sz w:val="22"/>
        </w:rPr>
        <w:t xml:space="preserve">Figure </w:t>
      </w:r>
      <w:r w:rsidRPr="00EC6677">
        <w:rPr>
          <w:b/>
          <w:bCs w:val="0"/>
          <w:sz w:val="22"/>
        </w:rPr>
        <w:fldChar w:fldCharType="begin"/>
      </w:r>
      <w:r w:rsidRPr="00EC6677">
        <w:rPr>
          <w:b/>
          <w:bCs w:val="0"/>
          <w:sz w:val="22"/>
        </w:rPr>
        <w:instrText xml:space="preserve"> SEQ Figure \* ARABIC </w:instrText>
      </w:r>
      <w:r w:rsidRPr="00EC6677">
        <w:rPr>
          <w:b/>
          <w:bCs w:val="0"/>
          <w:sz w:val="22"/>
        </w:rPr>
        <w:fldChar w:fldCharType="separate"/>
      </w:r>
      <w:r w:rsidR="00B7319C">
        <w:rPr>
          <w:b/>
          <w:bCs w:val="0"/>
          <w:noProof/>
          <w:sz w:val="22"/>
        </w:rPr>
        <w:t>65</w:t>
      </w:r>
      <w:r w:rsidRPr="00EC6677">
        <w:rPr>
          <w:b/>
          <w:bCs w:val="0"/>
          <w:noProof/>
          <w:sz w:val="22"/>
        </w:rPr>
        <w:fldChar w:fldCharType="end"/>
      </w:r>
      <w:bookmarkEnd w:id="175"/>
      <w:r w:rsidRPr="0066172C">
        <w:t xml:space="preserve"> Model-experiment comparison. (a) Model-calculated polarization curves for OER in 0.1 MOH (M = Li</w:t>
      </w:r>
      <w:r w:rsidRPr="0066172C">
        <w:rPr>
          <w:vertAlign w:val="superscript"/>
        </w:rPr>
        <w:t>+</w:t>
      </w:r>
      <w:r w:rsidRPr="0066172C">
        <w:t>, Na</w:t>
      </w:r>
      <w:r w:rsidRPr="0066172C">
        <w:rPr>
          <w:vertAlign w:val="superscript"/>
        </w:rPr>
        <w:t>+</w:t>
      </w:r>
      <w:r w:rsidRPr="0066172C">
        <w:t>, Cs</w:t>
      </w:r>
      <w:r w:rsidRPr="0066172C">
        <w:rPr>
          <w:vertAlign w:val="superscript"/>
        </w:rPr>
        <w:t>+</w:t>
      </w:r>
      <w:r w:rsidRPr="0066172C">
        <w:t>) with model parameters listed in Table 1. (b) Experimental polarization curves under the same condition measured by Michael et al. (24) (c) Four resistance terms as a function of the electrode potential for the case of M = Li</w:t>
      </w:r>
      <w:r w:rsidRPr="0066172C">
        <w:rPr>
          <w:vertAlign w:val="superscript"/>
        </w:rPr>
        <w:t>+</w:t>
      </w:r>
      <w:r w:rsidRPr="0066172C">
        <w:t>. (d) Rate-determining resistance above 1.6 VRHE,</w:t>
      </w:r>
      <w:r>
        <w:t xml:space="preserve"> </w:t>
      </w:r>
      <w:r w:rsidRPr="0066172C">
        <w:t>for different cations.</w:t>
      </w:r>
      <w:r>
        <w:t xml:space="preserve"> Adapted</w:t>
      </w:r>
      <w:r w:rsidR="00EA080B">
        <w:t xml:space="preserve"> </w:t>
      </w:r>
      <w:r>
        <w:t xml:space="preserve">from </w:t>
      </w:r>
      <w:r w:rsidRPr="0066172C">
        <w:t>Ref.</w:t>
      </w:r>
      <w:r>
        <w:fldChar w:fldCharType="begin"/>
      </w:r>
      <w:r w:rsidR="00FC5BEB">
        <w:instrText xml:space="preserve"> ADDIN EN.CITE &lt;EndNote&gt;&lt;Cite&gt;&lt;Author&gt;Huang&lt;/Author&gt;&lt;Year&gt;2021&lt;/Year&gt;&lt;RecNum&gt;527&lt;/RecNum&gt;&lt;DisplayText&gt;&lt;style face="superscript"&gt;529&lt;/style&gt;&lt;/DisplayText&gt;&lt;record&gt;&lt;rec-number&gt;527&lt;/rec-number&gt;&lt;foreign-keys&gt;&lt;key app="EN" db-id="2xex0erf4eexr4e2dpbxpdd829xttesxxxdr" timestamp="1715075297"&gt;527&lt;/key&gt;&lt;/foreign-keys&gt;&lt;ref-type name="Journal Article"&gt;17&lt;/ref-type&gt;&lt;contributors&gt;&lt;authors&gt;&lt;author&gt;Huang, Jun&lt;/author&gt;&lt;author&gt;Li, Mengru&lt;/author&gt;&lt;author&gt;Eslamibidgoli, Mohammad J.&lt;/author&gt;&lt;author&gt;Eikerling, Michael&lt;/author&gt;&lt;author&gt;Groß, Axel&lt;/author&gt;&lt;/authors&gt;&lt;/contributors&gt;&lt;titles&gt;&lt;title&gt;Cation Overcrowding Effect on the Oxygen Evolution Reaction&lt;/title&gt;&lt;secondary-title&gt;JACS Au&lt;/secondary-title&gt;&lt;/titles&gt;&lt;pages&gt;1752-1765&lt;/pages&gt;&lt;volume&gt;1&lt;/volume&gt;&lt;number&gt;10&lt;/number&gt;&lt;keywords&gt;&lt;keyword&gt;Electric double layer&lt;/keyword&gt;&lt;keyword&gt;Electrolyte cation effects&lt;/keyword&gt;&lt;keyword&gt;Hydrogen production&lt;/keyword&gt;&lt;keyword&gt;Local reaction condition&lt;/keyword&gt;&lt;keyword&gt;Oxygen evolution reaction&lt;/keyword&gt;&lt;keyword&gt;Surface charging effects&lt;/keyword&gt;&lt;/keywords&gt;&lt;dates&gt;&lt;year&gt;2021&lt;/year&gt;&lt;/dates&gt;&lt;urls&gt;&lt;related-urls&gt;&lt;url&gt;https://www.ncbi.nlm.nih.gov/pmc/articles/PMC8549051/pdf/au1c00315.pdf&lt;/url&gt;&lt;/related-urls&gt;&lt;pdf-urls&gt;&lt;url&gt;file://localhost/localhost/Users/piccinin/Literature/huang-et-al-2021-cation-overcrowding-effect-on-the-oxygen-evolution-reaction.pdf&lt;/url&gt;&lt;/pdf-urls&gt;&lt;/urls&gt;&lt;electronic-resource-num&gt;10.1021/jacsau.1c00315&lt;/electronic-resource-num&gt;&lt;/record&gt;&lt;/Cite&gt;&lt;/EndNote&gt;</w:instrText>
      </w:r>
      <w:r>
        <w:fldChar w:fldCharType="separate"/>
      </w:r>
      <w:r w:rsidR="00FC5BEB" w:rsidRPr="00FC5BEB">
        <w:rPr>
          <w:noProof/>
          <w:vertAlign w:val="superscript"/>
        </w:rPr>
        <w:t>529</w:t>
      </w:r>
      <w:r>
        <w:fldChar w:fldCharType="end"/>
      </w:r>
      <w:r w:rsidR="0054349E">
        <w:t xml:space="preserve"> </w:t>
      </w:r>
      <w:r w:rsidR="0054349E" w:rsidRPr="00CF52AD">
        <w:rPr>
          <w:lang w:val="en-US"/>
        </w:rPr>
        <w:t xml:space="preserve">under the Creative Commons Attribution </w:t>
      </w:r>
      <w:r w:rsidR="0054349E">
        <w:rPr>
          <w:lang w:val="en-US"/>
        </w:rPr>
        <w:t>4</w:t>
      </w:r>
      <w:r w:rsidR="0054349E" w:rsidRPr="00CF52AD">
        <w:rPr>
          <w:lang w:val="en-US"/>
        </w:rPr>
        <w:t>.0 License</w:t>
      </w:r>
      <w:r w:rsidR="0054349E">
        <w:rPr>
          <w:lang w:val="en-US"/>
        </w:rPr>
        <w:t>.</w:t>
      </w:r>
    </w:p>
    <w:p w14:paraId="1421A4B8" w14:textId="0DF9E417" w:rsidR="006C1C9C" w:rsidRDefault="006C1C9C" w:rsidP="006C1C9C">
      <w:pPr>
        <w:pStyle w:val="Caption"/>
        <w:rPr>
          <w:rFonts w:eastAsiaTheme="minorEastAsia"/>
        </w:rPr>
      </w:pPr>
    </w:p>
    <w:p w14:paraId="69B8D49F" w14:textId="0E1A54D9" w:rsidR="006C1C9C" w:rsidRDefault="006C1C9C" w:rsidP="006C1C9C">
      <w:pPr>
        <w:rPr>
          <w:rFonts w:eastAsiaTheme="minorEastAsia"/>
          <w:color w:val="000000" w:themeColor="text1"/>
        </w:rPr>
      </w:pPr>
      <w:r>
        <w:rPr>
          <w:rFonts w:eastAsiaTheme="minorEastAsia"/>
          <w:color w:val="000000" w:themeColor="text1"/>
        </w:rPr>
        <w:t xml:space="preserve">The model correctly reproduces the trends observed experimentally (see </w:t>
      </w:r>
      <w:r>
        <w:rPr>
          <w:rFonts w:eastAsiaTheme="minorEastAsia"/>
          <w:color w:val="000000" w:themeColor="text1"/>
        </w:rPr>
        <w:fldChar w:fldCharType="begin"/>
      </w:r>
      <w:r>
        <w:rPr>
          <w:rFonts w:eastAsiaTheme="minorEastAsia"/>
          <w:color w:val="000000" w:themeColor="text1"/>
        </w:rPr>
        <w:instrText xml:space="preserve"> REF _Ref156565119 \h </w:instrText>
      </w:r>
      <w:r>
        <w:rPr>
          <w:rFonts w:eastAsiaTheme="minorEastAsia"/>
          <w:color w:val="000000" w:themeColor="text1"/>
        </w:rPr>
      </w:r>
      <w:r>
        <w:rPr>
          <w:rFonts w:eastAsiaTheme="minorEastAsia"/>
          <w:color w:val="000000" w:themeColor="text1"/>
        </w:rPr>
        <w:fldChar w:fldCharType="separate"/>
      </w:r>
      <w:r w:rsidR="00B7319C" w:rsidRPr="00EC6677">
        <w:rPr>
          <w:b/>
        </w:rPr>
        <w:t xml:space="preserve">Figure </w:t>
      </w:r>
      <w:r w:rsidR="00B7319C">
        <w:rPr>
          <w:b/>
          <w:bCs/>
          <w:noProof/>
        </w:rPr>
        <w:t>65</w:t>
      </w:r>
      <w:r>
        <w:rPr>
          <w:rFonts w:eastAsiaTheme="minorEastAsia"/>
          <w:color w:val="000000" w:themeColor="text1"/>
        </w:rPr>
        <w:fldChar w:fldCharType="end"/>
      </w:r>
      <w:r>
        <w:rPr>
          <w:rFonts w:eastAsiaTheme="minorEastAsia"/>
          <w:color w:val="000000" w:themeColor="text1"/>
        </w:rPr>
        <w:t xml:space="preserve">). As the size of the cations increases, fewer cations accumulate near the surface, which results in an increase of the current density measured at fixed potential. The authors refer to this phenomenon as cation overcrowding. Interestingly, the RDS changes as a function of the applied bias (see </w:t>
      </w:r>
      <w:r>
        <w:rPr>
          <w:rFonts w:eastAsiaTheme="minorEastAsia"/>
          <w:color w:val="000000" w:themeColor="text1"/>
        </w:rPr>
        <w:fldChar w:fldCharType="begin"/>
      </w:r>
      <w:r>
        <w:rPr>
          <w:rFonts w:eastAsiaTheme="minorEastAsia"/>
          <w:color w:val="000000" w:themeColor="text1"/>
        </w:rPr>
        <w:instrText xml:space="preserve"> REF _Ref156565119 \h </w:instrText>
      </w:r>
      <w:r>
        <w:rPr>
          <w:rFonts w:eastAsiaTheme="minorEastAsia"/>
          <w:color w:val="000000" w:themeColor="text1"/>
        </w:rPr>
      </w:r>
      <w:r>
        <w:rPr>
          <w:rFonts w:eastAsiaTheme="minorEastAsia"/>
          <w:color w:val="000000" w:themeColor="text1"/>
        </w:rPr>
        <w:fldChar w:fldCharType="separate"/>
      </w:r>
      <w:r w:rsidR="00B7319C" w:rsidRPr="00EC6677">
        <w:rPr>
          <w:b/>
        </w:rPr>
        <w:t xml:space="preserve">Figure </w:t>
      </w:r>
      <w:r w:rsidR="00B7319C">
        <w:rPr>
          <w:b/>
          <w:bCs/>
          <w:noProof/>
        </w:rPr>
        <w:t>65</w:t>
      </w:r>
      <w:r>
        <w:rPr>
          <w:rFonts w:eastAsiaTheme="minorEastAsia"/>
          <w:color w:val="000000" w:themeColor="text1"/>
        </w:rPr>
        <w:fldChar w:fldCharType="end"/>
      </w:r>
      <w:r w:rsidRPr="00044BFD">
        <w:rPr>
          <w:rFonts w:eastAsiaTheme="minorEastAsia"/>
          <w:b/>
          <w:bCs/>
          <w:color w:val="000000" w:themeColor="text1"/>
        </w:rPr>
        <w:t>c</w:t>
      </w:r>
      <w:r>
        <w:rPr>
          <w:rFonts w:eastAsiaTheme="minorEastAsia"/>
          <w:color w:val="000000" w:themeColor="text1"/>
        </w:rPr>
        <w:t xml:space="preserve">). </w:t>
      </w:r>
    </w:p>
    <w:p w14:paraId="72C1D749" w14:textId="77777777" w:rsidR="006C1C9C" w:rsidRDefault="006C1C9C" w:rsidP="006C1C9C">
      <w:pPr>
        <w:keepNext/>
      </w:pPr>
      <w:r>
        <w:rPr>
          <w:noProof/>
        </w:rPr>
        <w:lastRenderedPageBreak/>
        <w:drawing>
          <wp:inline distT="0" distB="0" distL="0" distR="0" wp14:anchorId="764D295E" wp14:editId="7464518E">
            <wp:extent cx="5760000" cy="2412308"/>
            <wp:effectExtent l="0" t="0" r="0" b="127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Huang_JACS2021_Fig4_exp_big.jp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5760000" cy="2412308"/>
                    </a:xfrm>
                    <a:prstGeom prst="rect">
                      <a:avLst/>
                    </a:prstGeom>
                  </pic:spPr>
                </pic:pic>
              </a:graphicData>
            </a:graphic>
          </wp:inline>
        </w:drawing>
      </w:r>
    </w:p>
    <w:p w14:paraId="556A85E5" w14:textId="46B00B37" w:rsidR="00390E8E" w:rsidRPr="0022568C" w:rsidRDefault="006C1C9C" w:rsidP="00390E8E">
      <w:pPr>
        <w:pStyle w:val="Caption"/>
      </w:pPr>
      <w:bookmarkStart w:id="176" w:name="_Ref156565970"/>
      <w:r w:rsidRPr="00AB61EB">
        <w:rPr>
          <w:b/>
          <w:bCs w:val="0"/>
          <w:sz w:val="22"/>
        </w:rPr>
        <w:t xml:space="preserve">Figure </w:t>
      </w:r>
      <w:r w:rsidRPr="00AB61EB">
        <w:rPr>
          <w:b/>
          <w:bCs w:val="0"/>
          <w:sz w:val="22"/>
        </w:rPr>
        <w:fldChar w:fldCharType="begin"/>
      </w:r>
      <w:r w:rsidRPr="00AB61EB">
        <w:rPr>
          <w:b/>
          <w:bCs w:val="0"/>
          <w:sz w:val="22"/>
        </w:rPr>
        <w:instrText xml:space="preserve"> SEQ Figure \* ARABIC </w:instrText>
      </w:r>
      <w:r w:rsidRPr="00AB61EB">
        <w:rPr>
          <w:b/>
          <w:bCs w:val="0"/>
          <w:sz w:val="22"/>
        </w:rPr>
        <w:fldChar w:fldCharType="separate"/>
      </w:r>
      <w:r w:rsidR="00B7319C">
        <w:rPr>
          <w:b/>
          <w:bCs w:val="0"/>
          <w:noProof/>
          <w:sz w:val="22"/>
        </w:rPr>
        <w:t>66</w:t>
      </w:r>
      <w:r w:rsidRPr="00AB61EB">
        <w:rPr>
          <w:b/>
          <w:bCs w:val="0"/>
          <w:noProof/>
          <w:sz w:val="22"/>
        </w:rPr>
        <w:fldChar w:fldCharType="end"/>
      </w:r>
      <w:bookmarkEnd w:id="176"/>
      <w:r w:rsidR="00AB61EB">
        <w:t xml:space="preserve"> </w:t>
      </w:r>
      <w:r w:rsidRPr="00C35EF3">
        <w:t xml:space="preserve">(a) pH effect of the OER in x (x = 1, 0.1, 0.01) M </w:t>
      </w:r>
      <w:proofErr w:type="spellStart"/>
      <w:r w:rsidRPr="00C35EF3">
        <w:t>LiOH</w:t>
      </w:r>
      <w:proofErr w:type="spellEnd"/>
      <w:r w:rsidRPr="00C35EF3">
        <w:t xml:space="preserve"> with the total ionic strength kept at 1 M. (b) Surface charging relation for the three </w:t>
      </w:r>
      <w:proofErr w:type="spellStart"/>
      <w:r w:rsidRPr="00C35EF3">
        <w:t>pHs</w:t>
      </w:r>
      <w:proofErr w:type="spellEnd"/>
      <w:r w:rsidRPr="00C35EF3">
        <w:t>. (c) OH</w:t>
      </w:r>
      <w:r w:rsidRPr="00C35EF3">
        <w:rPr>
          <w:vertAlign w:val="superscript"/>
        </w:rPr>
        <w:t>–</w:t>
      </w:r>
      <w:r w:rsidRPr="00C35EF3">
        <w:t xml:space="preserve"> concentration at the reaction plane as a function of the electrode potential for the three </w:t>
      </w:r>
      <w:proofErr w:type="spellStart"/>
      <w:r w:rsidRPr="00C35EF3">
        <w:t>pHs</w:t>
      </w:r>
      <w:proofErr w:type="spellEnd"/>
      <w:r w:rsidRPr="00C35EF3">
        <w:t>.</w:t>
      </w:r>
      <w:r>
        <w:t xml:space="preserve"> Adapted from Ref.</w:t>
      </w:r>
      <w:r>
        <w:fldChar w:fldCharType="begin"/>
      </w:r>
      <w:r w:rsidR="00FC5BEB">
        <w:instrText xml:space="preserve"> ADDIN EN.CITE &lt;EndNote&gt;&lt;Cite&gt;&lt;Author&gt;Huang&lt;/Author&gt;&lt;Year&gt;2021&lt;/Year&gt;&lt;RecNum&gt;527&lt;/RecNum&gt;&lt;DisplayText&gt;&lt;style face="superscript"&gt;529&lt;/style&gt;&lt;/DisplayText&gt;&lt;record&gt;&lt;rec-number&gt;527&lt;/rec-number&gt;&lt;foreign-keys&gt;&lt;key app="EN" db-id="2xex0erf4eexr4e2dpbxpdd829xttesxxxdr" timestamp="1715075297"&gt;527&lt;/key&gt;&lt;/foreign-keys&gt;&lt;ref-type name="Journal Article"&gt;17&lt;/ref-type&gt;&lt;contributors&gt;&lt;authors&gt;&lt;author&gt;Huang, Jun&lt;/author&gt;&lt;author&gt;Li, Mengru&lt;/author&gt;&lt;author&gt;Eslamibidgoli, Mohammad J.&lt;/author&gt;&lt;author&gt;Eikerling, Michael&lt;/author&gt;&lt;author&gt;Groß, Axel&lt;/author&gt;&lt;/authors&gt;&lt;/contributors&gt;&lt;titles&gt;&lt;title&gt;Cation Overcrowding Effect on the Oxygen Evolution Reaction&lt;/title&gt;&lt;secondary-title&gt;JACS Au&lt;/secondary-title&gt;&lt;/titles&gt;&lt;pages&gt;1752-1765&lt;/pages&gt;&lt;volume&gt;1&lt;/volume&gt;&lt;number&gt;10&lt;/number&gt;&lt;keywords&gt;&lt;keyword&gt;Electric double layer&lt;/keyword&gt;&lt;keyword&gt;Electrolyte cation effects&lt;/keyword&gt;&lt;keyword&gt;Hydrogen production&lt;/keyword&gt;&lt;keyword&gt;Local reaction condition&lt;/keyword&gt;&lt;keyword&gt;Oxygen evolution reaction&lt;/keyword&gt;&lt;keyword&gt;Surface charging effects&lt;/keyword&gt;&lt;/keywords&gt;&lt;dates&gt;&lt;year&gt;2021&lt;/year&gt;&lt;/dates&gt;&lt;urls&gt;&lt;related-urls&gt;&lt;url&gt;https://www.ncbi.nlm.nih.gov/pmc/articles/PMC8549051/pdf/au1c00315.pdf&lt;/url&gt;&lt;/related-urls&gt;&lt;pdf-urls&gt;&lt;url&gt;file://localhost/localhost/Users/piccinin/Literature/huang-et-al-2021-cation-overcrowding-effect-on-the-oxygen-evolution-reaction.pdf&lt;/url&gt;&lt;/pdf-urls&gt;&lt;/urls&gt;&lt;electronic-resource-num&gt;10.1021/jacsau.1c00315&lt;/electronic-resource-num&gt;&lt;/record&gt;&lt;/Cite&gt;&lt;/EndNote&gt;</w:instrText>
      </w:r>
      <w:r>
        <w:fldChar w:fldCharType="separate"/>
      </w:r>
      <w:r w:rsidR="00FC5BEB" w:rsidRPr="00FC5BEB">
        <w:rPr>
          <w:noProof/>
          <w:vertAlign w:val="superscript"/>
        </w:rPr>
        <w:t>529</w:t>
      </w:r>
      <w:r>
        <w:fldChar w:fldCharType="end"/>
      </w:r>
      <w:r w:rsidR="00390E8E">
        <w:t xml:space="preserve"> </w:t>
      </w:r>
      <w:r w:rsidR="00390E8E" w:rsidRPr="00CF52AD">
        <w:rPr>
          <w:lang w:val="en-US"/>
        </w:rPr>
        <w:t xml:space="preserve">under the Creative Commons Attribution </w:t>
      </w:r>
      <w:r w:rsidR="00390E8E">
        <w:rPr>
          <w:lang w:val="en-US"/>
        </w:rPr>
        <w:t>4</w:t>
      </w:r>
      <w:r w:rsidR="00390E8E" w:rsidRPr="00CF52AD">
        <w:rPr>
          <w:lang w:val="en-US"/>
        </w:rPr>
        <w:t>.0 License</w:t>
      </w:r>
      <w:r w:rsidR="00390E8E">
        <w:rPr>
          <w:lang w:val="en-US"/>
        </w:rPr>
        <w:t>.</w:t>
      </w:r>
    </w:p>
    <w:p w14:paraId="116D1192" w14:textId="6AAB140B" w:rsidR="006C1C9C" w:rsidRPr="00C35EF3" w:rsidRDefault="006C1C9C" w:rsidP="006C1C9C">
      <w:pPr>
        <w:pStyle w:val="Caption"/>
      </w:pPr>
    </w:p>
    <w:p w14:paraId="2047BFDE" w14:textId="3F56EDD3" w:rsidR="006C1C9C" w:rsidRPr="00816450" w:rsidRDefault="006C1C9C" w:rsidP="006C1C9C">
      <w:pPr>
        <w:pStyle w:val="Caption"/>
        <w:rPr>
          <w:rFonts w:eastAsiaTheme="minorEastAsia"/>
          <w:i/>
          <w:sz w:val="22"/>
        </w:rPr>
      </w:pPr>
      <w:r w:rsidRPr="00816450">
        <w:rPr>
          <w:rFonts w:eastAsiaTheme="minorEastAsia"/>
          <w:sz w:val="22"/>
        </w:rPr>
        <w:t xml:space="preserve">Since the model consists of 4 PCET steps, the reaction free energy of each step is pH independent in the RHE scale. The microkinetic model, however, shows that the polarization curves depend on pH, with an increased OER activity under more alkaline conditions (see </w:t>
      </w:r>
      <w:r w:rsidRPr="00816450">
        <w:rPr>
          <w:rFonts w:eastAsiaTheme="minorEastAsia"/>
          <w:i/>
          <w:sz w:val="22"/>
        </w:rPr>
        <w:fldChar w:fldCharType="begin"/>
      </w:r>
      <w:r w:rsidRPr="00816450">
        <w:rPr>
          <w:rFonts w:eastAsiaTheme="minorEastAsia"/>
          <w:sz w:val="22"/>
        </w:rPr>
        <w:instrText xml:space="preserve"> REF _Ref156565970 \h </w:instrText>
      </w:r>
      <w:r w:rsidR="00816450">
        <w:rPr>
          <w:rFonts w:eastAsiaTheme="minorEastAsia"/>
          <w:i/>
          <w:sz w:val="22"/>
        </w:rPr>
        <w:instrText xml:space="preserve"> \* MERGEFORMAT </w:instrText>
      </w:r>
      <w:r w:rsidRPr="00816450">
        <w:rPr>
          <w:rFonts w:eastAsiaTheme="minorEastAsia"/>
          <w:i/>
          <w:sz w:val="22"/>
        </w:rPr>
      </w:r>
      <w:r w:rsidRPr="00816450">
        <w:rPr>
          <w:rFonts w:eastAsiaTheme="minorEastAsia"/>
          <w:i/>
          <w:sz w:val="22"/>
        </w:rPr>
        <w:fldChar w:fldCharType="separate"/>
      </w:r>
      <w:r w:rsidR="00B7319C" w:rsidRPr="00AB61EB">
        <w:rPr>
          <w:b/>
          <w:bCs w:val="0"/>
          <w:sz w:val="22"/>
        </w:rPr>
        <w:t xml:space="preserve">Figure </w:t>
      </w:r>
      <w:r w:rsidR="00B7319C">
        <w:rPr>
          <w:b/>
          <w:bCs w:val="0"/>
          <w:noProof/>
          <w:sz w:val="22"/>
        </w:rPr>
        <w:t>66</w:t>
      </w:r>
      <w:r w:rsidRPr="00816450">
        <w:rPr>
          <w:rFonts w:eastAsiaTheme="minorEastAsia"/>
          <w:i/>
          <w:sz w:val="22"/>
        </w:rPr>
        <w:fldChar w:fldCharType="end"/>
      </w:r>
      <w:r w:rsidRPr="00044BFD">
        <w:rPr>
          <w:rFonts w:eastAsiaTheme="minorEastAsia"/>
          <w:b/>
          <w:bCs w:val="0"/>
          <w:sz w:val="22"/>
        </w:rPr>
        <w:t>a</w:t>
      </w:r>
      <w:r w:rsidRPr="00816450">
        <w:rPr>
          <w:rFonts w:eastAsiaTheme="minorEastAsia"/>
          <w:sz w:val="22"/>
        </w:rPr>
        <w:t xml:space="preserve">), in agreement with experiments. The origin of this </w:t>
      </w:r>
      <w:proofErr w:type="spellStart"/>
      <w:r w:rsidRPr="00816450">
        <w:rPr>
          <w:rFonts w:eastAsiaTheme="minorEastAsia"/>
          <w:sz w:val="22"/>
        </w:rPr>
        <w:t>behavior</w:t>
      </w:r>
      <w:proofErr w:type="spellEnd"/>
      <w:r w:rsidRPr="00816450">
        <w:rPr>
          <w:rFonts w:eastAsiaTheme="minorEastAsia"/>
          <w:sz w:val="22"/>
        </w:rPr>
        <w:t xml:space="preserve"> is again related to the cation overcrowding phenomenon. At more alkaline conditions the surface is more negatively charged (see </w:t>
      </w:r>
      <w:r w:rsidRPr="00816450">
        <w:rPr>
          <w:rFonts w:eastAsiaTheme="minorEastAsia"/>
          <w:i/>
          <w:sz w:val="22"/>
        </w:rPr>
        <w:fldChar w:fldCharType="begin"/>
      </w:r>
      <w:r w:rsidRPr="00816450">
        <w:rPr>
          <w:rFonts w:eastAsiaTheme="minorEastAsia"/>
          <w:sz w:val="22"/>
        </w:rPr>
        <w:instrText xml:space="preserve"> REF _Ref156565970 \h </w:instrText>
      </w:r>
      <w:r w:rsidR="00816450">
        <w:rPr>
          <w:rFonts w:eastAsiaTheme="minorEastAsia"/>
          <w:i/>
          <w:sz w:val="22"/>
        </w:rPr>
        <w:instrText xml:space="preserve"> \* MERGEFORMAT </w:instrText>
      </w:r>
      <w:r w:rsidRPr="00816450">
        <w:rPr>
          <w:rFonts w:eastAsiaTheme="minorEastAsia"/>
          <w:i/>
          <w:sz w:val="22"/>
        </w:rPr>
      </w:r>
      <w:r w:rsidRPr="00816450">
        <w:rPr>
          <w:rFonts w:eastAsiaTheme="minorEastAsia"/>
          <w:i/>
          <w:sz w:val="22"/>
        </w:rPr>
        <w:fldChar w:fldCharType="separate"/>
      </w:r>
      <w:r w:rsidR="00B7319C" w:rsidRPr="00AB61EB">
        <w:rPr>
          <w:b/>
          <w:bCs w:val="0"/>
          <w:sz w:val="22"/>
        </w:rPr>
        <w:t xml:space="preserve">Figure </w:t>
      </w:r>
      <w:r w:rsidR="00B7319C">
        <w:rPr>
          <w:b/>
          <w:bCs w:val="0"/>
          <w:noProof/>
          <w:sz w:val="22"/>
        </w:rPr>
        <w:t>66</w:t>
      </w:r>
      <w:r w:rsidRPr="00816450">
        <w:rPr>
          <w:rFonts w:eastAsiaTheme="minorEastAsia"/>
          <w:i/>
          <w:sz w:val="22"/>
        </w:rPr>
        <w:fldChar w:fldCharType="end"/>
      </w:r>
      <w:r w:rsidRPr="00044BFD">
        <w:rPr>
          <w:rFonts w:eastAsiaTheme="minorEastAsia"/>
          <w:b/>
          <w:bCs w:val="0"/>
          <w:sz w:val="22"/>
        </w:rPr>
        <w:t>b</w:t>
      </w:r>
      <w:r w:rsidRPr="00816450">
        <w:rPr>
          <w:rFonts w:eastAsiaTheme="minorEastAsia"/>
          <w:sz w:val="22"/>
        </w:rPr>
        <w:t xml:space="preserve">), at variance with the predictions of </w:t>
      </w:r>
      <w:proofErr w:type="spellStart"/>
      <w:r w:rsidRPr="00816450">
        <w:rPr>
          <w:sz w:val="22"/>
        </w:rPr>
        <w:t>Rajan</w:t>
      </w:r>
      <w:proofErr w:type="spellEnd"/>
      <w:r w:rsidRPr="00816450">
        <w:rPr>
          <w:sz w:val="22"/>
        </w:rPr>
        <w:t xml:space="preserve"> and Carter</w:t>
      </w:r>
      <w:r w:rsidRPr="00816450">
        <w:rPr>
          <w:i/>
          <w:sz w:val="22"/>
        </w:rPr>
        <w:fldChar w:fldCharType="begin"/>
      </w:r>
      <w:r w:rsidR="00FC5BEB">
        <w:rPr>
          <w:i/>
          <w:sz w:val="22"/>
        </w:rPr>
        <w:instrText xml:space="preserve"> ADDIN EN.CITE &lt;EndNote&gt;&lt;Cite&gt;&lt;Author&gt;Govind Rajan&lt;/Author&gt;&lt;Year&gt;2020&lt;/Year&gt;&lt;RecNum&gt;524&lt;/RecNum&gt;&lt;DisplayText&gt;&lt;style face="superscript"&gt;526&lt;/style&gt;&lt;/DisplayText&gt;&lt;record&gt;&lt;rec-number&gt;524&lt;/rec-number&gt;&lt;foreign-keys&gt;&lt;key app="EN" db-id="2xex0erf4eexr4e2dpbxpdd829xttesxxxdr" timestamp="1715075297"&gt;524&lt;/key&gt;&lt;/foreign-keys&gt;&lt;ref-type name="Journal Article"&gt;17&lt;/ref-type&gt;&lt;contributors&gt;&lt;authors&gt;&lt;author&gt;Govind Rajan, Ananth&lt;/author&gt;&lt;author&gt;Carter, Emily A.&lt;/author&gt;&lt;/authors&gt;&lt;/contributors&gt;&lt;titles&gt;&lt;title&gt;Microkinetic model for pH- And potential-dependent oxygen evolution during water splitting on Fe-doped β-NiOOH&lt;/title&gt;&lt;secondary-title&gt;Energy Environ. Sci.&lt;/secondary-title&gt;&lt;/titles&gt;&lt;periodical&gt;&lt;full-title&gt;Energy Environ. Sci.&lt;/full-title&gt;&lt;/periodical&gt;&lt;pages&gt;4962-4976&lt;/pages&gt;&lt;volume&gt;13&lt;/volume&gt;&lt;number&gt;12&lt;/number&gt;&lt;dates&gt;&lt;year&gt;2020&lt;/year&gt;&lt;/dates&gt;&lt;publisher&gt;Royal Society of Chemistry&lt;/publisher&gt;&lt;urls&gt;&lt;related-urls&gt;&lt;url&gt;https://pubs.rsc.org/en/content/articlepdf/2020/ee/d0ee02292f&lt;/url&gt;&lt;/related-urls&gt;&lt;pdf-urls&gt;&lt;url&gt;file://localhost/localhost/localhost/Users/piccinin/Literature/d0ee02292f.pdf&lt;/url&gt;&lt;/pdf-urls&gt;&lt;/urls&gt;&lt;electronic-resource-num&gt;10.1039/d0ee02292f&lt;/electronic-resource-num&gt;&lt;/record&gt;&lt;/Cite&gt;&lt;/EndNote&gt;</w:instrText>
      </w:r>
      <w:r w:rsidRPr="00816450">
        <w:rPr>
          <w:i/>
          <w:sz w:val="22"/>
        </w:rPr>
        <w:fldChar w:fldCharType="separate"/>
      </w:r>
      <w:r w:rsidR="00FC5BEB" w:rsidRPr="00FC5BEB">
        <w:rPr>
          <w:i/>
          <w:noProof/>
          <w:sz w:val="22"/>
          <w:vertAlign w:val="superscript"/>
        </w:rPr>
        <w:t>526</w:t>
      </w:r>
      <w:r w:rsidRPr="00816450">
        <w:rPr>
          <w:i/>
          <w:sz w:val="22"/>
        </w:rPr>
        <w:fldChar w:fldCharType="end"/>
      </w:r>
      <w:r w:rsidRPr="00816450">
        <w:rPr>
          <w:rFonts w:eastAsiaTheme="minorEastAsia"/>
          <w:sz w:val="22"/>
        </w:rPr>
        <w:t xml:space="preserve"> discussed earlier, and the cation overcrowding is therefore more pronounced at higher pH, reducing the concentration of OH</w:t>
      </w:r>
      <w:r w:rsidRPr="00816450">
        <w:rPr>
          <w:rFonts w:eastAsiaTheme="minorEastAsia"/>
          <w:sz w:val="22"/>
          <w:vertAlign w:val="superscript"/>
        </w:rPr>
        <w:t>-</w:t>
      </w:r>
      <w:r w:rsidRPr="00816450">
        <w:rPr>
          <w:rFonts w:eastAsiaTheme="minorEastAsia"/>
          <w:sz w:val="22"/>
        </w:rPr>
        <w:t xml:space="preserve"> in the EDL, even though this concentration is higher in the bulk under more alkaline conditions. At higher electrode potentials, however, the electrode is less negatively charged, reducing the overcrowding effect, and above 1.6 V</w:t>
      </w:r>
      <w:r w:rsidRPr="00816450">
        <w:rPr>
          <w:rFonts w:eastAsiaTheme="minorEastAsia"/>
          <w:sz w:val="22"/>
          <w:vertAlign w:val="subscript"/>
        </w:rPr>
        <w:t>RHE</w:t>
      </w:r>
      <w:r w:rsidRPr="00816450">
        <w:rPr>
          <w:rFonts w:eastAsiaTheme="minorEastAsia"/>
          <w:sz w:val="22"/>
        </w:rPr>
        <w:t xml:space="preserve"> the concentration of OH</w:t>
      </w:r>
      <w:r w:rsidRPr="00816450">
        <w:rPr>
          <w:rFonts w:eastAsiaTheme="minorEastAsia"/>
          <w:sz w:val="22"/>
          <w:vertAlign w:val="superscript"/>
        </w:rPr>
        <w:t>-</w:t>
      </w:r>
      <w:r w:rsidRPr="00816450">
        <w:rPr>
          <w:rFonts w:eastAsiaTheme="minorEastAsia"/>
          <w:sz w:val="22"/>
        </w:rPr>
        <w:t xml:space="preserve"> in the EDL is larger at larger pH values. Since the reaction is limited </w:t>
      </w:r>
      <w:r w:rsidR="00ED56DC">
        <w:rPr>
          <w:rFonts w:eastAsiaTheme="minorEastAsia"/>
          <w:sz w:val="22"/>
        </w:rPr>
        <w:t xml:space="preserve">by </w:t>
      </w:r>
      <w:r w:rsidRPr="00816450">
        <w:rPr>
          <w:rFonts w:eastAsiaTheme="minorEastAsia"/>
          <w:sz w:val="22"/>
        </w:rPr>
        <w:t>the concentration of OH</w:t>
      </w:r>
      <w:r w:rsidRPr="00816450">
        <w:rPr>
          <w:rFonts w:eastAsiaTheme="minorEastAsia"/>
          <w:sz w:val="22"/>
          <w:vertAlign w:val="superscript"/>
        </w:rPr>
        <w:t>-</w:t>
      </w:r>
      <w:r w:rsidRPr="00816450">
        <w:rPr>
          <w:rFonts w:eastAsiaTheme="minorEastAsia"/>
          <w:sz w:val="22"/>
        </w:rPr>
        <w:t>, the OER activity increases with pH above 1.6 V</w:t>
      </w:r>
      <w:r w:rsidRPr="00816450">
        <w:rPr>
          <w:rFonts w:eastAsiaTheme="minorEastAsia"/>
          <w:sz w:val="22"/>
          <w:vertAlign w:val="subscript"/>
        </w:rPr>
        <w:t>RHE</w:t>
      </w:r>
      <w:r w:rsidRPr="00816450">
        <w:rPr>
          <w:rFonts w:eastAsiaTheme="minorEastAsia"/>
          <w:sz w:val="22"/>
        </w:rPr>
        <w:t>.</w:t>
      </w:r>
    </w:p>
    <w:p w14:paraId="7B987978" w14:textId="29E4D4BF" w:rsidR="006C1C9C" w:rsidRPr="00BC7855" w:rsidRDefault="006C1C9C" w:rsidP="00BC7855">
      <w:pPr>
        <w:pStyle w:val="Heading2"/>
        <w:rPr>
          <w:rFonts w:eastAsiaTheme="minorEastAsia"/>
        </w:rPr>
      </w:pPr>
      <w:bookmarkStart w:id="177" w:name="_Toc166441754"/>
      <w:r w:rsidRPr="00BC7855">
        <w:rPr>
          <w:rFonts w:eastAsiaTheme="minorEastAsia"/>
        </w:rPr>
        <w:t>Photoelectrochemical OER</w:t>
      </w:r>
      <w:bookmarkEnd w:id="177"/>
    </w:p>
    <w:p w14:paraId="2378D7EC" w14:textId="77777777" w:rsidR="006C1C9C" w:rsidRDefault="006C1C9C" w:rsidP="006C1C9C">
      <w:pPr>
        <w:rPr>
          <w:rFonts w:eastAsiaTheme="minorEastAsia"/>
        </w:rPr>
      </w:pPr>
    </w:p>
    <w:p w14:paraId="6E003ECA" w14:textId="31A71BB1" w:rsidR="006C1C9C" w:rsidRDefault="006C1C9C" w:rsidP="00AB61EB">
      <w:pPr>
        <w:ind w:firstLine="720"/>
        <w:rPr>
          <w:rFonts w:eastAsiaTheme="minorEastAsia"/>
        </w:rPr>
      </w:pPr>
      <w:r>
        <w:rPr>
          <w:rFonts w:eastAsiaTheme="minorEastAsia"/>
        </w:rPr>
        <w:t>Microkinetic modeling has been used also to model the photoelectrochemical OER in semiconducting oxides like TiO</w:t>
      </w:r>
      <w:r w:rsidRPr="002C1460">
        <w:rPr>
          <w:rFonts w:eastAsiaTheme="minorEastAsia"/>
          <w:vertAlign w:val="subscript"/>
        </w:rPr>
        <w:t>2</w:t>
      </w:r>
      <w:r>
        <w:rPr>
          <w:rFonts w:eastAsiaTheme="minorEastAsia"/>
        </w:rPr>
        <w:t xml:space="preserve"> and </w:t>
      </w:r>
      <w:r w:rsidRPr="002C1460">
        <w:rPr>
          <w:rFonts w:ascii="Symbol" w:eastAsiaTheme="minorEastAsia" w:hAnsi="Symbol"/>
        </w:rPr>
        <w:t></w:t>
      </w:r>
      <w:r>
        <w:rPr>
          <w:rFonts w:eastAsiaTheme="minorEastAsia"/>
        </w:rPr>
        <w:t>-Fe</w:t>
      </w:r>
      <w:r w:rsidRPr="002C1460">
        <w:rPr>
          <w:rFonts w:eastAsiaTheme="minorEastAsia"/>
          <w:vertAlign w:val="subscript"/>
        </w:rPr>
        <w:t>2</w:t>
      </w:r>
      <w:r>
        <w:rPr>
          <w:rFonts w:eastAsiaTheme="minorEastAsia"/>
        </w:rPr>
        <w:t>O</w:t>
      </w:r>
      <w:r w:rsidRPr="002C1460">
        <w:rPr>
          <w:rFonts w:eastAsiaTheme="minorEastAsia"/>
          <w:vertAlign w:val="subscript"/>
        </w:rPr>
        <w:t>3</w:t>
      </w:r>
      <w:r>
        <w:rPr>
          <w:rFonts w:eastAsiaTheme="minorEastAsia"/>
        </w:rPr>
        <w:t xml:space="preserve">. </w:t>
      </w:r>
      <w:r>
        <w:t>A fundamental difference between metallic electrocatalysts like IrO</w:t>
      </w:r>
      <w:r w:rsidRPr="00BA36E9">
        <w:rPr>
          <w:vertAlign w:val="subscript"/>
        </w:rPr>
        <w:t>2</w:t>
      </w:r>
      <w:r>
        <w:t xml:space="preserve"> and RuO</w:t>
      </w:r>
      <w:r w:rsidRPr="00BA36E9">
        <w:rPr>
          <w:vertAlign w:val="subscript"/>
        </w:rPr>
        <w:t>2</w:t>
      </w:r>
      <w:r>
        <w:t xml:space="preserve"> and semiconducting photocatalysts like </w:t>
      </w:r>
      <w:r>
        <w:rPr>
          <w:rFonts w:eastAsiaTheme="minorEastAsia"/>
        </w:rPr>
        <w:t>TiO</w:t>
      </w:r>
      <w:r w:rsidRPr="002C1460">
        <w:rPr>
          <w:rFonts w:eastAsiaTheme="minorEastAsia"/>
          <w:vertAlign w:val="subscript"/>
        </w:rPr>
        <w:t>2</w:t>
      </w:r>
      <w:r>
        <w:rPr>
          <w:rFonts w:eastAsiaTheme="minorEastAsia"/>
        </w:rPr>
        <w:t xml:space="preserve"> and </w:t>
      </w:r>
      <w:r w:rsidRPr="002C1460">
        <w:rPr>
          <w:rFonts w:ascii="Symbol" w:eastAsiaTheme="minorEastAsia" w:hAnsi="Symbol"/>
        </w:rPr>
        <w:t></w:t>
      </w:r>
      <w:r>
        <w:rPr>
          <w:rFonts w:eastAsiaTheme="minorEastAsia"/>
        </w:rPr>
        <w:t>-Fe</w:t>
      </w:r>
      <w:r w:rsidRPr="002C1460">
        <w:rPr>
          <w:rFonts w:eastAsiaTheme="minorEastAsia"/>
          <w:vertAlign w:val="subscript"/>
        </w:rPr>
        <w:t>2</w:t>
      </w:r>
      <w:r>
        <w:rPr>
          <w:rFonts w:eastAsiaTheme="minorEastAsia"/>
        </w:rPr>
        <w:t>O</w:t>
      </w:r>
      <w:r w:rsidRPr="002C1460">
        <w:rPr>
          <w:rFonts w:eastAsiaTheme="minorEastAsia"/>
          <w:vertAlign w:val="subscript"/>
        </w:rPr>
        <w:t>3</w:t>
      </w:r>
      <w:r>
        <w:rPr>
          <w:rFonts w:eastAsiaTheme="minorEastAsia"/>
        </w:rPr>
        <w:t xml:space="preserve"> is the effect of the applied bias on the electrochemical potential of the electrons/holes. In the absence of Fermi level pinning, the band edges of a semiconductor at the solid/liquid interface are pinned, i.e. the energies of the band edges do not vary as </w:t>
      </w:r>
      <w:r w:rsidR="00693BBF">
        <w:rPr>
          <w:rFonts w:eastAsiaTheme="minorEastAsia"/>
        </w:rPr>
        <w:t xml:space="preserve">a </w:t>
      </w:r>
      <w:r>
        <w:rPr>
          <w:rFonts w:eastAsiaTheme="minorEastAsia"/>
        </w:rPr>
        <w:t>function of the applied bias. An increasingly anodic bias in an n-type semiconductor, for example, will increase bend bending, the size of the space charge layer and (exponentially) the population of holes at the interface, not their energy. Accordingly, the rate constants of elementary steps introduced in microkinetic models, even in the case of electrochemical steps, do not have a direct Butler-Volmer type of dependence on the applied bias. In some formulations, the rate constant</w:t>
      </w:r>
      <w:r w:rsidR="00DF4B0D">
        <w:rPr>
          <w:rFonts w:eastAsiaTheme="minorEastAsia"/>
        </w:rPr>
        <w:t>s</w:t>
      </w:r>
      <w:r>
        <w:rPr>
          <w:rFonts w:eastAsiaTheme="minorEastAsia"/>
        </w:rPr>
        <w:t xml:space="preserve"> are derived from transition state theory</w:t>
      </w:r>
      <w:r>
        <w:rPr>
          <w:rFonts w:eastAsiaTheme="minorEastAsia"/>
        </w:rPr>
        <w:fldChar w:fldCharType="begin"/>
      </w:r>
      <w:r w:rsidR="00FC5BEB">
        <w:rPr>
          <w:rFonts w:eastAsiaTheme="minorEastAsia"/>
        </w:rPr>
        <w:instrText xml:space="preserve"> ADDIN EN.CITE &lt;EndNote&gt;&lt;Cite&gt;&lt;Author&gt;Wang&lt;/Author&gt;&lt;Year&gt;2018&lt;/Year&gt;&lt;RecNum&gt;454&lt;/RecNum&gt;&lt;DisplayText&gt;&lt;style face="superscript"&gt;456&lt;/style&gt;&lt;/DisplayText&gt;&lt;record&gt;&lt;rec-number&gt;454&lt;/rec-number&gt;&lt;foreign-keys&gt;&lt;key app="EN" db-id="2xex0erf4eexr4e2dpbxpdd829xttesxxxdr" timestamp="1715075297"&gt;454&lt;/key&gt;&lt;/foreign-keys&gt;&lt;ref-type name="Journal Article"&gt;17&lt;/ref-type&gt;&lt;contributors&gt;&lt;authors&gt;&lt;author&gt;Wang, Dong&lt;/author&gt;&lt;author&gt;Sheng, Tian&lt;/author&gt;&lt;author&gt;Chen, Jianfu&lt;/author&gt;&lt;author&gt;Wang, Hai Feng&lt;/author&gt;&lt;author&gt;Hu, P.&lt;/author&gt;&lt;/authors&gt;&lt;/contributors&gt;&lt;titles&gt;&lt;title&gt;Identifying the key obstacle in photocatalytic oxygen evolution on rutile TiO2&lt;/title&gt;&lt;secondary-title&gt;Nat. Catal.&lt;/secondary-title&gt;&lt;/titles&gt;&lt;periodical&gt;&lt;full-title&gt;Nat. Catal.&lt;/full-title&gt;&lt;abbr-1&gt;Nat. Catal.&lt;/abbr-1&gt;&lt;/periodical&gt;&lt;pages&gt;291-299&lt;/pages&gt;&lt;volume&gt;1&lt;/volume&gt;&lt;number&gt;4&lt;/number&gt;&lt;dates&gt;&lt;year&gt;2018&lt;/year&gt;&lt;/dates&gt;&lt;urls&gt;&lt;related-urls&gt;&lt;url&gt;https://www.nature.com/articles/s41929-018-0055-z.pdf&lt;/url&gt;&lt;/related-urls&gt;&lt;pdf-urls&gt;&lt;url&gt;file://localhost/localhost/localhost/Users/piccinin/Literature/Nature%252520Catalysis%252520Volume%2525201%252520issue%2525204%2525202018%252520%25255Bdoi%25252010.1038%252525252Fs41929-018-0055-z%25255D%252520Wang,%252520Dong&lt;/url&gt;&lt;/pdf-urls&gt;&lt;/urls&gt;&lt;electronic-resource-num&gt;10.1038/s41929-018-0055-z&lt;/electronic-resource-num&gt;&lt;/record&gt;&lt;/Cite&gt;&lt;/EndNote&gt;</w:instrText>
      </w:r>
      <w:r>
        <w:rPr>
          <w:rFonts w:eastAsiaTheme="minorEastAsia"/>
        </w:rPr>
        <w:fldChar w:fldCharType="separate"/>
      </w:r>
      <w:r w:rsidR="00FC5BEB" w:rsidRPr="00FC5BEB">
        <w:rPr>
          <w:rFonts w:eastAsiaTheme="minorEastAsia"/>
          <w:noProof/>
          <w:vertAlign w:val="superscript"/>
        </w:rPr>
        <w:t>456</w:t>
      </w:r>
      <w:r>
        <w:rPr>
          <w:rFonts w:eastAsiaTheme="minorEastAsia"/>
        </w:rPr>
        <w:fldChar w:fldCharType="end"/>
      </w:r>
      <w:r>
        <w:rPr>
          <w:rFonts w:eastAsiaTheme="minorEastAsia"/>
        </w:rPr>
        <w:t>, while other authors</w:t>
      </w:r>
      <w:r>
        <w:rPr>
          <w:rFonts w:eastAsiaTheme="minorEastAsia"/>
        </w:rPr>
        <w:fldChar w:fldCharType="begin"/>
      </w:r>
      <w:r w:rsidR="00FC5BEB">
        <w:rPr>
          <w:rFonts w:eastAsiaTheme="minorEastAsia"/>
        </w:rPr>
        <w:instrText xml:space="preserve"> ADDIN EN.CITE &lt;EndNote&gt;&lt;Cite&gt;&lt;Author&gt;George&lt;/Author&gt;&lt;Year&gt;2019&lt;/Year&gt;&lt;RecNum&gt;528&lt;/RecNum&gt;&lt;DisplayText&gt;&lt;style face="superscript"&gt;530&lt;/style&gt;&lt;/DisplayText&gt;&lt;record&gt;&lt;rec-number&gt;528&lt;/rec-number&gt;&lt;foreign-keys&gt;&lt;key app="EN" db-id="2xex0erf4eexr4e2dpbxpdd829xttesxxxdr" timestamp="1715075297"&gt;528&lt;/key&gt;&lt;/foreign-keys&gt;&lt;ref-type name="Journal Article"&gt;17&lt;/ref-type&gt;&lt;contributors&gt;&lt;authors&gt;&lt;author&gt;George, Kiran&lt;/author&gt;&lt;author&gt;Van Berkel, Matthijs&lt;/author&gt;&lt;author&gt;Zhang, Xueqing&lt;/author&gt;&lt;author&gt;Sinha, Rochan&lt;/author&gt;&lt;author&gt;Bieberle-Hütter, Anja&lt;/author&gt;&lt;/authors&gt;&lt;/contributors&gt;&lt;titles&gt;&lt;title&gt;Impedance Spectra and Surface Coverages Simulated Directly from the Electrochemical Reaction Mechanism: A Nonlinear State-Space Approach&lt;/title&gt;&lt;secondary-title&gt;Journal of Physical Chemistry C&lt;/secondary-title&gt;&lt;/titles&gt;&lt;periodical&gt;&lt;full-title&gt;Journal of Physical Chemistry C&lt;/full-title&gt;&lt;abbr-1&gt;J. Phys. Chem. C&lt;/abbr-1&gt;&lt;/periodical&gt;&lt;pages&gt;9981-9992&lt;/pages&gt;&lt;volume&gt;123&lt;/volume&gt;&lt;number&gt;15&lt;/number&gt;&lt;dates&gt;&lt;year&gt;2019&lt;/year&gt;&lt;/dates&gt;&lt;urls&gt;&lt;related-urls&gt;&lt;url&gt;https://pubs.acs.org/doi/pdf/10.1021/acs.jpcc.9b01836&lt;/url&gt;&lt;/related-urls&gt;&lt;pdf-urls&gt;&lt;url&gt;file://localhost/localhost/Users/piccinin/Literature/acs.jpcc.9b01836.pdf&lt;/url&gt;&lt;/pdf-urls&gt;&lt;/urls&gt;&lt;electronic-resource-num&gt;10.1021/acs.jpcc.9b01836&lt;/electronic-resource-num&gt;&lt;/record&gt;&lt;/Cite&gt;&lt;/EndNote&gt;</w:instrText>
      </w:r>
      <w:r>
        <w:rPr>
          <w:rFonts w:eastAsiaTheme="minorEastAsia"/>
        </w:rPr>
        <w:fldChar w:fldCharType="separate"/>
      </w:r>
      <w:r w:rsidR="00FC5BEB" w:rsidRPr="00FC5BEB">
        <w:rPr>
          <w:rFonts w:eastAsiaTheme="minorEastAsia"/>
          <w:noProof/>
          <w:vertAlign w:val="superscript"/>
        </w:rPr>
        <w:t>530</w:t>
      </w:r>
      <w:r>
        <w:rPr>
          <w:rFonts w:eastAsiaTheme="minorEastAsia"/>
        </w:rPr>
        <w:fldChar w:fldCharType="end"/>
      </w:r>
      <w:r>
        <w:rPr>
          <w:rFonts w:eastAsiaTheme="minorEastAsia"/>
        </w:rPr>
        <w:t xml:space="preserve"> employed </w:t>
      </w:r>
      <w:proofErr w:type="spellStart"/>
      <w:r>
        <w:rPr>
          <w:rFonts w:eastAsiaTheme="minorEastAsia"/>
        </w:rPr>
        <w:t>Gerisher's</w:t>
      </w:r>
      <w:proofErr w:type="spellEnd"/>
      <w:r>
        <w:rPr>
          <w:rFonts w:eastAsiaTheme="minorEastAsia"/>
        </w:rPr>
        <w:t xml:space="preserve"> formulation of electron transfer</w:t>
      </w:r>
      <w:r>
        <w:rPr>
          <w:rFonts w:eastAsiaTheme="minorEastAsia"/>
        </w:rPr>
        <w:fldChar w:fldCharType="begin"/>
      </w:r>
      <w:r w:rsidR="00FC5BEB">
        <w:rPr>
          <w:rFonts w:eastAsiaTheme="minorEastAsia"/>
        </w:rPr>
        <w:instrText xml:space="preserve"> ADDIN EN.CITE &lt;EndNote&gt;&lt;Cite&gt;&lt;Author&gt;Memming&lt;/Author&gt;&lt;Year&gt;2015&lt;/Year&gt;&lt;RecNum&gt;529&lt;/RecNum&gt;&lt;DisplayText&gt;&lt;style face="superscript"&gt;531&lt;/style&gt;&lt;/DisplayText&gt;&lt;record&gt;&lt;rec-number&gt;529&lt;/rec-number&gt;&lt;foreign-keys&gt;&lt;key app="EN" db-id="2xex0erf4eexr4e2dpbxpdd829xttesxxxdr" timestamp="1715075297"&gt;529&lt;/key&gt;&lt;/foreign-keys&gt;&lt;ref-type name="Book Section"&gt;5&lt;/ref-type&gt;&lt;contributors&gt;&lt;authors&gt;&lt;author&gt;Memming, Rüdiger&lt;/author&gt;&lt;/authors&gt;&lt;secondary-authors&gt;&lt;author&gt;R. Memming&lt;/author&gt;&lt;/secondary-authors&gt;&lt;/contributors&gt;&lt;titles&gt;&lt;title&gt;Charge Transfer Processes at the Semiconductor–Liquid Interface&lt;/title&gt;&lt;secondary-title&gt;Semiconductor Electrochemistry&lt;/secondary-title&gt;&lt;/titles&gt;&lt;pages&gt;169-266&lt;/pages&gt;&lt;keywords&gt;&lt;keyword&gt;charge transfer processes&lt;/keyword&gt;&lt;keyword&gt;electroluminescence&lt;/keyword&gt;&lt;keyword&gt;metal electrodes&lt;/keyword&gt;&lt;keyword&gt;one-step redox reactions&lt;/keyword&gt;&lt;keyword&gt;photoluminescence&lt;/keyword&gt;&lt;keyword&gt;quasi-Fermi level concept&lt;/keyword&gt;&lt;keyword&gt;reorganization energy&lt;/keyword&gt;&lt;keyword&gt;semiconductor electrodes&lt;/keyword&gt;&lt;keyword&gt;semiconductor-liquid interface&lt;/keyword&gt;&lt;keyword&gt;two-step redox processes&lt;/keyword&gt;&lt;/keywords&gt;&lt;dates&gt;&lt;year&gt;2015&lt;/year&gt;&lt;/dates&gt;&lt;publisher&gt;John Wiley &amp;amp; Sons, Ltd&lt;/publisher&gt;&lt;isbn&gt;9783527688685&lt;/isbn&gt;&lt;urls&gt;&lt;related-urls&gt;&lt;url&gt;https://doi.org/10.1002/9783527688685.ch7&lt;/url&gt;&lt;/related-urls&gt;&lt;/urls&gt;&lt;electronic-resource-num&gt;https://doi.org/10.1002/9783527688685.ch7&lt;/electronic-resource-num&gt;&lt;/record&gt;&lt;/Cite&gt;&lt;/EndNote&gt;</w:instrText>
      </w:r>
      <w:r>
        <w:rPr>
          <w:rFonts w:eastAsiaTheme="minorEastAsia"/>
        </w:rPr>
        <w:fldChar w:fldCharType="separate"/>
      </w:r>
      <w:r w:rsidR="00FC5BEB" w:rsidRPr="00FC5BEB">
        <w:rPr>
          <w:rFonts w:eastAsiaTheme="minorEastAsia"/>
          <w:noProof/>
          <w:vertAlign w:val="superscript"/>
        </w:rPr>
        <w:t>531</w:t>
      </w:r>
      <w:r>
        <w:rPr>
          <w:rFonts w:eastAsiaTheme="minorEastAsia"/>
        </w:rPr>
        <w:fldChar w:fldCharType="end"/>
      </w:r>
      <w:r>
        <w:rPr>
          <w:rFonts w:eastAsiaTheme="minorEastAsia"/>
        </w:rPr>
        <w:t xml:space="preserve">, where rates depend on the alignment between the band edges and the redox potential of the elementary step. Activation energies and reaction energies, as in the case of metallic electrocatalysts, can depend on the coverage of the reaction intermediates. </w:t>
      </w:r>
    </w:p>
    <w:p w14:paraId="1A75C538" w14:textId="77777777" w:rsidR="006C1C9C" w:rsidRDefault="006C1C9C" w:rsidP="006C1C9C">
      <w:pPr>
        <w:rPr>
          <w:rFonts w:eastAsiaTheme="minorEastAsia"/>
        </w:rPr>
      </w:pPr>
    </w:p>
    <w:p w14:paraId="331BB628" w14:textId="44C8686C" w:rsidR="006C1C9C" w:rsidRDefault="006C1C9C" w:rsidP="00AB61EB">
      <w:pPr>
        <w:ind w:firstLine="720"/>
        <w:rPr>
          <w:rFonts w:eastAsiaTheme="minorEastAsia"/>
        </w:rPr>
      </w:pPr>
      <w:r>
        <w:rPr>
          <w:rFonts w:eastAsiaTheme="minorEastAsia"/>
        </w:rPr>
        <w:t>Wang and co-workers</w:t>
      </w:r>
      <w:r>
        <w:rPr>
          <w:rFonts w:eastAsiaTheme="minorEastAsia"/>
        </w:rPr>
        <w:fldChar w:fldCharType="begin"/>
      </w:r>
      <w:r w:rsidR="00FC5BEB">
        <w:rPr>
          <w:rFonts w:eastAsiaTheme="minorEastAsia"/>
        </w:rPr>
        <w:instrText xml:space="preserve"> ADDIN EN.CITE &lt;EndNote&gt;&lt;Cite&gt;&lt;Author&gt;Wang&lt;/Author&gt;&lt;Year&gt;2018&lt;/Year&gt;&lt;RecNum&gt;454&lt;/RecNum&gt;&lt;DisplayText&gt;&lt;style face="superscript"&gt;456&lt;/style&gt;&lt;/DisplayText&gt;&lt;record&gt;&lt;rec-number&gt;454&lt;/rec-number&gt;&lt;foreign-keys&gt;&lt;key app="EN" db-id="2xex0erf4eexr4e2dpbxpdd829xttesxxxdr" timestamp="1715075297"&gt;454&lt;/key&gt;&lt;/foreign-keys&gt;&lt;ref-type name="Journal Article"&gt;17&lt;/ref-type&gt;&lt;contributors&gt;&lt;authors&gt;&lt;author&gt;Wang, Dong&lt;/author&gt;&lt;author&gt;Sheng, Tian&lt;/author&gt;&lt;author&gt;Chen, Jianfu&lt;/author&gt;&lt;author&gt;Wang, Hai Feng&lt;/author&gt;&lt;author&gt;Hu, P.&lt;/author&gt;&lt;/authors&gt;&lt;/contributors&gt;&lt;titles&gt;&lt;title&gt;Identifying the key obstacle in photocatalytic oxygen evolution on rutile TiO2&lt;/title&gt;&lt;secondary-title&gt;Nat. Catal.&lt;/secondary-title&gt;&lt;/titles&gt;&lt;periodical&gt;&lt;full-title&gt;Nat. Catal.&lt;/full-title&gt;&lt;abbr-1&gt;Nat. Catal.&lt;/abbr-1&gt;&lt;/periodical&gt;&lt;pages&gt;291-299&lt;/pages&gt;&lt;volume&gt;1&lt;/volume&gt;&lt;number&gt;4&lt;/number&gt;&lt;dates&gt;&lt;year&gt;2018&lt;/year&gt;&lt;/dates&gt;&lt;urls&gt;&lt;related-urls&gt;&lt;url&gt;https://www.nature.com/articles/s41929-018-0055-z.pdf&lt;/url&gt;&lt;/related-urls&gt;&lt;pdf-urls&gt;&lt;url&gt;file://localhost/localhost/localhost/Users/piccinin/Literature/Nature%252520Catalysis%252520Volume%2525201%252520issue%2525204%2525202018%252520%25255Bdoi%25252010.1038%252525252Fs41929-018-0055-z%25255D%252520Wang,%252520Dong&lt;/url&gt;&lt;/pdf-urls&gt;&lt;/urls&gt;&lt;electronic-resource-num&gt;10.1038/s41929-018-0055-z&lt;/electronic-resource-num&gt;&lt;/record&gt;&lt;/Cite&gt;&lt;/EndNote&gt;</w:instrText>
      </w:r>
      <w:r>
        <w:rPr>
          <w:rFonts w:eastAsiaTheme="minorEastAsia"/>
        </w:rPr>
        <w:fldChar w:fldCharType="separate"/>
      </w:r>
      <w:r w:rsidR="00FC5BEB" w:rsidRPr="00FC5BEB">
        <w:rPr>
          <w:rFonts w:eastAsiaTheme="minorEastAsia"/>
          <w:noProof/>
          <w:vertAlign w:val="superscript"/>
        </w:rPr>
        <w:t>456</w:t>
      </w:r>
      <w:r>
        <w:rPr>
          <w:rFonts w:eastAsiaTheme="minorEastAsia"/>
        </w:rPr>
        <w:fldChar w:fldCharType="end"/>
      </w:r>
      <w:r>
        <w:t xml:space="preserve"> used DFT calculations to compute the reaction free energy and the activation energy of the elementary steps of the OER on rutile TiO</w:t>
      </w:r>
      <w:r w:rsidRPr="002C1460">
        <w:rPr>
          <w:vertAlign w:val="subscript"/>
        </w:rPr>
        <w:t>2</w:t>
      </w:r>
      <w:r>
        <w:t xml:space="preserve">(110). The authors built a microkinetic model entirely from first-principles, with no adjustable parameters, with a total of 14 </w:t>
      </w:r>
      <w:r>
        <w:lastRenderedPageBreak/>
        <w:t>elementary steps. They included two paths for the O-O bond formation, both involving surface adsorbates, resulting either in a *OO</w:t>
      </w:r>
      <w:r w:rsidRPr="003C26B1">
        <w:rPr>
          <w:vertAlign w:val="superscript"/>
        </w:rPr>
        <w:t>2-</w:t>
      </w:r>
      <w:r>
        <w:t xml:space="preserve"> </w:t>
      </w:r>
      <w:proofErr w:type="spellStart"/>
      <w:r>
        <w:t>peroxo</w:t>
      </w:r>
      <w:proofErr w:type="spellEnd"/>
      <w:r>
        <w:t xml:space="preserve"> or a *OOH</w:t>
      </w:r>
      <w:r w:rsidRPr="003C26B1">
        <w:rPr>
          <w:vertAlign w:val="superscript"/>
        </w:rPr>
        <w:t>-</w:t>
      </w:r>
      <w:r>
        <w:t xml:space="preserve"> </w:t>
      </w:r>
      <w:proofErr w:type="spellStart"/>
      <w:r>
        <w:t>hydroperoxo</w:t>
      </w:r>
      <w:proofErr w:type="spellEnd"/>
      <w:r>
        <w:t xml:space="preserve"> intermediate, triggered in both case by the presence of a *O</w:t>
      </w:r>
      <w:r w:rsidRPr="003C26B1">
        <w:rPr>
          <w:vertAlign w:val="superscript"/>
        </w:rPr>
        <w:t>-</w:t>
      </w:r>
      <w:r>
        <w:t xml:space="preserve"> radical. Reaction energies and barriers are assumed to be coverage independent. The authors computed the rate of the OER as a function of the concentration of "surface reaching holes" </w:t>
      </w:r>
      <m:oMath>
        <m:sSub>
          <m:sSubPr>
            <m:ctrlPr>
              <w:rPr>
                <w:rFonts w:ascii="Cambria Math" w:hAnsi="Cambria Math"/>
                <w:i/>
              </w:rPr>
            </m:ctrlPr>
          </m:sSubPr>
          <m:e>
            <m:r>
              <w:rPr>
                <w:rFonts w:ascii="Cambria Math" w:hAnsi="Cambria Math"/>
              </w:rPr>
              <m:t>C</m:t>
            </m:r>
          </m:e>
          <m:sub>
            <m:sSup>
              <m:sSupPr>
                <m:ctrlPr>
                  <w:rPr>
                    <w:rFonts w:ascii="Cambria Math" w:hAnsi="Cambria Math"/>
                    <w:i/>
                  </w:rPr>
                </m:ctrlPr>
              </m:sSupPr>
              <m:e>
                <m:r>
                  <w:rPr>
                    <w:rFonts w:ascii="Cambria Math" w:hAnsi="Cambria Math"/>
                  </w:rPr>
                  <m:t>h</m:t>
                </m:r>
              </m:e>
              <m:sup>
                <m:r>
                  <w:rPr>
                    <w:rFonts w:ascii="Cambria Math" w:hAnsi="Cambria Math"/>
                  </w:rPr>
                  <m:t>+</m:t>
                </m:r>
              </m:sup>
            </m:sSup>
            <m:r>
              <w:rPr>
                <w:rFonts w:ascii="Cambria Math" w:hAnsi="Cambria Math"/>
              </w:rPr>
              <m:t xml:space="preserve"> </m:t>
            </m:r>
          </m:sub>
        </m:sSub>
      </m:oMath>
      <w:r>
        <w:t>, and made contact with experiments via an estimate of this quantity (</w:t>
      </w:r>
      <m:oMath>
        <m:sSub>
          <m:sSubPr>
            <m:ctrlPr>
              <w:rPr>
                <w:rFonts w:ascii="Cambria Math" w:hAnsi="Cambria Math"/>
                <w:i/>
              </w:rPr>
            </m:ctrlPr>
          </m:sSubPr>
          <m:e>
            <m:r>
              <w:rPr>
                <w:rFonts w:ascii="Cambria Math" w:hAnsi="Cambria Math"/>
              </w:rPr>
              <m:t>C</m:t>
            </m:r>
          </m:e>
          <m:sub>
            <m:sSup>
              <m:sSupPr>
                <m:ctrlPr>
                  <w:rPr>
                    <w:rFonts w:ascii="Cambria Math" w:hAnsi="Cambria Math"/>
                    <w:i/>
                  </w:rPr>
                </m:ctrlPr>
              </m:sSupPr>
              <m:e>
                <m:r>
                  <w:rPr>
                    <w:rFonts w:ascii="Cambria Math" w:hAnsi="Cambria Math"/>
                  </w:rPr>
                  <m:t>h</m:t>
                </m:r>
              </m:e>
              <m:sup>
                <m:r>
                  <w:rPr>
                    <w:rFonts w:ascii="Cambria Math" w:hAnsi="Cambria Math"/>
                  </w:rPr>
                  <m:t>+</m:t>
                </m:r>
              </m:sup>
            </m:sSup>
            <m:r>
              <w:rPr>
                <w:rFonts w:ascii="Cambria Math" w:hAnsi="Cambria Math"/>
              </w:rPr>
              <m:t xml:space="preserve"> </m:t>
            </m:r>
          </m:sub>
        </m:sSub>
      </m:oMath>
      <w:r>
        <w:t>= ~ 10</w:t>
      </w:r>
      <w:r w:rsidRPr="003C26B1">
        <w:rPr>
          <w:vertAlign w:val="superscript"/>
        </w:rPr>
        <w:t>-9</w:t>
      </w:r>
      <w:r>
        <w:t xml:space="preserve"> ML). </w:t>
      </w:r>
      <w:r>
        <w:fldChar w:fldCharType="begin"/>
      </w:r>
      <w:r>
        <w:instrText xml:space="preserve"> REF _Ref154137463 \h </w:instrText>
      </w:r>
      <w:r>
        <w:fldChar w:fldCharType="separate"/>
      </w:r>
      <w:r w:rsidR="00B7319C" w:rsidRPr="00AB61EB">
        <w:rPr>
          <w:b/>
        </w:rPr>
        <w:t xml:space="preserve">Figure </w:t>
      </w:r>
      <w:r w:rsidR="00B7319C">
        <w:rPr>
          <w:b/>
          <w:bCs/>
          <w:noProof/>
        </w:rPr>
        <w:t>67</w:t>
      </w:r>
      <w:r>
        <w:fldChar w:fldCharType="end"/>
      </w:r>
      <w:r>
        <w:t xml:space="preserve"> displays the prediction of the model, reporting the OER rate as</w:t>
      </w:r>
      <w:r w:rsidR="00A14953">
        <w:t xml:space="preserve"> a</w:t>
      </w:r>
      <w:r>
        <w:t xml:space="preserve"> function of the concentration of the surface reaching holes and of the activation energy of some key steps. The authors concluded that the factor limiting the performance of TiO</w:t>
      </w:r>
      <w:r w:rsidRPr="006A793A">
        <w:rPr>
          <w:vertAlign w:val="subscript"/>
        </w:rPr>
        <w:t>2</w:t>
      </w:r>
      <w:r>
        <w:t xml:space="preserve"> is the low concentration of surface reaching holes.</w:t>
      </w:r>
    </w:p>
    <w:p w14:paraId="4927FAF1" w14:textId="77777777" w:rsidR="006C1C9C" w:rsidRDefault="006C1C9C" w:rsidP="006C1C9C">
      <w:pPr>
        <w:keepNext/>
      </w:pPr>
      <w:r>
        <w:rPr>
          <w:noProof/>
        </w:rPr>
        <w:drawing>
          <wp:inline distT="0" distB="0" distL="0" distR="0" wp14:anchorId="66130B47" wp14:editId="05965C6C">
            <wp:extent cx="5760000" cy="2316308"/>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Wang_NatureCatal_exp_big.jpg"/>
                    <pic:cNvPicPr/>
                  </pic:nvPicPr>
                  <pic:blipFill>
                    <a:blip r:embed="rId77" cstate="print">
                      <a:extLst>
                        <a:ext uri="{28A0092B-C50C-407E-A947-70E740481C1C}">
                          <a14:useLocalDpi xmlns:a14="http://schemas.microsoft.com/office/drawing/2010/main" val="0"/>
                        </a:ext>
                      </a:extLst>
                    </a:blip>
                    <a:stretch>
                      <a:fillRect/>
                    </a:stretch>
                  </pic:blipFill>
                  <pic:spPr>
                    <a:xfrm>
                      <a:off x="0" y="0"/>
                      <a:ext cx="5760000" cy="2316308"/>
                    </a:xfrm>
                    <a:prstGeom prst="rect">
                      <a:avLst/>
                    </a:prstGeom>
                  </pic:spPr>
                </pic:pic>
              </a:graphicData>
            </a:graphic>
          </wp:inline>
        </w:drawing>
      </w:r>
    </w:p>
    <w:p w14:paraId="1DD2C44C" w14:textId="402CECBF" w:rsidR="006C1C9C" w:rsidRDefault="006C1C9C" w:rsidP="006C1C9C">
      <w:pPr>
        <w:pStyle w:val="Caption"/>
      </w:pPr>
      <w:bookmarkStart w:id="178" w:name="_Ref154137463"/>
      <w:r w:rsidRPr="00AB61EB">
        <w:rPr>
          <w:b/>
          <w:bCs w:val="0"/>
          <w:sz w:val="22"/>
        </w:rPr>
        <w:t xml:space="preserve">Figure </w:t>
      </w:r>
      <w:r w:rsidRPr="00AB61EB">
        <w:rPr>
          <w:b/>
          <w:bCs w:val="0"/>
          <w:sz w:val="22"/>
        </w:rPr>
        <w:fldChar w:fldCharType="begin"/>
      </w:r>
      <w:r w:rsidRPr="00AB61EB">
        <w:rPr>
          <w:b/>
          <w:bCs w:val="0"/>
          <w:sz w:val="22"/>
        </w:rPr>
        <w:instrText xml:space="preserve"> SEQ Figure \* ARABIC </w:instrText>
      </w:r>
      <w:r w:rsidRPr="00AB61EB">
        <w:rPr>
          <w:b/>
          <w:bCs w:val="0"/>
          <w:sz w:val="22"/>
        </w:rPr>
        <w:fldChar w:fldCharType="separate"/>
      </w:r>
      <w:r w:rsidR="00B7319C">
        <w:rPr>
          <w:b/>
          <w:bCs w:val="0"/>
          <w:noProof/>
          <w:sz w:val="22"/>
        </w:rPr>
        <w:t>67</w:t>
      </w:r>
      <w:r w:rsidRPr="00AB61EB">
        <w:rPr>
          <w:b/>
          <w:bCs w:val="0"/>
          <w:noProof/>
          <w:sz w:val="22"/>
        </w:rPr>
        <w:fldChar w:fldCharType="end"/>
      </w:r>
      <w:bookmarkEnd w:id="178"/>
      <w:r w:rsidRPr="006A793A">
        <w:t xml:space="preserve"> </w:t>
      </w:r>
      <w:r>
        <w:rPr>
          <w:rFonts w:ascii="Courier New" w:hAnsi="Courier New" w:cs="Courier New"/>
        </w:rPr>
        <w:t>(</w:t>
      </w:r>
      <w:r>
        <w:t xml:space="preserve">a) One of the dual pathways (pathway I) occurring on the </w:t>
      </w:r>
      <w:proofErr w:type="spellStart"/>
      <w:r>
        <w:t>Ti</w:t>
      </w:r>
      <w:proofErr w:type="spellEnd"/>
      <w:r>
        <w:t xml:space="preserve"> row. (b) The other pathway (pathway II) involving bridge oxygen. Insets show the TS structures. (c) The energy profiles of pathways I and II, in which states 1, 2, … 15 correspond to the states in a and b. The elementary steps involving holes are </w:t>
      </w:r>
      <w:proofErr w:type="spellStart"/>
      <w:r w:rsidR="002A09AD">
        <w:t>labeled</w:t>
      </w:r>
      <w:proofErr w:type="spellEnd"/>
      <w:r>
        <w:t xml:space="preserve"> by </w:t>
      </w:r>
      <w:r w:rsidRPr="00ED56DC">
        <w:rPr>
          <w:i/>
          <w:iCs/>
        </w:rPr>
        <w:t>h</w:t>
      </w:r>
      <w:r w:rsidRPr="00ED56DC">
        <w:rPr>
          <w:i/>
          <w:iCs/>
          <w:vertAlign w:val="superscript"/>
        </w:rPr>
        <w:t>+</w:t>
      </w:r>
      <w:r w:rsidRPr="00ED56DC">
        <w:rPr>
          <w:i/>
          <w:iCs/>
        </w:rPr>
        <w:t>.</w:t>
      </w:r>
      <w:r>
        <w:t xml:space="preserve"> (d) The existence of three key surface radicals in the process. They are illustrated by the spin-density plots (dumbbell-shaped O 2p orbital; </w:t>
      </w:r>
      <w:proofErr w:type="spellStart"/>
      <w:r>
        <w:t>isovalue</w:t>
      </w:r>
      <w:proofErr w:type="spellEnd"/>
      <w:r>
        <w:t xml:space="preserve"> of 0.005) and the Bader charge difference (~0.6 |</w:t>
      </w:r>
      <w:r w:rsidRPr="00ED56DC">
        <w:rPr>
          <w:i/>
          <w:iCs/>
        </w:rPr>
        <w:t>e</w:t>
      </w:r>
      <w:r>
        <w:t xml:space="preserve">| means that those oxygens after trapping </w:t>
      </w:r>
      <w:r w:rsidRPr="00ED56DC">
        <w:rPr>
          <w:i/>
          <w:iCs/>
        </w:rPr>
        <w:t>h</w:t>
      </w:r>
      <w:r w:rsidRPr="00ED56DC">
        <w:rPr>
          <w:i/>
          <w:iCs/>
          <w:vertAlign w:val="superscript"/>
        </w:rPr>
        <w:t>+</w:t>
      </w:r>
      <w:r>
        <w:t xml:space="preserve"> are positively charged with + 0.6 |</w:t>
      </w:r>
      <w:r w:rsidRPr="00ED56DC">
        <w:rPr>
          <w:i/>
          <w:iCs/>
        </w:rPr>
        <w:t>e</w:t>
      </w:r>
      <w:r>
        <w:t>| with respect to the lattice O in bulk TiO</w:t>
      </w:r>
      <w:r w:rsidRPr="00662817">
        <w:rPr>
          <w:vertAlign w:val="subscript"/>
        </w:rPr>
        <w:t>2</w:t>
      </w:r>
      <w:r>
        <w:t xml:space="preserve">). Influence of different kinetic barriers (water dissociation (e), O–O coupling (f) and hole diffusion (g)) and </w:t>
      </w:r>
      <w:r w:rsidRPr="00ED56DC">
        <w:rPr>
          <w:i/>
          <w:iCs/>
        </w:rPr>
        <w:t>C</w:t>
      </w:r>
      <w:r w:rsidRPr="00ED56DC">
        <w:rPr>
          <w:i/>
          <w:iCs/>
          <w:vertAlign w:val="subscript"/>
        </w:rPr>
        <w:t>h</w:t>
      </w:r>
      <w:r w:rsidRPr="00990710">
        <w:rPr>
          <w:vertAlign w:val="subscript"/>
        </w:rPr>
        <w:t>+</w:t>
      </w:r>
      <w:r>
        <w:t xml:space="preserve"> on the total TOF. The trends in different regions (I, II, III and IV) are indicated by black arrows. The experimental concentrations of holes with calculated barriers are </w:t>
      </w:r>
      <w:proofErr w:type="spellStart"/>
      <w:r w:rsidR="002A09AD">
        <w:t>labeled</w:t>
      </w:r>
      <w:proofErr w:type="spellEnd"/>
      <w:r>
        <w:t xml:space="preserve"> as black circles. (h) The contribution ratio between pathways I and II to the total TOF. ‘X’ represents the total TOF for the red curve and the contribution ratio for the black curve, respectively. Adapted </w:t>
      </w:r>
      <w:r w:rsidR="004214C4">
        <w:t xml:space="preserve">with permission </w:t>
      </w:r>
      <w:r>
        <w:t>from Ref.</w:t>
      </w:r>
      <w:r>
        <w:fldChar w:fldCharType="begin"/>
      </w:r>
      <w:r w:rsidR="00FC5BEB">
        <w:instrText xml:space="preserve"> ADDIN EN.CITE &lt;EndNote&gt;&lt;Cite&gt;&lt;Author&gt;Wang&lt;/Author&gt;&lt;Year&gt;2018&lt;/Year&gt;&lt;RecNum&gt;454&lt;/RecNum&gt;&lt;DisplayText&gt;&lt;style face="superscript"&gt;456&lt;/style&gt;&lt;/DisplayText&gt;&lt;record&gt;&lt;rec-number&gt;454&lt;/rec-number&gt;&lt;foreign-keys&gt;&lt;key app="EN" db-id="2xex0erf4eexr4e2dpbxpdd829xttesxxxdr" timestamp="1715075297"&gt;454&lt;/key&gt;&lt;/foreign-keys&gt;&lt;ref-type name="Journal Article"&gt;17&lt;/ref-type&gt;&lt;contributors&gt;&lt;authors&gt;&lt;author&gt;Wang, Dong&lt;/author&gt;&lt;author&gt;Sheng, Tian&lt;/author&gt;&lt;author&gt;Chen, Jianfu&lt;/author&gt;&lt;author&gt;Wang, Hai Feng&lt;/author&gt;&lt;author&gt;Hu, P.&lt;/author&gt;&lt;/authors&gt;&lt;/contributors&gt;&lt;titles&gt;&lt;title&gt;Identifying the key obstacle in photocatalytic oxygen evolution on rutile TiO2&lt;/title&gt;&lt;secondary-title&gt;Nat. Catal.&lt;/secondary-title&gt;&lt;/titles&gt;&lt;periodical&gt;&lt;full-title&gt;Nat. Catal.&lt;/full-title&gt;&lt;abbr-1&gt;Nat. Catal.&lt;/abbr-1&gt;&lt;/periodical&gt;&lt;pages&gt;291-299&lt;/pages&gt;&lt;volume&gt;1&lt;/volume&gt;&lt;number&gt;4&lt;/number&gt;&lt;dates&gt;&lt;year&gt;2018&lt;/year&gt;&lt;/dates&gt;&lt;urls&gt;&lt;related-urls&gt;&lt;url&gt;https://www.nature.com/articles/s41929-018-0055-z.pdf&lt;/url&gt;&lt;/related-urls&gt;&lt;pdf-urls&gt;&lt;url&gt;file://localhost/localhost/localhost/Users/piccinin/Literature/Nature%252520Catalysis%252520Volume%2525201%252520issue%2525204%2525202018%252520%25255Bdoi%25252010.1038%252525252Fs41929-018-0055-z%25255D%252520Wang,%252520Dong&lt;/url&gt;&lt;/pdf-urls&gt;&lt;/urls&gt;&lt;electronic-resource-num&gt;10.1038/s41929-018-0055-z&lt;/electronic-resource-num&gt;&lt;/record&gt;&lt;/Cite&gt;&lt;/EndNote&gt;</w:instrText>
      </w:r>
      <w:r>
        <w:fldChar w:fldCharType="separate"/>
      </w:r>
      <w:r w:rsidR="00FC5BEB" w:rsidRPr="00FC5BEB">
        <w:rPr>
          <w:noProof/>
          <w:vertAlign w:val="superscript"/>
        </w:rPr>
        <w:t>456</w:t>
      </w:r>
      <w:r>
        <w:fldChar w:fldCharType="end"/>
      </w:r>
      <w:r w:rsidR="00390E8E">
        <w:t xml:space="preserve"> Copyright 2018 Springer Nature.</w:t>
      </w:r>
    </w:p>
    <w:p w14:paraId="39C15BCB" w14:textId="28D53A6E" w:rsidR="006C1C9C" w:rsidRDefault="006C1C9C" w:rsidP="00AB61EB">
      <w:pPr>
        <w:ind w:firstLine="720"/>
      </w:pPr>
      <w:proofErr w:type="spellStart"/>
      <w:r w:rsidRPr="004B60A4">
        <w:t>Rig</w:t>
      </w:r>
      <w:r>
        <w:t>hi</w:t>
      </w:r>
      <w:proofErr w:type="spellEnd"/>
      <w:r>
        <w:t xml:space="preserve"> </w:t>
      </w:r>
      <w:r w:rsidR="00D72296">
        <w:t>et al.</w:t>
      </w:r>
      <w:r>
        <w:t xml:space="preserve"> used a similar approach to model the photoelectrochemical OER in </w:t>
      </w:r>
      <w:r w:rsidRPr="00855B3C">
        <w:rPr>
          <w:rFonts w:ascii="Symbol" w:hAnsi="Symbol"/>
        </w:rPr>
        <w:t></w:t>
      </w:r>
      <w:r>
        <w:t>-Fe</w:t>
      </w:r>
      <w:r w:rsidRPr="00855B3C">
        <w:rPr>
          <w:vertAlign w:val="subscript"/>
        </w:rPr>
        <w:t>2</w:t>
      </w:r>
      <w:r>
        <w:t>O</w:t>
      </w:r>
      <w:r w:rsidRPr="00855B3C">
        <w:rPr>
          <w:vertAlign w:val="subscript"/>
        </w:rPr>
        <w:t>3</w:t>
      </w:r>
      <w:r>
        <w:t>.</w:t>
      </w:r>
      <w:r>
        <w:fldChar w:fldCharType="begin"/>
      </w:r>
      <w:r w:rsidR="009F6662">
        <w:instrText xml:space="preserve"> ADDIN EN.CITE &lt;EndNote&gt;&lt;Cite&gt;&lt;Author&gt;Righi&lt;/Author&gt;&lt;Year&gt;2022&lt;/Year&gt;&lt;RecNum&gt;66&lt;/RecNum&gt;&lt;DisplayText&gt;&lt;style face="superscript"&gt;66&lt;/style&gt;&lt;/DisplayText&gt;&lt;record&gt;&lt;rec-number&gt;66&lt;/rec-number&gt;&lt;foreign-keys&gt;&lt;key app="EN" db-id="2xex0erf4eexr4e2dpbxpdd829xttesxxxdr" timestamp="1715075296"&gt;66&lt;/key&gt;&lt;/foreign-keys&gt;&lt;ref-type name="Journal Article"&gt;17&lt;/ref-type&gt;&lt;contributors&gt;&lt;authors&gt;&lt;author&gt;Righi, Giulia&lt;/author&gt;&lt;author&gt;Plescher, Julius&lt;/author&gt;&lt;author&gt;Schmidt, Franz-Philipp&lt;/author&gt;&lt;author&gt;Campen, R. Kramer&lt;/author&gt;&lt;author&gt;Fabris, Stefano&lt;/author&gt;&lt;author&gt;Knop-Gericke, Axel&lt;/author&gt;&lt;author&gt;Schlögl, Robert&lt;/author&gt;&lt;author&gt;Jones, Travis E.&lt;/author&gt;&lt;author&gt;Teschner, Detre&lt;/author&gt;&lt;author&gt;Piccinin, Simone&lt;/author&gt;&lt;/authors&gt;&lt;/contributors&gt;&lt;titles&gt;&lt;title&gt;On the origin of multihole oxygen evolution in haematite photoanodes&lt;/title&gt;&lt;secondary-title&gt;Nat. Catal.&lt;/secondary-title&gt;&lt;/titles&gt;&lt;periodical&gt;&lt;full-title&gt;Nat. Catal.&lt;/full-title&gt;&lt;abbr-1&gt;Nat. Catal.&lt;/abbr-1&gt;&lt;/periodical&gt;&lt;pages&gt;888-899&lt;/pages&gt;&lt;volume&gt;5&lt;/volume&gt;&lt;number&gt;10&lt;/number&gt;&lt;dates&gt;&lt;year&gt;2022&lt;/year&gt;&lt;/dates&gt;&lt;urls&gt;&lt;related-urls&gt;&lt;url&gt;https://doi.org/10.1038/s41929-022-00845-9&lt;/url&gt;&lt;/related-urls&gt;&lt;/urls&gt;&lt;electronic-resource-num&gt;10.1038/s41929-022-00845-9&lt;/electronic-resource-num&gt;&lt;/record&gt;&lt;/Cite&gt;&lt;/EndNote&gt;</w:instrText>
      </w:r>
      <w:r>
        <w:fldChar w:fldCharType="separate"/>
      </w:r>
      <w:r w:rsidR="009F6662" w:rsidRPr="009F6662">
        <w:rPr>
          <w:noProof/>
          <w:vertAlign w:val="superscript"/>
        </w:rPr>
        <w:t>66</w:t>
      </w:r>
      <w:r>
        <w:fldChar w:fldCharType="end"/>
      </w:r>
      <w:r>
        <w:t xml:space="preserve"> At variance with Wang et al.</w:t>
      </w:r>
      <w:r>
        <w:fldChar w:fldCharType="begin"/>
      </w:r>
      <w:r w:rsidR="00FC5BEB">
        <w:instrText xml:space="preserve"> ADDIN EN.CITE &lt;EndNote&gt;&lt;Cite&gt;&lt;Author&gt;Wang&lt;/Author&gt;&lt;Year&gt;2018&lt;/Year&gt;&lt;RecNum&gt;454&lt;/RecNum&gt;&lt;DisplayText&gt;&lt;style face="superscript"&gt;456&lt;/style&gt;&lt;/DisplayText&gt;&lt;record&gt;&lt;rec-number&gt;454&lt;/rec-number&gt;&lt;foreign-keys&gt;&lt;key app="EN" db-id="2xex0erf4eexr4e2dpbxpdd829xttesxxxdr" timestamp="1715075297"&gt;454&lt;/key&gt;&lt;/foreign-keys&gt;&lt;ref-type name="Journal Article"&gt;17&lt;/ref-type&gt;&lt;contributors&gt;&lt;authors&gt;&lt;author&gt;Wang, Dong&lt;/author&gt;&lt;author&gt;Sheng, Tian&lt;/author&gt;&lt;author&gt;Chen, Jianfu&lt;/author&gt;&lt;author&gt;Wang, Hai Feng&lt;/author&gt;&lt;author&gt;Hu, P.&lt;/author&gt;&lt;/authors&gt;&lt;/contributors&gt;&lt;titles&gt;&lt;title&gt;Identifying the key obstacle in photocatalytic oxygen evolution on rutile TiO2&lt;/title&gt;&lt;secondary-title&gt;Nat. Catal.&lt;/secondary-title&gt;&lt;/titles&gt;&lt;periodical&gt;&lt;full-title&gt;Nat. Catal.&lt;/full-title&gt;&lt;abbr-1&gt;Nat. Catal.&lt;/abbr-1&gt;&lt;/periodical&gt;&lt;pages&gt;291-299&lt;/pages&gt;&lt;volume&gt;1&lt;/volume&gt;&lt;number&gt;4&lt;/number&gt;&lt;dates&gt;&lt;year&gt;2018&lt;/year&gt;&lt;/dates&gt;&lt;urls&gt;&lt;related-urls&gt;&lt;url&gt;https://www.nature.com/articles/s41929-018-0055-z.pdf&lt;/url&gt;&lt;/related-urls&gt;&lt;pdf-urls&gt;&lt;url&gt;file://localhost/localhost/localhost/Users/piccinin/Literature/Nature%252520Catalysis%252520Volume%2525201%252520issue%2525204%2525202018%252520%25255Bdoi%25252010.1038%252525252Fs41929-018-0055-z%25255D%252520Wang,%252520Dong&lt;/url&gt;&lt;/pdf-urls&gt;&lt;/urls&gt;&lt;electronic-resource-num&gt;10.1038/s41929-018-0055-z&lt;/electronic-resource-num&gt;&lt;/record&gt;&lt;/Cite&gt;&lt;/EndNote&gt;</w:instrText>
      </w:r>
      <w:r>
        <w:fldChar w:fldCharType="separate"/>
      </w:r>
      <w:r w:rsidR="00FC5BEB" w:rsidRPr="00FC5BEB">
        <w:rPr>
          <w:noProof/>
          <w:vertAlign w:val="superscript"/>
        </w:rPr>
        <w:t>456</w:t>
      </w:r>
      <w:r>
        <w:fldChar w:fldCharType="end"/>
      </w:r>
      <w:r>
        <w:t xml:space="preserve">, however, here the authors distinguished two kinds of holes: those trapped in </w:t>
      </w:r>
      <w:r>
        <w:sym w:font="Symbol" w:char="F06D"/>
      </w:r>
      <w:r w:rsidRPr="006B06AF">
        <w:rPr>
          <w:vertAlign w:val="subscript"/>
        </w:rPr>
        <w:t>2</w:t>
      </w:r>
      <w:r>
        <w:t xml:space="preserve">-O </w:t>
      </w:r>
      <w:proofErr w:type="spellStart"/>
      <w:r>
        <w:t>oxyl</w:t>
      </w:r>
      <w:proofErr w:type="spellEnd"/>
      <w:r>
        <w:t xml:space="preserve"> intermediates (also named surface holes or *O</w:t>
      </w:r>
      <w:r w:rsidR="00E65AD9">
        <w:rPr>
          <w:vertAlign w:val="superscript"/>
        </w:rPr>
        <w:t>I</w:t>
      </w:r>
      <w:r>
        <w:rPr>
          <w:vertAlign w:val="superscript"/>
        </w:rPr>
        <w:t>-</w:t>
      </w:r>
      <w:r>
        <w:t>) and those present in the space charge layer (</w:t>
      </w:r>
      <m:oMath>
        <m:sSub>
          <m:sSubPr>
            <m:ctrlPr>
              <w:rPr>
                <w:rFonts w:ascii="Cambria Math" w:hAnsi="Cambria Math"/>
                <w:i/>
              </w:rPr>
            </m:ctrlPr>
          </m:sSubPr>
          <m:e>
            <m:r>
              <w:rPr>
                <w:rFonts w:ascii="Cambria Math" w:hAnsi="Cambria Math"/>
              </w:rPr>
              <m:t>C</m:t>
            </m:r>
          </m:e>
          <m:sub>
            <m:sSup>
              <m:sSupPr>
                <m:ctrlPr>
                  <w:rPr>
                    <w:rFonts w:ascii="Cambria Math" w:hAnsi="Cambria Math"/>
                    <w:i/>
                  </w:rPr>
                </m:ctrlPr>
              </m:sSupPr>
              <m:e>
                <m:r>
                  <w:rPr>
                    <w:rFonts w:ascii="Cambria Math" w:hAnsi="Cambria Math"/>
                  </w:rPr>
                  <m:t>h</m:t>
                </m:r>
              </m:e>
              <m:sup>
                <m:r>
                  <w:rPr>
                    <w:rFonts w:ascii="Cambria Math" w:hAnsi="Cambria Math"/>
                  </w:rPr>
                  <m:t>+</m:t>
                </m:r>
              </m:sup>
            </m:sSup>
            <m:r>
              <w:rPr>
                <w:rFonts w:ascii="Cambria Math" w:hAnsi="Cambria Math"/>
              </w:rPr>
              <m:t xml:space="preserve"> </m:t>
            </m:r>
          </m:sub>
        </m:sSub>
      </m:oMath>
      <w:r>
        <w:t xml:space="preserve">in the nomenclature of Wang et al.). Using transient photocurrent measurements </w:t>
      </w:r>
      <w:r w:rsidRPr="005C4599">
        <w:t>under chopped illumination</w:t>
      </w:r>
      <w:r>
        <w:t xml:space="preserve">, and integrating the </w:t>
      </w:r>
      <w:r w:rsidRPr="005C4599">
        <w:t>cathodic current transients</w:t>
      </w:r>
      <w:r>
        <w:t>, the authors obtained an estimate of the coverage of both surface holes and of space charge layers holes, which were distinguished by their decay with time. The authors used DFT calculations to obtain the coverage dependence of both the reaction energies and activation energies of the elementary steps. Here the O-O bond is assumed to take place via the nucleophilic attack of either a water molecule or a hydroxide ion on a *O</w:t>
      </w:r>
      <w:r w:rsidR="003628A2">
        <w:rPr>
          <w:vertAlign w:val="superscript"/>
        </w:rPr>
        <w:t>I</w:t>
      </w:r>
      <w:r>
        <w:rPr>
          <w:vertAlign w:val="superscript"/>
        </w:rPr>
        <w:t>-</w:t>
      </w:r>
      <w:r>
        <w:t xml:space="preserve"> surface intermediate, with the second being kinetically favored, while the direct coupling of surface adsorbates was predicted to be strongly activated. The microkinetic model, solved at the steady state, correctly predicts a third-order dependence of the photocurrent on the surface hole coverage, as seen in multiple experiments</w:t>
      </w:r>
      <w:r>
        <w:fldChar w:fldCharType="begin">
          <w:fldData xml:space="preserve">PEVuZE5vdGU+PENpdGU+PEF1dGhvcj5MZSBGb3JtYWw8L0F1dGhvcj48WWVhcj4yMDE1PC9ZZWFy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</w:fldData>
        </w:fldChar>
      </w:r>
      <w:r w:rsidR="00FC5BEB">
        <w:instrText xml:space="preserve"> ADDIN EN.CITE </w:instrText>
      </w:r>
      <w:r w:rsidR="00FC5BEB">
        <w:fldChar w:fldCharType="begin">
          <w:fldData xml:space="preserve">PEVuZE5vdGU+PENpdGU+PEF1dGhvcj5MZSBGb3JtYWw8L0F1dGhvcj48WWVhcj4yMDE1PC9ZZWFy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</w:fldData>
        </w:fldChar>
      </w:r>
      <w:r w:rsidR="00FC5BEB">
        <w:instrText xml:space="preserve"> ADDIN EN.CITE.DATA </w:instrText>
      </w:r>
      <w:r w:rsidR="00FC5BEB">
        <w:fldChar w:fldCharType="end"/>
      </w:r>
      <w:r>
        <w:fldChar w:fldCharType="separate"/>
      </w:r>
      <w:r w:rsidR="00FC5BEB" w:rsidRPr="00FC5BEB">
        <w:rPr>
          <w:noProof/>
          <w:vertAlign w:val="superscript"/>
        </w:rPr>
        <w:t>532, 533</w:t>
      </w:r>
      <w:r>
        <w:fldChar w:fldCharType="end"/>
      </w:r>
      <w:r>
        <w:t xml:space="preserve">, and a small apparent activation energy (see </w:t>
      </w:r>
      <w:r>
        <w:fldChar w:fldCharType="begin"/>
      </w:r>
      <w:r>
        <w:instrText xml:space="preserve"> REF _Ref154143744 \h </w:instrText>
      </w:r>
      <w:r>
        <w:fldChar w:fldCharType="separate"/>
      </w:r>
      <w:r w:rsidR="00B7319C" w:rsidRPr="00AB61EB">
        <w:rPr>
          <w:b/>
        </w:rPr>
        <w:t xml:space="preserve">Figure </w:t>
      </w:r>
      <w:r w:rsidR="00B7319C">
        <w:rPr>
          <w:b/>
          <w:bCs/>
          <w:noProof/>
        </w:rPr>
        <w:t>68</w:t>
      </w:r>
      <w:r>
        <w:fldChar w:fldCharType="end"/>
      </w:r>
      <w:r>
        <w:t>). This is rationalized on the basis of an O-O step involving a chemical step, the dissociative adsorption of a hydroxide ion on three surface holes leading to a *OO</w:t>
      </w:r>
      <w:r w:rsidRPr="006B06AF">
        <w:rPr>
          <w:vertAlign w:val="superscript"/>
        </w:rPr>
        <w:t>-</w:t>
      </w:r>
      <w:r>
        <w:t xml:space="preserve"> superoxo intermediate, with an activation energy that is weakly dependent on the surface hole coverage.</w:t>
      </w:r>
    </w:p>
    <w:p w14:paraId="49EB5FD3" w14:textId="77777777" w:rsidR="006C1C9C" w:rsidRDefault="006C1C9C" w:rsidP="006C1C9C">
      <w:pPr>
        <w:keepNext/>
      </w:pPr>
      <w:r>
        <w:rPr>
          <w:noProof/>
        </w:rPr>
        <w:lastRenderedPageBreak/>
        <w:drawing>
          <wp:inline distT="0" distB="0" distL="0" distR="0" wp14:anchorId="59033C60" wp14:editId="1C7D14DE">
            <wp:extent cx="5943600" cy="1343660"/>
            <wp:effectExtent l="0" t="0" r="0" b="254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Righi_NatureCatal2022_exp_big.jpg"/>
                    <pic:cNvPicPr/>
                  </pic:nvPicPr>
                  <pic:blipFill>
                    <a:blip r:embed="rId78" cstate="print">
                      <a:extLst>
                        <a:ext uri="{28A0092B-C50C-407E-A947-70E740481C1C}">
                          <a14:useLocalDpi xmlns:a14="http://schemas.microsoft.com/office/drawing/2010/main" val="0"/>
                        </a:ext>
                      </a:extLst>
                    </a:blip>
                    <a:stretch>
                      <a:fillRect/>
                    </a:stretch>
                  </pic:blipFill>
                  <pic:spPr>
                    <a:xfrm>
                      <a:off x="0" y="0"/>
                      <a:ext cx="5943600" cy="1343660"/>
                    </a:xfrm>
                    <a:prstGeom prst="rect">
                      <a:avLst/>
                    </a:prstGeom>
                  </pic:spPr>
                </pic:pic>
              </a:graphicData>
            </a:graphic>
          </wp:inline>
        </w:drawing>
      </w:r>
    </w:p>
    <w:p w14:paraId="65C7FCC3" w14:textId="42672633" w:rsidR="006C1C9C" w:rsidRDefault="006C1C9C" w:rsidP="006C1C9C">
      <w:pPr>
        <w:pStyle w:val="Caption"/>
      </w:pPr>
      <w:bookmarkStart w:id="179" w:name="_Ref154143744"/>
      <w:r w:rsidRPr="00AB61EB">
        <w:rPr>
          <w:b/>
          <w:bCs w:val="0"/>
          <w:sz w:val="22"/>
        </w:rPr>
        <w:t xml:space="preserve">Figure </w:t>
      </w:r>
      <w:r w:rsidRPr="00AB61EB">
        <w:rPr>
          <w:b/>
          <w:bCs w:val="0"/>
          <w:sz w:val="22"/>
        </w:rPr>
        <w:fldChar w:fldCharType="begin"/>
      </w:r>
      <w:r w:rsidRPr="00AB61EB">
        <w:rPr>
          <w:b/>
          <w:bCs w:val="0"/>
          <w:sz w:val="22"/>
        </w:rPr>
        <w:instrText xml:space="preserve"> SEQ Figure \* ARABIC </w:instrText>
      </w:r>
      <w:r w:rsidRPr="00AB61EB">
        <w:rPr>
          <w:b/>
          <w:bCs w:val="0"/>
          <w:sz w:val="22"/>
        </w:rPr>
        <w:fldChar w:fldCharType="separate"/>
      </w:r>
      <w:r w:rsidR="00B7319C">
        <w:rPr>
          <w:b/>
          <w:bCs w:val="0"/>
          <w:noProof/>
          <w:sz w:val="22"/>
        </w:rPr>
        <w:t>68</w:t>
      </w:r>
      <w:r w:rsidRPr="00AB61EB">
        <w:rPr>
          <w:b/>
          <w:bCs w:val="0"/>
          <w:noProof/>
          <w:sz w:val="22"/>
        </w:rPr>
        <w:fldChar w:fldCharType="end"/>
      </w:r>
      <w:bookmarkEnd w:id="179"/>
      <w:r w:rsidRPr="004812DE">
        <w:t xml:space="preserve"> </w:t>
      </w:r>
      <w:r>
        <w:t>(a) A</w:t>
      </w:r>
      <w:r w:rsidRPr="004812DE">
        <w:t>ctivation energy of the O–O bond formation step versus the coverage of surface holes, reported in monolayers in the bottom x-axis and as number of surface holes per simulation cell in the top x-axis. The numbers in the colour code represent the reaction number</w:t>
      </w:r>
      <w:r>
        <w:t>. (b) Coverage of various reaction intermediates as a function of the concentration of holes in the SCL. (c) log–log plot of the OER rate versus the coverage of *O</w:t>
      </w:r>
      <w:r w:rsidRPr="000E0028">
        <w:rPr>
          <w:vertAlign w:val="superscript"/>
        </w:rPr>
        <w:t>1−</w:t>
      </w:r>
      <w:r>
        <w:t xml:space="preserve"> intermediates. (d) log of the OER rate constant plotted against inverse temperature for </w:t>
      </w:r>
      <w:r w:rsidRPr="00ED56DC">
        <w:rPr>
          <w:i/>
          <w:iCs/>
        </w:rPr>
        <w:t>C(h+)</w:t>
      </w:r>
      <w:r>
        <w:t xml:space="preserve"> = 1 ML. The red dashed lines in (c) and (d) are linear fits of the data points. Adapted </w:t>
      </w:r>
      <w:r w:rsidR="00DF6E25">
        <w:t>f</w:t>
      </w:r>
      <w:r>
        <w:t>rom Ref.</w:t>
      </w:r>
      <w:r>
        <w:fldChar w:fldCharType="begin"/>
      </w:r>
      <w:r w:rsidR="009F6662">
        <w:instrText xml:space="preserve"> ADDIN EN.CITE &lt;EndNote&gt;&lt;Cite&gt;&lt;Author&gt;Righi&lt;/Author&gt;&lt;Year&gt;2022&lt;/Year&gt;&lt;RecNum&gt;66&lt;/RecNum&gt;&lt;DisplayText&gt;&lt;style face="superscript"&gt;66&lt;/style&gt;&lt;/DisplayText&gt;&lt;record&gt;&lt;rec-number&gt;66&lt;/rec-number&gt;&lt;foreign-keys&gt;&lt;key app="EN" db-id="2xex0erf4eexr4e2dpbxpdd829xttesxxxdr" timestamp="1715075296"&gt;66&lt;/key&gt;&lt;/foreign-keys&gt;&lt;ref-type name="Journal Article"&gt;17&lt;/ref-type&gt;&lt;contributors&gt;&lt;authors&gt;&lt;author&gt;Righi, Giulia&lt;/author&gt;&lt;author&gt;Plescher, Julius&lt;/author&gt;&lt;author&gt;Schmidt, Franz-Philipp&lt;/author&gt;&lt;author&gt;Campen, R. Kramer&lt;/author&gt;&lt;author&gt;Fabris, Stefano&lt;/author&gt;&lt;author&gt;Knop-Gericke, Axel&lt;/author&gt;&lt;author&gt;Schlögl, Robert&lt;/author&gt;&lt;author&gt;Jones, Travis E.&lt;/author&gt;&lt;author&gt;Teschner, Detre&lt;/author&gt;&lt;author&gt;Piccinin, Simone&lt;/author&gt;&lt;/authors&gt;&lt;/contributors&gt;&lt;titles&gt;&lt;title&gt;On the origin of multihole oxygen evolution in haematite photoanodes&lt;/title&gt;&lt;secondary-title&gt;Nat. Catal.&lt;/secondary-title&gt;&lt;/titles&gt;&lt;periodical&gt;&lt;full-title&gt;Nat. Catal.&lt;/full-title&gt;&lt;abbr-1&gt;Nat. Catal.&lt;/abbr-1&gt;&lt;/periodical&gt;&lt;pages&gt;888-899&lt;/pages&gt;&lt;volume&gt;5&lt;/volume&gt;&lt;number&gt;10&lt;/number&gt;&lt;dates&gt;&lt;year&gt;2022&lt;/year&gt;&lt;/dates&gt;&lt;urls&gt;&lt;related-urls&gt;&lt;url&gt;https://doi.org/10.1038/s41929-022-00845-9&lt;/url&gt;&lt;/related-urls&gt;&lt;/urls&gt;&lt;electronic-resource-num&gt;10.1038/s41929-022-00845-9&lt;/electronic-resource-num&gt;&lt;/record&gt;&lt;/Cite&gt;&lt;/EndNote&gt;</w:instrText>
      </w:r>
      <w:r>
        <w:fldChar w:fldCharType="separate"/>
      </w:r>
      <w:r w:rsidR="009F6662" w:rsidRPr="009F6662">
        <w:rPr>
          <w:noProof/>
          <w:vertAlign w:val="superscript"/>
        </w:rPr>
        <w:t>66</w:t>
      </w:r>
      <w:r>
        <w:fldChar w:fldCharType="end"/>
      </w:r>
      <w:r w:rsidR="005E75C4">
        <w:t xml:space="preserve"> </w:t>
      </w:r>
      <w:r w:rsidR="005E75C4" w:rsidRPr="005E75C4">
        <w:rPr>
          <w:lang w:val="en-US"/>
        </w:rPr>
        <w:t xml:space="preserve">under the Creative Commons Attribution </w:t>
      </w:r>
      <w:r w:rsidR="005E75C4">
        <w:rPr>
          <w:lang w:val="en-US"/>
        </w:rPr>
        <w:t>4</w:t>
      </w:r>
      <w:r w:rsidR="005E75C4" w:rsidRPr="005E75C4">
        <w:rPr>
          <w:lang w:val="en-US"/>
        </w:rPr>
        <w:t>.0 License</w:t>
      </w:r>
      <w:r w:rsidR="005E75C4">
        <w:rPr>
          <w:lang w:val="en-US"/>
        </w:rPr>
        <w:t>.</w:t>
      </w:r>
    </w:p>
    <w:p w14:paraId="4438C03F" w14:textId="77777777" w:rsidR="006C1C9C" w:rsidRDefault="006C1C9C" w:rsidP="006C1C9C"/>
    <w:p w14:paraId="787AE881" w14:textId="2BE78385" w:rsidR="006C1C9C" w:rsidRDefault="006C1C9C" w:rsidP="00B476D9">
      <w:pPr>
        <w:ind w:firstLine="720"/>
      </w:pPr>
      <w:r>
        <w:t>George et al.</w:t>
      </w:r>
      <w:r>
        <w:fldChar w:fldCharType="begin"/>
      </w:r>
      <w:r w:rsidR="00FC5BEB">
        <w:instrText xml:space="preserve"> ADDIN EN.CITE &lt;EndNote&gt;&lt;Cite&gt;&lt;Author&gt;George&lt;/Author&gt;&lt;Year&gt;2019&lt;/Year&gt;&lt;RecNum&gt;528&lt;/RecNum&gt;&lt;DisplayText&gt;&lt;style face="superscript"&gt;530&lt;/style&gt;&lt;/DisplayText&gt;&lt;record&gt;&lt;rec-number&gt;528&lt;/rec-number&gt;&lt;foreign-keys&gt;&lt;key app="EN" db-id="2xex0erf4eexr4e2dpbxpdd829xttesxxxdr" timestamp="1715075297"&gt;528&lt;/key&gt;&lt;/foreign-keys&gt;&lt;ref-type name="Journal Article"&gt;17&lt;/ref-type&gt;&lt;contributors&gt;&lt;authors&gt;&lt;author&gt;George, Kiran&lt;/author&gt;&lt;author&gt;Van Berkel, Matthijs&lt;/author&gt;&lt;author&gt;Zhang, Xueqing&lt;/author&gt;&lt;author&gt;Sinha, Rochan&lt;/author&gt;&lt;author&gt;Bieberle-Hütter, Anja&lt;/author&gt;&lt;/authors&gt;&lt;/contributors&gt;&lt;titles&gt;&lt;title&gt;Impedance Spectra and Surface Coverages Simulated Directly from the Electrochemical Reaction Mechanism: A Nonlinear State-Space Approach&lt;/title&gt;&lt;secondary-title&gt;Journal of Physical Chemistry C&lt;/secondary-title&gt;&lt;/titles&gt;&lt;periodical&gt;&lt;full-title&gt;Journal of Physical Chemistry C&lt;/full-title&gt;&lt;abbr-1&gt;J. Phys. Chem. C&lt;/abbr-1&gt;&lt;/periodical&gt;&lt;pages&gt;9981-9992&lt;/pages&gt;&lt;volume&gt;123&lt;/volume&gt;&lt;number&gt;15&lt;/number&gt;&lt;dates&gt;&lt;year&gt;2019&lt;/year&gt;&lt;/dates&gt;&lt;urls&gt;&lt;related-urls&gt;&lt;url&gt;https://pubs.acs.org/doi/pdf/10.1021/acs.jpcc.9b01836&lt;/url&gt;&lt;/related-urls&gt;&lt;pdf-urls&gt;&lt;url&gt;file://localhost/localhost/Users/piccinin/Literature/acs.jpcc.9b01836.pdf&lt;/url&gt;&lt;/pdf-urls&gt;&lt;/urls&gt;&lt;electronic-resource-num&gt;10.1021/acs.jpcc.9b01836&lt;/electronic-resource-num&gt;&lt;/record&gt;&lt;/Cite&gt;&lt;/EndNote&gt;</w:instrText>
      </w:r>
      <w:r>
        <w:fldChar w:fldCharType="separate"/>
      </w:r>
      <w:r w:rsidR="00FC5BEB" w:rsidRPr="00FC5BEB">
        <w:rPr>
          <w:noProof/>
          <w:vertAlign w:val="superscript"/>
        </w:rPr>
        <w:t>530</w:t>
      </w:r>
      <w:r>
        <w:fldChar w:fldCharType="end"/>
      </w:r>
      <w:r>
        <w:t xml:space="preserve"> also focused on </w:t>
      </w:r>
      <w:r w:rsidRPr="00FE4C4E">
        <w:rPr>
          <w:rFonts w:ascii="Symbol" w:hAnsi="Symbol"/>
        </w:rPr>
        <w:t></w:t>
      </w:r>
      <w:r>
        <w:t>-Fe</w:t>
      </w:r>
      <w:r w:rsidRPr="00FE4C4E">
        <w:rPr>
          <w:vertAlign w:val="subscript"/>
        </w:rPr>
        <w:t>2</w:t>
      </w:r>
      <w:r>
        <w:t>O</w:t>
      </w:r>
      <w:r w:rsidRPr="00FE4C4E">
        <w:rPr>
          <w:vertAlign w:val="subscript"/>
        </w:rPr>
        <w:t>3</w:t>
      </w:r>
      <w:r>
        <w:t xml:space="preserve">, considering the (110) surface and the following single-site mechanism via </w:t>
      </w:r>
      <w:r w:rsidRPr="00D6660E">
        <w:rPr>
          <w:rFonts w:ascii="Symbol" w:hAnsi="Symbol"/>
        </w:rPr>
        <w:t></w:t>
      </w:r>
      <w:r w:rsidRPr="00D6660E">
        <w:rPr>
          <w:vertAlign w:val="subscript"/>
        </w:rPr>
        <w:t>1</w:t>
      </w:r>
      <w:r>
        <w:t xml:space="preserve"> adsorbates in alkaline electrolytes:</w:t>
      </w:r>
    </w:p>
    <w:p w14:paraId="1E369FD7" w14:textId="3C6F0561" w:rsidR="006C1C9C" w:rsidRPr="00727A30" w:rsidRDefault="006C1C9C" w:rsidP="00B476D9">
      <w:pPr>
        <w:pStyle w:val="Caption"/>
        <w:spacing w:after="60"/>
        <w:jc w:val="right"/>
        <w:rPr>
          <w:rFonts w:eastAsiaTheme="minorEastAsia"/>
          <w:lang w:val="it-IT"/>
        </w:rPr>
      </w:pPr>
      <w:r w:rsidRPr="00727A30">
        <w:rPr>
          <w:rFonts w:eastAsiaTheme="minorEastAsia"/>
          <w:lang w:val="it-IT"/>
        </w:rPr>
        <w:t>* + OH</w:t>
      </w:r>
      <w:r w:rsidRPr="00727A30">
        <w:rPr>
          <w:rFonts w:eastAsiaTheme="minorEastAsia"/>
          <w:vertAlign w:val="superscript"/>
          <w:lang w:val="it-IT"/>
        </w:rPr>
        <w:t>-</w:t>
      </w:r>
      <w:r w:rsidRPr="00727A30">
        <w:rPr>
          <w:rFonts w:eastAsiaTheme="minorEastAsia"/>
          <w:lang w:val="it-IT"/>
        </w:rPr>
        <w:t xml:space="preserve"> </w:t>
      </w:r>
      <m:oMath>
        <m:r>
          <w:rPr>
            <w:rFonts w:ascii="Cambria Math" w:eastAsiaTheme="minorEastAsia" w:hAnsi="Cambria Math"/>
            <w:lang w:val="it-IT"/>
          </w:rPr>
          <m:t>⇌</m:t>
        </m:r>
      </m:oMath>
      <w:r w:rsidRPr="00727A30">
        <w:rPr>
          <w:rFonts w:eastAsiaTheme="minorEastAsia"/>
          <w:lang w:val="it-IT"/>
        </w:rPr>
        <w:t xml:space="preserve"> *OH + </w:t>
      </w:r>
      <w:r w:rsidRPr="00FF4405">
        <w:rPr>
          <w:rFonts w:eastAsiaTheme="minorEastAsia"/>
          <w:lang w:val="it-IT"/>
        </w:rPr>
        <w:t>e</w:t>
      </w:r>
      <w:r w:rsidRPr="00FF4405">
        <w:rPr>
          <w:rFonts w:eastAsiaTheme="minorEastAsia"/>
          <w:vertAlign w:val="superscript"/>
          <w:lang w:val="it-IT"/>
        </w:rPr>
        <w:t>-</w:t>
      </w:r>
      <w:r w:rsidR="00B476D9" w:rsidRPr="00727A30">
        <w:rPr>
          <w:rFonts w:eastAsiaTheme="minorEastAsia"/>
          <w:vertAlign w:val="superscript"/>
          <w:lang w:val="it-IT"/>
        </w:rPr>
        <w:tab/>
      </w:r>
      <w:r w:rsidR="00B476D9" w:rsidRPr="00727A30">
        <w:rPr>
          <w:rFonts w:eastAsiaTheme="minorEastAsia"/>
          <w:vertAlign w:val="superscript"/>
          <w:lang w:val="it-IT"/>
        </w:rPr>
        <w:tab/>
      </w:r>
      <w:r w:rsidR="00B476D9" w:rsidRPr="00727A30">
        <w:rPr>
          <w:rFonts w:eastAsiaTheme="minorEastAsia"/>
          <w:vertAlign w:val="superscript"/>
          <w:lang w:val="it-IT"/>
        </w:rPr>
        <w:tab/>
      </w:r>
      <w:r w:rsidR="00B476D9" w:rsidRPr="00727A30">
        <w:rPr>
          <w:rFonts w:eastAsiaTheme="minorEastAsia"/>
          <w:vertAlign w:val="superscript"/>
          <w:lang w:val="it-IT"/>
        </w:rPr>
        <w:tab/>
      </w:r>
      <w:r w:rsidR="00B476D9" w:rsidRPr="00727A30">
        <w:rPr>
          <w:rFonts w:eastAsiaTheme="minorEastAsia"/>
          <w:vertAlign w:val="superscript"/>
          <w:lang w:val="it-IT"/>
        </w:rPr>
        <w:tab/>
      </w:r>
      <w:r w:rsidR="00B476D9" w:rsidRPr="00727A30">
        <w:rPr>
          <w:lang w:val="it-IT"/>
        </w:rPr>
        <w:t xml:space="preserve">Equation </w:t>
      </w:r>
      <w:r w:rsidR="00B476D9">
        <w:fldChar w:fldCharType="begin"/>
      </w:r>
      <w:r w:rsidR="00B476D9" w:rsidRPr="00727A30">
        <w:rPr>
          <w:lang w:val="it-IT"/>
        </w:rPr>
        <w:instrText xml:space="preserve"> SEQ Equation \* ARABIC </w:instrText>
      </w:r>
      <w:r w:rsidR="00B476D9">
        <w:fldChar w:fldCharType="separate"/>
      </w:r>
      <w:r w:rsidR="00B7319C">
        <w:rPr>
          <w:noProof/>
          <w:lang w:val="it-IT"/>
        </w:rPr>
        <w:t>113</w:t>
      </w:r>
      <w:r w:rsidR="00B476D9">
        <w:fldChar w:fldCharType="end"/>
      </w:r>
    </w:p>
    <w:p w14:paraId="309EC210" w14:textId="710E9F2D" w:rsidR="006C1C9C" w:rsidRPr="00727A30" w:rsidRDefault="006C1C9C" w:rsidP="00B476D9">
      <w:pPr>
        <w:pStyle w:val="Caption"/>
        <w:spacing w:after="60"/>
        <w:jc w:val="right"/>
        <w:rPr>
          <w:rFonts w:eastAsiaTheme="minorEastAsia"/>
          <w:lang w:val="it-IT"/>
        </w:rPr>
      </w:pPr>
      <w:r w:rsidRPr="00727A30">
        <w:rPr>
          <w:rFonts w:eastAsiaTheme="minorEastAsia"/>
          <w:lang w:val="it-IT"/>
        </w:rPr>
        <w:t>*OH + OH</w:t>
      </w:r>
      <w:r w:rsidRPr="00727A30">
        <w:rPr>
          <w:rFonts w:eastAsiaTheme="minorEastAsia"/>
          <w:vertAlign w:val="superscript"/>
          <w:lang w:val="it-IT"/>
        </w:rPr>
        <w:t>-</w:t>
      </w:r>
      <w:r w:rsidRPr="00727A30">
        <w:rPr>
          <w:rFonts w:eastAsiaTheme="minorEastAsia"/>
          <w:lang w:val="it-IT"/>
        </w:rPr>
        <w:t xml:space="preserve">  </w:t>
      </w:r>
      <m:oMath>
        <m:r>
          <w:rPr>
            <w:rFonts w:ascii="Cambria Math" w:eastAsiaTheme="minorEastAsia" w:hAnsi="Cambria Math"/>
            <w:lang w:val="it-IT"/>
          </w:rPr>
          <m:t>⇌</m:t>
        </m:r>
      </m:oMath>
      <w:r w:rsidRPr="00727A30">
        <w:rPr>
          <w:rFonts w:eastAsiaTheme="minorEastAsia"/>
          <w:lang w:val="it-IT"/>
        </w:rPr>
        <w:t xml:space="preserve">  *O + H</w:t>
      </w:r>
      <w:r w:rsidRPr="00727A30">
        <w:rPr>
          <w:rFonts w:eastAsiaTheme="minorEastAsia"/>
          <w:vertAlign w:val="subscript"/>
          <w:lang w:val="it-IT"/>
        </w:rPr>
        <w:t>2</w:t>
      </w:r>
      <w:r w:rsidRPr="00727A30">
        <w:rPr>
          <w:rFonts w:eastAsiaTheme="minorEastAsia"/>
          <w:lang w:val="it-IT"/>
        </w:rPr>
        <w:t xml:space="preserve">O + </w:t>
      </w:r>
      <w:r w:rsidRPr="00FF4405">
        <w:rPr>
          <w:rFonts w:eastAsiaTheme="minorEastAsia"/>
          <w:lang w:val="it-IT"/>
        </w:rPr>
        <w:t>e</w:t>
      </w:r>
      <w:r w:rsidRPr="00FF4405">
        <w:rPr>
          <w:rFonts w:eastAsiaTheme="minorEastAsia"/>
          <w:vertAlign w:val="superscript"/>
          <w:lang w:val="it-IT"/>
        </w:rPr>
        <w:t>-</w:t>
      </w:r>
      <w:r w:rsidR="00B476D9" w:rsidRPr="00727A30">
        <w:rPr>
          <w:rFonts w:eastAsiaTheme="minorEastAsia"/>
          <w:lang w:val="it-IT"/>
        </w:rPr>
        <w:tab/>
      </w:r>
      <w:r w:rsidR="00B476D9" w:rsidRPr="00727A30">
        <w:rPr>
          <w:rFonts w:eastAsiaTheme="minorEastAsia"/>
          <w:lang w:val="it-IT"/>
        </w:rPr>
        <w:tab/>
      </w:r>
      <w:r w:rsidR="00B476D9" w:rsidRPr="00727A30">
        <w:rPr>
          <w:rFonts w:eastAsiaTheme="minorEastAsia"/>
          <w:lang w:val="it-IT"/>
        </w:rPr>
        <w:tab/>
      </w:r>
      <w:r w:rsidR="00B476D9" w:rsidRPr="00727A30">
        <w:rPr>
          <w:rFonts w:eastAsiaTheme="minorEastAsia"/>
          <w:lang w:val="it-IT"/>
        </w:rPr>
        <w:tab/>
      </w:r>
      <w:r w:rsidR="00B476D9" w:rsidRPr="00727A30">
        <w:rPr>
          <w:lang w:val="it-IT"/>
        </w:rPr>
        <w:t xml:space="preserve">Equation </w:t>
      </w:r>
      <w:r w:rsidR="00B476D9">
        <w:fldChar w:fldCharType="begin"/>
      </w:r>
      <w:r w:rsidR="00B476D9" w:rsidRPr="00727A30">
        <w:rPr>
          <w:lang w:val="it-IT"/>
        </w:rPr>
        <w:instrText xml:space="preserve"> SEQ Equation \* ARABIC </w:instrText>
      </w:r>
      <w:r w:rsidR="00B476D9">
        <w:fldChar w:fldCharType="separate"/>
      </w:r>
      <w:r w:rsidR="00B7319C">
        <w:rPr>
          <w:noProof/>
          <w:lang w:val="it-IT"/>
        </w:rPr>
        <w:t>114</w:t>
      </w:r>
      <w:r w:rsidR="00B476D9">
        <w:fldChar w:fldCharType="end"/>
      </w:r>
    </w:p>
    <w:p w14:paraId="5587BA2D" w14:textId="71D4553E" w:rsidR="006C1C9C" w:rsidRPr="00727A30" w:rsidRDefault="006C1C9C" w:rsidP="00B476D9">
      <w:pPr>
        <w:pStyle w:val="Caption"/>
        <w:spacing w:after="60"/>
        <w:jc w:val="right"/>
        <w:rPr>
          <w:rFonts w:eastAsiaTheme="minorEastAsia"/>
          <w:lang w:val="it-IT"/>
        </w:rPr>
      </w:pPr>
      <w:r w:rsidRPr="00727A30">
        <w:rPr>
          <w:rFonts w:eastAsiaTheme="minorEastAsia"/>
          <w:lang w:val="it-IT"/>
        </w:rPr>
        <w:t>*O + OH</w:t>
      </w:r>
      <w:r w:rsidRPr="00727A30">
        <w:rPr>
          <w:rFonts w:eastAsiaTheme="minorEastAsia"/>
          <w:vertAlign w:val="superscript"/>
          <w:lang w:val="it-IT"/>
        </w:rPr>
        <w:t>-</w:t>
      </w:r>
      <w:r w:rsidRPr="00727A30">
        <w:rPr>
          <w:rFonts w:eastAsiaTheme="minorEastAsia"/>
          <w:lang w:val="it-IT"/>
        </w:rPr>
        <w:t xml:space="preserve">  </w:t>
      </w:r>
      <m:oMath>
        <m:r>
          <w:rPr>
            <w:rFonts w:ascii="Cambria Math" w:eastAsiaTheme="minorEastAsia" w:hAnsi="Cambria Math"/>
            <w:lang w:val="it-IT"/>
          </w:rPr>
          <m:t>⇌</m:t>
        </m:r>
      </m:oMath>
      <w:r w:rsidRPr="00727A30">
        <w:rPr>
          <w:rFonts w:eastAsiaTheme="minorEastAsia"/>
          <w:lang w:val="it-IT"/>
        </w:rPr>
        <w:t xml:space="preserve">  *OOH + </w:t>
      </w:r>
      <w:r w:rsidRPr="00FF4405">
        <w:rPr>
          <w:rFonts w:eastAsiaTheme="minorEastAsia"/>
          <w:lang w:val="it-IT"/>
        </w:rPr>
        <w:t>e</w:t>
      </w:r>
      <w:r w:rsidRPr="00FF4405">
        <w:rPr>
          <w:rFonts w:eastAsiaTheme="minorEastAsia"/>
          <w:vertAlign w:val="superscript"/>
          <w:lang w:val="it-IT"/>
        </w:rPr>
        <w:t>-</w:t>
      </w:r>
      <w:r w:rsidR="00B476D9" w:rsidRPr="00727A30">
        <w:rPr>
          <w:rFonts w:eastAsiaTheme="minorEastAsia"/>
          <w:lang w:val="it-IT"/>
        </w:rPr>
        <w:tab/>
      </w:r>
      <w:r w:rsidR="00B476D9" w:rsidRPr="00727A30">
        <w:rPr>
          <w:rFonts w:eastAsiaTheme="minorEastAsia"/>
          <w:lang w:val="it-IT"/>
        </w:rPr>
        <w:tab/>
      </w:r>
      <w:r w:rsidR="00B476D9" w:rsidRPr="00727A30">
        <w:rPr>
          <w:rFonts w:eastAsiaTheme="minorEastAsia"/>
          <w:lang w:val="it-IT"/>
        </w:rPr>
        <w:tab/>
      </w:r>
      <w:r w:rsidR="00B476D9" w:rsidRPr="00727A30">
        <w:rPr>
          <w:rFonts w:eastAsiaTheme="minorEastAsia"/>
          <w:lang w:val="it-IT"/>
        </w:rPr>
        <w:tab/>
      </w:r>
      <w:r w:rsidR="00B476D9" w:rsidRPr="00727A30">
        <w:rPr>
          <w:rFonts w:eastAsiaTheme="minorEastAsia"/>
          <w:lang w:val="it-IT"/>
        </w:rPr>
        <w:tab/>
      </w:r>
      <w:r w:rsidR="00B476D9" w:rsidRPr="00727A30">
        <w:rPr>
          <w:lang w:val="it-IT"/>
        </w:rPr>
        <w:t xml:space="preserve">Equation </w:t>
      </w:r>
      <w:r w:rsidR="00B476D9">
        <w:fldChar w:fldCharType="begin"/>
      </w:r>
      <w:r w:rsidR="00B476D9" w:rsidRPr="00727A30">
        <w:rPr>
          <w:lang w:val="it-IT"/>
        </w:rPr>
        <w:instrText xml:space="preserve"> SEQ Equation \* ARABIC </w:instrText>
      </w:r>
      <w:r w:rsidR="00B476D9">
        <w:fldChar w:fldCharType="separate"/>
      </w:r>
      <w:r w:rsidR="00B7319C">
        <w:rPr>
          <w:noProof/>
          <w:lang w:val="it-IT"/>
        </w:rPr>
        <w:t>115</w:t>
      </w:r>
      <w:r w:rsidR="00B476D9">
        <w:fldChar w:fldCharType="end"/>
      </w:r>
    </w:p>
    <w:p w14:paraId="52FE2C6F" w14:textId="384DF100" w:rsidR="006C1C9C" w:rsidRPr="00727A30" w:rsidRDefault="006C1C9C" w:rsidP="00B476D9">
      <w:pPr>
        <w:pStyle w:val="Caption"/>
        <w:spacing w:after="60"/>
        <w:jc w:val="right"/>
        <w:rPr>
          <w:rFonts w:eastAsiaTheme="minorEastAsia"/>
          <w:lang w:val="it-IT"/>
        </w:rPr>
      </w:pPr>
      <w:r w:rsidRPr="00727A30">
        <w:rPr>
          <w:rFonts w:eastAsiaTheme="minorEastAsia"/>
          <w:lang w:val="it-IT"/>
        </w:rPr>
        <w:t>*OOH + OH</w:t>
      </w:r>
      <w:r w:rsidRPr="00727A30">
        <w:rPr>
          <w:rFonts w:eastAsiaTheme="minorEastAsia"/>
          <w:vertAlign w:val="superscript"/>
          <w:lang w:val="it-IT"/>
        </w:rPr>
        <w:t>-</w:t>
      </w:r>
      <w:r w:rsidRPr="00727A30">
        <w:rPr>
          <w:rFonts w:eastAsiaTheme="minorEastAsia"/>
          <w:lang w:val="it-IT"/>
        </w:rPr>
        <w:t xml:space="preserve"> </w:t>
      </w:r>
      <m:oMath>
        <m:r>
          <w:rPr>
            <w:rFonts w:ascii="Cambria Math" w:eastAsiaTheme="minorEastAsia" w:hAnsi="Cambria Math"/>
            <w:lang w:val="it-IT"/>
          </w:rPr>
          <m:t>⇌</m:t>
        </m:r>
      </m:oMath>
      <w:r w:rsidRPr="00727A30">
        <w:rPr>
          <w:rFonts w:eastAsiaTheme="minorEastAsia"/>
          <w:lang w:val="it-IT"/>
        </w:rPr>
        <w:t xml:space="preserve"> *O</w:t>
      </w:r>
      <w:r w:rsidRPr="00727A30">
        <w:rPr>
          <w:rFonts w:eastAsiaTheme="minorEastAsia"/>
          <w:vertAlign w:val="subscript"/>
          <w:lang w:val="it-IT"/>
        </w:rPr>
        <w:t>2</w:t>
      </w:r>
      <w:r w:rsidRPr="00727A30">
        <w:rPr>
          <w:rFonts w:eastAsiaTheme="minorEastAsia"/>
          <w:lang w:val="it-IT"/>
        </w:rPr>
        <w:t xml:space="preserve"> + H</w:t>
      </w:r>
      <w:r w:rsidRPr="00727A30">
        <w:rPr>
          <w:rFonts w:eastAsiaTheme="minorEastAsia"/>
          <w:vertAlign w:val="subscript"/>
          <w:lang w:val="it-IT"/>
        </w:rPr>
        <w:t>2</w:t>
      </w:r>
      <w:r w:rsidRPr="00727A30">
        <w:rPr>
          <w:rFonts w:eastAsiaTheme="minorEastAsia"/>
          <w:lang w:val="it-IT"/>
        </w:rPr>
        <w:t xml:space="preserve">O + </w:t>
      </w:r>
      <w:r w:rsidRPr="00FF4405">
        <w:rPr>
          <w:rFonts w:eastAsiaTheme="minorEastAsia"/>
          <w:lang w:val="it-IT"/>
        </w:rPr>
        <w:t>e</w:t>
      </w:r>
      <w:r w:rsidRPr="00FF4405">
        <w:rPr>
          <w:rFonts w:eastAsiaTheme="minorEastAsia"/>
          <w:vertAlign w:val="superscript"/>
          <w:lang w:val="it-IT"/>
        </w:rPr>
        <w:t>-</w:t>
      </w:r>
      <w:r w:rsidR="00B476D9" w:rsidRPr="00727A30">
        <w:rPr>
          <w:rFonts w:eastAsiaTheme="minorEastAsia"/>
          <w:lang w:val="it-IT"/>
        </w:rPr>
        <w:tab/>
      </w:r>
      <w:r w:rsidR="00B476D9" w:rsidRPr="00727A30">
        <w:rPr>
          <w:rFonts w:eastAsiaTheme="minorEastAsia"/>
          <w:lang w:val="it-IT"/>
        </w:rPr>
        <w:tab/>
      </w:r>
      <w:r w:rsidR="00B476D9" w:rsidRPr="00727A30">
        <w:rPr>
          <w:rFonts w:eastAsiaTheme="minorEastAsia"/>
          <w:lang w:val="it-IT"/>
        </w:rPr>
        <w:tab/>
      </w:r>
      <w:r w:rsidR="00B476D9" w:rsidRPr="00727A30">
        <w:rPr>
          <w:rFonts w:eastAsiaTheme="minorEastAsia"/>
          <w:lang w:val="it-IT"/>
        </w:rPr>
        <w:tab/>
      </w:r>
      <w:r w:rsidR="00B476D9" w:rsidRPr="00727A30">
        <w:rPr>
          <w:lang w:val="it-IT"/>
        </w:rPr>
        <w:t xml:space="preserve">Equation </w:t>
      </w:r>
      <w:r w:rsidR="00B476D9">
        <w:fldChar w:fldCharType="begin"/>
      </w:r>
      <w:r w:rsidR="00B476D9" w:rsidRPr="00727A30">
        <w:rPr>
          <w:lang w:val="it-IT"/>
        </w:rPr>
        <w:instrText xml:space="preserve"> SEQ Equation \* ARABIC </w:instrText>
      </w:r>
      <w:r w:rsidR="00B476D9">
        <w:fldChar w:fldCharType="separate"/>
      </w:r>
      <w:r w:rsidR="00B7319C">
        <w:rPr>
          <w:noProof/>
          <w:lang w:val="it-IT"/>
        </w:rPr>
        <w:t>116</w:t>
      </w:r>
      <w:r w:rsidR="00B476D9">
        <w:fldChar w:fldCharType="end"/>
      </w:r>
    </w:p>
    <w:p w14:paraId="7BFB813A" w14:textId="0646CFA5" w:rsidR="006C1C9C" w:rsidRPr="005B26A3" w:rsidRDefault="006C1C9C" w:rsidP="00B476D9">
      <w:pPr>
        <w:pStyle w:val="Caption"/>
        <w:spacing w:after="60"/>
        <w:jc w:val="right"/>
        <w:rPr>
          <w:rFonts w:eastAsiaTheme="minorEastAsia"/>
        </w:rPr>
      </w:pPr>
      <w:r w:rsidRPr="005B26A3">
        <w:rPr>
          <w:rFonts w:eastAsiaTheme="minorEastAsia"/>
        </w:rPr>
        <w:t>* O</w:t>
      </w:r>
      <w:r w:rsidRPr="005B26A3">
        <w:rPr>
          <w:rFonts w:eastAsiaTheme="minorEastAsia"/>
          <w:vertAlign w:val="subscript"/>
        </w:rPr>
        <w:t>2</w:t>
      </w:r>
      <w:r w:rsidRPr="005B26A3">
        <w:rPr>
          <w:rFonts w:eastAsiaTheme="minorEastAsia"/>
        </w:rPr>
        <w:t xml:space="preserve"> </w:t>
      </w:r>
      <m:oMath>
        <m:r>
          <w:rPr>
            <w:rFonts w:ascii="Cambria Math" w:eastAsiaTheme="minorEastAsia" w:hAnsi="Cambria Math"/>
          </w:rPr>
          <m:t>⇌</m:t>
        </m:r>
      </m:oMath>
      <w:r w:rsidRPr="005B26A3">
        <w:rPr>
          <w:rFonts w:eastAsiaTheme="minorEastAsia"/>
        </w:rPr>
        <w:t xml:space="preserve"> O</w:t>
      </w:r>
      <w:r w:rsidRPr="005B26A3">
        <w:rPr>
          <w:rFonts w:eastAsiaTheme="minorEastAsia"/>
          <w:vertAlign w:val="subscript"/>
        </w:rPr>
        <w:t>2</w:t>
      </w:r>
      <w:r w:rsidRPr="005B26A3">
        <w:rPr>
          <w:rFonts w:eastAsiaTheme="minorEastAsia"/>
        </w:rPr>
        <w:t xml:space="preserve"> (</w:t>
      </w:r>
      <w:proofErr w:type="spellStart"/>
      <w:r w:rsidRPr="005B26A3">
        <w:rPr>
          <w:rFonts w:eastAsiaTheme="minorEastAsia"/>
        </w:rPr>
        <w:t>aq</w:t>
      </w:r>
      <w:proofErr w:type="spellEnd"/>
      <w:r w:rsidRPr="005B26A3">
        <w:rPr>
          <w:rFonts w:eastAsiaTheme="minorEastAsia"/>
        </w:rPr>
        <w:t>)</w:t>
      </w:r>
      <w:r w:rsidR="00B476D9">
        <w:rPr>
          <w:rFonts w:eastAsiaTheme="minorEastAsia"/>
        </w:rPr>
        <w:tab/>
      </w:r>
      <w:r w:rsidR="00B476D9">
        <w:rPr>
          <w:rFonts w:eastAsiaTheme="minorEastAsia"/>
        </w:rPr>
        <w:tab/>
      </w:r>
      <w:r w:rsidR="00B476D9">
        <w:rPr>
          <w:rFonts w:eastAsiaTheme="minorEastAsia"/>
        </w:rPr>
        <w:tab/>
      </w:r>
      <w:r w:rsidR="00B476D9">
        <w:rPr>
          <w:rFonts w:eastAsiaTheme="minorEastAsia"/>
        </w:rPr>
        <w:tab/>
      </w:r>
      <w:r w:rsidR="00B476D9">
        <w:rPr>
          <w:rFonts w:eastAsiaTheme="minorEastAsia"/>
        </w:rPr>
        <w:tab/>
      </w:r>
      <w:r w:rsidR="00B476D9">
        <w:rPr>
          <w:rFonts w:eastAsiaTheme="minorEastAsia"/>
        </w:rPr>
        <w:tab/>
      </w:r>
      <w:r w:rsidR="00B476D9">
        <w:t xml:space="preserve">Equation </w:t>
      </w:r>
      <w:r w:rsidR="00B476D9">
        <w:fldChar w:fldCharType="begin"/>
      </w:r>
      <w:r w:rsidR="00B476D9">
        <w:instrText xml:space="preserve"> SEQ Equation \* ARABIC </w:instrText>
      </w:r>
      <w:r w:rsidR="00B476D9">
        <w:fldChar w:fldCharType="separate"/>
      </w:r>
      <w:r w:rsidR="00B7319C">
        <w:rPr>
          <w:noProof/>
        </w:rPr>
        <w:t>117</w:t>
      </w:r>
      <w:r w:rsidR="00B476D9">
        <w:fldChar w:fldCharType="end"/>
      </w:r>
    </w:p>
    <w:p w14:paraId="6E9AF4B1" w14:textId="1176A3ED" w:rsidR="006C1C9C" w:rsidRDefault="006C1C9C" w:rsidP="006C1C9C">
      <w:r>
        <w:t xml:space="preserve">For the desorption of molecular oxygen, the authors assumed a constant rate of desorption. To compute the rate of the elementary electrochemical steps, the authors employed </w:t>
      </w:r>
      <w:proofErr w:type="spellStart"/>
      <w:r>
        <w:t>Gerischer's</w:t>
      </w:r>
      <w:proofErr w:type="spellEnd"/>
      <w:r>
        <w:t xml:space="preserve"> model for electron transfer</w:t>
      </w:r>
      <w:r>
        <w:fldChar w:fldCharType="begin"/>
      </w:r>
      <w:r w:rsidR="00FC5BEB">
        <w:instrText xml:space="preserve"> ADDIN EN.CITE &lt;EndNote&gt;&lt;Cite&gt;&lt;Author&gt;Memming&lt;/Author&gt;&lt;Year&gt;2015&lt;/Year&gt;&lt;RecNum&gt;529&lt;/RecNum&gt;&lt;DisplayText&gt;&lt;style face="superscript"&gt;531&lt;/style&gt;&lt;/DisplayText&gt;&lt;record&gt;&lt;rec-number&gt;529&lt;/rec-number&gt;&lt;foreign-keys&gt;&lt;key app="EN" db-id="2xex0erf4eexr4e2dpbxpdd829xttesxxxdr" timestamp="1715075297"&gt;529&lt;/key&gt;&lt;/foreign-keys&gt;&lt;ref-type name="Book Section"&gt;5&lt;/ref-type&gt;&lt;contributors&gt;&lt;authors&gt;&lt;author&gt;Memming, Rüdiger&lt;/author&gt;&lt;/authors&gt;&lt;secondary-authors&gt;&lt;author&gt;R. Memming&lt;/author&gt;&lt;/secondary-authors&gt;&lt;/contributors&gt;&lt;titles&gt;&lt;title&gt;Charge Transfer Processes at the Semiconductor–Liquid Interface&lt;/title&gt;&lt;secondary-title&gt;Semiconductor Electrochemistry&lt;/secondary-title&gt;&lt;/titles&gt;&lt;pages&gt;169-266&lt;/pages&gt;&lt;keywords&gt;&lt;keyword&gt;charge transfer processes&lt;/keyword&gt;&lt;keyword&gt;electroluminescence&lt;/keyword&gt;&lt;keyword&gt;metal electrodes&lt;/keyword&gt;&lt;keyword&gt;one-step redox reactions&lt;/keyword&gt;&lt;keyword&gt;photoluminescence&lt;/keyword&gt;&lt;keyword&gt;quasi-Fermi level concept&lt;/keyword&gt;&lt;keyword&gt;reorganization energy&lt;/keyword&gt;&lt;keyword&gt;semiconductor electrodes&lt;/keyword&gt;&lt;keyword&gt;semiconductor-liquid interface&lt;/keyword&gt;&lt;keyword&gt;two-step redox processes&lt;/keyword&gt;&lt;/keywords&gt;&lt;dates&gt;&lt;year&gt;2015&lt;/year&gt;&lt;/dates&gt;&lt;publisher&gt;John Wiley &amp;amp; Sons, Ltd&lt;/publisher&gt;&lt;isbn&gt;9783527688685&lt;/isbn&gt;&lt;urls&gt;&lt;related-urls&gt;&lt;url&gt;https://doi.org/10.1002/9783527688685.ch7&lt;/url&gt;&lt;/related-urls&gt;&lt;/urls&gt;&lt;electronic-resource-num&gt;https://doi.org/10.1002/9783527688685.ch7&lt;/electronic-resource-num&gt;&lt;/record&gt;&lt;/Cite&gt;&lt;/EndNote&gt;</w:instrText>
      </w:r>
      <w:r>
        <w:fldChar w:fldCharType="separate"/>
      </w:r>
      <w:r w:rsidR="00FC5BEB" w:rsidRPr="00FC5BEB">
        <w:rPr>
          <w:noProof/>
          <w:vertAlign w:val="superscript"/>
        </w:rPr>
        <w:t>531</w:t>
      </w:r>
      <w:r>
        <w:fldChar w:fldCharType="end"/>
      </w:r>
      <w:r>
        <w:t xml:space="preserve">, where the forward and backward rates for the </w:t>
      </w:r>
      <w:proofErr w:type="spellStart"/>
      <w:r w:rsidRPr="00FE4C4E">
        <w:rPr>
          <w:i/>
        </w:rPr>
        <w:t>i</w:t>
      </w:r>
      <w:r>
        <w:t>-th</w:t>
      </w:r>
      <w:proofErr w:type="spellEnd"/>
      <w:r>
        <w:t xml:space="preserve"> step are computed as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B476D9" w:rsidRPr="00B476D9" w14:paraId="5C187E35" w14:textId="77777777" w:rsidTr="00DE0988">
        <w:tc>
          <w:tcPr>
            <w:tcW w:w="7938" w:type="dxa"/>
            <w:tcMar>
              <w:left w:w="28" w:type="dxa"/>
              <w:right w:w="28" w:type="dxa"/>
            </w:tcMar>
            <w:vAlign w:val="center"/>
          </w:tcPr>
          <w:p w14:paraId="7BE2666F" w14:textId="4722FA6C" w:rsidR="00B476D9" w:rsidRPr="00B476D9" w:rsidRDefault="00B476D9" w:rsidP="00B476D9">
            <w:pPr>
              <w:rPr>
                <w:sz w:val="20"/>
                <w:szCs w:val="20"/>
              </w:rPr>
            </w:pPr>
            <m:oMathPara>
              <m:oMath>
                <m:r>
                  <w:rPr>
                    <w:rFonts w:ascii="Cambria Math" w:hAnsi="Cambria Math"/>
                    <w:color w:val="000000" w:themeColor="text1"/>
                    <w:sz w:val="20"/>
                    <w:szCs w:val="20"/>
                    <w:shd w:val="clear" w:color="auto" w:fill="FFFFFF"/>
                  </w:rPr>
                  <m:t>γ</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fi</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v,max</m:t>
                    </m:r>
                  </m:sub>
                </m:sSub>
                <m:r>
                  <m:rPr>
                    <m:sty m:val="p"/>
                  </m:rPr>
                  <w:rPr>
                    <w:rFonts w:ascii="Cambria Math" w:hAnsi="Cambria Math"/>
                    <w:sz w:val="20"/>
                    <w:szCs w:val="20"/>
                  </w:rPr>
                  <m:t>exp</m:t>
                </m:r>
                <m:d>
                  <m:dPr>
                    <m:begChr m:val="["/>
                    <m:endChr m:val="]"/>
                    <m:ctrlPr>
                      <w:rPr>
                        <w:rFonts w:ascii="Cambria Math" w:hAnsi="Cambria Math"/>
                        <w:i/>
                        <w:sz w:val="20"/>
                        <w:szCs w:val="20"/>
                      </w:rPr>
                    </m:ctrlPr>
                  </m:dPr>
                  <m:e>
                    <m:r>
                      <w:rPr>
                        <w:rFonts w:ascii="Cambria Math" w:hAnsi="Cambria Math"/>
                        <w:sz w:val="20"/>
                        <w:szCs w:val="20"/>
                      </w:rPr>
                      <m:t>-</m:t>
                    </m:r>
                    <m:f>
                      <m:fPr>
                        <m:ctrlPr>
                          <w:rPr>
                            <w:rFonts w:ascii="Cambria Math" w:hAnsi="Cambria Math"/>
                            <w:i/>
                            <w:sz w:val="20"/>
                            <w:szCs w:val="20"/>
                          </w:rPr>
                        </m:ctrlPr>
                      </m:fPr>
                      <m:num>
                        <m:sSup>
                          <m:sSupPr>
                            <m:ctrlPr>
                              <w:rPr>
                                <w:rFonts w:ascii="Cambria Math" w:hAnsi="Cambria Math"/>
                                <w:i/>
                                <w:sz w:val="20"/>
                                <w:szCs w:val="20"/>
                              </w:rPr>
                            </m:ctrlPr>
                          </m:sSupPr>
                          <m:e>
                            <m:d>
                              <m:dPr>
                                <m:ctrlPr>
                                  <w:rPr>
                                    <w:rFonts w:ascii="Cambria Math" w:hAnsi="Cambria Math"/>
                                    <w:i/>
                                    <w:sz w:val="20"/>
                                    <w:szCs w:val="20"/>
                                  </w:rPr>
                                </m:ctrlPr>
                              </m:dPr>
                              <m:e>
                                <m:sSub>
                                  <m:sSubPr>
                                    <m:ctrlPr>
                                      <w:rPr>
                                        <w:rFonts w:ascii="Cambria Math" w:hAnsi="Cambria Math"/>
                                        <w:i/>
                                        <w:sz w:val="20"/>
                                        <w:szCs w:val="20"/>
                                      </w:rPr>
                                    </m:ctrlPr>
                                  </m:sSubPr>
                                  <m:e>
                                    <m:r>
                                      <w:rPr>
                                        <w:rFonts w:ascii="Cambria Math" w:hAnsi="Cambria Math"/>
                                        <w:sz w:val="20"/>
                                        <w:szCs w:val="20"/>
                                      </w:rPr>
                                      <m:t>E</m:t>
                                    </m:r>
                                  </m:e>
                                  <m:sub>
                                    <m:r>
                                      <w:rPr>
                                        <w:rFonts w:ascii="Cambria Math" w:hAnsi="Cambria Math"/>
                                        <w:sz w:val="20"/>
                                        <w:szCs w:val="20"/>
                                      </w:rPr>
                                      <m:t>v</m:t>
                                    </m:r>
                                  </m:sub>
                                </m:sSub>
                                <m:r>
                                  <w:rPr>
                                    <w:rFonts w:ascii="Cambria Math" w:hAnsi="Cambria Math"/>
                                    <w:sz w:val="20"/>
                                    <w:szCs w:val="20"/>
                                  </w:rPr>
                                  <m:t>-</m:t>
                                </m:r>
                                <m:sSubSup>
                                  <m:sSubSupPr>
                                    <m:ctrlPr>
                                      <w:rPr>
                                        <w:rFonts w:ascii="Cambria Math" w:hAnsi="Cambria Math"/>
                                        <w:i/>
                                        <w:sz w:val="20"/>
                                        <w:szCs w:val="20"/>
                                      </w:rPr>
                                    </m:ctrlPr>
                                  </m:sSubSupPr>
                                  <m:e>
                                    <m:r>
                                      <w:rPr>
                                        <w:rFonts w:ascii="Cambria Math" w:hAnsi="Cambria Math"/>
                                        <w:sz w:val="20"/>
                                        <w:szCs w:val="20"/>
                                      </w:rPr>
                                      <m:t>E</m:t>
                                    </m:r>
                                  </m:e>
                                  <m:sub>
                                    <m:r>
                                      <w:rPr>
                                        <w:rFonts w:ascii="Cambria Math" w:hAnsi="Cambria Math"/>
                                        <w:sz w:val="20"/>
                                        <w:szCs w:val="20"/>
                                      </w:rPr>
                                      <m:t>F,redox,i</m:t>
                                    </m:r>
                                  </m:sub>
                                  <m:sup>
                                    <m:r>
                                      <w:rPr>
                                        <w:rFonts w:ascii="Cambria Math" w:hAnsi="Cambria Math"/>
                                        <w:sz w:val="20"/>
                                        <w:szCs w:val="20"/>
                                      </w:rPr>
                                      <m:t>0</m:t>
                                    </m:r>
                                  </m:sup>
                                </m:sSubSup>
                                <m:r>
                                  <w:rPr>
                                    <w:rFonts w:ascii="Cambria Math" w:hAnsi="Cambria Math"/>
                                    <w:sz w:val="20"/>
                                    <w:szCs w:val="20"/>
                                  </w:rPr>
                                  <m:t>-λ</m:t>
                                </m:r>
                              </m:e>
                            </m:d>
                          </m:e>
                          <m:sup>
                            <m:r>
                              <w:rPr>
                                <w:rFonts w:ascii="Cambria Math" w:hAnsi="Cambria Math"/>
                                <w:sz w:val="20"/>
                                <w:szCs w:val="20"/>
                              </w:rPr>
                              <m:t>2</m:t>
                            </m:r>
                          </m:sup>
                        </m:sSup>
                      </m:num>
                      <m:den>
                        <m:r>
                          <w:rPr>
                            <w:rFonts w:ascii="Cambria Math" w:hAnsi="Cambria Math"/>
                            <w:sz w:val="20"/>
                            <w:szCs w:val="20"/>
                          </w:rPr>
                          <m:t>4</m:t>
                        </m:r>
                        <m:sSub>
                          <m:sSubPr>
                            <m:ctrlPr>
                              <w:rPr>
                                <w:rFonts w:ascii="Cambria Math" w:hAnsi="Cambria Math"/>
                                <w:i/>
                                <w:sz w:val="20"/>
                                <w:szCs w:val="20"/>
                              </w:rPr>
                            </m:ctrlPr>
                          </m:sSubPr>
                          <m:e>
                            <m:r>
                              <w:rPr>
                                <w:rFonts w:ascii="Cambria Math" w:hAnsi="Cambria Math"/>
                                <w:sz w:val="20"/>
                                <w:szCs w:val="20"/>
                              </w:rPr>
                              <m:t>k</m:t>
                            </m:r>
                          </m:e>
                          <m:sub>
                            <m:r>
                              <m:rPr>
                                <m:sty m:val="p"/>
                              </m:rPr>
                              <w:rPr>
                                <w:rFonts w:ascii="Cambria Math" w:hAnsi="Cambria Math"/>
                                <w:sz w:val="20"/>
                                <w:szCs w:val="20"/>
                              </w:rPr>
                              <m:t>B</m:t>
                            </m:r>
                          </m:sub>
                        </m:sSub>
                        <m:r>
                          <w:rPr>
                            <w:rFonts w:ascii="Cambria Math" w:hAnsi="Cambria Math"/>
                            <w:sz w:val="20"/>
                            <w:szCs w:val="20"/>
                          </w:rPr>
                          <m:t>Tλ</m:t>
                        </m:r>
                      </m:den>
                    </m:f>
                  </m:e>
                </m:d>
              </m:oMath>
            </m:oMathPara>
          </w:p>
        </w:tc>
        <w:tc>
          <w:tcPr>
            <w:tcW w:w="1134" w:type="dxa"/>
            <w:tcMar>
              <w:left w:w="28" w:type="dxa"/>
              <w:right w:w="28" w:type="dxa"/>
            </w:tcMar>
            <w:vAlign w:val="center"/>
          </w:tcPr>
          <w:p w14:paraId="37809D1F" w14:textId="65E43EA6" w:rsidR="00B476D9" w:rsidRPr="00B476D9" w:rsidRDefault="00B476D9" w:rsidP="00E45E28">
            <w:pPr>
              <w:keepNext/>
              <w:jc w:val="right"/>
              <w:rPr>
                <w:bCs/>
                <w:sz w:val="20"/>
                <w:szCs w:val="20"/>
              </w:rPr>
            </w:pPr>
            <w:r w:rsidRPr="00B476D9">
              <w:rPr>
                <w:sz w:val="20"/>
                <w:szCs w:val="20"/>
              </w:rPr>
              <w:t xml:space="preserve">Equation </w:t>
            </w:r>
            <w:r w:rsidRPr="00B476D9">
              <w:rPr>
                <w:sz w:val="20"/>
                <w:szCs w:val="20"/>
              </w:rPr>
              <w:fldChar w:fldCharType="begin"/>
            </w:r>
            <w:r w:rsidRPr="00B476D9">
              <w:rPr>
                <w:sz w:val="20"/>
                <w:szCs w:val="20"/>
              </w:rPr>
              <w:instrText xml:space="preserve"> SEQ Equation \* ARABIC </w:instrText>
            </w:r>
            <w:r w:rsidRPr="00B476D9">
              <w:rPr>
                <w:sz w:val="20"/>
                <w:szCs w:val="20"/>
              </w:rPr>
              <w:fldChar w:fldCharType="separate"/>
            </w:r>
            <w:r w:rsidR="00B7319C">
              <w:rPr>
                <w:noProof/>
                <w:sz w:val="20"/>
                <w:szCs w:val="20"/>
              </w:rPr>
              <w:t>118</w:t>
            </w:r>
            <w:r w:rsidRPr="00B476D9">
              <w:rPr>
                <w:sz w:val="20"/>
                <w:szCs w:val="20"/>
              </w:rPr>
              <w:fldChar w:fldCharType="end"/>
            </w:r>
          </w:p>
        </w:tc>
      </w:tr>
      <w:tr w:rsidR="00B476D9" w:rsidRPr="00B476D9" w14:paraId="646C697F" w14:textId="77777777" w:rsidTr="00DE0988">
        <w:tc>
          <w:tcPr>
            <w:tcW w:w="7938" w:type="dxa"/>
            <w:tcMar>
              <w:left w:w="28" w:type="dxa"/>
              <w:right w:w="28" w:type="dxa"/>
            </w:tcMar>
            <w:vAlign w:val="center"/>
          </w:tcPr>
          <w:p w14:paraId="2D956253" w14:textId="23EDD4A2" w:rsidR="00B476D9" w:rsidRPr="00B476D9" w:rsidRDefault="00000000" w:rsidP="00B476D9">
            <w:pPr>
              <w:rPr>
                <w:sz w:val="20"/>
                <w:szCs w:val="20"/>
              </w:rPr>
            </w:pPr>
            <m:oMathPara>
              <m:oMath>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bi</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v,max</m:t>
                    </m:r>
                  </m:sub>
                </m:sSub>
                <m:r>
                  <m:rPr>
                    <m:sty m:val="p"/>
                  </m:rPr>
                  <w:rPr>
                    <w:rFonts w:ascii="Cambria Math" w:hAnsi="Cambria Math"/>
                    <w:sz w:val="20"/>
                    <w:szCs w:val="20"/>
                  </w:rPr>
                  <m:t>exp</m:t>
                </m:r>
                <m:d>
                  <m:dPr>
                    <m:begChr m:val="["/>
                    <m:endChr m:val="]"/>
                    <m:ctrlPr>
                      <w:rPr>
                        <w:rFonts w:ascii="Cambria Math" w:hAnsi="Cambria Math"/>
                        <w:i/>
                        <w:sz w:val="20"/>
                        <w:szCs w:val="20"/>
                      </w:rPr>
                    </m:ctrlPr>
                  </m:dPr>
                  <m:e>
                    <m:r>
                      <w:rPr>
                        <w:rFonts w:ascii="Cambria Math" w:hAnsi="Cambria Math"/>
                        <w:sz w:val="20"/>
                        <w:szCs w:val="20"/>
                      </w:rPr>
                      <m:t>-</m:t>
                    </m:r>
                    <m:f>
                      <m:fPr>
                        <m:ctrlPr>
                          <w:rPr>
                            <w:rFonts w:ascii="Cambria Math" w:hAnsi="Cambria Math"/>
                            <w:i/>
                            <w:sz w:val="20"/>
                            <w:szCs w:val="20"/>
                          </w:rPr>
                        </m:ctrlPr>
                      </m:fPr>
                      <m:num>
                        <m:sSup>
                          <m:sSupPr>
                            <m:ctrlPr>
                              <w:rPr>
                                <w:rFonts w:ascii="Cambria Math" w:hAnsi="Cambria Math"/>
                                <w:i/>
                                <w:sz w:val="20"/>
                                <w:szCs w:val="20"/>
                              </w:rPr>
                            </m:ctrlPr>
                          </m:sSupPr>
                          <m:e>
                            <m:d>
                              <m:dPr>
                                <m:ctrlPr>
                                  <w:rPr>
                                    <w:rFonts w:ascii="Cambria Math" w:hAnsi="Cambria Math"/>
                                    <w:i/>
                                    <w:sz w:val="20"/>
                                    <w:szCs w:val="20"/>
                                  </w:rPr>
                                </m:ctrlPr>
                              </m:dPr>
                              <m:e>
                                <m:sSub>
                                  <m:sSubPr>
                                    <m:ctrlPr>
                                      <w:rPr>
                                        <w:rFonts w:ascii="Cambria Math" w:hAnsi="Cambria Math"/>
                                        <w:i/>
                                        <w:sz w:val="20"/>
                                        <w:szCs w:val="20"/>
                                      </w:rPr>
                                    </m:ctrlPr>
                                  </m:sSubPr>
                                  <m:e>
                                    <m:r>
                                      <w:rPr>
                                        <w:rFonts w:ascii="Cambria Math" w:hAnsi="Cambria Math"/>
                                        <w:sz w:val="20"/>
                                        <w:szCs w:val="20"/>
                                      </w:rPr>
                                      <m:t>E</m:t>
                                    </m:r>
                                  </m:e>
                                  <m:sub>
                                    <m:r>
                                      <w:rPr>
                                        <w:rFonts w:ascii="Cambria Math" w:hAnsi="Cambria Math"/>
                                        <w:sz w:val="20"/>
                                        <w:szCs w:val="20"/>
                                      </w:rPr>
                                      <m:t>v</m:t>
                                    </m:r>
                                  </m:sub>
                                </m:sSub>
                                <m:r>
                                  <w:rPr>
                                    <w:rFonts w:ascii="Cambria Math" w:hAnsi="Cambria Math"/>
                                    <w:sz w:val="20"/>
                                    <w:szCs w:val="20"/>
                                  </w:rPr>
                                  <m:t>-</m:t>
                                </m:r>
                                <m:sSubSup>
                                  <m:sSubSupPr>
                                    <m:ctrlPr>
                                      <w:rPr>
                                        <w:rFonts w:ascii="Cambria Math" w:hAnsi="Cambria Math"/>
                                        <w:i/>
                                        <w:sz w:val="20"/>
                                        <w:szCs w:val="20"/>
                                      </w:rPr>
                                    </m:ctrlPr>
                                  </m:sSubSupPr>
                                  <m:e>
                                    <m:r>
                                      <w:rPr>
                                        <w:rFonts w:ascii="Cambria Math" w:hAnsi="Cambria Math"/>
                                        <w:sz w:val="20"/>
                                        <w:szCs w:val="20"/>
                                      </w:rPr>
                                      <m:t>E</m:t>
                                    </m:r>
                                  </m:e>
                                  <m:sub>
                                    <m:r>
                                      <w:rPr>
                                        <w:rFonts w:ascii="Cambria Math" w:hAnsi="Cambria Math"/>
                                        <w:sz w:val="20"/>
                                        <w:szCs w:val="20"/>
                                      </w:rPr>
                                      <m:t>F,redox,i</m:t>
                                    </m:r>
                                  </m:sub>
                                  <m:sup>
                                    <m:r>
                                      <w:rPr>
                                        <w:rFonts w:ascii="Cambria Math" w:hAnsi="Cambria Math"/>
                                        <w:sz w:val="20"/>
                                        <w:szCs w:val="20"/>
                                      </w:rPr>
                                      <m:t>0</m:t>
                                    </m:r>
                                  </m:sup>
                                </m:sSubSup>
                                <m:r>
                                  <w:rPr>
                                    <w:rFonts w:ascii="Cambria Math" w:hAnsi="Cambria Math"/>
                                    <w:sz w:val="20"/>
                                    <w:szCs w:val="20"/>
                                  </w:rPr>
                                  <m:t>+λ</m:t>
                                </m:r>
                              </m:e>
                            </m:d>
                          </m:e>
                          <m:sup>
                            <m:r>
                              <w:rPr>
                                <w:rFonts w:ascii="Cambria Math" w:hAnsi="Cambria Math"/>
                                <w:sz w:val="20"/>
                                <w:szCs w:val="20"/>
                              </w:rPr>
                              <m:t>2</m:t>
                            </m:r>
                          </m:sup>
                        </m:sSup>
                      </m:num>
                      <m:den>
                        <m:r>
                          <w:rPr>
                            <w:rFonts w:ascii="Cambria Math" w:hAnsi="Cambria Math"/>
                            <w:sz w:val="20"/>
                            <w:szCs w:val="20"/>
                          </w:rPr>
                          <m:t>4</m:t>
                        </m:r>
                        <m:sSub>
                          <m:sSubPr>
                            <m:ctrlPr>
                              <w:rPr>
                                <w:rFonts w:ascii="Cambria Math" w:hAnsi="Cambria Math"/>
                                <w:i/>
                                <w:sz w:val="20"/>
                                <w:szCs w:val="20"/>
                              </w:rPr>
                            </m:ctrlPr>
                          </m:sSubPr>
                          <m:e>
                            <m:r>
                              <w:rPr>
                                <w:rFonts w:ascii="Cambria Math" w:hAnsi="Cambria Math"/>
                                <w:sz w:val="20"/>
                                <w:szCs w:val="20"/>
                              </w:rPr>
                              <m:t>k</m:t>
                            </m:r>
                          </m:e>
                          <m:sub>
                            <m:r>
                              <m:rPr>
                                <m:sty m:val="p"/>
                              </m:rPr>
                              <w:rPr>
                                <w:rFonts w:ascii="Cambria Math" w:hAnsi="Cambria Math"/>
                                <w:sz w:val="20"/>
                                <w:szCs w:val="20"/>
                              </w:rPr>
                              <m:t>B</m:t>
                            </m:r>
                          </m:sub>
                        </m:sSub>
                        <m:r>
                          <w:rPr>
                            <w:rFonts w:ascii="Cambria Math" w:hAnsi="Cambria Math"/>
                            <w:sz w:val="20"/>
                            <w:szCs w:val="20"/>
                          </w:rPr>
                          <m:t>Tλ</m:t>
                        </m:r>
                      </m:den>
                    </m:f>
                  </m:e>
                </m:d>
              </m:oMath>
            </m:oMathPara>
          </w:p>
        </w:tc>
        <w:tc>
          <w:tcPr>
            <w:tcW w:w="1134" w:type="dxa"/>
            <w:tcMar>
              <w:left w:w="28" w:type="dxa"/>
              <w:right w:w="28" w:type="dxa"/>
            </w:tcMar>
            <w:vAlign w:val="center"/>
          </w:tcPr>
          <w:p w14:paraId="56E9DA66" w14:textId="5BD4DC09" w:rsidR="00B476D9" w:rsidRPr="00B476D9" w:rsidRDefault="00B476D9" w:rsidP="00E45E28">
            <w:pPr>
              <w:keepNext/>
              <w:jc w:val="right"/>
              <w:rPr>
                <w:bCs/>
                <w:sz w:val="20"/>
                <w:szCs w:val="20"/>
              </w:rPr>
            </w:pPr>
            <w:r w:rsidRPr="00B476D9">
              <w:rPr>
                <w:sz w:val="20"/>
                <w:szCs w:val="20"/>
              </w:rPr>
              <w:t xml:space="preserve">Equation </w:t>
            </w:r>
            <w:r w:rsidRPr="00B476D9">
              <w:rPr>
                <w:sz w:val="20"/>
                <w:szCs w:val="20"/>
              </w:rPr>
              <w:fldChar w:fldCharType="begin"/>
            </w:r>
            <w:r w:rsidRPr="00B476D9">
              <w:rPr>
                <w:sz w:val="20"/>
                <w:szCs w:val="20"/>
              </w:rPr>
              <w:instrText xml:space="preserve"> SEQ Equation \* ARABIC </w:instrText>
            </w:r>
            <w:r w:rsidRPr="00B476D9">
              <w:rPr>
                <w:sz w:val="20"/>
                <w:szCs w:val="20"/>
              </w:rPr>
              <w:fldChar w:fldCharType="separate"/>
            </w:r>
            <w:r w:rsidR="00B7319C">
              <w:rPr>
                <w:noProof/>
                <w:sz w:val="20"/>
                <w:szCs w:val="20"/>
              </w:rPr>
              <w:t>119</w:t>
            </w:r>
            <w:r w:rsidRPr="00B476D9">
              <w:rPr>
                <w:sz w:val="20"/>
                <w:szCs w:val="20"/>
              </w:rPr>
              <w:fldChar w:fldCharType="end"/>
            </w:r>
          </w:p>
        </w:tc>
      </w:tr>
    </w:tbl>
    <w:p w14:paraId="3B622507" w14:textId="2B98A146" w:rsidR="006C1C9C" w:rsidRDefault="006C1C9C" w:rsidP="006C1C9C">
      <w:r>
        <w:t xml:space="preserve">Here </w:t>
      </w:r>
      <m:oMath>
        <m:sSub>
          <m:sSubPr>
            <m:ctrlPr>
              <w:rPr>
                <w:rFonts w:ascii="Cambria Math" w:hAnsi="Cambria Math"/>
                <w:i/>
              </w:rPr>
            </m:ctrlPr>
          </m:sSubPr>
          <m:e>
            <m:r>
              <w:rPr>
                <w:rFonts w:ascii="Cambria Math" w:hAnsi="Cambria Math"/>
              </w:rPr>
              <m:t>E</m:t>
            </m:r>
          </m:e>
          <m:sub>
            <m:r>
              <w:rPr>
                <w:rFonts w:ascii="Cambria Math" w:hAnsi="Cambria Math"/>
              </w:rPr>
              <m:t>v</m:t>
            </m:r>
          </m:sub>
        </m:sSub>
      </m:oMath>
      <w:r>
        <w:t xml:space="preserve"> is the energy of the valence band maximum, </w:t>
      </w:r>
      <m:oMath>
        <m:sSubSup>
          <m:sSubSupPr>
            <m:ctrlPr>
              <w:rPr>
                <w:rFonts w:ascii="Cambria Math" w:hAnsi="Cambria Math"/>
                <w:i/>
              </w:rPr>
            </m:ctrlPr>
          </m:sSubSupPr>
          <m:e>
            <m:r>
              <w:rPr>
                <w:rFonts w:ascii="Cambria Math" w:hAnsi="Cambria Math"/>
              </w:rPr>
              <m:t>E</m:t>
            </m:r>
          </m:e>
          <m:sub>
            <m:r>
              <w:rPr>
                <w:rFonts w:ascii="Cambria Math" w:hAnsi="Cambria Math"/>
              </w:rPr>
              <m:t>F,redox,i</m:t>
            </m:r>
          </m:sub>
          <m:sup>
            <m:r>
              <w:rPr>
                <w:rFonts w:ascii="Cambria Math" w:hAnsi="Cambria Math"/>
              </w:rPr>
              <m:t>0</m:t>
            </m:r>
          </m:sup>
        </m:sSubSup>
      </m:oMath>
      <w:r>
        <w:t xml:space="preserve"> is the redox potential of the </w:t>
      </w:r>
      <w:proofErr w:type="spellStart"/>
      <w:r w:rsidRPr="00FE4C4E">
        <w:rPr>
          <w:i/>
        </w:rPr>
        <w:t>i</w:t>
      </w:r>
      <w:r>
        <w:t>-th</w:t>
      </w:r>
      <w:proofErr w:type="spellEnd"/>
      <w:r>
        <w:t xml:space="preserve"> step, computed via the CHE approach in vacuum</w:t>
      </w:r>
      <w:r>
        <w:fldChar w:fldCharType="begin"/>
      </w:r>
      <w:r w:rsidR="00FC5BEB">
        <w:instrText xml:space="preserve"> ADDIN EN.CITE &lt;EndNote&gt;&lt;Cite&gt;&lt;Author&gt;Zhang&lt;/Author&gt;&lt;Year&gt;2016&lt;/Year&gt;&lt;RecNum&gt;532&lt;/RecNum&gt;&lt;DisplayText&gt;&lt;style face="superscript"&gt;534&lt;/style&gt;&lt;/DisplayText&gt;&lt;record&gt;&lt;rec-number&gt;532&lt;/rec-number&gt;&lt;foreign-keys&gt;&lt;key app="EN" db-id="2xex0erf4eexr4e2dpbxpdd829xttesxxxdr" timestamp="1715075297"&gt;532&lt;/key&gt;&lt;/foreign-keys&gt;&lt;ref-type name="Journal Article"&gt;17&lt;/ref-type&gt;&lt;contributors&gt;&lt;authors&gt;&lt;author&gt;Zhang, Xueqing&lt;/author&gt;&lt;author&gt;Klaver, Peter&lt;/author&gt;&lt;author&gt;Van Santen, Rutger&lt;/author&gt;&lt;author&gt;Van De Sanden, M. C. M.&lt;/author&gt;&lt;author&gt;Bieberle-Hütter, Anja&lt;/author&gt;&lt;/authors&gt;&lt;/contributors&gt;&lt;titles&gt;&lt;title&gt;Oxygen Evolution at Hematite Surfaces: The Impact of Structure and Oxygen Vacancies on Lowering the Overpotential&lt;/title&gt;&lt;secondary-title&gt;Journal of Physical Chemistry C&lt;/secondary-title&gt;&lt;/titles&gt;&lt;periodical&gt;&lt;full-title&gt;Journal of Physical Chemistry C&lt;/full-title&gt;&lt;abbr-1&gt;J. Phys. Chem. C&lt;/abbr-1&gt;&lt;/periodical&gt;&lt;pages&gt;18201-18208&lt;/pages&gt;&lt;volume&gt;120&lt;/volume&gt;&lt;number&gt;32&lt;/number&gt;&lt;dates&gt;&lt;year&gt;2016&lt;/year&gt;&lt;/dates&gt;&lt;urls&gt;&lt;related-urls&gt;&lt;url&gt;https://pubs.acs.org/doi/pdf/10.1021/acs.jpcc.6b07228&lt;/url&gt;&lt;/related-urls&gt;&lt;pdf-urls&gt;&lt;url&gt;file://localhost/localhost/Users/piccinin/Literature/zhang-et-al-2016-oxygen-evolution-at-hematite-surfaces-the-impact-of-structure-and-oxygen-vacancies-on-lowering-the%2520(1).pdf&lt;/url&gt;&lt;/pdf-urls&gt;&lt;/urls&gt;&lt;electronic-resource-num&gt;10.1021/acs.jpcc.6b07228&lt;/electronic-resource-num&gt;&lt;/record&gt;&lt;/Cite&gt;&lt;/EndNote&gt;</w:instrText>
      </w:r>
      <w:r>
        <w:fldChar w:fldCharType="separate"/>
      </w:r>
      <w:r w:rsidR="00FC5BEB" w:rsidRPr="00FC5BEB">
        <w:rPr>
          <w:noProof/>
          <w:vertAlign w:val="superscript"/>
        </w:rPr>
        <w:t>534</w:t>
      </w:r>
      <w:r>
        <w:fldChar w:fldCharType="end"/>
      </w:r>
      <w:r>
        <w:t xml:space="preserve">, </w:t>
      </w:r>
      <m:oMath>
        <m:sSub>
          <m:sSubPr>
            <m:ctrlPr>
              <w:rPr>
                <w:rFonts w:ascii="Cambria Math" w:hAnsi="Cambria Math"/>
                <w:i/>
              </w:rPr>
            </m:ctrlPr>
          </m:sSubPr>
          <m:e>
            <m:r>
              <w:rPr>
                <w:rFonts w:ascii="Cambria Math" w:hAnsi="Cambria Math"/>
              </w:rPr>
              <m:t>k</m:t>
            </m:r>
          </m:e>
          <m:sub>
            <m:r>
              <w:rPr>
                <w:rFonts w:ascii="Cambria Math" w:hAnsi="Cambria Math"/>
              </w:rPr>
              <m:t>v,max</m:t>
            </m:r>
          </m:sub>
        </m:sSub>
      </m:oMath>
      <w:r>
        <w:t xml:space="preserve">is a pre-exponential factor, </w:t>
      </w:r>
      <m:oMath>
        <m:r>
          <w:rPr>
            <w:rFonts w:ascii="Cambria Math" w:hAnsi="Cambria Math"/>
          </w:rPr>
          <m:t xml:space="preserve">λ </m:t>
        </m:r>
      </m:oMath>
      <w:r>
        <w:t>is the solvent reorganization energy, assumed to be equal to 1 eV (notice that the same quantity was estimated to be 2.474 eV in Rajan and Carter's work</w:t>
      </w:r>
      <w:r>
        <w:fldChar w:fldCharType="begin"/>
      </w:r>
      <w:r w:rsidR="00FC5BEB">
        <w:instrText xml:space="preserve"> ADDIN EN.CITE &lt;EndNote&gt;&lt;Cite&gt;&lt;Author&gt;Govind Rajan&lt;/Author&gt;&lt;Year&gt;2020&lt;/Year&gt;&lt;RecNum&gt;524&lt;/RecNum&gt;&lt;DisplayText&gt;&lt;style face="superscript"&gt;526&lt;/style&gt;&lt;/DisplayText&gt;&lt;record&gt;&lt;rec-number&gt;524&lt;/rec-number&gt;&lt;foreign-keys&gt;&lt;key app="EN" db-id="2xex0erf4eexr4e2dpbxpdd829xttesxxxdr" timestamp="1715075297"&gt;524&lt;/key&gt;&lt;/foreign-keys&gt;&lt;ref-type name="Journal Article"&gt;17&lt;/ref-type&gt;&lt;contributors&gt;&lt;authors&gt;&lt;author&gt;Govind Rajan, Ananth&lt;/author&gt;&lt;author&gt;Carter, Emily A.&lt;/author&gt;&lt;/authors&gt;&lt;/contributors&gt;&lt;titles&gt;&lt;title&gt;Microkinetic model for pH- And potential-dependent oxygen evolution during water splitting on Fe-doped β-NiOOH&lt;/title&gt;&lt;secondary-title&gt;Energy Environ. Sci.&lt;/secondary-title&gt;&lt;/titles&gt;&lt;periodical&gt;&lt;full-title&gt;Energy Environ. Sci.&lt;/full-title&gt;&lt;/periodical&gt;&lt;pages&gt;4962-4976&lt;/pages&gt;&lt;volume&gt;13&lt;/volume&gt;&lt;number&gt;12&lt;/number&gt;&lt;dates&gt;&lt;year&gt;2020&lt;/year&gt;&lt;/dates&gt;&lt;publisher&gt;Royal Society of Chemistry&lt;/publisher&gt;&lt;urls&gt;&lt;related-urls&gt;&lt;url&gt;https://pubs.rsc.org/en/content/articlepdf/2020/ee/d0ee02292f&lt;/url&gt;&lt;/related-urls&gt;&lt;pdf-urls&gt;&lt;url&gt;file://localhost/localhost/localhost/Users/piccinin/Literature/d0ee02292f.pdf&lt;/url&gt;&lt;/pdf-urls&gt;&lt;/urls&gt;&lt;electronic-resource-num&gt;10.1039/d0ee02292f&lt;/electronic-resource-num&gt;&lt;/record&gt;&lt;/Cite&gt;&lt;/EndNote&gt;</w:instrText>
      </w:r>
      <w:r>
        <w:fldChar w:fldCharType="separate"/>
      </w:r>
      <w:r w:rsidR="00FC5BEB" w:rsidRPr="00FC5BEB">
        <w:rPr>
          <w:noProof/>
          <w:vertAlign w:val="superscript"/>
        </w:rPr>
        <w:t>526</w:t>
      </w:r>
      <w:r>
        <w:fldChar w:fldCharType="end"/>
      </w:r>
      <w:r>
        <w:t xml:space="preserve">, and that rates depend exponentially on this quantity). The forward and backward current densities for the </w:t>
      </w:r>
      <w:proofErr w:type="spellStart"/>
      <w:r w:rsidRPr="00D6660E">
        <w:rPr>
          <w:i/>
        </w:rPr>
        <w:t>i</w:t>
      </w:r>
      <w:r>
        <w:t>-th</w:t>
      </w:r>
      <w:proofErr w:type="spellEnd"/>
      <w:r>
        <w:t xml:space="preserve"> step are then calculated as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B476D9" w:rsidRPr="00B476D9" w14:paraId="2E82914A" w14:textId="77777777" w:rsidTr="00DE0988">
        <w:tc>
          <w:tcPr>
            <w:tcW w:w="7938" w:type="dxa"/>
            <w:tcMar>
              <w:left w:w="28" w:type="dxa"/>
              <w:right w:w="28" w:type="dxa"/>
            </w:tcMar>
            <w:vAlign w:val="center"/>
          </w:tcPr>
          <w:p w14:paraId="1A96A23F" w14:textId="562B1B87" w:rsidR="00B476D9" w:rsidRPr="00B476D9" w:rsidRDefault="00000000" w:rsidP="00B476D9">
            <w:pPr>
              <w:rPr>
                <w:sz w:val="20"/>
                <w:szCs w:val="20"/>
              </w:rPr>
            </w:pPr>
            <m:oMathPara>
              <m:oMath>
                <m:sSub>
                  <m:sSubPr>
                    <m:ctrlPr>
                      <w:rPr>
                        <w:rFonts w:ascii="Cambria Math" w:hAnsi="Cambria Math"/>
                        <w:i/>
                        <w:sz w:val="20"/>
                        <w:szCs w:val="20"/>
                      </w:rPr>
                    </m:ctrlPr>
                  </m:sSubPr>
                  <m:e>
                    <m:r>
                      <w:rPr>
                        <w:rFonts w:ascii="Cambria Math" w:hAnsi="Cambria Math"/>
                        <w:sz w:val="20"/>
                        <w:szCs w:val="20"/>
                      </w:rPr>
                      <m:t>j</m:t>
                    </m:r>
                  </m:e>
                  <m:sub>
                    <m:r>
                      <w:rPr>
                        <w:rFonts w:ascii="Cambria Math" w:hAnsi="Cambria Math"/>
                        <w:sz w:val="20"/>
                        <w:szCs w:val="20"/>
                      </w:rPr>
                      <m:t>fi</m:t>
                    </m:r>
                  </m:sub>
                </m:sSub>
                <m:r>
                  <w:rPr>
                    <w:rFonts w:ascii="Cambria Math" w:hAnsi="Cambria Math"/>
                    <w:sz w:val="20"/>
                    <w:szCs w:val="20"/>
                  </w:rPr>
                  <m:t xml:space="preserve"> = e</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fi</m:t>
                    </m:r>
                  </m:sub>
                </m:sSub>
                <m:sSub>
                  <m:sSubPr>
                    <m:ctrlPr>
                      <w:rPr>
                        <w:rFonts w:ascii="Cambria Math" w:hAnsi="Cambria Math"/>
                        <w:i/>
                        <w:sz w:val="20"/>
                        <w:szCs w:val="20"/>
                      </w:rPr>
                    </m:ctrlPr>
                  </m:sSubPr>
                  <m:e>
                    <m:r>
                      <w:rPr>
                        <w:rFonts w:ascii="Cambria Math" w:hAnsi="Cambria Math"/>
                        <w:sz w:val="20"/>
                        <w:szCs w:val="20"/>
                      </w:rPr>
                      <m:t>p</m:t>
                    </m:r>
                  </m:e>
                  <m:sub>
                    <m:r>
                      <w:rPr>
                        <w:rFonts w:ascii="Cambria Math" w:hAnsi="Cambria Math"/>
                        <w:sz w:val="20"/>
                        <w:szCs w:val="20"/>
                      </w:rPr>
                      <m:t>s</m:t>
                    </m:r>
                  </m:sub>
                </m:sSub>
                <m:sSub>
                  <m:sSubPr>
                    <m:ctrlPr>
                      <w:rPr>
                        <w:rFonts w:ascii="Cambria Math" w:hAnsi="Cambria Math"/>
                        <w:i/>
                        <w:sz w:val="20"/>
                        <w:szCs w:val="20"/>
                      </w:rPr>
                    </m:ctrlPr>
                  </m:sSubPr>
                  <m:e>
                    <m:r>
                      <w:rPr>
                        <w:rFonts w:ascii="Cambria Math" w:hAnsi="Cambria Math"/>
                        <w:sz w:val="20"/>
                        <w:szCs w:val="20"/>
                      </w:rPr>
                      <m:t>c</m:t>
                    </m:r>
                  </m:e>
                  <m:sub>
                    <m:r>
                      <w:rPr>
                        <w:rFonts w:ascii="Cambria Math" w:hAnsi="Cambria Math"/>
                        <w:sz w:val="20"/>
                        <w:szCs w:val="20"/>
                      </w:rPr>
                      <m:t>red,i</m:t>
                    </m:r>
                  </m:sub>
                </m:sSub>
              </m:oMath>
            </m:oMathPara>
          </w:p>
        </w:tc>
        <w:tc>
          <w:tcPr>
            <w:tcW w:w="1134" w:type="dxa"/>
            <w:tcMar>
              <w:left w:w="28" w:type="dxa"/>
              <w:right w:w="28" w:type="dxa"/>
            </w:tcMar>
            <w:vAlign w:val="center"/>
          </w:tcPr>
          <w:p w14:paraId="1FDAF8AC" w14:textId="644774D3" w:rsidR="00B476D9" w:rsidRPr="00B476D9" w:rsidRDefault="00B476D9" w:rsidP="00E45E28">
            <w:pPr>
              <w:keepNext/>
              <w:jc w:val="right"/>
              <w:rPr>
                <w:bCs/>
                <w:sz w:val="20"/>
                <w:szCs w:val="20"/>
              </w:rPr>
            </w:pPr>
            <w:r w:rsidRPr="00B476D9">
              <w:rPr>
                <w:sz w:val="20"/>
                <w:szCs w:val="20"/>
              </w:rPr>
              <w:t xml:space="preserve">Equation </w:t>
            </w:r>
            <w:r w:rsidRPr="00B476D9">
              <w:rPr>
                <w:sz w:val="20"/>
                <w:szCs w:val="20"/>
              </w:rPr>
              <w:fldChar w:fldCharType="begin"/>
            </w:r>
            <w:r w:rsidRPr="00B476D9">
              <w:rPr>
                <w:sz w:val="20"/>
                <w:szCs w:val="20"/>
              </w:rPr>
              <w:instrText xml:space="preserve"> SEQ Equation \* ARABIC </w:instrText>
            </w:r>
            <w:r w:rsidRPr="00B476D9">
              <w:rPr>
                <w:sz w:val="20"/>
                <w:szCs w:val="20"/>
              </w:rPr>
              <w:fldChar w:fldCharType="separate"/>
            </w:r>
            <w:r w:rsidR="00B7319C">
              <w:rPr>
                <w:noProof/>
                <w:sz w:val="20"/>
                <w:szCs w:val="20"/>
              </w:rPr>
              <w:t>120</w:t>
            </w:r>
            <w:r w:rsidRPr="00B476D9">
              <w:rPr>
                <w:sz w:val="20"/>
                <w:szCs w:val="20"/>
              </w:rPr>
              <w:fldChar w:fldCharType="end"/>
            </w:r>
          </w:p>
        </w:tc>
      </w:tr>
      <w:tr w:rsidR="00B476D9" w:rsidRPr="00B476D9" w14:paraId="0B400C57" w14:textId="77777777" w:rsidTr="00DE0988">
        <w:tc>
          <w:tcPr>
            <w:tcW w:w="7938" w:type="dxa"/>
            <w:tcMar>
              <w:left w:w="28" w:type="dxa"/>
              <w:right w:w="28" w:type="dxa"/>
            </w:tcMar>
            <w:vAlign w:val="center"/>
          </w:tcPr>
          <w:p w14:paraId="4ECBE48E" w14:textId="03DC46E7" w:rsidR="00B476D9" w:rsidRPr="00B476D9" w:rsidRDefault="00000000" w:rsidP="00E45E28">
            <w:pPr>
              <w:spacing w:before="60" w:after="60"/>
              <w:rPr>
                <w:bCs/>
                <w:sz w:val="20"/>
                <w:szCs w:val="20"/>
              </w:rPr>
            </w:pPr>
            <m:oMathPara>
              <m:oMath>
                <m:sSub>
                  <m:sSubPr>
                    <m:ctrlPr>
                      <w:rPr>
                        <w:rFonts w:ascii="Cambria Math" w:hAnsi="Cambria Math"/>
                        <w:i/>
                        <w:sz w:val="20"/>
                        <w:szCs w:val="20"/>
                      </w:rPr>
                    </m:ctrlPr>
                  </m:sSubPr>
                  <m:e>
                    <m:r>
                      <w:rPr>
                        <w:rFonts w:ascii="Cambria Math" w:hAnsi="Cambria Math"/>
                        <w:sz w:val="20"/>
                        <w:szCs w:val="20"/>
                      </w:rPr>
                      <m:t>j</m:t>
                    </m:r>
                  </m:e>
                  <m:sub>
                    <m:r>
                      <w:rPr>
                        <w:rFonts w:ascii="Cambria Math" w:hAnsi="Cambria Math"/>
                        <w:sz w:val="20"/>
                        <w:szCs w:val="20"/>
                      </w:rPr>
                      <m:t>bi</m:t>
                    </m:r>
                  </m:sub>
                </m:sSub>
                <m:r>
                  <w:rPr>
                    <w:rFonts w:ascii="Cambria Math" w:hAnsi="Cambria Math"/>
                    <w:sz w:val="20"/>
                    <w:szCs w:val="20"/>
                  </w:rPr>
                  <m:t xml:space="preserve"> = e</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bi</m:t>
                    </m:r>
                  </m:sub>
                </m:sSub>
                <m:sSub>
                  <m:sSubPr>
                    <m:ctrlPr>
                      <w:rPr>
                        <w:rFonts w:ascii="Cambria Math" w:hAnsi="Cambria Math"/>
                        <w:i/>
                        <w:sz w:val="20"/>
                        <w:szCs w:val="20"/>
                      </w:rPr>
                    </m:ctrlPr>
                  </m:sSubPr>
                  <m:e>
                    <m:r>
                      <w:rPr>
                        <w:rFonts w:ascii="Cambria Math" w:hAnsi="Cambria Math"/>
                        <w:sz w:val="20"/>
                        <w:szCs w:val="20"/>
                      </w:rPr>
                      <m:t>N</m:t>
                    </m:r>
                  </m:e>
                  <m:sub>
                    <m:r>
                      <w:rPr>
                        <w:rFonts w:ascii="Cambria Math" w:hAnsi="Cambria Math"/>
                        <w:sz w:val="20"/>
                        <w:szCs w:val="20"/>
                      </w:rPr>
                      <m:t>v</m:t>
                    </m:r>
                  </m:sub>
                </m:sSub>
                <m:sSub>
                  <m:sSubPr>
                    <m:ctrlPr>
                      <w:rPr>
                        <w:rFonts w:ascii="Cambria Math" w:hAnsi="Cambria Math"/>
                        <w:i/>
                        <w:sz w:val="20"/>
                        <w:szCs w:val="20"/>
                      </w:rPr>
                    </m:ctrlPr>
                  </m:sSubPr>
                  <m:e>
                    <m:r>
                      <w:rPr>
                        <w:rFonts w:ascii="Cambria Math" w:hAnsi="Cambria Math"/>
                        <w:sz w:val="20"/>
                        <w:szCs w:val="20"/>
                      </w:rPr>
                      <m:t>c</m:t>
                    </m:r>
                  </m:e>
                  <m:sub>
                    <m:r>
                      <w:rPr>
                        <w:rFonts w:ascii="Cambria Math" w:hAnsi="Cambria Math"/>
                        <w:sz w:val="20"/>
                        <w:szCs w:val="20"/>
                      </w:rPr>
                      <m:t>ox,i</m:t>
                    </m:r>
                  </m:sub>
                </m:sSub>
              </m:oMath>
            </m:oMathPara>
          </w:p>
        </w:tc>
        <w:tc>
          <w:tcPr>
            <w:tcW w:w="1134" w:type="dxa"/>
            <w:tcMar>
              <w:left w:w="28" w:type="dxa"/>
              <w:right w:w="28" w:type="dxa"/>
            </w:tcMar>
            <w:vAlign w:val="center"/>
          </w:tcPr>
          <w:p w14:paraId="7F0C059B" w14:textId="29EFD4D9" w:rsidR="00B476D9" w:rsidRPr="00B476D9" w:rsidRDefault="00B476D9" w:rsidP="00E45E28">
            <w:pPr>
              <w:keepNext/>
              <w:jc w:val="right"/>
              <w:rPr>
                <w:bCs/>
                <w:sz w:val="20"/>
                <w:szCs w:val="20"/>
              </w:rPr>
            </w:pPr>
            <w:r w:rsidRPr="00B476D9">
              <w:rPr>
                <w:sz w:val="20"/>
                <w:szCs w:val="20"/>
              </w:rPr>
              <w:t xml:space="preserve">Equation </w:t>
            </w:r>
            <w:r w:rsidRPr="00B476D9">
              <w:rPr>
                <w:sz w:val="20"/>
                <w:szCs w:val="20"/>
              </w:rPr>
              <w:fldChar w:fldCharType="begin"/>
            </w:r>
            <w:r w:rsidRPr="00B476D9">
              <w:rPr>
                <w:sz w:val="20"/>
                <w:szCs w:val="20"/>
              </w:rPr>
              <w:instrText xml:space="preserve"> SEQ Equation \* ARABIC </w:instrText>
            </w:r>
            <w:r w:rsidRPr="00B476D9">
              <w:rPr>
                <w:sz w:val="20"/>
                <w:szCs w:val="20"/>
              </w:rPr>
              <w:fldChar w:fldCharType="separate"/>
            </w:r>
            <w:r w:rsidR="00B7319C">
              <w:rPr>
                <w:noProof/>
                <w:sz w:val="20"/>
                <w:szCs w:val="20"/>
              </w:rPr>
              <w:t>121</w:t>
            </w:r>
            <w:r w:rsidRPr="00B476D9">
              <w:rPr>
                <w:sz w:val="20"/>
                <w:szCs w:val="20"/>
              </w:rPr>
              <w:fldChar w:fldCharType="end"/>
            </w:r>
          </w:p>
        </w:tc>
      </w:tr>
    </w:tbl>
    <w:p w14:paraId="2E8DD6AF" w14:textId="77777777" w:rsidR="006C1C9C" w:rsidRDefault="006C1C9C" w:rsidP="006C1C9C">
      <w:r>
        <w:t xml:space="preserve">where </w:t>
      </w:r>
      <w:r w:rsidRPr="00FF4405">
        <w:rPr>
          <w:i/>
          <w:iCs/>
        </w:rPr>
        <w:t>e</w:t>
      </w:r>
      <w:r>
        <w:t xml:space="preserve"> is the electron charge, </w:t>
      </w:r>
      <m:oMath>
        <m:sSub>
          <m:sSubPr>
            <m:ctrlPr>
              <w:rPr>
                <w:rFonts w:ascii="Cambria Math" w:hAnsi="Cambria Math"/>
                <w:i/>
              </w:rPr>
            </m:ctrlPr>
          </m:sSubPr>
          <m:e>
            <m:r>
              <w:rPr>
                <w:rFonts w:ascii="Cambria Math" w:hAnsi="Cambria Math"/>
              </w:rPr>
              <m:t>N</m:t>
            </m:r>
          </m:e>
          <m:sub>
            <m:r>
              <w:rPr>
                <w:rFonts w:ascii="Cambria Math" w:hAnsi="Cambria Math"/>
              </w:rPr>
              <m:t>v</m:t>
            </m:r>
          </m:sub>
        </m:sSub>
      </m:oMath>
      <w:r>
        <w:t xml:space="preserve">is the effective density of states of the valence band, </w:t>
      </w:r>
      <m:oMath>
        <m:sSub>
          <m:sSubPr>
            <m:ctrlPr>
              <w:rPr>
                <w:rFonts w:ascii="Cambria Math" w:hAnsi="Cambria Math"/>
                <w:i/>
              </w:rPr>
            </m:ctrlPr>
          </m:sSubPr>
          <m:e>
            <m:r>
              <w:rPr>
                <w:rFonts w:ascii="Cambria Math" w:hAnsi="Cambria Math"/>
              </w:rPr>
              <m:t>p</m:t>
            </m:r>
          </m:e>
          <m:sub>
            <m:r>
              <w:rPr>
                <w:rFonts w:ascii="Cambria Math" w:hAnsi="Cambria Math"/>
              </w:rPr>
              <m:t>s</m:t>
            </m:r>
          </m:sub>
        </m:sSub>
      </m:oMath>
      <w:r>
        <w:t xml:space="preserve"> is the hole density at the surface of hematite, </w:t>
      </w:r>
      <m:oMath>
        <m:sSub>
          <m:sSubPr>
            <m:ctrlPr>
              <w:rPr>
                <w:rFonts w:ascii="Cambria Math" w:hAnsi="Cambria Math"/>
                <w:i/>
              </w:rPr>
            </m:ctrlPr>
          </m:sSubPr>
          <m:e>
            <m:r>
              <w:rPr>
                <w:rFonts w:ascii="Cambria Math" w:hAnsi="Cambria Math"/>
              </w:rPr>
              <m:t>c</m:t>
            </m:r>
          </m:e>
          <m:sub>
            <m:r>
              <w:rPr>
                <w:rFonts w:ascii="Cambria Math" w:hAnsi="Cambria Math"/>
              </w:rPr>
              <m:t>red,i</m:t>
            </m:r>
          </m:sub>
        </m:sSub>
      </m:oMath>
      <w:r>
        <w:t xml:space="preserve"> and </w:t>
      </w:r>
      <m:oMath>
        <m:sSub>
          <m:sSubPr>
            <m:ctrlPr>
              <w:rPr>
                <w:rFonts w:ascii="Cambria Math" w:hAnsi="Cambria Math"/>
                <w:i/>
              </w:rPr>
            </m:ctrlPr>
          </m:sSubPr>
          <m:e>
            <m:r>
              <w:rPr>
                <w:rFonts w:ascii="Cambria Math" w:hAnsi="Cambria Math"/>
              </w:rPr>
              <m:t>c</m:t>
            </m:r>
          </m:e>
          <m:sub>
            <m:r>
              <w:rPr>
                <w:rFonts w:ascii="Cambria Math" w:hAnsi="Cambria Math"/>
              </w:rPr>
              <m:t>ox,i</m:t>
            </m:r>
          </m:sub>
        </m:sSub>
      </m:oMath>
      <w:r>
        <w:t xml:space="preserve"> are the concentration of the reduced and oxidized intermediate species. The effect of the applied bias </w:t>
      </w:r>
      <w:r w:rsidRPr="00D6660E">
        <w:rPr>
          <w:i/>
        </w:rPr>
        <w:t>U</w:t>
      </w:r>
      <w:r>
        <w:t xml:space="preserve"> enters in the expression of the hole density:</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B476D9" w:rsidRPr="00B476D9" w14:paraId="5000DB2A" w14:textId="77777777" w:rsidTr="00DE0988">
        <w:tc>
          <w:tcPr>
            <w:tcW w:w="7938" w:type="dxa"/>
            <w:tcMar>
              <w:left w:w="28" w:type="dxa"/>
              <w:right w:w="28" w:type="dxa"/>
            </w:tcMar>
            <w:vAlign w:val="center"/>
          </w:tcPr>
          <w:p w14:paraId="60AF238C" w14:textId="79BEB3B2" w:rsidR="00B476D9" w:rsidRPr="00B476D9" w:rsidRDefault="00000000" w:rsidP="00E45E28">
            <w:pPr>
              <w:spacing w:before="60" w:after="60"/>
              <w:rPr>
                <w:bCs/>
                <w:sz w:val="20"/>
                <w:szCs w:val="20"/>
              </w:rPr>
            </w:pPr>
            <m:oMathPara>
              <m:oMath>
                <m:sSub>
                  <m:sSubPr>
                    <m:ctrlPr>
                      <w:rPr>
                        <w:rFonts w:ascii="Cambria Math" w:hAnsi="Cambria Math"/>
                        <w:i/>
                        <w:sz w:val="20"/>
                        <w:szCs w:val="20"/>
                      </w:rPr>
                    </m:ctrlPr>
                  </m:sSubPr>
                  <m:e>
                    <m:r>
                      <w:rPr>
                        <w:rFonts w:ascii="Cambria Math" w:hAnsi="Cambria Math"/>
                        <w:sz w:val="20"/>
                        <w:szCs w:val="20"/>
                      </w:rPr>
                      <m:t>p</m:t>
                    </m:r>
                  </m:e>
                  <m:sub>
                    <m:r>
                      <w:rPr>
                        <w:rFonts w:ascii="Cambria Math" w:hAnsi="Cambria Math"/>
                        <w:sz w:val="20"/>
                        <w:szCs w:val="20"/>
                      </w:rPr>
                      <m:t>s</m:t>
                    </m:r>
                  </m:sub>
                </m:sSub>
                <m:r>
                  <w:rPr>
                    <w:rFonts w:ascii="Cambria Math" w:hAnsi="Cambria Math"/>
                    <w:sz w:val="20"/>
                    <w:szCs w:val="20"/>
                  </w:rPr>
                  <m:t>=</m:t>
                </m:r>
                <m:sSubSup>
                  <m:sSubSupPr>
                    <m:ctrlPr>
                      <w:rPr>
                        <w:rFonts w:ascii="Cambria Math" w:hAnsi="Cambria Math"/>
                        <w:i/>
                        <w:sz w:val="20"/>
                        <w:szCs w:val="20"/>
                      </w:rPr>
                    </m:ctrlPr>
                  </m:sSubSupPr>
                  <m:e>
                    <m:r>
                      <w:rPr>
                        <w:rFonts w:ascii="Cambria Math" w:hAnsi="Cambria Math"/>
                        <w:sz w:val="20"/>
                        <w:szCs w:val="20"/>
                      </w:rPr>
                      <m:t>p</m:t>
                    </m:r>
                  </m:e>
                  <m:sub>
                    <m:r>
                      <w:rPr>
                        <w:rFonts w:ascii="Cambria Math" w:hAnsi="Cambria Math"/>
                        <w:sz w:val="20"/>
                        <w:szCs w:val="20"/>
                      </w:rPr>
                      <m:t>s</m:t>
                    </m:r>
                  </m:sub>
                  <m:sup>
                    <m:r>
                      <w:rPr>
                        <w:rFonts w:ascii="Cambria Math" w:hAnsi="Cambria Math"/>
                        <w:sz w:val="20"/>
                        <w:szCs w:val="20"/>
                      </w:rPr>
                      <m:t>0</m:t>
                    </m:r>
                  </m:sup>
                </m:sSubSup>
                <m:r>
                  <m:rPr>
                    <m:sty m:val="p"/>
                  </m:rPr>
                  <w:rPr>
                    <w:rFonts w:ascii="Cambria Math" w:hAnsi="Cambria Math"/>
                    <w:sz w:val="20"/>
                    <w:szCs w:val="20"/>
                  </w:rPr>
                  <m:t>exp</m:t>
                </m:r>
                <m:d>
                  <m:dPr>
                    <m:ctrlPr>
                      <w:rPr>
                        <w:rFonts w:ascii="Cambria Math" w:hAnsi="Cambria Math"/>
                        <w:i/>
                        <w:sz w:val="20"/>
                        <w:szCs w:val="20"/>
                      </w:rPr>
                    </m:ctrlPr>
                  </m:dPr>
                  <m:e>
                    <m:f>
                      <m:fPr>
                        <m:ctrlPr>
                          <w:rPr>
                            <w:rFonts w:ascii="Cambria Math" w:hAnsi="Cambria Math"/>
                            <w:i/>
                            <w:sz w:val="20"/>
                            <w:szCs w:val="20"/>
                          </w:rPr>
                        </m:ctrlPr>
                      </m:fPr>
                      <m:num>
                        <m:r>
                          <w:rPr>
                            <w:rFonts w:ascii="Cambria Math" w:hAnsi="Cambria Math"/>
                            <w:sz w:val="20"/>
                            <w:szCs w:val="20"/>
                          </w:rPr>
                          <m:t>U</m:t>
                        </m:r>
                      </m:num>
                      <m:den>
                        <m:sSub>
                          <m:sSubPr>
                            <m:ctrlPr>
                              <w:rPr>
                                <w:rFonts w:ascii="Cambria Math" w:hAnsi="Cambria Math"/>
                                <w:i/>
                                <w:sz w:val="20"/>
                                <w:szCs w:val="20"/>
                              </w:rPr>
                            </m:ctrlPr>
                          </m:sSubPr>
                          <m:e>
                            <m:r>
                              <w:rPr>
                                <w:rFonts w:ascii="Cambria Math" w:hAnsi="Cambria Math"/>
                                <w:sz w:val="20"/>
                                <w:szCs w:val="20"/>
                              </w:rPr>
                              <m:t>k</m:t>
                            </m:r>
                          </m:e>
                          <m:sub>
                            <m:r>
                              <m:rPr>
                                <m:sty m:val="p"/>
                              </m:rPr>
                              <w:rPr>
                                <w:rFonts w:ascii="Cambria Math" w:hAnsi="Cambria Math"/>
                                <w:sz w:val="20"/>
                                <w:szCs w:val="20"/>
                              </w:rPr>
                              <m:t>B</m:t>
                            </m:r>
                          </m:sub>
                        </m:sSub>
                        <m:r>
                          <w:rPr>
                            <w:rFonts w:ascii="Cambria Math" w:hAnsi="Cambria Math"/>
                            <w:sz w:val="20"/>
                            <w:szCs w:val="20"/>
                          </w:rPr>
                          <m:t>T</m:t>
                        </m:r>
                      </m:den>
                    </m:f>
                  </m:e>
                </m:d>
              </m:oMath>
            </m:oMathPara>
          </w:p>
        </w:tc>
        <w:tc>
          <w:tcPr>
            <w:tcW w:w="1134" w:type="dxa"/>
            <w:tcMar>
              <w:left w:w="28" w:type="dxa"/>
              <w:right w:w="28" w:type="dxa"/>
            </w:tcMar>
            <w:vAlign w:val="center"/>
          </w:tcPr>
          <w:p w14:paraId="39F390A5" w14:textId="47834C63" w:rsidR="00B476D9" w:rsidRPr="00B476D9" w:rsidRDefault="00B476D9" w:rsidP="00E45E28">
            <w:pPr>
              <w:keepNext/>
              <w:jc w:val="right"/>
              <w:rPr>
                <w:bCs/>
                <w:sz w:val="20"/>
                <w:szCs w:val="20"/>
              </w:rPr>
            </w:pPr>
            <w:r w:rsidRPr="00B476D9">
              <w:rPr>
                <w:sz w:val="20"/>
                <w:szCs w:val="20"/>
              </w:rPr>
              <w:t xml:space="preserve">Equation </w:t>
            </w:r>
            <w:r w:rsidRPr="00B476D9">
              <w:rPr>
                <w:sz w:val="20"/>
                <w:szCs w:val="20"/>
              </w:rPr>
              <w:fldChar w:fldCharType="begin"/>
            </w:r>
            <w:r w:rsidRPr="00B476D9">
              <w:rPr>
                <w:sz w:val="20"/>
                <w:szCs w:val="20"/>
              </w:rPr>
              <w:instrText xml:space="preserve"> SEQ Equation \* ARABIC </w:instrText>
            </w:r>
            <w:r w:rsidRPr="00B476D9">
              <w:rPr>
                <w:sz w:val="20"/>
                <w:szCs w:val="20"/>
              </w:rPr>
              <w:fldChar w:fldCharType="separate"/>
            </w:r>
            <w:r w:rsidR="00B7319C">
              <w:rPr>
                <w:noProof/>
                <w:sz w:val="20"/>
                <w:szCs w:val="20"/>
              </w:rPr>
              <w:t>122</w:t>
            </w:r>
            <w:r w:rsidRPr="00B476D9">
              <w:rPr>
                <w:sz w:val="20"/>
                <w:szCs w:val="20"/>
              </w:rPr>
              <w:fldChar w:fldCharType="end"/>
            </w:r>
          </w:p>
        </w:tc>
      </w:tr>
    </w:tbl>
    <w:p w14:paraId="309322AD" w14:textId="6625091B" w:rsidR="006C1C9C" w:rsidRDefault="006C1C9C" w:rsidP="006C1C9C">
      <w:r>
        <w:t xml:space="preserve">where </w:t>
      </w:r>
      <m:oMath>
        <m:sSubSup>
          <m:sSubSupPr>
            <m:ctrlPr>
              <w:rPr>
                <w:rFonts w:ascii="Cambria Math" w:hAnsi="Cambria Math"/>
                <w:i/>
              </w:rPr>
            </m:ctrlPr>
          </m:sSubSupPr>
          <m:e>
            <m:r>
              <w:rPr>
                <w:rFonts w:ascii="Cambria Math" w:hAnsi="Cambria Math"/>
              </w:rPr>
              <m:t>p</m:t>
            </m:r>
          </m:e>
          <m:sub>
            <m:r>
              <w:rPr>
                <w:rFonts w:ascii="Cambria Math" w:hAnsi="Cambria Math"/>
              </w:rPr>
              <m:t>s</m:t>
            </m:r>
          </m:sub>
          <m:sup>
            <m:r>
              <w:rPr>
                <w:rFonts w:ascii="Cambria Math" w:hAnsi="Cambria Math"/>
              </w:rPr>
              <m:t>0</m:t>
            </m:r>
          </m:sup>
        </m:sSubSup>
      </m:oMath>
      <w:r>
        <w:t xml:space="preserve">is the equilibrium hole density in the dark. The authors solved the model in the dark as a function of the applied bias, obtaining the </w:t>
      </w:r>
      <w:r w:rsidRPr="00D6660E">
        <w:rPr>
          <w:i/>
        </w:rPr>
        <w:t>j-U</w:t>
      </w:r>
      <w:r>
        <w:t xml:space="preserve"> characteristic, the coverage of the intermediates as a function of the applied bias as well as the impedance spectrum</w:t>
      </w:r>
      <w:r w:rsidR="00A54286">
        <w:t>.</w:t>
      </w:r>
      <w:r>
        <w:t xml:space="preserve"> </w:t>
      </w:r>
    </w:p>
    <w:p w14:paraId="44BACF31" w14:textId="77777777" w:rsidR="004D7F67" w:rsidRPr="00D6660E" w:rsidRDefault="004D7F67" w:rsidP="006C1C9C"/>
    <w:p w14:paraId="180807AB" w14:textId="19A39EE6" w:rsidR="006C1C9C" w:rsidRDefault="006C1C9C" w:rsidP="006C1C9C">
      <w:r>
        <w:t>In a follow-up work, the model was then extended by George et al.</w:t>
      </w:r>
      <w:r>
        <w:fldChar w:fldCharType="begin"/>
      </w:r>
      <w:r w:rsidR="00FC5BEB">
        <w:instrText xml:space="preserve"> ADDIN EN.CITE &lt;EndNote&gt;&lt;Cite&gt;&lt;Author&gt;George&lt;/Author&gt;&lt;Year&gt;2020&lt;/Year&gt;&lt;RecNum&gt;533&lt;/RecNum&gt;&lt;DisplayText&gt;&lt;style face="superscript"&gt;535&lt;/style&gt;&lt;/DisplayText&gt;&lt;record&gt;&lt;rec-number&gt;533&lt;/rec-number&gt;&lt;foreign-keys&gt;&lt;key app="EN" db-id="2xex0erf4eexr4e2dpbxpdd829xttesxxxdr" timestamp="1715075297"&gt;533&lt;/key&gt;&lt;/foreign-keys&gt;&lt;ref-type name="Journal Article"&gt;17&lt;/ref-type&gt;&lt;contributors&gt;&lt;authors&gt;&lt;author&gt;George, Kiran&lt;/author&gt;&lt;author&gt;Khachatrjan, Tigran&lt;/author&gt;&lt;author&gt;van Berkel, Matthijs&lt;/author&gt;&lt;author&gt;Sinha, Vivek&lt;/author&gt;&lt;author&gt;Bieberle-Hütter, Anja&lt;/author&gt;&lt;/authors&gt;&lt;/contributors&gt;&lt;titles&gt;&lt;title&gt;Understanding the impact of different types of surface states on photoelectrochemical water oxidation: A microkinetic modeling approach&lt;/title&gt;&lt;secondary-title&gt;ACS Catal.&lt;/secondary-title&gt;&lt;/titles&gt;&lt;periodical&gt;&lt;full-title&gt;ACS Catal.&lt;/full-title&gt;&lt;/periodical&gt;&lt;pages&gt;14649-14660&lt;/pages&gt;&lt;volume&gt;10&lt;/volume&gt;&lt;number&gt;24&lt;/number&gt;&lt;keywords&gt;&lt;keyword&gt;Fermi-level pinning&lt;/keyword&gt;&lt;keyword&gt;Oxygen evolution reaction&lt;/keyword&gt;&lt;keyword&gt;Photoelectrochemical cell&lt;/keyword&gt;&lt;keyword&gt;Semiconductor−electrolyte interface&lt;/keyword&gt;&lt;keyword&gt;Surface states&lt;/keyword&gt;&lt;/keywords&gt;&lt;dates&gt;&lt;year&gt;2020&lt;/year&gt;&lt;/dates&gt;&lt;urls&gt;&lt;related-urls&gt;&lt;url&gt;https://pubs.acs.org/doi/pdf/10.1021/acscatal.0c03987&lt;/url&gt;&lt;/related-urls&gt;&lt;pdf-urls&gt;&lt;url&gt;file://localhost/localhost/localhost/Users/piccinin/Literature/george2020.pdf&lt;/url&gt;&lt;/pdf-urls&gt;&lt;/urls&gt;&lt;electronic-resource-num&gt;10.1021/acscatal.0c03987&lt;/electronic-resource-num&gt;&lt;/record&gt;&lt;/Cite&gt;&lt;/EndNote&gt;</w:instrText>
      </w:r>
      <w:r>
        <w:fldChar w:fldCharType="separate"/>
      </w:r>
      <w:r w:rsidR="00FC5BEB" w:rsidRPr="00FC5BEB">
        <w:rPr>
          <w:noProof/>
          <w:vertAlign w:val="superscript"/>
        </w:rPr>
        <w:t>535</w:t>
      </w:r>
      <w:r>
        <w:fldChar w:fldCharType="end"/>
      </w:r>
      <w:r>
        <w:t xml:space="preserve"> to consider explicitly also the dynamics of the charge carriers in the space charge layer of the semiconductor. Given the complexity of the model, here we briefly sketch only its main features </w:t>
      </w:r>
      <w:r w:rsidR="00836761">
        <w:t xml:space="preserve">and </w:t>
      </w:r>
      <w:r>
        <w:t xml:space="preserve">refer the readers to the original paper for further details. </w:t>
      </w:r>
    </w:p>
    <w:p w14:paraId="25504526" w14:textId="77777777" w:rsidR="004D7F67" w:rsidRDefault="004D7F67" w:rsidP="006C1C9C"/>
    <w:p w14:paraId="071AFB60" w14:textId="5EBA102B" w:rsidR="006C1C9C" w:rsidRDefault="006C1C9C" w:rsidP="001C1AC5">
      <w:pPr>
        <w:keepNext/>
        <w:jc w:val="center"/>
      </w:pPr>
      <w:r>
        <w:rPr>
          <w:noProof/>
        </w:rPr>
        <w:drawing>
          <wp:inline distT="0" distB="0" distL="0" distR="0" wp14:anchorId="3173A5F5" wp14:editId="6E6F624C">
            <wp:extent cx="2286000" cy="124460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George_ACSCatal2020_Fig2.jpe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2286000" cy="1244600"/>
                    </a:xfrm>
                    <a:prstGeom prst="rect">
                      <a:avLst/>
                    </a:prstGeom>
                  </pic:spPr>
                </pic:pic>
              </a:graphicData>
            </a:graphic>
          </wp:inline>
        </w:drawing>
      </w:r>
    </w:p>
    <w:p w14:paraId="312A3398" w14:textId="0A314D7E" w:rsidR="006C1C9C" w:rsidRDefault="006C1C9C" w:rsidP="006C1C9C">
      <w:pPr>
        <w:pStyle w:val="Caption"/>
      </w:pPr>
      <w:bookmarkStart w:id="180" w:name="_Ref155861381"/>
      <w:r w:rsidRPr="00AB61EB">
        <w:rPr>
          <w:b/>
          <w:bCs w:val="0"/>
          <w:sz w:val="22"/>
        </w:rPr>
        <w:t xml:space="preserve">Figure </w:t>
      </w:r>
      <w:r w:rsidRPr="00AB61EB">
        <w:rPr>
          <w:b/>
          <w:bCs w:val="0"/>
          <w:sz w:val="22"/>
        </w:rPr>
        <w:fldChar w:fldCharType="begin"/>
      </w:r>
      <w:r w:rsidRPr="00AB61EB">
        <w:rPr>
          <w:b/>
          <w:bCs w:val="0"/>
          <w:sz w:val="22"/>
        </w:rPr>
        <w:instrText xml:space="preserve"> SEQ Figure \* ARABIC </w:instrText>
      </w:r>
      <w:r w:rsidRPr="00AB61EB">
        <w:rPr>
          <w:b/>
          <w:bCs w:val="0"/>
          <w:sz w:val="22"/>
        </w:rPr>
        <w:fldChar w:fldCharType="separate"/>
      </w:r>
      <w:r w:rsidR="00B7319C">
        <w:rPr>
          <w:b/>
          <w:bCs w:val="0"/>
          <w:noProof/>
          <w:sz w:val="22"/>
        </w:rPr>
        <w:t>69</w:t>
      </w:r>
      <w:r w:rsidRPr="00AB61EB">
        <w:rPr>
          <w:b/>
          <w:bCs w:val="0"/>
          <w:noProof/>
          <w:sz w:val="22"/>
        </w:rPr>
        <w:fldChar w:fldCharType="end"/>
      </w:r>
      <w:bookmarkEnd w:id="180"/>
      <w:r>
        <w:t>:</w:t>
      </w:r>
      <w:r w:rsidRPr="00D020BD">
        <w:t xml:space="preserve"> Schematic of charge carrier dynamics under illumination within the space charge region showing recombination, trapping, and oxygen evolution reaction via VB (blue), CB (red), and r-SS (green). The red circles represent electrons, and the blue circles represent holes.</w:t>
      </w:r>
      <w:r>
        <w:t xml:space="preserve"> Reproduced </w:t>
      </w:r>
      <w:r w:rsidR="0073546E">
        <w:t xml:space="preserve">with permission </w:t>
      </w:r>
      <w:r>
        <w:t>from Ref.</w:t>
      </w:r>
      <w:r>
        <w:fldChar w:fldCharType="begin"/>
      </w:r>
      <w:r w:rsidR="00FC5BEB">
        <w:instrText xml:space="preserve"> ADDIN EN.CITE &lt;EndNote&gt;&lt;Cite&gt;&lt;Author&gt;George&lt;/Author&gt;&lt;Year&gt;2020&lt;/Year&gt;&lt;RecNum&gt;533&lt;/RecNum&gt;&lt;DisplayText&gt;&lt;style face="superscript"&gt;535&lt;/style&gt;&lt;/DisplayText&gt;&lt;record&gt;&lt;rec-number&gt;533&lt;/rec-number&gt;&lt;foreign-keys&gt;&lt;key app="EN" db-id="2xex0erf4eexr4e2dpbxpdd829xttesxxxdr" timestamp="1715075297"&gt;533&lt;/key&gt;&lt;/foreign-keys&gt;&lt;ref-type name="Journal Article"&gt;17&lt;/ref-type&gt;&lt;contributors&gt;&lt;authors&gt;&lt;author&gt;George, Kiran&lt;/author&gt;&lt;author&gt;Khachatrjan, Tigran&lt;/author&gt;&lt;author&gt;van Berkel, Matthijs&lt;/author&gt;&lt;author&gt;Sinha, Vivek&lt;/author&gt;&lt;author&gt;Bieberle-Hütter, Anja&lt;/author&gt;&lt;/authors&gt;&lt;/contributors&gt;&lt;titles&gt;&lt;title&gt;Understanding the impact of different types of surface states on photoelectrochemical water oxidation: A microkinetic modeling approach&lt;/title&gt;&lt;secondary-title&gt;ACS Catal.&lt;/secondary-title&gt;&lt;/titles&gt;&lt;periodical&gt;&lt;full-title&gt;ACS Catal.&lt;/full-title&gt;&lt;/periodical&gt;&lt;pages&gt;14649-14660&lt;/pages&gt;&lt;volume&gt;10&lt;/volume&gt;&lt;number&gt;24&lt;/number&gt;&lt;keywords&gt;&lt;keyword&gt;Fermi-level pinning&lt;/keyword&gt;&lt;keyword&gt;Oxygen evolution reaction&lt;/keyword&gt;&lt;keyword&gt;Photoelectrochemical cell&lt;/keyword&gt;&lt;keyword&gt;Semiconductor−electrolyte interface&lt;/keyword&gt;&lt;keyword&gt;Surface states&lt;/keyword&gt;&lt;/keywords&gt;&lt;dates&gt;&lt;year&gt;2020&lt;/year&gt;&lt;/dates&gt;&lt;urls&gt;&lt;related-urls&gt;&lt;url&gt;https://pubs.acs.org/doi/pdf/10.1021/acscatal.0c03987&lt;/url&gt;&lt;/related-urls&gt;&lt;pdf-urls&gt;&lt;url&gt;file://localhost/localhost/localhost/Users/piccinin/Literature/george2020.pdf&lt;/url&gt;&lt;/pdf-urls&gt;&lt;/urls&gt;&lt;electronic-resource-num&gt;10.1021/acscatal.0c03987&lt;/electronic-resource-num&gt;&lt;/record&gt;&lt;/Cite&gt;&lt;/EndNote&gt;</w:instrText>
      </w:r>
      <w:r>
        <w:fldChar w:fldCharType="separate"/>
      </w:r>
      <w:r w:rsidR="00FC5BEB" w:rsidRPr="00FC5BEB">
        <w:rPr>
          <w:noProof/>
          <w:vertAlign w:val="superscript"/>
        </w:rPr>
        <w:t>535</w:t>
      </w:r>
      <w:r>
        <w:fldChar w:fldCharType="end"/>
      </w:r>
      <w:r w:rsidR="00B64CA3">
        <w:t xml:space="preserve"> </w:t>
      </w:r>
      <w:r w:rsidR="00B64CA3" w:rsidRPr="00B64CA3">
        <w:rPr>
          <w:lang w:val="en-US"/>
        </w:rPr>
        <w:t>Copyright 2020 American Chemical Society</w:t>
      </w:r>
      <w:r w:rsidR="00B64CA3">
        <w:rPr>
          <w:lang w:val="en-US"/>
        </w:rPr>
        <w:t>.</w:t>
      </w:r>
    </w:p>
    <w:p w14:paraId="3B0A1E05" w14:textId="34C83AFC" w:rsidR="006C1C9C" w:rsidRDefault="006C1C9C" w:rsidP="00AB61EB">
      <w:pPr>
        <w:ind w:firstLine="720"/>
      </w:pPr>
      <w:r>
        <w:t>The OER was assumed to proceed via the same mechanism adopted in the earlier work</w:t>
      </w:r>
      <w:r>
        <w:fldChar w:fldCharType="begin"/>
      </w:r>
      <w:r w:rsidR="00FC5BEB">
        <w:instrText xml:space="preserve"> ADDIN EN.CITE &lt;EndNote&gt;&lt;Cite&gt;&lt;Author&gt;George&lt;/Author&gt;&lt;Year&gt;2019&lt;/Year&gt;&lt;RecNum&gt;528&lt;/RecNum&gt;&lt;DisplayText&gt;&lt;style face="superscript"&gt;530&lt;/style&gt;&lt;/DisplayText&gt;&lt;record&gt;&lt;rec-number&gt;528&lt;/rec-number&gt;&lt;foreign-keys&gt;&lt;key app="EN" db-id="2xex0erf4eexr4e2dpbxpdd829xttesxxxdr" timestamp="1715075297"&gt;528&lt;/key&gt;&lt;/foreign-keys&gt;&lt;ref-type name="Journal Article"&gt;17&lt;/ref-type&gt;&lt;contributors&gt;&lt;authors&gt;&lt;author&gt;George, Kiran&lt;/author&gt;&lt;author&gt;Van Berkel, Matthijs&lt;/author&gt;&lt;author&gt;Zhang, Xueqing&lt;/author&gt;&lt;author&gt;Sinha, Rochan&lt;/author&gt;&lt;author&gt;Bieberle-Hütter, Anja&lt;/author&gt;&lt;/authors&gt;&lt;/contributors&gt;&lt;titles&gt;&lt;title&gt;Impedance Spectra and Surface Coverages Simulated Directly from the Electrochemical Reaction Mechanism: A Nonlinear State-Space Approach&lt;/title&gt;&lt;secondary-title&gt;Journal of Physical Chemistry C&lt;/secondary-title&gt;&lt;/titles&gt;&lt;periodical&gt;&lt;full-title&gt;Journal of Physical Chemistry C&lt;/full-title&gt;&lt;abbr-1&gt;J. Phys. Chem. C&lt;/abbr-1&gt;&lt;/periodical&gt;&lt;pages&gt;9981-9992&lt;/pages&gt;&lt;volume&gt;123&lt;/volume&gt;&lt;number&gt;15&lt;/number&gt;&lt;dates&gt;&lt;year&gt;2019&lt;/year&gt;&lt;/dates&gt;&lt;urls&gt;&lt;related-urls&gt;&lt;url&gt;https://pubs.acs.org/doi/pdf/10.1021/acs.jpcc.9b01836&lt;/url&gt;&lt;/related-urls&gt;&lt;pdf-urls&gt;&lt;url&gt;file://localhost/localhost/Users/piccinin/Literature/acs.jpcc.9b01836.pdf&lt;/url&gt;&lt;/pdf-urls&gt;&lt;/urls&gt;&lt;electronic-resource-num&gt;10.1021/acs.jpcc.9b01836&lt;/electronic-resource-num&gt;&lt;/record&gt;&lt;/Cite&gt;&lt;/EndNote&gt;</w:instrText>
      </w:r>
      <w:r>
        <w:fldChar w:fldCharType="separate"/>
      </w:r>
      <w:r w:rsidR="00FC5BEB" w:rsidRPr="00FC5BEB">
        <w:rPr>
          <w:noProof/>
          <w:vertAlign w:val="superscript"/>
        </w:rPr>
        <w:t>530</w:t>
      </w:r>
      <w:r>
        <w:fldChar w:fldCharType="end"/>
      </w:r>
      <w:r>
        <w:t xml:space="preserve">, but this time the free energy cost of the elementary steps were computed including solvation effects rather than in vacuum, resulting in differences as large as 0.4 eV. Crucially, the authors included in the model the presence of mid-band gap states (r-SS) at the semiconductor-electrolyte interface, characterized by a single level at energy </w:t>
      </w:r>
      <w:r w:rsidRPr="00D020BD">
        <w:rPr>
          <w:i/>
        </w:rPr>
        <w:t>E</w:t>
      </w:r>
      <w:r w:rsidRPr="00817356">
        <w:rPr>
          <w:iCs/>
          <w:vertAlign w:val="subscript"/>
        </w:rPr>
        <w:t>T</w:t>
      </w:r>
      <w:r>
        <w:t xml:space="preserve"> and with a surface density </w:t>
      </w:r>
      <w:r w:rsidRPr="00D020BD">
        <w:rPr>
          <w:i/>
        </w:rPr>
        <w:t>N</w:t>
      </w:r>
      <w:r w:rsidRPr="00817356">
        <w:rPr>
          <w:iCs/>
          <w:vertAlign w:val="subscript"/>
        </w:rPr>
        <w:t>T</w:t>
      </w:r>
      <w:r>
        <w:t xml:space="preserve"> (</w:t>
      </w:r>
      <w:r w:rsidRPr="00817356">
        <w:rPr>
          <w:iCs/>
        </w:rPr>
        <w:t>T</w:t>
      </w:r>
      <w:r w:rsidRPr="00CF1880">
        <w:rPr>
          <w:iCs/>
        </w:rPr>
        <w:t xml:space="preserve"> </w:t>
      </w:r>
      <w:r>
        <w:t xml:space="preserve">stands for trap). Charge transfer to/from the OER intermediates can occur via the valence band, the conduction </w:t>
      </w:r>
      <w:proofErr w:type="gramStart"/>
      <w:r>
        <w:t>band</w:t>
      </w:r>
      <w:proofErr w:type="gramEnd"/>
      <w:r>
        <w:t xml:space="preserve"> or the r-SS states, as illustrated schematically in </w:t>
      </w:r>
      <w:r>
        <w:fldChar w:fldCharType="begin"/>
      </w:r>
      <w:r>
        <w:instrText xml:space="preserve"> REF _Ref155861381 \h </w:instrText>
      </w:r>
      <w:r>
        <w:fldChar w:fldCharType="separate"/>
      </w:r>
      <w:r w:rsidR="00B7319C" w:rsidRPr="00AB61EB">
        <w:rPr>
          <w:b/>
        </w:rPr>
        <w:t xml:space="preserve">Figure </w:t>
      </w:r>
      <w:r w:rsidR="00B7319C">
        <w:rPr>
          <w:b/>
          <w:bCs/>
          <w:noProof/>
        </w:rPr>
        <w:t>69</w:t>
      </w:r>
      <w:r>
        <w:fldChar w:fldCharType="end"/>
      </w:r>
      <w:r>
        <w:t xml:space="preserve">.  Using </w:t>
      </w:r>
      <w:proofErr w:type="spellStart"/>
      <w:r>
        <w:t>Gärtner's</w:t>
      </w:r>
      <w:proofErr w:type="spellEnd"/>
      <w:r>
        <w:t xml:space="preserve"> equation</w:t>
      </w:r>
      <w:r>
        <w:fldChar w:fldCharType="begin"/>
      </w:r>
      <w:r w:rsidR="00FC5BEB">
        <w:instrText xml:space="preserve"> ADDIN EN.CITE &lt;EndNote&gt;&lt;Cite&gt;&lt;Author&gt;Memming&lt;/Author&gt;&lt;Year&gt;2015&lt;/Year&gt;&lt;RecNum&gt;529&lt;/RecNum&gt;&lt;DisplayText&gt;&lt;style face="superscript"&gt;531&lt;/style&gt;&lt;/DisplayText&gt;&lt;record&gt;&lt;rec-number&gt;529&lt;/rec-number&gt;&lt;foreign-keys&gt;&lt;key app="EN" db-id="2xex0erf4eexr4e2dpbxpdd829xttesxxxdr" timestamp="1715075297"&gt;529&lt;/key&gt;&lt;/foreign-keys&gt;&lt;ref-type name="Book Section"&gt;5&lt;/ref-type&gt;&lt;contributors&gt;&lt;authors&gt;&lt;author&gt;Memming, Rüdiger&lt;/author&gt;&lt;/authors&gt;&lt;secondary-authors&gt;&lt;author&gt;R. Memming&lt;/author&gt;&lt;/secondary-authors&gt;&lt;/contributors&gt;&lt;titles&gt;&lt;title&gt;Charge Transfer Processes at the Semiconductor–Liquid Interface&lt;/title&gt;&lt;secondary-title&gt;Semiconductor Electrochemistry&lt;/secondary-title&gt;&lt;/titles&gt;&lt;pages&gt;169-266&lt;/pages&gt;&lt;keywords&gt;&lt;keyword&gt;charge transfer processes&lt;/keyword&gt;&lt;keyword&gt;electroluminescence&lt;/keyword&gt;&lt;keyword&gt;metal electrodes&lt;/keyword&gt;&lt;keyword&gt;one-step redox reactions&lt;/keyword&gt;&lt;keyword&gt;photoluminescence&lt;/keyword&gt;&lt;keyword&gt;quasi-Fermi level concept&lt;/keyword&gt;&lt;keyword&gt;reorganization energy&lt;/keyword&gt;&lt;keyword&gt;semiconductor electrodes&lt;/keyword&gt;&lt;keyword&gt;semiconductor-liquid interface&lt;/keyword&gt;&lt;keyword&gt;two-step redox processes&lt;/keyword&gt;&lt;/keywords&gt;&lt;dates&gt;&lt;year&gt;2015&lt;/year&gt;&lt;/dates&gt;&lt;publisher&gt;John Wiley &amp;amp; Sons, Ltd&lt;/publisher&gt;&lt;isbn&gt;9783527688685&lt;/isbn&gt;&lt;urls&gt;&lt;related-urls&gt;&lt;url&gt;https://doi.org/10.1002/9783527688685.ch7&lt;/url&gt;&lt;/related-urls&gt;&lt;/urls&gt;&lt;electronic-resource-num&gt;https://doi.org/10.1002/9783527688685.ch7&lt;/electronic-resource-num&gt;&lt;/record&gt;&lt;/Cite&gt;&lt;/EndNote&gt;</w:instrText>
      </w:r>
      <w:r>
        <w:fldChar w:fldCharType="separate"/>
      </w:r>
      <w:r w:rsidR="00FC5BEB" w:rsidRPr="00FC5BEB">
        <w:rPr>
          <w:noProof/>
          <w:vertAlign w:val="superscript"/>
        </w:rPr>
        <w:t>531</w:t>
      </w:r>
      <w:r>
        <w:fldChar w:fldCharType="end"/>
      </w:r>
      <w:r>
        <w:t>, the hole flux to the surface (</w:t>
      </w:r>
      <w:r w:rsidRPr="00D020BD">
        <w:rPr>
          <w:i/>
        </w:rPr>
        <w:t>J</w:t>
      </w:r>
      <w:r w:rsidRPr="00D020BD">
        <w:rPr>
          <w:i/>
          <w:vertAlign w:val="subscript"/>
        </w:rPr>
        <w:t>G</w:t>
      </w:r>
      <w:r>
        <w:t xml:space="preserve">) for a given illumination intensity </w:t>
      </w:r>
      <w:r w:rsidRPr="00D020BD">
        <w:t>I</w:t>
      </w:r>
      <w:r w:rsidRPr="00D020BD">
        <w:rPr>
          <w:vertAlign w:val="subscript"/>
        </w:rPr>
        <w:t xml:space="preserve">0 </w:t>
      </w:r>
      <w:r>
        <w:t xml:space="preserve">can be computed as </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B476D9" w:rsidRPr="00B476D9" w14:paraId="5B198085" w14:textId="77777777" w:rsidTr="00DE0988">
        <w:tc>
          <w:tcPr>
            <w:tcW w:w="7938" w:type="dxa"/>
            <w:tcMar>
              <w:left w:w="28" w:type="dxa"/>
              <w:right w:w="28" w:type="dxa"/>
            </w:tcMar>
            <w:vAlign w:val="center"/>
          </w:tcPr>
          <w:p w14:paraId="30664F88" w14:textId="04427E67" w:rsidR="00B476D9" w:rsidRPr="00B476D9" w:rsidRDefault="00000000" w:rsidP="00B476D9">
            <w:pPr>
              <w:rPr>
                <w:sz w:val="20"/>
                <w:szCs w:val="20"/>
              </w:rPr>
            </w:pPr>
            <m:oMathPara>
              <m:oMath>
                <m:sSub>
                  <m:sSubPr>
                    <m:ctrlPr>
                      <w:rPr>
                        <w:rFonts w:ascii="Cambria Math" w:hAnsi="Cambria Math"/>
                        <w:i/>
                        <w:sz w:val="20"/>
                        <w:szCs w:val="20"/>
                      </w:rPr>
                    </m:ctrlPr>
                  </m:sSubPr>
                  <m:e>
                    <m:r>
                      <w:rPr>
                        <w:rFonts w:ascii="Cambria Math" w:hAnsi="Cambria Math"/>
                        <w:sz w:val="20"/>
                        <w:szCs w:val="20"/>
                      </w:rPr>
                      <m:t>J</m:t>
                    </m:r>
                  </m:e>
                  <m:sub>
                    <m:r>
                      <w:rPr>
                        <w:rFonts w:ascii="Cambria Math" w:hAnsi="Cambria Math"/>
                        <w:sz w:val="20"/>
                        <w:szCs w:val="20"/>
                      </w:rPr>
                      <m:t>G</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I</m:t>
                    </m:r>
                  </m:e>
                  <m:sub>
                    <m:r>
                      <w:rPr>
                        <w:rFonts w:ascii="Cambria Math" w:hAnsi="Cambria Math"/>
                        <w:sz w:val="20"/>
                        <w:szCs w:val="20"/>
                      </w:rPr>
                      <m:t>0</m:t>
                    </m:r>
                  </m:sub>
                </m:sSub>
                <m:d>
                  <m:dPr>
                    <m:ctrlPr>
                      <w:rPr>
                        <w:rFonts w:ascii="Cambria Math" w:hAnsi="Cambria Math"/>
                        <w:i/>
                        <w:sz w:val="20"/>
                        <w:szCs w:val="20"/>
                      </w:rPr>
                    </m:ctrlPr>
                  </m:dPr>
                  <m:e>
                    <m:r>
                      <w:rPr>
                        <w:rFonts w:ascii="Cambria Math" w:hAnsi="Cambria Math"/>
                        <w:sz w:val="20"/>
                        <w:szCs w:val="20"/>
                      </w:rPr>
                      <m:t>1-</m:t>
                    </m:r>
                    <m:f>
                      <m:fPr>
                        <m:ctrlPr>
                          <w:rPr>
                            <w:rFonts w:ascii="Cambria Math" w:hAnsi="Cambria Math"/>
                            <w:i/>
                            <w:sz w:val="20"/>
                            <w:szCs w:val="20"/>
                          </w:rPr>
                        </m:ctrlPr>
                      </m:fPr>
                      <m:num>
                        <m:r>
                          <m:rPr>
                            <m:sty m:val="p"/>
                          </m:rPr>
                          <w:rPr>
                            <w:rFonts w:ascii="Cambria Math" w:hAnsi="Cambria Math"/>
                            <w:sz w:val="20"/>
                            <w:szCs w:val="20"/>
                          </w:rPr>
                          <m:t>exp</m:t>
                        </m:r>
                        <m:d>
                          <m:dPr>
                            <m:ctrlPr>
                              <w:rPr>
                                <w:rFonts w:ascii="Cambria Math" w:hAnsi="Cambria Math"/>
                                <w:i/>
                                <w:sz w:val="20"/>
                                <w:szCs w:val="20"/>
                              </w:rPr>
                            </m:ctrlPr>
                          </m:dPr>
                          <m:e>
                            <m:r>
                              <w:rPr>
                                <w:rFonts w:ascii="Cambria Math" w:hAnsi="Cambria Math"/>
                                <w:sz w:val="20"/>
                                <w:szCs w:val="20"/>
                              </w:rPr>
                              <m:t>-α</m:t>
                            </m:r>
                            <m:sSub>
                              <m:sSubPr>
                                <m:ctrlPr>
                                  <w:rPr>
                                    <w:rFonts w:ascii="Cambria Math" w:hAnsi="Cambria Math"/>
                                    <w:i/>
                                    <w:sz w:val="20"/>
                                    <w:szCs w:val="20"/>
                                  </w:rPr>
                                </m:ctrlPr>
                              </m:sSubPr>
                              <m:e>
                                <m:r>
                                  <w:rPr>
                                    <w:rFonts w:ascii="Cambria Math" w:hAnsi="Cambria Math"/>
                                    <w:sz w:val="20"/>
                                    <w:szCs w:val="20"/>
                                  </w:rPr>
                                  <m:t>W</m:t>
                                </m:r>
                              </m:e>
                              <m:sub>
                                <m:r>
                                  <w:rPr>
                                    <w:rFonts w:ascii="Cambria Math" w:hAnsi="Cambria Math"/>
                                    <w:sz w:val="20"/>
                                    <w:szCs w:val="20"/>
                                  </w:rPr>
                                  <m:t>SC</m:t>
                                </m:r>
                              </m:sub>
                            </m:sSub>
                          </m:e>
                        </m:d>
                      </m:num>
                      <m:den>
                        <m:r>
                          <w:rPr>
                            <w:rFonts w:ascii="Cambria Math" w:hAnsi="Cambria Math"/>
                            <w:sz w:val="20"/>
                            <w:szCs w:val="20"/>
                          </w:rPr>
                          <m:t>1+α</m:t>
                        </m:r>
                        <m:sSub>
                          <m:sSubPr>
                            <m:ctrlPr>
                              <w:rPr>
                                <w:rFonts w:ascii="Cambria Math" w:hAnsi="Cambria Math"/>
                                <w:i/>
                                <w:sz w:val="20"/>
                                <w:szCs w:val="20"/>
                              </w:rPr>
                            </m:ctrlPr>
                          </m:sSubPr>
                          <m:e>
                            <m:r>
                              <w:rPr>
                                <w:rFonts w:ascii="Cambria Math" w:hAnsi="Cambria Math"/>
                                <w:sz w:val="20"/>
                                <w:szCs w:val="20"/>
                              </w:rPr>
                              <m:t>L</m:t>
                            </m:r>
                          </m:e>
                          <m:sub>
                            <m:r>
                              <w:rPr>
                                <w:rFonts w:ascii="Cambria Math" w:hAnsi="Cambria Math"/>
                                <w:sz w:val="20"/>
                                <w:szCs w:val="20"/>
                              </w:rPr>
                              <m:t>p</m:t>
                            </m:r>
                          </m:sub>
                        </m:sSub>
                      </m:den>
                    </m:f>
                  </m:e>
                </m:d>
              </m:oMath>
            </m:oMathPara>
          </w:p>
        </w:tc>
        <w:tc>
          <w:tcPr>
            <w:tcW w:w="1134" w:type="dxa"/>
            <w:tcMar>
              <w:left w:w="28" w:type="dxa"/>
              <w:right w:w="28" w:type="dxa"/>
            </w:tcMar>
            <w:vAlign w:val="center"/>
          </w:tcPr>
          <w:p w14:paraId="6005D717" w14:textId="39849606" w:rsidR="00B476D9" w:rsidRPr="00B476D9" w:rsidRDefault="00B476D9" w:rsidP="00E45E28">
            <w:pPr>
              <w:keepNext/>
              <w:jc w:val="right"/>
              <w:rPr>
                <w:bCs/>
                <w:sz w:val="20"/>
                <w:szCs w:val="20"/>
              </w:rPr>
            </w:pPr>
            <w:r w:rsidRPr="00B476D9">
              <w:rPr>
                <w:sz w:val="20"/>
                <w:szCs w:val="20"/>
              </w:rPr>
              <w:t xml:space="preserve">Equation </w:t>
            </w:r>
            <w:r w:rsidRPr="00B476D9">
              <w:rPr>
                <w:sz w:val="20"/>
                <w:szCs w:val="20"/>
              </w:rPr>
              <w:fldChar w:fldCharType="begin"/>
            </w:r>
            <w:r w:rsidRPr="00B476D9">
              <w:rPr>
                <w:sz w:val="20"/>
                <w:szCs w:val="20"/>
              </w:rPr>
              <w:instrText xml:space="preserve"> SEQ Equation \* ARABIC </w:instrText>
            </w:r>
            <w:r w:rsidRPr="00B476D9">
              <w:rPr>
                <w:sz w:val="20"/>
                <w:szCs w:val="20"/>
              </w:rPr>
              <w:fldChar w:fldCharType="separate"/>
            </w:r>
            <w:r w:rsidR="00B7319C">
              <w:rPr>
                <w:noProof/>
                <w:sz w:val="20"/>
                <w:szCs w:val="20"/>
              </w:rPr>
              <w:t>123</w:t>
            </w:r>
            <w:r w:rsidRPr="00B476D9">
              <w:rPr>
                <w:sz w:val="20"/>
                <w:szCs w:val="20"/>
              </w:rPr>
              <w:fldChar w:fldCharType="end"/>
            </w:r>
          </w:p>
        </w:tc>
      </w:tr>
    </w:tbl>
    <w:p w14:paraId="25B6A64E" w14:textId="77777777" w:rsidR="006C1C9C" w:rsidRDefault="006C1C9C" w:rsidP="006C1C9C">
      <w:r>
        <w:t xml:space="preserve">where </w:t>
      </w:r>
      <w:r w:rsidRPr="00D020BD">
        <w:rPr>
          <w:rFonts w:ascii="Symbol" w:hAnsi="Symbol"/>
        </w:rPr>
        <w:t></w:t>
      </w:r>
      <w:r>
        <w:t xml:space="preserve"> is the absorption coefficient, </w:t>
      </w:r>
      <w:r w:rsidRPr="00D020BD">
        <w:rPr>
          <w:i/>
        </w:rPr>
        <w:t>W</w:t>
      </w:r>
      <w:r w:rsidRPr="00D020BD">
        <w:rPr>
          <w:i/>
          <w:vertAlign w:val="subscript"/>
        </w:rPr>
        <w:t>SC</w:t>
      </w:r>
      <w:r>
        <w:t xml:space="preserve"> is the width of the space charge layer and </w:t>
      </w:r>
      <w:proofErr w:type="spellStart"/>
      <w:r w:rsidRPr="00D020BD">
        <w:rPr>
          <w:i/>
        </w:rPr>
        <w:t>L</w:t>
      </w:r>
      <w:r w:rsidRPr="00D020BD">
        <w:rPr>
          <w:i/>
          <w:vertAlign w:val="subscript"/>
        </w:rPr>
        <w:t>p</w:t>
      </w:r>
      <w:proofErr w:type="spellEnd"/>
      <w:r>
        <w:t xml:space="preserve"> is the hole diffusion length. The width of the space charge layer is related to the potential drop across the space charge layer (</w:t>
      </w:r>
      <w:proofErr w:type="spellStart"/>
      <w:r w:rsidRPr="00D020BD">
        <w:rPr>
          <w:i/>
        </w:rPr>
        <w:t>u</w:t>
      </w:r>
      <w:r>
        <w:rPr>
          <w:i/>
          <w:vertAlign w:val="subscript"/>
        </w:rPr>
        <w:t>SC</w:t>
      </w:r>
      <w:proofErr w:type="spellEnd"/>
      <w:r>
        <w:t>) via</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7938"/>
        <w:gridCol w:w="1134"/>
      </w:tblGrid>
      <w:tr w:rsidR="00B476D9" w:rsidRPr="00B476D9" w14:paraId="7172A8D8" w14:textId="77777777" w:rsidTr="00DE0988">
        <w:tc>
          <w:tcPr>
            <w:tcW w:w="7938" w:type="dxa"/>
            <w:tcMar>
              <w:left w:w="28" w:type="dxa"/>
              <w:right w:w="28" w:type="dxa"/>
            </w:tcMar>
            <w:vAlign w:val="center"/>
          </w:tcPr>
          <w:p w14:paraId="7F793D2B" w14:textId="461000DA" w:rsidR="00B476D9" w:rsidRPr="00B476D9" w:rsidRDefault="00000000" w:rsidP="00B476D9">
            <w:pPr>
              <w:rPr>
                <w:sz w:val="20"/>
                <w:szCs w:val="20"/>
              </w:rPr>
            </w:pPr>
            <m:oMathPara>
              <m:oMath>
                <m:sSub>
                  <m:sSubPr>
                    <m:ctrlPr>
                      <w:rPr>
                        <w:rFonts w:ascii="Cambria Math" w:hAnsi="Cambria Math"/>
                        <w:i/>
                        <w:sz w:val="20"/>
                        <w:szCs w:val="20"/>
                      </w:rPr>
                    </m:ctrlPr>
                  </m:sSubPr>
                  <m:e>
                    <m:r>
                      <w:rPr>
                        <w:rFonts w:ascii="Cambria Math" w:hAnsi="Cambria Math"/>
                        <w:sz w:val="20"/>
                        <w:szCs w:val="20"/>
                      </w:rPr>
                      <m:t>W</m:t>
                    </m:r>
                  </m:e>
                  <m:sub>
                    <m:r>
                      <w:rPr>
                        <w:rFonts w:ascii="Cambria Math" w:hAnsi="Cambria Math"/>
                        <w:sz w:val="20"/>
                        <w:szCs w:val="20"/>
                      </w:rPr>
                      <m:t>SC</m:t>
                    </m:r>
                  </m:sub>
                </m:sSub>
                <m:r>
                  <w:rPr>
                    <w:rFonts w:ascii="Cambria Math" w:hAnsi="Cambria Math"/>
                    <w:sz w:val="20"/>
                    <w:szCs w:val="20"/>
                  </w:rPr>
                  <m:t>=</m:t>
                </m:r>
                <m:rad>
                  <m:radPr>
                    <m:degHide m:val="1"/>
                    <m:ctrlPr>
                      <w:rPr>
                        <w:rFonts w:ascii="Cambria Math" w:hAnsi="Cambria Math"/>
                        <w:i/>
                        <w:sz w:val="20"/>
                        <w:szCs w:val="20"/>
                      </w:rPr>
                    </m:ctrlPr>
                  </m:radPr>
                  <m:deg/>
                  <m:e>
                    <m:f>
                      <m:fPr>
                        <m:ctrlPr>
                          <w:rPr>
                            <w:rFonts w:ascii="Cambria Math" w:hAnsi="Cambria Math"/>
                            <w:i/>
                            <w:sz w:val="20"/>
                            <w:szCs w:val="20"/>
                          </w:rPr>
                        </m:ctrlPr>
                      </m:fPr>
                      <m:num>
                        <m:r>
                          <w:rPr>
                            <w:rFonts w:ascii="Cambria Math" w:hAnsi="Cambria Math"/>
                            <w:sz w:val="20"/>
                            <w:szCs w:val="20"/>
                          </w:rPr>
                          <m:t>2</m:t>
                        </m:r>
                        <m:sSub>
                          <m:sSubPr>
                            <m:ctrlPr>
                              <w:rPr>
                                <w:rFonts w:ascii="Cambria Math" w:hAnsi="Cambria Math"/>
                                <w:i/>
                                <w:sz w:val="20"/>
                                <w:szCs w:val="20"/>
                              </w:rPr>
                            </m:ctrlPr>
                          </m:sSubPr>
                          <m:e>
                            <m:r>
                              <w:rPr>
                                <w:rFonts w:ascii="Cambria Math" w:hAnsi="Cambria Math"/>
                                <w:sz w:val="20"/>
                                <w:szCs w:val="20"/>
                              </w:rPr>
                              <m:t>ϵ</m:t>
                            </m:r>
                          </m:e>
                          <m:sub>
                            <m:r>
                              <w:rPr>
                                <w:rFonts w:ascii="Cambria Math" w:hAnsi="Cambria Math"/>
                                <w:sz w:val="20"/>
                                <w:szCs w:val="20"/>
                              </w:rPr>
                              <m:t>r</m:t>
                            </m:r>
                          </m:sub>
                        </m:sSub>
                        <m:sSub>
                          <m:sSubPr>
                            <m:ctrlPr>
                              <w:rPr>
                                <w:rFonts w:ascii="Cambria Math" w:hAnsi="Cambria Math"/>
                                <w:i/>
                                <w:sz w:val="20"/>
                                <w:szCs w:val="20"/>
                              </w:rPr>
                            </m:ctrlPr>
                          </m:sSubPr>
                          <m:e>
                            <m:r>
                              <w:rPr>
                                <w:rFonts w:ascii="Cambria Math" w:hAnsi="Cambria Math"/>
                                <w:sz w:val="20"/>
                                <w:szCs w:val="20"/>
                              </w:rPr>
                              <m:t>ε</m:t>
                            </m:r>
                          </m:e>
                          <m:sub>
                            <m:r>
                              <w:rPr>
                                <w:rFonts w:ascii="Cambria Math" w:hAnsi="Cambria Math"/>
                                <w:sz w:val="20"/>
                                <w:szCs w:val="20"/>
                              </w:rPr>
                              <m:t>0</m:t>
                            </m:r>
                          </m:sub>
                        </m:sSub>
                      </m:num>
                      <m:den>
                        <m:r>
                          <w:rPr>
                            <w:rFonts w:ascii="Cambria Math" w:hAnsi="Cambria Math"/>
                            <w:sz w:val="20"/>
                            <w:szCs w:val="20"/>
                          </w:rPr>
                          <m:t>e</m:t>
                        </m:r>
                        <m:sSub>
                          <m:sSubPr>
                            <m:ctrlPr>
                              <w:rPr>
                                <w:rFonts w:ascii="Cambria Math" w:hAnsi="Cambria Math"/>
                                <w:i/>
                                <w:sz w:val="20"/>
                                <w:szCs w:val="20"/>
                              </w:rPr>
                            </m:ctrlPr>
                          </m:sSubPr>
                          <m:e>
                            <m:r>
                              <w:rPr>
                                <w:rFonts w:ascii="Cambria Math" w:hAnsi="Cambria Math"/>
                                <w:sz w:val="20"/>
                                <w:szCs w:val="20"/>
                              </w:rPr>
                              <m:t>N</m:t>
                            </m:r>
                          </m:e>
                          <m:sub>
                            <m:r>
                              <m:rPr>
                                <m:sty m:val="p"/>
                              </m:rPr>
                              <w:rPr>
                                <w:rFonts w:ascii="Cambria Math" w:hAnsi="Cambria Math"/>
                                <w:sz w:val="20"/>
                                <w:szCs w:val="20"/>
                              </w:rPr>
                              <m:t>D</m:t>
                            </m:r>
                          </m:sub>
                        </m:sSub>
                      </m:den>
                    </m:f>
                    <m:d>
                      <m:dPr>
                        <m:ctrlPr>
                          <w:rPr>
                            <w:rFonts w:ascii="Cambria Math" w:hAnsi="Cambria Math"/>
                            <w:i/>
                            <w:sz w:val="20"/>
                            <w:szCs w:val="20"/>
                          </w:rPr>
                        </m:ctrlPr>
                      </m:dPr>
                      <m:e>
                        <m:sSub>
                          <m:sSubPr>
                            <m:ctrlPr>
                              <w:rPr>
                                <w:rFonts w:ascii="Cambria Math" w:hAnsi="Cambria Math"/>
                                <w:i/>
                                <w:sz w:val="20"/>
                                <w:szCs w:val="20"/>
                              </w:rPr>
                            </m:ctrlPr>
                          </m:sSubPr>
                          <m:e>
                            <m:r>
                              <w:rPr>
                                <w:rFonts w:ascii="Cambria Math" w:hAnsi="Cambria Math"/>
                                <w:sz w:val="20"/>
                                <w:szCs w:val="20"/>
                              </w:rPr>
                              <m:t>u</m:t>
                            </m:r>
                          </m:e>
                          <m:sub>
                            <m:r>
                              <w:rPr>
                                <w:rFonts w:ascii="Cambria Math" w:hAnsi="Cambria Math"/>
                                <w:sz w:val="20"/>
                                <w:szCs w:val="20"/>
                              </w:rPr>
                              <m:t>SC</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B</m:t>
                            </m:r>
                          </m:sub>
                        </m:sSub>
                        <m:r>
                          <w:rPr>
                            <w:rFonts w:ascii="Cambria Math" w:hAnsi="Cambria Math"/>
                            <w:sz w:val="20"/>
                            <w:szCs w:val="20"/>
                          </w:rPr>
                          <m:t>T/e</m:t>
                        </m:r>
                      </m:e>
                    </m:d>
                  </m:e>
                </m:rad>
              </m:oMath>
            </m:oMathPara>
          </w:p>
        </w:tc>
        <w:tc>
          <w:tcPr>
            <w:tcW w:w="1134" w:type="dxa"/>
            <w:tcMar>
              <w:left w:w="28" w:type="dxa"/>
              <w:right w:w="28" w:type="dxa"/>
            </w:tcMar>
            <w:vAlign w:val="center"/>
          </w:tcPr>
          <w:p w14:paraId="692CA995" w14:textId="3452BA1F" w:rsidR="00B476D9" w:rsidRPr="00B476D9" w:rsidRDefault="00B476D9" w:rsidP="00E45E28">
            <w:pPr>
              <w:keepNext/>
              <w:jc w:val="right"/>
              <w:rPr>
                <w:bCs/>
                <w:sz w:val="20"/>
                <w:szCs w:val="20"/>
              </w:rPr>
            </w:pPr>
            <w:r w:rsidRPr="00B476D9">
              <w:rPr>
                <w:sz w:val="20"/>
                <w:szCs w:val="20"/>
              </w:rPr>
              <w:t xml:space="preserve">Equation </w:t>
            </w:r>
            <w:r w:rsidRPr="00B476D9">
              <w:rPr>
                <w:sz w:val="20"/>
                <w:szCs w:val="20"/>
              </w:rPr>
              <w:fldChar w:fldCharType="begin"/>
            </w:r>
            <w:r w:rsidRPr="00B476D9">
              <w:rPr>
                <w:sz w:val="20"/>
                <w:szCs w:val="20"/>
              </w:rPr>
              <w:instrText xml:space="preserve"> SEQ Equation \* ARABIC </w:instrText>
            </w:r>
            <w:r w:rsidRPr="00B476D9">
              <w:rPr>
                <w:sz w:val="20"/>
                <w:szCs w:val="20"/>
              </w:rPr>
              <w:fldChar w:fldCharType="separate"/>
            </w:r>
            <w:r w:rsidR="00B7319C">
              <w:rPr>
                <w:noProof/>
                <w:sz w:val="20"/>
                <w:szCs w:val="20"/>
              </w:rPr>
              <w:t>124</w:t>
            </w:r>
            <w:r w:rsidRPr="00B476D9">
              <w:rPr>
                <w:sz w:val="20"/>
                <w:szCs w:val="20"/>
              </w:rPr>
              <w:fldChar w:fldCharType="end"/>
            </w:r>
          </w:p>
        </w:tc>
      </w:tr>
    </w:tbl>
    <w:p w14:paraId="62EC507F" w14:textId="430E1FE7" w:rsidR="006C1C9C" w:rsidRDefault="006C1C9C" w:rsidP="006C1C9C">
      <w:r>
        <w:t xml:space="preserve">where </w:t>
      </w:r>
      <w:r w:rsidRPr="00D020BD">
        <w:rPr>
          <w:rFonts w:ascii="Symbol" w:hAnsi="Symbol"/>
          <w:i/>
        </w:rPr>
        <w:t></w:t>
      </w:r>
      <w:r w:rsidRPr="00D020BD">
        <w:rPr>
          <w:i/>
          <w:vertAlign w:val="subscript"/>
        </w:rPr>
        <w:t>r</w:t>
      </w:r>
      <w:r>
        <w:rPr>
          <w:vertAlign w:val="subscript"/>
        </w:rPr>
        <w:t xml:space="preserve"> </w:t>
      </w:r>
      <w:r>
        <w:t xml:space="preserve">and </w:t>
      </w:r>
      <w:r w:rsidRPr="00D020BD">
        <w:rPr>
          <w:rFonts w:ascii="Symbol" w:hAnsi="Symbol"/>
          <w:i/>
        </w:rPr>
        <w:t></w:t>
      </w:r>
      <w:r>
        <w:rPr>
          <w:i/>
          <w:vertAlign w:val="subscript"/>
        </w:rPr>
        <w:t>0</w:t>
      </w:r>
      <w:r>
        <w:rPr>
          <w:vertAlign w:val="subscript"/>
        </w:rPr>
        <w:t xml:space="preserve"> </w:t>
      </w:r>
      <w:proofErr w:type="gramStart"/>
      <w:r>
        <w:t>are</w:t>
      </w:r>
      <w:proofErr w:type="gramEnd"/>
      <w:r>
        <w:t xml:space="preserve"> the permittivity of the semiconductor and of free space, </w:t>
      </w:r>
      <w:r w:rsidRPr="00D020BD">
        <w:rPr>
          <w:i/>
        </w:rPr>
        <w:t>N</w:t>
      </w:r>
      <w:r w:rsidRPr="00817356">
        <w:rPr>
          <w:iCs/>
          <w:vertAlign w:val="subscript"/>
        </w:rPr>
        <w:t>D</w:t>
      </w:r>
      <w:r>
        <w:t xml:space="preserve"> is the doping density. The authors obtained an equation for the rate of change of the hole density (</w:t>
      </w:r>
      <w:proofErr w:type="spellStart"/>
      <w:r w:rsidRPr="00D020BD">
        <w:rPr>
          <w:i/>
        </w:rPr>
        <w:t>p</w:t>
      </w:r>
      <w:r w:rsidRPr="00D020BD">
        <w:rPr>
          <w:i/>
          <w:vertAlign w:val="subscript"/>
        </w:rPr>
        <w:t>s</w:t>
      </w:r>
      <w:proofErr w:type="spellEnd"/>
      <w:r>
        <w:t xml:space="preserve">), accounting for </w:t>
      </w:r>
      <w:proofErr w:type="spellStart"/>
      <w:r>
        <w:t>hole</w:t>
      </w:r>
      <w:proofErr w:type="spellEnd"/>
      <w:r>
        <w:t xml:space="preserve"> generation and transport, recombination, hole trapping at trap states, charge transfer to/from the OER intermediates via both the valence and the conduction band. Similarly, they obtained an equation for the rate of change of the occupation of the trap states (</w:t>
      </w:r>
      <w:proofErr w:type="spellStart"/>
      <w:r>
        <w:rPr>
          <w:i/>
        </w:rPr>
        <w:t>f</w:t>
      </w:r>
      <w:r w:rsidRPr="00817356">
        <w:rPr>
          <w:iCs/>
          <w:vertAlign w:val="subscript"/>
        </w:rPr>
        <w:t>T</w:t>
      </w:r>
      <w:proofErr w:type="spellEnd"/>
      <w:r>
        <w:t>) accounting for electron and hole trapping at trap states, and charge transfer to/from the OER intermediates via the trap states. Based on the standard definition of capacitance (</w:t>
      </w:r>
      <w:r w:rsidRPr="00D020BD">
        <w:rPr>
          <w:i/>
        </w:rPr>
        <w:t>C</w:t>
      </w:r>
      <w:r>
        <w:t>=</w:t>
      </w:r>
      <w:proofErr w:type="spellStart"/>
      <w:r>
        <w:t>d</w:t>
      </w:r>
      <w:r w:rsidRPr="00D020BD">
        <w:rPr>
          <w:i/>
        </w:rPr>
        <w:t>q</w:t>
      </w:r>
      <w:proofErr w:type="spellEnd"/>
      <w:r>
        <w:t>/</w:t>
      </w:r>
      <w:proofErr w:type="spellStart"/>
      <w:r>
        <w:t>d</w:t>
      </w:r>
      <w:r w:rsidRPr="00D020BD">
        <w:rPr>
          <w:i/>
        </w:rPr>
        <w:t>V</w:t>
      </w:r>
      <w:proofErr w:type="spellEnd"/>
      <w:r>
        <w:t>), the authors also obtained expressions for the capacitances du</w:t>
      </w:r>
      <w:r w:rsidR="005217F8">
        <w:t>e to</w:t>
      </w:r>
      <w:r>
        <w:t xml:space="preserve"> both r-SS trap states (</w:t>
      </w:r>
      <w:r w:rsidRPr="00D020BD">
        <w:rPr>
          <w:i/>
        </w:rPr>
        <w:t>C</w:t>
      </w:r>
      <w:r w:rsidRPr="00D020BD">
        <w:rPr>
          <w:i/>
          <w:vertAlign w:val="subscript"/>
        </w:rPr>
        <w:t>r-SS</w:t>
      </w:r>
      <w:r>
        <w:t>) and to the OER intermediates (</w:t>
      </w:r>
      <w:r w:rsidRPr="00D020BD">
        <w:rPr>
          <w:i/>
        </w:rPr>
        <w:t>C</w:t>
      </w:r>
      <w:r>
        <w:rPr>
          <w:i/>
          <w:vertAlign w:val="subscript"/>
        </w:rPr>
        <w:t>i</w:t>
      </w:r>
      <w:r w:rsidRPr="00D020BD">
        <w:rPr>
          <w:i/>
          <w:vertAlign w:val="subscript"/>
        </w:rPr>
        <w:t>-SS</w:t>
      </w:r>
      <w:r>
        <w:t>). Besides the free energy cost of the OER elementary steps computed with</w:t>
      </w:r>
      <w:r w:rsidR="00CB14CD">
        <w:t xml:space="preserve"> the</w:t>
      </w:r>
      <w:r>
        <w:t xml:space="preserve"> CHE approach, the model requires over 20 parameters, mostly obtained from experimental estimates.</w:t>
      </w:r>
    </w:p>
    <w:p w14:paraId="10019681" w14:textId="77777777" w:rsidR="00816450" w:rsidRDefault="00816450" w:rsidP="006C1C9C"/>
    <w:p w14:paraId="1F7C9FBF" w14:textId="1A37841E" w:rsidR="00816450" w:rsidRDefault="00816450" w:rsidP="006C1C9C">
      <w:r>
        <w:t>The model was solved at the steady state varying the density of the trap states</w:t>
      </w:r>
      <w:r w:rsidRPr="002B4973">
        <w:rPr>
          <w:i/>
        </w:rPr>
        <w:t xml:space="preserve"> N</w:t>
      </w:r>
      <w:r w:rsidRPr="00817356">
        <w:rPr>
          <w:iCs/>
          <w:vertAlign w:val="subscript"/>
        </w:rPr>
        <w:t>T</w:t>
      </w:r>
      <w:r>
        <w:t xml:space="preserve">, as shown in </w:t>
      </w:r>
      <w:r>
        <w:fldChar w:fldCharType="begin"/>
      </w:r>
      <w:r>
        <w:instrText xml:space="preserve"> REF _Ref155863715 \h </w:instrText>
      </w:r>
      <w:r>
        <w:fldChar w:fldCharType="separate"/>
      </w:r>
      <w:r w:rsidR="00B7319C" w:rsidRPr="00AB61EB">
        <w:rPr>
          <w:b/>
        </w:rPr>
        <w:t xml:space="preserve">Figure </w:t>
      </w:r>
      <w:r w:rsidR="00B7319C">
        <w:rPr>
          <w:b/>
          <w:bCs/>
          <w:noProof/>
        </w:rPr>
        <w:t>70</w:t>
      </w:r>
      <w:r>
        <w:fldChar w:fldCharType="end"/>
      </w:r>
      <w:r>
        <w:t xml:space="preserve">. </w:t>
      </w:r>
      <w:r w:rsidRPr="002B4973">
        <w:t>Interesti</w:t>
      </w:r>
      <w:r>
        <w:t>n</w:t>
      </w:r>
      <w:r w:rsidRPr="002B4973">
        <w:t>gly, the au</w:t>
      </w:r>
      <w:r>
        <w:t xml:space="preserve">thors argue that while a sufficiently high density of trap states can cause Fermi-level pinning, as revealed a plateau in the </w:t>
      </w:r>
      <w:r w:rsidRPr="002B4973">
        <w:t>Mott–Schottky</w:t>
      </w:r>
      <w:r>
        <w:t xml:space="preserve"> plot (</w:t>
      </w:r>
      <w:r>
        <w:fldChar w:fldCharType="begin"/>
      </w:r>
      <w:r>
        <w:instrText xml:space="preserve"> REF _Ref155863715 \h </w:instrText>
      </w:r>
      <w:r>
        <w:fldChar w:fldCharType="separate"/>
      </w:r>
      <w:r w:rsidR="00B7319C" w:rsidRPr="00AB61EB">
        <w:rPr>
          <w:b/>
        </w:rPr>
        <w:t xml:space="preserve">Figure </w:t>
      </w:r>
      <w:r w:rsidR="00B7319C">
        <w:rPr>
          <w:b/>
          <w:bCs/>
          <w:noProof/>
        </w:rPr>
        <w:t>70</w:t>
      </w:r>
      <w:r>
        <w:fldChar w:fldCharType="end"/>
      </w:r>
      <w:r w:rsidRPr="00044BFD">
        <w:rPr>
          <w:b/>
          <w:bCs/>
        </w:rPr>
        <w:t>c</w:t>
      </w:r>
      <w:r>
        <w:t>), the capacitance related to OER intermediates do not cause such effects, at variance with the interpretation of the experimental</w:t>
      </w:r>
      <w:r w:rsidRPr="002B4973">
        <w:t xml:space="preserve"> Mott–Schottky</w:t>
      </w:r>
      <w:r>
        <w:t xml:space="preserve"> analysis.</w:t>
      </w:r>
      <w:r>
        <w:fldChar w:fldCharType="begin">
          <w:fldData xml:space="preserve">PEVuZE5vdGU+PENpdGU+PEF1dGhvcj5LbGFocjwvQXV0aG9yPjxZZWFyPjIwMTI8L1llYXI+PFJl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</w:fldData>
        </w:fldChar>
      </w:r>
      <w:r w:rsidR="00FC5BEB">
        <w:instrText xml:space="preserve"> ADDIN EN.CITE </w:instrText>
      </w:r>
      <w:r w:rsidR="00FC5BEB">
        <w:fldChar w:fldCharType="begin">
          <w:fldData xml:space="preserve">PEVuZE5vdGU+PENpdGU+PEF1dGhvcj5LbGFocjwvQXV0aG9yPjxZZWFyPjIwMTI8L1llYXI+PFJl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</w:fldData>
        </w:fldChar>
      </w:r>
      <w:r w:rsidR="00FC5BEB">
        <w:instrText xml:space="preserve"> ADDIN EN.CITE.DATA </w:instrText>
      </w:r>
      <w:r w:rsidR="00FC5BEB">
        <w:fldChar w:fldCharType="end"/>
      </w:r>
      <w:r>
        <w:fldChar w:fldCharType="separate"/>
      </w:r>
      <w:r w:rsidR="00FC5BEB" w:rsidRPr="00FC5BEB">
        <w:rPr>
          <w:noProof/>
          <w:vertAlign w:val="superscript"/>
        </w:rPr>
        <w:t>536, 537</w:t>
      </w:r>
      <w:r>
        <w:fldChar w:fldCharType="end"/>
      </w:r>
      <w:r>
        <w:t xml:space="preserve"> </w:t>
      </w:r>
    </w:p>
    <w:p w14:paraId="773C6995" w14:textId="77777777" w:rsidR="00816450" w:rsidRDefault="00816450" w:rsidP="006C1C9C"/>
    <w:p w14:paraId="1ED90981" w14:textId="77777777" w:rsidR="006C1C9C" w:rsidRDefault="006C1C9C" w:rsidP="001C1AC5">
      <w:pPr>
        <w:keepNext/>
        <w:jc w:val="center"/>
      </w:pPr>
      <w:r>
        <w:rPr>
          <w:noProof/>
        </w:rPr>
        <w:lastRenderedPageBreak/>
        <w:drawing>
          <wp:inline distT="0" distB="0" distL="0" distR="0" wp14:anchorId="280C430E" wp14:editId="7703653F">
            <wp:extent cx="4207903" cy="3185599"/>
            <wp:effectExtent l="0" t="0" r="0" b="254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George_ACSCatal2020_Fig4_exp_big.jp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4236671" cy="3207378"/>
                    </a:xfrm>
                    <a:prstGeom prst="rect">
                      <a:avLst/>
                    </a:prstGeom>
                  </pic:spPr>
                </pic:pic>
              </a:graphicData>
            </a:graphic>
          </wp:inline>
        </w:drawing>
      </w:r>
    </w:p>
    <w:p w14:paraId="074E6CE3" w14:textId="2076A1E2" w:rsidR="006C1C9C" w:rsidRPr="002B4973" w:rsidRDefault="006C1C9C" w:rsidP="006C1C9C">
      <w:pPr>
        <w:pStyle w:val="Caption"/>
      </w:pPr>
      <w:bookmarkStart w:id="181" w:name="_Ref155863715"/>
      <w:r w:rsidRPr="00AB61EB">
        <w:rPr>
          <w:b/>
          <w:bCs w:val="0"/>
          <w:sz w:val="22"/>
        </w:rPr>
        <w:t xml:space="preserve">Figure </w:t>
      </w:r>
      <w:r w:rsidRPr="00AB61EB">
        <w:rPr>
          <w:b/>
          <w:bCs w:val="0"/>
          <w:sz w:val="22"/>
        </w:rPr>
        <w:fldChar w:fldCharType="begin"/>
      </w:r>
      <w:r w:rsidRPr="00AB61EB">
        <w:rPr>
          <w:b/>
          <w:bCs w:val="0"/>
          <w:sz w:val="22"/>
        </w:rPr>
        <w:instrText xml:space="preserve"> SEQ Figure \* ARABIC </w:instrText>
      </w:r>
      <w:r w:rsidRPr="00AB61EB">
        <w:rPr>
          <w:b/>
          <w:bCs w:val="0"/>
          <w:sz w:val="22"/>
        </w:rPr>
        <w:fldChar w:fldCharType="separate"/>
      </w:r>
      <w:r w:rsidR="00B7319C">
        <w:rPr>
          <w:b/>
          <w:bCs w:val="0"/>
          <w:noProof/>
          <w:sz w:val="22"/>
        </w:rPr>
        <w:t>70</w:t>
      </w:r>
      <w:r w:rsidRPr="00AB61EB">
        <w:rPr>
          <w:b/>
          <w:bCs w:val="0"/>
          <w:noProof/>
          <w:sz w:val="22"/>
        </w:rPr>
        <w:fldChar w:fldCharType="end"/>
      </w:r>
      <w:bookmarkEnd w:id="181"/>
      <w:r w:rsidRPr="002B4973">
        <w:rPr>
          <w:rFonts w:ascii="Roboto" w:hAnsi="Roboto"/>
          <w:color w:val="000000"/>
          <w:sz w:val="26"/>
          <w:szCs w:val="26"/>
          <w:shd w:val="clear" w:color="auto" w:fill="FFFFFF"/>
        </w:rPr>
        <w:t xml:space="preserve"> </w:t>
      </w:r>
      <w:r w:rsidRPr="002B4973">
        <w:t>(a) Effect of surface state density of r-SS (</w:t>
      </w:r>
      <w:r w:rsidR="00CB2E93" w:rsidRPr="002353D4">
        <w:rPr>
          <w:i/>
          <w:iCs/>
        </w:rPr>
        <w:t>N</w:t>
      </w:r>
      <w:r w:rsidR="00CB2E93" w:rsidRPr="00817356">
        <w:rPr>
          <w:vertAlign w:val="subscript"/>
        </w:rPr>
        <w:t>T</w:t>
      </w:r>
      <w:r w:rsidR="00CB2E93" w:rsidRPr="00CF1880" w:rsidDel="00CB2E93">
        <w:t xml:space="preserve"> </w:t>
      </w:r>
      <w:r w:rsidRPr="002B4973">
        <w:t>) on the surface state capacitance, </w:t>
      </w:r>
      <w:r w:rsidRPr="00ED56DC">
        <w:rPr>
          <w:i/>
          <w:iCs/>
        </w:rPr>
        <w:t>C</w:t>
      </w:r>
      <w:r w:rsidRPr="00ED56DC">
        <w:rPr>
          <w:i/>
          <w:iCs/>
          <w:vertAlign w:val="subscript"/>
        </w:rPr>
        <w:t>r-SS</w:t>
      </w:r>
      <w:r w:rsidRPr="002B4973">
        <w:t>, as a function of applied potential; both the maximum and the full width at half-maximum of </w:t>
      </w:r>
      <w:r w:rsidR="00CB2E93" w:rsidRPr="002353D4">
        <w:rPr>
          <w:i/>
          <w:iCs/>
        </w:rPr>
        <w:t>C</w:t>
      </w:r>
      <w:r w:rsidR="00CB2E93" w:rsidRPr="002353D4">
        <w:rPr>
          <w:i/>
          <w:iCs/>
          <w:vertAlign w:val="subscript"/>
        </w:rPr>
        <w:t>r-SS</w:t>
      </w:r>
      <w:r w:rsidR="00CB2E93" w:rsidRPr="002B4973" w:rsidDel="00CB2E93">
        <w:t xml:space="preserve"> </w:t>
      </w:r>
      <w:r w:rsidRPr="002B4973">
        <w:t>increase with an increase in </w:t>
      </w:r>
      <w:r w:rsidRPr="00ED56DC">
        <w:rPr>
          <w:i/>
          <w:iCs/>
        </w:rPr>
        <w:t>N</w:t>
      </w:r>
      <w:r w:rsidRPr="00817356">
        <w:rPr>
          <w:vertAlign w:val="subscript"/>
        </w:rPr>
        <w:t>T</w:t>
      </w:r>
      <w:r w:rsidRPr="002B4973">
        <w:t>. (b) Mott–Schottky plots; the pinning coincides with </w:t>
      </w:r>
      <w:r w:rsidR="00CB2E93" w:rsidRPr="002353D4">
        <w:rPr>
          <w:i/>
          <w:iCs/>
        </w:rPr>
        <w:t>C</w:t>
      </w:r>
      <w:r w:rsidR="00CB2E93" w:rsidRPr="002353D4">
        <w:rPr>
          <w:i/>
          <w:iCs/>
          <w:vertAlign w:val="subscript"/>
        </w:rPr>
        <w:t>r-SS</w:t>
      </w:r>
      <w:r w:rsidR="00CB2E93" w:rsidRPr="002B4973" w:rsidDel="00CB2E93">
        <w:t xml:space="preserve"> </w:t>
      </w:r>
      <w:r w:rsidRPr="002B4973">
        <w:t>and the FLP is extended when </w:t>
      </w:r>
      <w:r w:rsidR="00CB2E93" w:rsidRPr="002353D4">
        <w:rPr>
          <w:i/>
          <w:iCs/>
        </w:rPr>
        <w:t>N</w:t>
      </w:r>
      <w:r w:rsidR="00CB2E93" w:rsidRPr="00817356">
        <w:rPr>
          <w:vertAlign w:val="subscript"/>
        </w:rPr>
        <w:t>T</w:t>
      </w:r>
      <w:r w:rsidR="00CB2E93" w:rsidRPr="00CF1880" w:rsidDel="00CB2E93">
        <w:t xml:space="preserve"> </w:t>
      </w:r>
      <w:r w:rsidRPr="002B4973">
        <w:t> is increased. (c) </w:t>
      </w:r>
      <w:r w:rsidRPr="00ED56DC">
        <w:rPr>
          <w:i/>
          <w:iCs/>
        </w:rPr>
        <w:t>j–V</w:t>
      </w:r>
      <w:r w:rsidRPr="002B4973">
        <w:t> plots; higher onset potential and lower saturation current density are found with higher </w:t>
      </w:r>
      <w:r w:rsidR="00CB2E93" w:rsidRPr="002353D4">
        <w:rPr>
          <w:i/>
          <w:iCs/>
        </w:rPr>
        <w:t>N</w:t>
      </w:r>
      <w:r w:rsidR="00CB2E93" w:rsidRPr="00817356">
        <w:rPr>
          <w:vertAlign w:val="subscript"/>
        </w:rPr>
        <w:t>T</w:t>
      </w:r>
      <w:r w:rsidRPr="002B4973">
        <w:t xml:space="preserve"> (d) Hole current density (</w:t>
      </w:r>
      <w:proofErr w:type="spellStart"/>
      <w:r w:rsidRPr="00ED56DC">
        <w:rPr>
          <w:i/>
          <w:iCs/>
        </w:rPr>
        <w:t>j</w:t>
      </w:r>
      <w:r w:rsidRPr="00ED56DC">
        <w:rPr>
          <w:i/>
          <w:iCs/>
          <w:vertAlign w:val="subscript"/>
        </w:rPr>
        <w:t>h</w:t>
      </w:r>
      <w:proofErr w:type="spellEnd"/>
      <w:r w:rsidRPr="002B4973">
        <w:t>); a plateau is observed before potentials corresponding to the onset potential from </w:t>
      </w:r>
      <w:r w:rsidRPr="00ED56DC">
        <w:rPr>
          <w:i/>
          <w:iCs/>
        </w:rPr>
        <w:t>j–V</w:t>
      </w:r>
      <w:r w:rsidRPr="002B4973">
        <w:t> plots and the plateau increases with an increase in </w:t>
      </w:r>
      <w:r w:rsidRPr="00ED56DC">
        <w:rPr>
          <w:i/>
          <w:iCs/>
        </w:rPr>
        <w:t>N</w:t>
      </w:r>
      <w:r w:rsidRPr="00817356">
        <w:rPr>
          <w:vertAlign w:val="subscript"/>
        </w:rPr>
        <w:t>T</w:t>
      </w:r>
      <w:r w:rsidRPr="002B4973">
        <w:t>.</w:t>
      </w:r>
      <w:r>
        <w:t xml:space="preserve"> Adapted </w:t>
      </w:r>
      <w:r w:rsidR="00CB2E93">
        <w:t xml:space="preserve">with permission </w:t>
      </w:r>
      <w:r>
        <w:t>from Ref.</w:t>
      </w:r>
      <w:r>
        <w:fldChar w:fldCharType="begin"/>
      </w:r>
      <w:r w:rsidR="00FC5BEB">
        <w:instrText xml:space="preserve"> ADDIN EN.CITE &lt;EndNote&gt;&lt;Cite&gt;&lt;Author&gt;George&lt;/Author&gt;&lt;Year&gt;2020&lt;/Year&gt;&lt;RecNum&gt;533&lt;/RecNum&gt;&lt;DisplayText&gt;&lt;style face="superscript"&gt;535&lt;/style&gt;&lt;/DisplayText&gt;&lt;record&gt;&lt;rec-number&gt;533&lt;/rec-number&gt;&lt;foreign-keys&gt;&lt;key app="EN" db-id="2xex0erf4eexr4e2dpbxpdd829xttesxxxdr" timestamp="1715075297"&gt;533&lt;/key&gt;&lt;/foreign-keys&gt;&lt;ref-type name="Journal Article"&gt;17&lt;/ref-type&gt;&lt;contributors&gt;&lt;authors&gt;&lt;author&gt;George, Kiran&lt;/author&gt;&lt;author&gt;Khachatrjan, Tigran&lt;/author&gt;&lt;author&gt;van Berkel, Matthijs&lt;/author&gt;&lt;author&gt;Sinha, Vivek&lt;/author&gt;&lt;author&gt;Bieberle-Hütter, Anja&lt;/author&gt;&lt;/authors&gt;&lt;/contributors&gt;&lt;titles&gt;&lt;title&gt;Understanding the impact of different types of surface states on photoelectrochemical water oxidation: A microkinetic modeling approach&lt;/title&gt;&lt;secondary-title&gt;ACS Catal.&lt;/secondary-title&gt;&lt;/titles&gt;&lt;periodical&gt;&lt;full-title&gt;ACS Catal.&lt;/full-title&gt;&lt;/periodical&gt;&lt;pages&gt;14649-14660&lt;/pages&gt;&lt;volume&gt;10&lt;/volume&gt;&lt;number&gt;24&lt;/number&gt;&lt;keywords&gt;&lt;keyword&gt;Fermi-level pinning&lt;/keyword&gt;&lt;keyword&gt;Oxygen evolution reaction&lt;/keyword&gt;&lt;keyword&gt;Photoelectrochemical cell&lt;/keyword&gt;&lt;keyword&gt;Semiconductor−electrolyte interface&lt;/keyword&gt;&lt;keyword&gt;Surface states&lt;/keyword&gt;&lt;/keywords&gt;&lt;dates&gt;&lt;year&gt;2020&lt;/year&gt;&lt;/dates&gt;&lt;urls&gt;&lt;related-urls&gt;&lt;url&gt;https://pubs.acs.org/doi/pdf/10.1021/acscatal.0c03987&lt;/url&gt;&lt;/related-urls&gt;&lt;pdf-urls&gt;&lt;url&gt;file://localhost/localhost/localhost/Users/piccinin/Literature/george2020.pdf&lt;/url&gt;&lt;/pdf-urls&gt;&lt;/urls&gt;&lt;electronic-resource-num&gt;10.1021/acscatal.0c03987&lt;/electronic-resource-num&gt;&lt;/record&gt;&lt;/Cite&gt;&lt;/EndNote&gt;</w:instrText>
      </w:r>
      <w:r>
        <w:fldChar w:fldCharType="separate"/>
      </w:r>
      <w:r w:rsidR="00FC5BEB" w:rsidRPr="00FC5BEB">
        <w:rPr>
          <w:noProof/>
          <w:vertAlign w:val="superscript"/>
        </w:rPr>
        <w:t>535</w:t>
      </w:r>
      <w:r>
        <w:fldChar w:fldCharType="end"/>
      </w:r>
      <w:r w:rsidR="00566475">
        <w:t xml:space="preserve"> </w:t>
      </w:r>
      <w:r w:rsidR="00566475" w:rsidRPr="00566475">
        <w:rPr>
          <w:lang w:val="en-US"/>
        </w:rPr>
        <w:t>Copyright 2020 American Chemical Society</w:t>
      </w:r>
      <w:r w:rsidR="00566475">
        <w:rPr>
          <w:lang w:val="en-US"/>
        </w:rPr>
        <w:t>.</w:t>
      </w:r>
    </w:p>
    <w:p w14:paraId="66559BA9" w14:textId="77777777" w:rsidR="006C1C9C" w:rsidRDefault="006C1C9C" w:rsidP="006C1C9C"/>
    <w:p w14:paraId="7D41A212" w14:textId="51CFBDFA" w:rsidR="006C1C9C" w:rsidRPr="003B6CBF" w:rsidRDefault="006C1C9C" w:rsidP="00AB61EB">
      <w:pPr>
        <w:ind w:firstLine="720"/>
      </w:pPr>
      <w:r>
        <w:t>Further improvements in the description of photoelectrochemical OER could be obtained coupling a detailed description of elementary steps of OER, as done by George et al.</w:t>
      </w:r>
      <w:r>
        <w:fldChar w:fldCharType="begin"/>
      </w:r>
      <w:r w:rsidR="00FC5BEB">
        <w:instrText xml:space="preserve"> ADDIN EN.CITE &lt;EndNote&gt;&lt;Cite&gt;&lt;Author&gt;George&lt;/Author&gt;&lt;Year&gt;2020&lt;/Year&gt;&lt;RecNum&gt;533&lt;/RecNum&gt;&lt;DisplayText&gt;&lt;style face="superscript"&gt;535&lt;/style&gt;&lt;/DisplayText&gt;&lt;record&gt;&lt;rec-number&gt;533&lt;/rec-number&gt;&lt;foreign-keys&gt;&lt;key app="EN" db-id="2xex0erf4eexr4e2dpbxpdd829xttesxxxdr" timestamp="1715075297"&gt;533&lt;/key&gt;&lt;/foreign-keys&gt;&lt;ref-type name="Journal Article"&gt;17&lt;/ref-type&gt;&lt;contributors&gt;&lt;authors&gt;&lt;author&gt;George, Kiran&lt;/author&gt;&lt;author&gt;Khachatrjan, Tigran&lt;/author&gt;&lt;author&gt;van Berkel, Matthijs&lt;/author&gt;&lt;author&gt;Sinha, Vivek&lt;/author&gt;&lt;author&gt;Bieberle-Hütter, Anja&lt;/author&gt;&lt;/authors&gt;&lt;/contributors&gt;&lt;titles&gt;&lt;title&gt;Understanding the impact of different types of surface states on photoelectrochemical water oxidation: A microkinetic modeling approach&lt;/title&gt;&lt;secondary-title&gt;ACS Catal.&lt;/secondary-title&gt;&lt;/titles&gt;&lt;periodical&gt;&lt;full-title&gt;ACS Catal.&lt;/full-title&gt;&lt;/periodical&gt;&lt;pages&gt;14649-14660&lt;/pages&gt;&lt;volume&gt;10&lt;/volume&gt;&lt;number&gt;24&lt;/number&gt;&lt;keywords&gt;&lt;keyword&gt;Fermi-level pinning&lt;/keyword&gt;&lt;keyword&gt;Oxygen evolution reaction&lt;/keyword&gt;&lt;keyword&gt;Photoelectrochemical cell&lt;/keyword&gt;&lt;keyword&gt;Semiconductor−electrolyte interface&lt;/keyword&gt;&lt;keyword&gt;Surface states&lt;/keyword&gt;&lt;/keywords&gt;&lt;dates&gt;&lt;year&gt;2020&lt;/year&gt;&lt;/dates&gt;&lt;urls&gt;&lt;related-urls&gt;&lt;url&gt;https://pubs.acs.org/doi/pdf/10.1021/acscatal.0c03987&lt;/url&gt;&lt;/related-urls&gt;&lt;pdf-urls&gt;&lt;url&gt;file://localhost/localhost/localhost/Users/piccinin/Literature/george2020.pdf&lt;/url&gt;&lt;/pdf-urls&gt;&lt;/urls&gt;&lt;electronic-resource-num&gt;10.1021/acscatal.0c03987&lt;/electronic-resource-num&gt;&lt;/record&gt;&lt;/Cite&gt;&lt;/EndNote&gt;</w:instrText>
      </w:r>
      <w:r>
        <w:fldChar w:fldCharType="separate"/>
      </w:r>
      <w:r w:rsidR="00FC5BEB" w:rsidRPr="00FC5BEB">
        <w:rPr>
          <w:noProof/>
          <w:vertAlign w:val="superscript"/>
        </w:rPr>
        <w:t>535</w:t>
      </w:r>
      <w:r>
        <w:fldChar w:fldCharType="end"/>
      </w:r>
      <w:r>
        <w:t>, with approaches that model photoelectrochemical devices including the electrostatic interactions both in the semiconductor and in the electrolyte, as well as carriers generation, recombination and transport</w:t>
      </w:r>
      <w:r>
        <w:fldChar w:fldCharType="begin"/>
      </w:r>
      <w:r w:rsidR="00FC5BEB">
        <w:instrText xml:space="preserve"> ADDIN EN.CITE &lt;EndNote&gt;&lt;Cite&gt;&lt;Author&gt;Iqbal&lt;/Author&gt;&lt;Year&gt;2018&lt;/Year&gt;&lt;RecNum&gt;536&lt;/RecNum&gt;&lt;DisplayText&gt;&lt;style face="superscript"&gt;538&lt;/style&gt;&lt;/DisplayText&gt;&lt;record&gt;&lt;rec-number&gt;536&lt;/rec-number&gt;&lt;foreign-keys&gt;&lt;key app="EN" db-id="2xex0erf4eexr4e2dpbxpdd829xttesxxxdr" timestamp="1715075297"&gt;536&lt;/key&gt;&lt;/foreign-keys&gt;&lt;ref-type name="Journal Article"&gt;17&lt;/ref-type&gt;&lt;contributors&gt;&lt;authors&gt;&lt;author&gt;Iqbal, Asif&lt;/author&gt;&lt;author&gt;Bevan, Kirk H.&lt;/author&gt;&lt;/authors&gt;&lt;/contributors&gt;&lt;titles&gt;&lt;title&gt;Simultaneously Solving the Photovoltage and Photocurrent at Semiconductor-Liquid Interfaces&lt;/title&gt;&lt;secondary-title&gt;Journal of Physical Chemistry C&lt;/secondary-title&gt;&lt;/titles&gt;&lt;periodical&gt;&lt;full-title&gt;Journal of Physical Chemistry C&lt;/full-title&gt;&lt;abbr-1&gt;J. Phys. Chem. C&lt;/abbr-1&gt;&lt;/periodical&gt;&lt;pages&gt;30-43&lt;/pages&gt;&lt;volume&gt;122&lt;/volume&gt;&lt;number&gt;1&lt;/number&gt;&lt;dates&gt;&lt;year&gt;2018&lt;/year&gt;&lt;/dates&gt;&lt;urls&gt;&lt;related-urls&gt;&lt;url&gt;https://pubs.acs.org/doi/pdf/10.1021/acs.jpcc.7b08517&lt;/url&gt;&lt;/related-urls&gt;&lt;pdf-urls&gt;&lt;url&gt;file://localhost/localhost/Users/piccinin/Literature/acs.jpcc.7b08517.pdf&lt;/url&gt;&lt;/pdf-urls&gt;&lt;/urls&gt;&lt;electronic-resource-num&gt;10.1021/acs.jpcc.7b08517&lt;/electronic-resource-num&gt;&lt;/record&gt;&lt;/Cite&gt;&lt;/EndNote&gt;</w:instrText>
      </w:r>
      <w:r>
        <w:fldChar w:fldCharType="separate"/>
      </w:r>
      <w:r w:rsidR="00FC5BEB" w:rsidRPr="00FC5BEB">
        <w:rPr>
          <w:noProof/>
          <w:vertAlign w:val="superscript"/>
        </w:rPr>
        <w:t>538</w:t>
      </w:r>
      <w:r>
        <w:fldChar w:fldCharType="end"/>
      </w:r>
      <w:r>
        <w:t xml:space="preserve">, as done in the </w:t>
      </w:r>
      <w:proofErr w:type="spellStart"/>
      <w:r w:rsidRPr="003B6CBF">
        <w:rPr>
          <w:i/>
        </w:rPr>
        <w:t>SLJCompac</w:t>
      </w:r>
      <w:r w:rsidRPr="003B6CBF">
        <w:t>t</w:t>
      </w:r>
      <w:proofErr w:type="spellEnd"/>
      <w:r>
        <w:t xml:space="preserve"> tool by Bevan and co-workers</w:t>
      </w:r>
      <w:r>
        <w:fldChar w:fldCharType="begin"/>
      </w:r>
      <w:r w:rsidR="00FC5BEB">
        <w:instrText xml:space="preserve"> ADDIN EN.CITE &lt;EndNote&gt;&lt;Cite&gt;&lt;Author&gt;Bevan&lt;/Author&gt;&lt;Year&gt;2023&lt;/Year&gt;&lt;RecNum&gt;537&lt;/RecNum&gt;&lt;DisplayText&gt;&lt;style face="superscript"&gt;539&lt;/style&gt;&lt;/DisplayText&gt;&lt;record&gt;&lt;rec-number&gt;537&lt;/rec-number&gt;&lt;foreign-keys&gt;&lt;key app="EN" db-id="2xex0erf4eexr4e2dpbxpdd829xttesxxxdr" timestamp="1715075297"&gt;537&lt;/key&gt;&lt;/foreign-keys&gt;&lt;ref-type name="Journal Article"&gt;17&lt;/ref-type&gt;&lt;contributors&gt;&lt;authors&gt;&lt;author&gt;Bevan, Kirk H.&lt;/author&gt;&lt;author&gt;Miao, Botong&lt;/author&gt;&lt;author&gt;Iqbal, Asif&lt;/author&gt;&lt;/authors&gt;&lt;/contributors&gt;&lt;titles&gt;&lt;title&gt;SLJCompact: A semiconductor-liquid junction solver for rapid band diagram insights into photoelectrochemical devices&lt;/title&gt;&lt;secondary-title&gt;Computer Physics Communications&lt;/secondary-title&gt;&lt;/titles&gt;&lt;periodical&gt;&lt;full-title&gt;Computer Physics Communications&lt;/full-title&gt;&lt;abbr-1&gt;Comput. Phys. Commun.&lt;/abbr-1&gt;&lt;abbr-2&gt;Comput Phys Commun&lt;/abbr-2&gt;&lt;/periodical&gt;&lt;pages&gt;108638-108638&lt;/pages&gt;&lt;volume&gt;286&lt;/volume&gt;&lt;keywords&gt;&lt;keyword&gt;Band diagrams&lt;/keyword&gt;&lt;keyword&gt;Carrier recombination&lt;/keyword&gt;&lt;keyword&gt;Electrostatics&lt;/keyword&gt;&lt;keyword&gt;Hole transfer&lt;/keyword&gt;&lt;keyword&gt;Photoelectrochemical devices&lt;/keyword&gt;&lt;keyword&gt;Scharfetter-Gummel method&lt;/keyword&gt;&lt;keyword&gt;Semiconductor continuity equations&lt;/keyword&gt;&lt;/keywords&gt;&lt;dates&gt;&lt;year&gt;2023&lt;/year&gt;&lt;/dates&gt;&lt;publisher&gt;Elsevier B.V.&lt;/publisher&gt;&lt;urls&gt;&lt;related-urls&gt;&lt;url&gt;https://doi.org/10.1016/j.cpc.2022.108638&lt;/url&gt;&lt;url&gt;https://www.sciencedirect.com/science/article/pii/S0010465522003575?via%3Dihub&lt;/url&gt;&lt;/related-urls&gt;&lt;pdf-urls&gt;&lt;url&gt;file://localhost/localhost/Users/piccinin/Literature/1-s2.0-S0010465522003575-main.pdf&lt;/url&gt;&lt;/pdf-urls&gt;&lt;/urls&gt;&lt;electronic-resource-num&gt;10.1016/j.cpc.2022.108638&lt;/electronic-resource-num&gt;&lt;/record&gt;&lt;/Cite&gt;&lt;/EndNote&gt;</w:instrText>
      </w:r>
      <w:r>
        <w:fldChar w:fldCharType="separate"/>
      </w:r>
      <w:r w:rsidR="00FC5BEB" w:rsidRPr="00FC5BEB">
        <w:rPr>
          <w:noProof/>
          <w:vertAlign w:val="superscript"/>
        </w:rPr>
        <w:t>539</w:t>
      </w:r>
      <w:r>
        <w:fldChar w:fldCharType="end"/>
      </w:r>
      <w:r>
        <w:t>. Note that the approach of Bevan et al. does not include trap states and the whole catalytic process is enters in the model via an expression of the rate for hole transfer.</w:t>
      </w:r>
    </w:p>
    <w:p w14:paraId="59F37A28" w14:textId="77777777" w:rsidR="006C1C9C" w:rsidRPr="002B4973" w:rsidRDefault="006C1C9C" w:rsidP="006C1C9C">
      <w:r>
        <w:t xml:space="preserve">   </w:t>
      </w:r>
    </w:p>
    <w:p w14:paraId="6CA246D7" w14:textId="77777777" w:rsidR="006C1C9C" w:rsidRDefault="006C1C9C" w:rsidP="006C1C9C">
      <w:r>
        <w:br w:type="page"/>
      </w:r>
    </w:p>
    <w:p w14:paraId="28849F0B" w14:textId="2DFF8601" w:rsidR="006C1C9C" w:rsidRPr="00046F8E" w:rsidRDefault="006C1C9C" w:rsidP="00577291">
      <w:pPr>
        <w:pStyle w:val="Heading1"/>
        <w:numPr>
          <w:ilvl w:val="0"/>
          <w:numId w:val="17"/>
        </w:numPr>
      </w:pPr>
      <w:bookmarkStart w:id="182" w:name="_Toc166441755"/>
      <w:r w:rsidRPr="00046F8E">
        <w:lastRenderedPageBreak/>
        <w:t>Conclusion</w:t>
      </w:r>
      <w:bookmarkEnd w:id="182"/>
    </w:p>
    <w:p w14:paraId="19FBBEED" w14:textId="77777777" w:rsidR="001B135E" w:rsidRDefault="001B135E" w:rsidP="00ED56DC">
      <w:pPr>
        <w:ind w:firstLine="720"/>
      </w:pPr>
    </w:p>
    <w:p w14:paraId="6C065481" w14:textId="52A1222F" w:rsidR="006C1C9C" w:rsidRDefault="006C7451" w:rsidP="001B135E">
      <w:pPr>
        <w:ind w:firstLine="720"/>
      </w:pPr>
      <w:r w:rsidRPr="006C7451">
        <w:t xml:space="preserve">We have reviewed modeling of the OER mechanism spanning efforts from before the widespread use of DFT to the most sophisticated </w:t>
      </w:r>
      <w:r w:rsidRPr="00ED56DC">
        <w:rPr>
          <w:i/>
          <w:iCs/>
        </w:rPr>
        <w:t>ab initio</w:t>
      </w:r>
      <w:r w:rsidRPr="006C7451">
        <w:t xml:space="preserve"> studies. Several key points and themes emerged and will now be summarized.</w:t>
      </w:r>
      <w:r w:rsidR="001B135E">
        <w:t xml:space="preserve"> </w:t>
      </w:r>
      <w:r w:rsidR="006C1C9C">
        <w:t>The introduction of the CHE approach</w:t>
      </w:r>
      <w:r w:rsidR="006C1C9C">
        <w:fldChar w:fldCharType="begin"/>
      </w:r>
      <w:r w:rsidR="009F6662">
        <w:instrText xml:space="preserve"> ADDIN EN.CITE &lt;EndNote&gt;&lt;Cite&gt;&lt;Author&gt;Nørskov&lt;/Author&gt;&lt;Year&gt;2004&lt;/Year&gt;&lt;RecNum&gt;59&lt;/RecNum&gt;&lt;DisplayText&gt;&lt;style face="superscript"&gt;59&lt;/style&gt;&lt;/DisplayText&gt;&lt;record&gt;&lt;rec-number&gt;59&lt;/rec-number&gt;&lt;foreign-keys&gt;&lt;key app="EN" db-id="2xex0erf4eexr4e2dpbxpdd829xttesxxxdr" timestamp="1715075296"&gt;59&lt;/key&gt;&lt;/foreign-keys&gt;&lt;ref-type name="Journal Article"&gt;17&lt;/ref-type&gt;&lt;contributors&gt;&lt;authors&gt;&lt;author&gt;Nørskov, J. K.&lt;/author&gt;&lt;author&gt;Rossmeisl, J.&lt;/author&gt;&lt;author&gt;Logadottir, A.&lt;/author&gt;&lt;author&gt;Lindqvist, L.&lt;/author&gt;&lt;author&gt;Kitchin, J. R.&lt;/author&gt;&lt;author&gt;Bligaard, T.&lt;/author&gt;&lt;author&gt;Jónsson, H.&lt;/author&gt;&lt;/authors&gt;&lt;/contributors&gt;&lt;titles&gt;&lt;title&gt;Origin of the Overpotential for Oxygen Reduction at a Fuel-Cell Cathode&lt;/title&gt;&lt;secondary-title&gt;Journal of Physical Chemistry B&lt;/secondary-title&gt;&lt;/titles&gt;&lt;periodical&gt;&lt;full-title&gt;Journal of Physical Chemistry B&lt;/full-title&gt;&lt;abbr-1&gt;J. Phys. Chem. B&lt;/abbr-1&gt;&lt;abbr-2&gt;J Phys Chem B&lt;/abbr-2&gt;&lt;/periodical&gt;&lt;pages&gt;17886-17892&lt;/pages&gt;&lt;volume&gt;108&lt;/volume&gt;&lt;number&gt;46&lt;/number&gt;&lt;dates&gt;&lt;year&gt;2004&lt;/year&gt;&lt;pub-dates&gt;&lt;date&gt;2004/11/01&lt;/date&gt;&lt;/pub-dates&gt;&lt;/dates&gt;&lt;publisher&gt;American Chemical Society&lt;/publisher&gt;&lt;isbn&gt;1520-6106&lt;/isbn&gt;&lt;urls&gt;&lt;related-urls&gt;&lt;url&gt;https://doi.org/10.1021/jp047349j&lt;/url&gt;&lt;/related-urls&gt;&lt;/urls&gt;&lt;electronic-resource-num&gt;10.1021/jp047349j&lt;/electronic-resource-num&gt;&lt;/record&gt;&lt;/Cite&gt;&lt;/EndNote&gt;</w:instrText>
      </w:r>
      <w:r w:rsidR="006C1C9C">
        <w:fldChar w:fldCharType="separate"/>
      </w:r>
      <w:r w:rsidR="009F6662" w:rsidRPr="009F6662">
        <w:rPr>
          <w:noProof/>
          <w:vertAlign w:val="superscript"/>
        </w:rPr>
        <w:t>59</w:t>
      </w:r>
      <w:r w:rsidR="006C1C9C">
        <w:fldChar w:fldCharType="end"/>
      </w:r>
      <w:r w:rsidR="006C1C9C">
        <w:t xml:space="preserve"> has had an enormous impact in computational electrochemistry, enabling the use of DFT simulations in this field. As </w:t>
      </w:r>
      <w:r w:rsidR="006C1C9C" w:rsidRPr="00FD1EB8">
        <w:rPr>
          <w:i/>
        </w:rPr>
        <w:t>ab initio</w:t>
      </w:r>
      <w:r w:rsidR="006C1C9C">
        <w:t xml:space="preserve"> thermodynamics offered a way to introduce temperature and pressure effects into total energy calculations to predict (</w:t>
      </w:r>
      <w:r w:rsidR="006C1C9C" w:rsidRPr="00046F8E">
        <w:rPr>
          <w:i/>
        </w:rPr>
        <w:t>T, p</w:t>
      </w:r>
      <w:r w:rsidR="006C1C9C">
        <w:t xml:space="preserve">) phase diagrams, the CHE allows total energy calculations of reaction intermediates to be linked to experimental electrochemical potential scales, thus enabling the prediction of (pH, </w:t>
      </w:r>
      <w:r w:rsidR="006C1C9C" w:rsidRPr="00FD1EB8">
        <w:rPr>
          <w:i/>
        </w:rPr>
        <w:t>U</w:t>
      </w:r>
      <w:r w:rsidR="006C1C9C">
        <w:t>) phase diagrams. Moreover, assuming a reaction mechanism consisting of a sequence of PCET steps and using the maximum free energy cost of these steps</w:t>
      </w:r>
      <w:r w:rsidR="006C1C9C" w:rsidRPr="00E74941">
        <w:rPr>
          <w:color w:val="000000" w:themeColor="text1"/>
        </w:rPr>
        <w:t xml:space="preserve"> as </w:t>
      </w:r>
      <w:r w:rsidR="006C1C9C">
        <w:t>a descriptor of catalytic activity, this approach affords a quick way to predict the ability of any material to promote a specific reaction. The OER was one of the first electrocatalytic processes investigated using the CHE approach.</w:t>
      </w:r>
      <w:r w:rsidR="006C1C9C">
        <w:fldChar w:fldCharType="begin"/>
      </w:r>
      <w:r w:rsidR="00FC5BEB">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rsidR="006C1C9C">
        <w:fldChar w:fldCharType="separate"/>
      </w:r>
      <w:r w:rsidR="00FC5BEB" w:rsidRPr="00FC5BEB">
        <w:rPr>
          <w:noProof/>
          <w:vertAlign w:val="superscript"/>
        </w:rPr>
        <w:t>87</w:t>
      </w:r>
      <w:r w:rsidR="006C1C9C">
        <w:fldChar w:fldCharType="end"/>
      </w:r>
      <w:r w:rsidR="006C1C9C">
        <w:t xml:space="preserve"> Crucially, through the use of linear relationships between the adsorption energy of the reaction intermediates, the CHE offered a way to explain </w:t>
      </w:r>
      <w:r w:rsidR="006C1C9C" w:rsidRPr="005F3ED5">
        <w:rPr>
          <w:i/>
        </w:rPr>
        <w:t>why</w:t>
      </w:r>
      <w:r w:rsidR="006C1C9C">
        <w:t xml:space="preserve"> a certain material excels or fails in promoting the OER, ultimately linking the catalytic activity to the strength of the interaction between the catalyst surface and a few adsorbates. When compared to experimental measurements, however, the predictive power of the CHE offers mixed results. For perovskites, the predicted activity trends are in excellent agreement with experiments, but the predicted overpotentials are more than twice the experimental values; for oxides, the predicted overpotentials are only weakly correlated with the measured ones.</w:t>
      </w:r>
      <w:r w:rsidR="006C1C9C">
        <w:fldChar w:fldCharType="begin"/>
      </w:r>
      <w:r w:rsidR="00FC5BEB">
        <w:instrText xml:space="preserve"> ADDIN EN.CITE &lt;EndNote&gt;&lt;Cite&gt;&lt;Author&gt;Man&lt;/Author&gt;&lt;Year&gt;2011&lt;/Year&gt;&lt;RecNum&gt;99&lt;/RecNum&gt;&lt;DisplayText&gt;&lt;style face="superscript"&gt;101&lt;/style&gt;&lt;/DisplayText&gt;&lt;record&gt;&lt;rec-number&gt;99&lt;/rec-number&gt;&lt;foreign-keys&gt;&lt;key app="EN" db-id="2xex0erf4eexr4e2dpbxpdd829xttesxxxdr" timestamp="1715075296"&gt;99&lt;/key&gt;&lt;/foreign-keys&gt;&lt;ref-type name="Journal Article"&gt;17&lt;/ref-type&gt;&lt;contributors&gt;&lt;authors&gt;&lt;author&gt;Man, Isabela C.&lt;/author&gt;&lt;author&gt;Su, Hai-Yan&lt;/author&gt;&lt;author&gt;Calle-Vallejo, Federico&lt;/author&gt;&lt;author&gt;Hansen, Heine A.&lt;/author&gt;&lt;author&gt;Martínez, José I.&lt;/author&gt;&lt;author&gt;Inoglu, Nilay G.&lt;/author&gt;&lt;author&gt;Kitchin, John&lt;/author&gt;&lt;author&gt;Jaramillo, Thomas F.&lt;/author&gt;&lt;author&gt;Nørskov, Jens K.&lt;/author&gt;&lt;author&gt;Rossmeisl, Jan&lt;/author&gt;&lt;/authors&gt;&lt;/contributors&gt;&lt;titles&gt;&lt;title&gt;Universality in Oxygen Evolution Electrocatalysis on Oxide Surfaces&lt;/title&gt;&lt;secondary-title&gt;ChemCatChem&lt;/secondary-title&gt;&lt;/titles&gt;&lt;pages&gt;1159-1165&lt;/pages&gt;&lt;volume&gt;3&lt;/volume&gt;&lt;number&gt;7&lt;/number&gt;&lt;dates&gt;&lt;year&gt;2011&lt;/year&gt;&lt;/dates&gt;&lt;isbn&gt;1867-3880&lt;/isbn&gt;&lt;urls&gt;&lt;related-urls&gt;&lt;url&gt;https://chemistry-europe.onlinelibrary.wiley.com/doi/abs/10.1002/cctc.201000397&lt;/url&gt;&lt;/related-urls&gt;&lt;/urls&gt;&lt;electronic-resource-num&gt;https://doi.org/10.1002/cctc.201000397&lt;/electronic-resource-num&gt;&lt;/record&gt;&lt;/Cite&gt;&lt;/EndNote&gt;</w:instrText>
      </w:r>
      <w:r w:rsidR="006C1C9C">
        <w:fldChar w:fldCharType="separate"/>
      </w:r>
      <w:r w:rsidR="00FC5BEB" w:rsidRPr="00FC5BEB">
        <w:rPr>
          <w:noProof/>
          <w:vertAlign w:val="superscript"/>
        </w:rPr>
        <w:t>101</w:t>
      </w:r>
      <w:r w:rsidR="006C1C9C">
        <w:fldChar w:fldCharType="end"/>
      </w:r>
      <w:r w:rsidR="006C1C9C">
        <w:t xml:space="preserve"> A possible reason to explain, at least in part, this discrepancy is the structure sensitivity of the OER</w:t>
      </w:r>
      <w:r w:rsidR="006C1C9C">
        <w:fldChar w:fldCharType="begin">
          <w:fldData xml:space="preserve">PEVuZE5vdGU+PENpdGU+PEF1dGhvcj5TdG9lcnppbmdlcjwvQXV0aG9yPjxZZWFyPjIwMTc8L1ll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</w:fldData>
        </w:fldChar>
      </w:r>
      <w:r w:rsidR="00FC5BEB">
        <w:instrText xml:space="preserve"> ADDIN EN.CITE </w:instrText>
      </w:r>
      <w:r w:rsidR="00FC5BEB">
        <w:fldChar w:fldCharType="begin">
          <w:fldData xml:space="preserve">PEVuZE5vdGU+PENpdGU+PEF1dGhvcj5TdG9lcnppbmdlcjwvQXV0aG9yPjxZZWFyPjIwMTc8L1ll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</w:fldData>
        </w:fldChar>
      </w:r>
      <w:r w:rsidR="00FC5BEB">
        <w:instrText xml:space="preserve"> ADDIN EN.CITE.DATA </w:instrText>
      </w:r>
      <w:r w:rsidR="00FC5BEB">
        <w:fldChar w:fldCharType="end"/>
      </w:r>
      <w:r w:rsidR="006C1C9C">
        <w:fldChar w:fldCharType="separate"/>
      </w:r>
      <w:r w:rsidR="00FC5BEB" w:rsidRPr="00FC5BEB">
        <w:rPr>
          <w:noProof/>
          <w:vertAlign w:val="superscript"/>
        </w:rPr>
        <w:t>175, 308</w:t>
      </w:r>
      <w:r w:rsidR="006C1C9C">
        <w:fldChar w:fldCharType="end"/>
      </w:r>
      <w:r w:rsidR="006C1C9C">
        <w:t xml:space="preserve"> and the amorphization of a catalyst’s surface under OER conditions</w:t>
      </w:r>
      <w:r w:rsidR="006C1C9C">
        <w:fldChar w:fldCharType="begin">
          <w:fldData xml:space="preserve">PEVuZE5vdGU+PENpdGU+PEF1dGhvcj5CZXJnbWFubjwvQXV0aG9yPjxZZWFyPjIwMTU8L1llYXI+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</w:fldData>
        </w:fldChar>
      </w:r>
      <w:r w:rsidR="00FC5BEB">
        <w:instrText xml:space="preserve"> ADDIN EN.CITE </w:instrText>
      </w:r>
      <w:r w:rsidR="00FC5BEB">
        <w:fldChar w:fldCharType="begin">
          <w:fldData xml:space="preserve">PEVuZE5vdGU+PENpdGU+PEF1dGhvcj5CZXJnbWFubjwvQXV0aG9yPjxZZWFyPjIwMTU8L1llYXI+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</w:fldData>
        </w:fldChar>
      </w:r>
      <w:r w:rsidR="00FC5BEB">
        <w:instrText xml:space="preserve"> ADDIN EN.CITE.DATA </w:instrText>
      </w:r>
      <w:r w:rsidR="00FC5BEB">
        <w:fldChar w:fldCharType="end"/>
      </w:r>
      <w:r w:rsidR="006C1C9C">
        <w:fldChar w:fldCharType="separate"/>
      </w:r>
      <w:r w:rsidR="00FC5BEB" w:rsidRPr="00FC5BEB">
        <w:rPr>
          <w:noProof/>
          <w:vertAlign w:val="superscript"/>
        </w:rPr>
        <w:t>309, 310</w:t>
      </w:r>
      <w:r w:rsidR="006C1C9C">
        <w:fldChar w:fldCharType="end"/>
      </w:r>
      <w:r w:rsidR="006C1C9C">
        <w:t xml:space="preserve">, suggesting that a single well-defined low-energy surface structure could be a poor structural model for an electrode under operating conditions. Clearly, these are not limitations of the CHE approach but of the structural models adopted in the calculations.      </w:t>
      </w:r>
    </w:p>
    <w:p w14:paraId="49E4CF7A" w14:textId="77777777" w:rsidR="006C1C9C" w:rsidRDefault="006C1C9C" w:rsidP="006C1C9C">
      <w:r>
        <w:t xml:space="preserve">  </w:t>
      </w:r>
    </w:p>
    <w:p w14:paraId="69F85A67" w14:textId="2FB171BD" w:rsidR="006C1C9C" w:rsidRDefault="006C1C9C" w:rsidP="006C1C9C">
      <w:pPr>
        <w:ind w:firstLine="720"/>
      </w:pPr>
      <w:r>
        <w:t>The notion of scaling relationships among the adsorption energies of the reaction intermediates rests on the assumption of a well-defined reaction mechanism involving a single active site. Breaking the scaling relationships and the resulting volcano plot of activity versus descriptor entails involving neighboring sites, which interact differently with different intermediates, or which might promote a different mechanism. Engaging bridging oxygen sites next to the active CUS sites in rutile-type oxides, for example via doping, was shown to induce strong effects in RuO</w:t>
      </w:r>
      <w:r w:rsidRPr="00A80A37">
        <w:rPr>
          <w:vertAlign w:val="subscript"/>
        </w:rPr>
        <w:t>2</w:t>
      </w:r>
      <w:r>
        <w:t>(110).</w:t>
      </w:r>
      <w:r>
        <w:fldChar w:fldCharType="begin"/>
      </w:r>
      <w:r w:rsidR="00FC5BEB">
        <w:instrText xml:space="preserve"> ADDIN EN.CITE &lt;EndNote&gt;&lt;Cite&gt;&lt;Author&gt;Halck&lt;/Author&gt;&lt;Year&gt;2014&lt;/Year&gt;&lt;RecNum&gt;238&lt;/RecNum&gt;&lt;DisplayText&gt;&lt;style face="superscript"&gt;240&lt;/style&gt;&lt;/DisplayText&gt;&lt;record&gt;&lt;rec-number&gt;238&lt;/rec-number&gt;&lt;foreign-keys&gt;&lt;key app="EN" db-id="2xex0erf4eexr4e2dpbxpdd829xttesxxxdr" timestamp="1715075296"&gt;238&lt;/key&gt;&lt;/foreign-keys&gt;&lt;ref-type name="Journal Article"&gt;17&lt;/ref-type&gt;&lt;contributors&gt;&lt;authors&gt;&lt;author&gt;Halck, Niels Bendtsen&lt;/author&gt;&lt;author&gt;Petrykin, Valery&lt;/author&gt;&lt;author&gt;Krtil, Petr&lt;/author&gt;&lt;author&gt;Rossmeisl, Jan&lt;/author&gt;&lt;/authors&gt;&lt;/contributors&gt;&lt;titles&gt;&lt;title&gt;Beyond the volcano limitations in electrocatalysis – oxygen evolution reaction&lt;/title&gt;&lt;secondary-title&gt;Physical Chemistry Chemical Physics&lt;/secondary-title&gt;&lt;/titles&gt;&lt;periodical&gt;&lt;full-title&gt;Physical Chemistry Chemical Physics&lt;/full-title&gt;&lt;abbr-1&gt;Phys. Chem. Chem. Phys.&lt;/abbr-1&gt;&lt;abbr-2&gt;Phys Chem Chem Phys&lt;/abbr-2&gt;&lt;/periodical&gt;&lt;pages&gt;13682-13688&lt;/pages&gt;&lt;volume&gt;16&lt;/volume&gt;&lt;number&gt;27&lt;/number&gt;&lt;dates&gt;&lt;year&gt;2014&lt;/year&gt;&lt;/dates&gt;&lt;publisher&gt;The Royal Society of Chemistry&lt;/publisher&gt;&lt;isbn&gt;1463-9076&lt;/isbn&gt;&lt;work-type&gt;10.1039/C4CP00571F&lt;/work-type&gt;&lt;urls&gt;&lt;related-urls&gt;&lt;url&gt;http://dx.doi.org/10.1039/C4CP00571F&lt;/url&gt;&lt;/related-urls&gt;&lt;/urls&gt;&lt;electronic-resource-num&gt;10.1039/C4CP00571F&lt;/electronic-resource-num&gt;&lt;/record&gt;&lt;/Cite&gt;&lt;/EndNote&gt;</w:instrText>
      </w:r>
      <w:r>
        <w:fldChar w:fldCharType="separate"/>
      </w:r>
      <w:r w:rsidR="00FC5BEB" w:rsidRPr="00FC5BEB">
        <w:rPr>
          <w:noProof/>
          <w:vertAlign w:val="superscript"/>
        </w:rPr>
        <w:t>240</w:t>
      </w:r>
      <w:r>
        <w:fldChar w:fldCharType="end"/>
      </w:r>
      <w:r>
        <w:t xml:space="preserve"> This departure from the originally proposed</w:t>
      </w:r>
      <w:r>
        <w:fldChar w:fldCharType="begin"/>
      </w:r>
      <w:r w:rsidR="00FC5BEB">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fldChar w:fldCharType="separate"/>
      </w:r>
      <w:r w:rsidR="00FC5BEB" w:rsidRPr="00FC5BEB">
        <w:rPr>
          <w:noProof/>
          <w:vertAlign w:val="superscript"/>
        </w:rPr>
        <w:t>87</w:t>
      </w:r>
      <w:r>
        <w:fldChar w:fldCharType="end"/>
      </w:r>
      <w:r>
        <w:t xml:space="preserve"> single-site nucleophilic attack mechanism (also known as AEM, adsorbate evolution mechanism) was extended even further in perovskite catalysts, where lattice oxygen atoms were found to be involved (LOM, lattice oxygen mechanism), in agreement with isotope </w:t>
      </w:r>
      <w:r w:rsidR="002A09AD">
        <w:t>labeling</w:t>
      </w:r>
      <w:r>
        <w:t xml:space="preserve"> experiments.</w:t>
      </w:r>
      <w:r>
        <w:fldChar w:fldCharType="begin"/>
      </w:r>
      <w:r w:rsidR="00FC5BEB">
        <w:instrText xml:space="preserve"> ADDIN EN.CITE &lt;EndNote&gt;&lt;Cite&gt;&lt;Author&gt;Grimaud&lt;/Author&gt;&lt;Year&gt;2017&lt;/Year&gt;&lt;RecNum&gt;327&lt;/RecNum&gt;&lt;DisplayText&gt;&lt;style face="superscript"&gt;329&lt;/style&gt;&lt;/DisplayText&gt;&lt;record&gt;&lt;rec-number&gt;327&lt;/rec-number&gt;&lt;foreign-keys&gt;&lt;key app="EN" db-id="2xex0erf4eexr4e2dpbxpdd829xttesxxxdr" timestamp="1715075296"&gt;327&lt;/key&gt;&lt;/foreign-keys&gt;&lt;ref-type name="Journal Article"&gt;17&lt;/ref-type&gt;&lt;contributors&gt;&lt;authors&gt;&lt;author&gt;Grimaud, Alexis&lt;/author&gt;&lt;author&gt;Diaz-Morales, Oscar&lt;/author&gt;&lt;author&gt;Han, Binghong&lt;/author&gt;&lt;author&gt;Hong, Wesley T.&lt;/author&gt;&lt;author&gt;Lee, Yueh-Lin&lt;/author&gt;&lt;author&gt;Giordano, Livia&lt;/author&gt;&lt;author&gt;Stoerzinger, Kelsey A.&lt;/author&gt;&lt;author&gt;Koper, Marc T. M.&lt;/author&gt;&lt;author&gt;Shao-Horn, Yang&lt;/author&gt;&lt;/authors&gt;&lt;/contributors&gt;&lt;titles&gt;&lt;title&gt;Activating lattice oxygen redox reactions in metal oxides to catalyse oxygen evolution&lt;/title&gt;&lt;secondary-title&gt;Nat. Chem.&lt;/secondary-title&gt;&lt;/titles&gt;&lt;periodical&gt;&lt;full-title&gt;Nat. Chem.&lt;/full-title&gt;&lt;abbr-1&gt;Nat. Chem.&lt;/abbr-1&gt;&lt;/periodical&gt;&lt;pages&gt;457-465&lt;/pages&gt;&lt;volume&gt;9&lt;/volume&gt;&lt;number&gt;5&lt;/number&gt;&lt;dates&gt;&lt;year&gt;2017&lt;/year&gt;&lt;pub-dates&gt;&lt;date&gt;2017/05/01&lt;/date&gt;&lt;/pub-dates&gt;&lt;/dates&gt;&lt;isbn&gt;1755-4349&lt;/isbn&gt;&lt;urls&gt;&lt;related-urls&gt;&lt;url&gt;https://doi.org/10.1038/nchem.2695&lt;/url&gt;&lt;/related-urls&gt;&lt;/urls&gt;&lt;electronic-resource-num&gt;10.1038/nchem.2695&lt;/electronic-resource-num&gt;&lt;/record&gt;&lt;/Cite&gt;&lt;/EndNote&gt;</w:instrText>
      </w:r>
      <w:r>
        <w:fldChar w:fldCharType="separate"/>
      </w:r>
      <w:r w:rsidR="00FC5BEB" w:rsidRPr="00FC5BEB">
        <w:rPr>
          <w:noProof/>
          <w:vertAlign w:val="superscript"/>
        </w:rPr>
        <w:t>329</w:t>
      </w:r>
      <w:r>
        <w:fldChar w:fldCharType="end"/>
      </w:r>
      <w:r>
        <w:t xml:space="preserve"> Various types of LOMs have been proposed</w:t>
      </w:r>
      <w:r>
        <w:fldChar w:fldCharType="begin">
          <w:fldData xml:space="preserve">PEVuZE5vdGU+PENpdGU+PEF1dGhvcj5HcmltYXVkPC9BdXRob3I+PFllYXI+MjAxNjwvWWVhcj48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</w:fldData>
        </w:fldChar>
      </w:r>
      <w:r w:rsidR="00FC5BEB">
        <w:instrText xml:space="preserve"> ADDIN EN.CITE </w:instrText>
      </w:r>
      <w:r w:rsidR="00FC5BEB">
        <w:fldChar w:fldCharType="begin">
          <w:fldData xml:space="preserve">PEVuZE5vdGU+PENpdGU+PEF1dGhvcj5HcmltYXVkPC9BdXRob3I+PFllYXI+MjAxNjwvWWVhcj48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</w:fldData>
        </w:fldChar>
      </w:r>
      <w:r w:rsidR="00FC5BEB">
        <w:instrText xml:space="preserve"> ADDIN EN.CITE.DATA </w:instrText>
      </w:r>
      <w:r w:rsidR="00FC5BEB">
        <w:fldChar w:fldCharType="end"/>
      </w:r>
      <w:r>
        <w:fldChar w:fldCharType="separate"/>
      </w:r>
      <w:r w:rsidR="00FC5BEB" w:rsidRPr="00FC5BEB">
        <w:rPr>
          <w:noProof/>
          <w:vertAlign w:val="superscript"/>
        </w:rPr>
        <w:t>324, 329, 408</w:t>
      </w:r>
      <w:r>
        <w:fldChar w:fldCharType="end"/>
      </w:r>
      <w:r>
        <w:t>, showing there is a large mechanistic diversity and flexibility, that was all but ignored in the first applications of the CHE to the OER. The involvement of lattice oxygen is strongly linked to the electronic structure of the catalyst</w:t>
      </w:r>
      <w:r>
        <w:fldChar w:fldCharType="begin">
          <w:fldData xml:space="preserve">PEVuZE5vdGU+PENpdGU+PEF1dGhvcj5HcmltYXVkPC9BdXRob3I+PFllYXI+MjAxNzwvWWVhcj48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</w:fldData>
        </w:fldChar>
      </w:r>
      <w:r w:rsidR="00FC5BEB">
        <w:instrText xml:space="preserve"> ADDIN EN.CITE </w:instrText>
      </w:r>
      <w:r w:rsidR="00FC5BEB">
        <w:fldChar w:fldCharType="begin">
          <w:fldData xml:space="preserve">PEVuZE5vdGU+PENpdGU+PEF1dGhvcj5HcmltYXVkPC9BdXRob3I+PFllYXI+MjAxNzwvWWVhcj48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</w:fldData>
        </w:fldChar>
      </w:r>
      <w:r w:rsidR="00FC5BEB">
        <w:instrText xml:space="preserve"> ADDIN EN.CITE.DATA </w:instrText>
      </w:r>
      <w:r w:rsidR="00FC5BEB">
        <w:fldChar w:fldCharType="end"/>
      </w:r>
      <w:r>
        <w:fldChar w:fldCharType="separate"/>
      </w:r>
      <w:r w:rsidR="00FC5BEB" w:rsidRPr="00FC5BEB">
        <w:rPr>
          <w:noProof/>
          <w:vertAlign w:val="superscript"/>
        </w:rPr>
        <w:t>324, 327, 329</w:t>
      </w:r>
      <w:r>
        <w:fldChar w:fldCharType="end"/>
      </w:r>
      <w:r>
        <w:t xml:space="preserve"> and in particular to the appearance of electron holes on lattice oxygen atoms, occurring in the presence of high M-O covalency resulting either </w:t>
      </w:r>
      <w:r w:rsidR="00426021">
        <w:t xml:space="preserve">from </w:t>
      </w:r>
      <w:r>
        <w:t>orbital overlap or from a negative charge transfer regime. It is not clear, however, whether the involvement of lattice oxygen is linked to the catalyst instability</w:t>
      </w:r>
      <w:r>
        <w:fldChar w:fldCharType="begin">
          <w:fldData xml:space="preserve">PEVuZE5vdGU+PENpdGU+PEF1dGhvcj5CaW5uaW5nZXI8L0F1dGhvcj48WWVhcj4yMDE1PC9ZZWFy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</w:fldData>
        </w:fldChar>
      </w:r>
      <w:r w:rsidR="00FC5BEB">
        <w:instrText xml:space="preserve"> ADDIN EN.CITE </w:instrText>
      </w:r>
      <w:r w:rsidR="00FC5BEB">
        <w:fldChar w:fldCharType="begin">
          <w:fldData xml:space="preserve">PEVuZE5vdGU+PENpdGU+PEF1dGhvcj5CaW5uaW5nZXI8L0F1dGhvcj48WWVhcj4yMDE1PC9ZZWFy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</w:fldData>
        </w:fldChar>
      </w:r>
      <w:r w:rsidR="00FC5BEB">
        <w:instrText xml:space="preserve"> ADDIN EN.CITE.DATA </w:instrText>
      </w:r>
      <w:r w:rsidR="00FC5BEB">
        <w:fldChar w:fldCharType="end"/>
      </w:r>
      <w:r>
        <w:fldChar w:fldCharType="separate"/>
      </w:r>
      <w:r w:rsidR="00FC5BEB" w:rsidRPr="00FC5BEB">
        <w:rPr>
          <w:noProof/>
          <w:vertAlign w:val="superscript"/>
        </w:rPr>
        <w:t>381, 382</w:t>
      </w:r>
      <w:r>
        <w:fldChar w:fldCharType="end"/>
      </w:r>
      <w:r>
        <w:t>, or whether the high covalency of the M-O bond could result in reduced dissolution and increases stability.</w:t>
      </w:r>
      <w:r>
        <w:fldChar w:fldCharType="begin">
          <w:fldData xml:space="preserve">PEVuZE5vdGU+PENpdGU+PEF1dGhvcj5Sb25nZTwvQXV0aG9yPjxZZWFyPjIwMjE8L1llYXI+PFJl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</w:fldData>
        </w:fldChar>
      </w:r>
      <w:r w:rsidR="00FC5BEB">
        <w:instrText xml:space="preserve"> ADDIN EN.CITE </w:instrText>
      </w:r>
      <w:r w:rsidR="00FC5BEB">
        <w:fldChar w:fldCharType="begin">
          <w:fldData xml:space="preserve">PEVuZE5vdGU+PENpdGU+PEF1dGhvcj5Sb25nZTwvQXV0aG9yPjxZZWFyPjIwMjE8L1llYXI+PFJl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</w:fldData>
        </w:fldChar>
      </w:r>
      <w:r w:rsidR="00FC5BEB">
        <w:instrText xml:space="preserve"> ADDIN EN.CITE.DATA </w:instrText>
      </w:r>
      <w:r w:rsidR="00FC5BEB">
        <w:fldChar w:fldCharType="end"/>
      </w:r>
      <w:r>
        <w:fldChar w:fldCharType="separate"/>
      </w:r>
      <w:r w:rsidR="00FC5BEB" w:rsidRPr="00FC5BEB">
        <w:rPr>
          <w:noProof/>
          <w:vertAlign w:val="superscript"/>
        </w:rPr>
        <w:t>359, 384</w:t>
      </w:r>
      <w:r>
        <w:fldChar w:fldCharType="end"/>
      </w:r>
      <w:r>
        <w:t xml:space="preserve"> </w:t>
      </w:r>
    </w:p>
    <w:p w14:paraId="77B10E83" w14:textId="77777777" w:rsidR="006C1C9C" w:rsidRDefault="006C1C9C" w:rsidP="006C1C9C"/>
    <w:p w14:paraId="5E86A369" w14:textId="2279208A" w:rsidR="006C1C9C" w:rsidRDefault="006C1C9C" w:rsidP="006C1C9C">
      <w:pPr>
        <w:ind w:firstLine="720"/>
      </w:pPr>
      <w:r>
        <w:t>One of the most appealing</w:t>
      </w:r>
      <w:r w:rsidRPr="00B94745">
        <w:rPr>
          <w:color w:val="000000" w:themeColor="text1"/>
        </w:rPr>
        <w:t xml:space="preserve">, but also somewhat questionable, </w:t>
      </w:r>
      <w:r>
        <w:t>aspects of the CHE approach is that completely removing the effects of the electric field in the double layer at the electrode/electrolyte interface enormously simplifies the calculations of the free energy cost of the elementary steps, since this quantity can be now computed as a difference of total energies, as done in thermal catalysis. While the effects of the electric field have been shown, at least in some cases, to be small, solvation effects cannot be ignored, since different reaction intermediates interact differently with water-based electrolytes. These interactions can be as large as 0.5-0.6 eV for intermediates like *OOH and *OH that form multiple hydrogen bonds with water, while they can be as low as 0.1 eV for *O, which can interact weakly with water.</w:t>
      </w:r>
      <w:r>
        <w:fldChar w:fldCharType="begin">
          <w:fldData xml:space="preserve">PEVuZE5vdGU+PENpdGU+PEF1dGhvcj5DaHVuPC9BdXRob3I+PFllYXI+MjAyNDwvWWVhcj48UmVj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</w:fldData>
        </w:fldChar>
      </w:r>
      <w:r w:rsidR="00FC5BEB">
        <w:instrText xml:space="preserve"> ADDIN EN.CITE </w:instrText>
      </w:r>
      <w:r w:rsidR="00FC5BEB">
        <w:fldChar w:fldCharType="begin">
          <w:fldData xml:space="preserve">PEVuZE5vdGU+PENpdGU+PEF1dGhvcj5DaHVuPC9BdXRob3I+PFllYXI+MjAyNDwvWWVhcj48UmVj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</w:fldData>
        </w:fldChar>
      </w:r>
      <w:r w:rsidR="00FC5BEB">
        <w:instrText xml:space="preserve"> ADDIN EN.CITE.DATA </w:instrText>
      </w:r>
      <w:r w:rsidR="00FC5BEB">
        <w:fldChar w:fldCharType="end"/>
      </w:r>
      <w:r>
        <w:fldChar w:fldCharType="separate"/>
      </w:r>
      <w:r w:rsidR="00FC5BEB" w:rsidRPr="00FC5BEB">
        <w:rPr>
          <w:noProof/>
          <w:vertAlign w:val="superscript"/>
        </w:rPr>
        <w:t>455, 457</w:t>
      </w:r>
      <w:r>
        <w:fldChar w:fldCharType="end"/>
      </w:r>
      <w:r>
        <w:t xml:space="preserve"> Implicit PCM-type solvent models are unable to describe directional interactions like H-bonds and are therefore of limited value in this regard.</w:t>
      </w:r>
      <w:r>
        <w:fldChar w:fldCharType="begin">
          <w:fldData xml:space="preserve">PEVuZE5vdGU+PENpdGU+PEF1dGhvcj5IZWVuZW48L0F1dGhvcj48WWVhcj4yMDIwPC9ZZWFyPjxS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=
</w:fldData>
        </w:fldChar>
      </w:r>
      <w:r w:rsidR="009F6662">
        <w:instrText xml:space="preserve"> ADDIN EN.CITE </w:instrText>
      </w:r>
      <w:r w:rsidR="009F6662">
        <w:fldChar w:fldCharType="begin">
          <w:fldData xml:space="preserve">PEVuZE5vdGU+PENpdGU+PEF1dGhvcj5IZWVuZW48L0F1dGhvcj48WWVhcj4yMDIwPC9ZZWFyPjxS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=
</w:fldData>
        </w:fldChar>
      </w:r>
      <w:r w:rsidR="009F6662">
        <w:instrText xml:space="preserve"> ADDIN EN.CITE.DATA </w:instrText>
      </w:r>
      <w:r w:rsidR="009F6662">
        <w:fldChar w:fldCharType="end"/>
      </w:r>
      <w:r>
        <w:fldChar w:fldCharType="separate"/>
      </w:r>
      <w:r w:rsidR="009F6662" w:rsidRPr="009F6662">
        <w:rPr>
          <w:noProof/>
          <w:vertAlign w:val="superscript"/>
        </w:rPr>
        <w:t>61</w:t>
      </w:r>
      <w:r>
        <w:fldChar w:fldCharType="end"/>
      </w:r>
      <w:r>
        <w:t xml:space="preserve"> An explicit description of water, with solvation effects obtained from statistical averages of structures </w:t>
      </w:r>
      <w:r>
        <w:lastRenderedPageBreak/>
        <w:t>extracted from molecular dynamic simulations, offers a viable, albeit time consuming, way to estimate solvation effects.</w:t>
      </w:r>
      <w:r>
        <w:fldChar w:fldCharType="begin">
          <w:fldData xml:space="preserve">PEVuZE5vdGU+PENpdGU+PEF1dGhvcj5DaHVuPC9BdXRob3I+PFllYXI+MjAyNDwvWWVhcj48UmVj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</w:fldData>
        </w:fldChar>
      </w:r>
      <w:r w:rsidR="00FC5BEB">
        <w:instrText xml:space="preserve"> ADDIN EN.CITE </w:instrText>
      </w:r>
      <w:r w:rsidR="00FC5BEB">
        <w:fldChar w:fldCharType="begin">
          <w:fldData xml:space="preserve">PEVuZE5vdGU+PENpdGU+PEF1dGhvcj5DaHVuPC9BdXRob3I+PFllYXI+MjAyNDwvWWVhcj48UmVj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</w:fldData>
        </w:fldChar>
      </w:r>
      <w:r w:rsidR="00FC5BEB">
        <w:instrText xml:space="preserve"> ADDIN EN.CITE.DATA </w:instrText>
      </w:r>
      <w:r w:rsidR="00FC5BEB">
        <w:fldChar w:fldCharType="end"/>
      </w:r>
      <w:r>
        <w:fldChar w:fldCharType="separate"/>
      </w:r>
      <w:r w:rsidR="00FC5BEB" w:rsidRPr="00FC5BEB">
        <w:rPr>
          <w:noProof/>
          <w:vertAlign w:val="superscript"/>
        </w:rPr>
        <w:t>456, 457</w:t>
      </w:r>
      <w:r>
        <w:fldChar w:fldCharType="end"/>
      </w:r>
      <w:r>
        <w:t xml:space="preserve"> </w:t>
      </w:r>
    </w:p>
    <w:p w14:paraId="6E37DBAB" w14:textId="77777777" w:rsidR="006C1C9C" w:rsidRDefault="006C1C9C" w:rsidP="006C1C9C"/>
    <w:p w14:paraId="6FF317DE" w14:textId="6EBDBACF" w:rsidR="006C1C9C" w:rsidRDefault="006C1C9C" w:rsidP="006C1C9C">
      <w:pPr>
        <w:ind w:firstLine="720"/>
      </w:pPr>
      <w:r>
        <w:t>A key finding that emerges in applications of the CHE to the OER is that the coverage of the OER intermediates plays a crucial role. This was shown clearly already in the very first application of the CHE approach to the OER on Pt(111), where the potential determining step changes as function of the oxygen coverage.</w:t>
      </w:r>
      <w:r>
        <w:fldChar w:fldCharType="begin"/>
      </w:r>
      <w:r w:rsidR="00FC5BEB">
        <w:instrText xml:space="preserve"> ADDIN EN.CITE &lt;EndNote&gt;&lt;Cite&gt;&lt;Author&gt;Rossmeisl&lt;/Author&gt;&lt;Year&gt;2005&lt;/Year&gt;&lt;RecNum&gt;85&lt;/RecNum&gt;&lt;DisplayText&gt;&lt;style face="superscript"&gt;87&lt;/style&gt;&lt;/DisplayText&gt;&lt;record&gt;&lt;rec-number&gt;85&lt;/rec-number&gt;&lt;foreign-keys&gt;&lt;key app="EN" db-id="2xex0erf4eexr4e2dpbxpdd829xttesxxxdr" timestamp="1715075296"&gt;85&lt;/key&gt;&lt;/foreign-keys&gt;&lt;ref-type name="Journal Article"&gt;17&lt;/ref-type&gt;&lt;contributors&gt;&lt;authors&gt;&lt;author&gt;Rossmeisl, J.&lt;/author&gt;&lt;author&gt;Logadottir, A.&lt;/author&gt;&lt;author&gt;Nørskov, J. K.&lt;/author&gt;&lt;/authors&gt;&lt;/contributors&gt;&lt;titles&gt;&lt;title&gt;Electrolysis of water on (oxidized) metal surfaces&lt;/title&gt;&lt;secondary-title&gt;Chemical Physics&lt;/secondary-title&gt;&lt;/titles&gt;&lt;periodical&gt;&lt;full-title&gt;Chemical Physics&lt;/full-title&gt;&lt;abbr-1&gt;Chem. Phys.&lt;/abbr-1&gt;&lt;abbr-2&gt;Chem Phys&lt;/abbr-2&gt;&lt;/periodical&gt;&lt;pages&gt;178-184&lt;/pages&gt;&lt;volume&gt;319&lt;/volume&gt;&lt;number&gt;1&lt;/number&gt;&lt;keywords&gt;&lt;keyword&gt;Water electrolysis&lt;/keyword&gt;&lt;keyword&gt;Oxygen evolution&lt;/keyword&gt;&lt;keyword&gt;Platinum&lt;/keyword&gt;&lt;keyword&gt;Gold&lt;/keyword&gt;&lt;keyword&gt;Density functional theory&lt;/keyword&gt;&lt;keyword&gt;Sabatier analysis&lt;/keyword&gt;&lt;keyword&gt;Volcano plot&lt;/keyword&gt;&lt;/keywords&gt;&lt;dates&gt;&lt;year&gt;2005&lt;/year&gt;&lt;pub-dates&gt;&lt;date&gt;2005/12/07/&lt;/date&gt;&lt;/pub-dates&gt;&lt;/dates&gt;&lt;isbn&gt;0301-0104&lt;/isbn&gt;&lt;urls&gt;&lt;related-urls&gt;&lt;url&gt;https://www.sciencedirect.com/science/article/pii/S0301010405002053&lt;/url&gt;&lt;/related-urls&gt;&lt;/urls&gt;&lt;electronic-resource-num&gt;https://doi.org/10.1016/j.chemphys.2005.05.038&lt;/electronic-resource-num&gt;&lt;/record&gt;&lt;/Cite&gt;&lt;/EndNote&gt;</w:instrText>
      </w:r>
      <w:r>
        <w:fldChar w:fldCharType="separate"/>
      </w:r>
      <w:r w:rsidR="00FC5BEB" w:rsidRPr="00FC5BEB">
        <w:rPr>
          <w:noProof/>
          <w:vertAlign w:val="superscript"/>
        </w:rPr>
        <w:t>87</w:t>
      </w:r>
      <w:r>
        <w:fldChar w:fldCharType="end"/>
      </w:r>
      <w:r>
        <w:t xml:space="preserve"> The assumption of thermodynamic equilibrium, which underpins the CHE approach, for an open system like an electrocatalyst under operation can, however, lead to incorrect predictions. Consider for example the case of IrO</w:t>
      </w:r>
      <w:r w:rsidRPr="00B97543">
        <w:rPr>
          <w:vertAlign w:val="subscript"/>
        </w:rPr>
        <w:t>2</w:t>
      </w:r>
      <w:r>
        <w:t>(110): when not only *OH and *O but also *OO or *OOH intermediates are considered as possible adsorbates present at the surface, the thermodynamic equilibrium assumption leads to *OO covered surfaces at biases around 1.3 V vs RHE in some works</w:t>
      </w:r>
      <w:r>
        <w:fldChar w:fldCharType="begin"/>
      </w:r>
      <w:r w:rsidR="00FC5BEB">
        <w:instrText xml:space="preserve"> ADDIN EN.CITE &lt;EndNote&gt;&lt;Cite&gt;&lt;Author&gt;Opalka&lt;/Author&gt;&lt;Year&gt;2019&lt;/Year&gt;&lt;RecNum&gt;125&lt;/RecNum&gt;&lt;DisplayText&gt;&lt;style face="superscript"&gt;127&lt;/style&gt;&lt;/DisplayText&gt;&lt;record&gt;&lt;rec-number&gt;125&lt;/rec-number&gt;&lt;foreign-keys&gt;&lt;key app="EN" db-id="2xex0erf4eexr4e2dpbxpdd829xttesxxxdr" timestamp="1715075296"&gt;125&lt;/key&gt;&lt;/foreign-keys&gt;&lt;ref-type name="Journal Article"&gt;17&lt;/ref-type&gt;&lt;contributors&gt;&lt;authors&gt;&lt;author&gt;Opalka, Daniel&lt;/author&gt;&lt;author&gt;Scheurer, Christoph&lt;/author&gt;&lt;author&gt;Reuter, Karsten&lt;/author&gt;&lt;/authors&gt;&lt;/contributors&gt;&lt;titles&gt;&lt;title&gt;Ab Initio Thermodynamics Insight into the Structural Evolution of Working IrO2 Catalysts in Proton-Exchange Membrane Electrolyzers&lt;/title&gt;&lt;secondary-title&gt;ACS Catal.&lt;/secondary-title&gt;&lt;/titles&gt;&lt;periodical&gt;&lt;full-title&gt;ACS Catal.&lt;/full-title&gt;&lt;/periodical&gt;&lt;pages&gt;4944-4950&lt;/pages&gt;&lt;volume&gt;9&lt;/volume&gt;&lt;number&gt;6&lt;/number&gt;&lt;dates&gt;&lt;year&gt;2019&lt;/year&gt;&lt;pub-dates&gt;&lt;date&gt;2019/06/07&lt;/date&gt;&lt;/pub-dates&gt;&lt;/dates&gt;&lt;publisher&gt;American Chemical Society&lt;/publisher&gt;&lt;urls&gt;&lt;related-urls&gt;&lt;url&gt;https://doi.org/10.1021/acscatal.9b00796&lt;/url&gt;&lt;/related-urls&gt;&lt;/urls&gt;&lt;electronic-resource-num&gt;10.1021/acscatal.9b00796&lt;/electronic-resource-num&gt;&lt;/record&gt;&lt;/Cite&gt;&lt;/EndNote&gt;</w:instrText>
      </w:r>
      <w:r>
        <w:fldChar w:fldCharType="separate"/>
      </w:r>
      <w:r w:rsidR="00FC5BEB" w:rsidRPr="00FC5BEB">
        <w:rPr>
          <w:noProof/>
          <w:vertAlign w:val="superscript"/>
        </w:rPr>
        <w:t>127</w:t>
      </w:r>
      <w:r>
        <w:fldChar w:fldCharType="end"/>
      </w:r>
      <w:r>
        <w:t>, or *OOH covered surfaces at biases around 1.5 V vs RHE in other works</w:t>
      </w:r>
      <w:r>
        <w:fldChar w:fldCharType="begin"/>
      </w:r>
      <w:r w:rsidR="00FC5BEB">
        <w:instrText xml:space="preserve"> ADDIN EN.CITE &lt;EndNote&gt;&lt;Cite&gt;&lt;Author&gt;Exner&lt;/Author&gt;&lt;Year&gt;2019&lt;/Year&gt;&lt;RecNum&gt;526&lt;/RecNum&gt;&lt;DisplayText&gt;&lt;style face="superscript"&gt;528&lt;/style&gt;&lt;/DisplayText&gt;&lt;record&gt;&lt;rec-number&gt;526&lt;/rec-number&gt;&lt;foreign-keys&gt;&lt;key app="EN" db-id="2xex0erf4eexr4e2dpbxpdd829xttesxxxdr" timestamp="1715075297"&gt;526&lt;/key&gt;&lt;/foreign-keys&gt;&lt;ref-type name="Journal Article"&gt;17&lt;/ref-type&gt;&lt;contributors&gt;&lt;authors&gt;&lt;author&gt;Exner, K. S.&lt;/author&gt;&lt;author&gt;Over, H.&lt;/author&gt;&lt;/authors&gt;&lt;/contributors&gt;&lt;titles&gt;&lt;title&gt;Beyond the rate-determining step in the oxygen evolution reaction over a single-crystalline IrO2(110) model electrode: kinetic scaling relations&lt;/title&gt;&lt;secondary-title&gt;ACS Catal.&lt;/secondary-title&gt;&lt;/titles&gt;&lt;periodical&gt;&lt;full-title&gt;ACS Catal.&lt;/full-title&gt;&lt;/periodical&gt;&lt;pages&gt;6755-65&lt;/pages&gt;&lt;volume&gt;9&lt;/volume&gt;&lt;dates&gt;&lt;year&gt;2019&lt;/year&gt;&lt;/dates&gt;&lt;urls&gt;&lt;related-urls&gt;&lt;url&gt;https://doi.org/10.1021/acscatal.9b01564&lt;/url&gt;&lt;/related-urls&gt;&lt;/urls&gt;&lt;electronic-resource-num&gt;10.1021/acscatal.9b01564&lt;/electronic-resource-num&gt;&lt;/record&gt;&lt;/Cite&gt;&lt;/EndNote&gt;</w:instrText>
      </w:r>
      <w:r>
        <w:fldChar w:fldCharType="separate"/>
      </w:r>
      <w:r w:rsidR="00FC5BEB" w:rsidRPr="00FC5BEB">
        <w:rPr>
          <w:noProof/>
          <w:vertAlign w:val="superscript"/>
        </w:rPr>
        <w:t>528</w:t>
      </w:r>
      <w:r>
        <w:fldChar w:fldCharType="end"/>
      </w:r>
      <w:r>
        <w:t>, at odds with experimental evidence.</w:t>
      </w:r>
      <w:r>
        <w:fldChar w:fldCharType="begin">
          <w:fldData xml:space="preserve">PEVuZE5vdGU+PENpdGU+PEF1dGhvcj5Nb208L0F1dGhvcj48WWVhcj4yMDIyPC9ZZWFyPjxSZWNO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</w:fldData>
        </w:fldChar>
      </w:r>
      <w:r w:rsidR="00FC5BEB">
        <w:instrText xml:space="preserve"> ADDIN EN.CITE </w:instrText>
      </w:r>
      <w:r w:rsidR="00FC5BEB">
        <w:fldChar w:fldCharType="begin">
          <w:fldData xml:space="preserve">PEVuZE5vdGU+PENpdGU+PEF1dGhvcj5Nb208L0F1dGhvcj48WWVhcj4yMDIyPC9ZZWFyPjxSZWNO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</w:fldData>
        </w:fldChar>
      </w:r>
      <w:r w:rsidR="00FC5BEB">
        <w:instrText xml:space="preserve"> ADDIN EN.CITE.DATA </w:instrText>
      </w:r>
      <w:r w:rsidR="00FC5BEB">
        <w:fldChar w:fldCharType="end"/>
      </w:r>
      <w:r>
        <w:fldChar w:fldCharType="separate"/>
      </w:r>
      <w:r w:rsidR="00FC5BEB" w:rsidRPr="00FC5BEB">
        <w:rPr>
          <w:noProof/>
          <w:vertAlign w:val="superscript"/>
        </w:rPr>
        <w:t>63, 404</w:t>
      </w:r>
      <w:r>
        <w:fldChar w:fldCharType="end"/>
      </w:r>
      <w:r>
        <w:t xml:space="preserve">     </w:t>
      </w:r>
    </w:p>
    <w:p w14:paraId="5BE79D4D" w14:textId="77777777" w:rsidR="006C1C9C" w:rsidRDefault="006C1C9C" w:rsidP="006C1C9C">
      <w:r>
        <w:t xml:space="preserve"> </w:t>
      </w:r>
    </w:p>
    <w:p w14:paraId="5F8A8456" w14:textId="78E4E0FD" w:rsidR="006C1C9C" w:rsidRDefault="006C1C9C" w:rsidP="006C1C9C">
      <w:pPr>
        <w:ind w:firstLine="720"/>
      </w:pPr>
      <w:r>
        <w:t xml:space="preserve">A step beyond the equilibrium approximation for an out of equilibrium system is offered by microkinetic </w:t>
      </w:r>
      <w:r w:rsidR="002A338C">
        <w:t>modeling</w:t>
      </w:r>
      <w:r>
        <w:t>, where the coverages of the reaction intermediates are an output of the calculations, and the relative importance of competing mechanisms can be compared. Often the equations are strongly simplified via the assumption that non rate determining steps are quasi-equilibrated, a dangerous assumption</w:t>
      </w:r>
      <w:r>
        <w:fldChar w:fldCharType="begin"/>
      </w:r>
      <w:r w:rsidR="00FC5BEB">
        <w:instrText xml:space="preserve"> ADDIN EN.CITE &lt;EndNote&gt;&lt;Cite&gt;&lt;Author&gt;Marshall&lt;/Author&gt;&lt;Year&gt;2015&lt;/Year&gt;&lt;RecNum&gt;517&lt;/RecNum&gt;&lt;DisplayText&gt;&lt;style face="superscript"&gt;519&lt;/style&gt;&lt;/DisplayText&gt;&lt;record&gt;&lt;rec-number&gt;517&lt;/rec-number&gt;&lt;foreign-keys&gt;&lt;key app="EN" db-id="2xex0erf4eexr4e2dpbxpdd829xttesxxxdr" timestamp="1715075297"&gt;517&lt;/key&gt;&lt;/foreign-keys&gt;&lt;ref-type name="Journal Article"&gt;17&lt;/ref-type&gt;&lt;contributors&gt;&lt;authors&gt;&lt;author&gt;Marshall, Aaron T.&lt;/author&gt;&lt;author&gt;Vaisson-Béthune, Laurent&lt;/author&gt;&lt;/authors&gt;&lt;/contributors&gt;&lt;titles&gt;&lt;title&gt;Avoid the quasi-equilibrium assumption when evaluating the electrocatalytic oxygen evolution reaction mechanism by Tafel slope analysis&lt;/title&gt;&lt;secondary-title&gt;Electrochemistry Communications&lt;/secondary-title&gt;&lt;/titles&gt;&lt;periodical&gt;&lt;full-title&gt;Electrochemistry Communications&lt;/full-title&gt;&lt;abbr-1&gt;Electrochem. Commun.&lt;/abbr-1&gt;&lt;abbr-2&gt;Electrochem Commun&lt;/abbr-2&gt;&lt;/periodical&gt;&lt;pages&gt;23-26&lt;/pages&gt;&lt;volume&gt;61&lt;/volume&gt;&lt;keywords&gt;&lt;keyword&gt;Oxygen evolution reaction&lt;/keyword&gt;&lt;keyword&gt;Tafel slope&lt;/keyword&gt;&lt;keyword&gt;Reaction mechanism&lt;/keyword&gt;&lt;keyword&gt;Quasi-equilibrium&lt;/keyword&gt;&lt;keyword&gt;Electrocatalysis&lt;/keyword&gt;&lt;/keywords&gt;&lt;dates&gt;&lt;year&gt;2015&lt;/year&gt;&lt;pub-dates&gt;&lt;date&gt;2015/12/01/&lt;/date&gt;&lt;/pub-dates&gt;&lt;/dates&gt;&lt;isbn&gt;1388-2481&lt;/isbn&gt;&lt;urls&gt;&lt;related-urls&gt;&lt;url&gt;https://www.sciencedirect.com/science/article/pii/S1388248115002635&lt;/url&gt;&lt;/related-urls&gt;&lt;/urls&gt;&lt;electronic-resource-num&gt;https://doi.org/10.1016/j.elecom.2015.09.019&lt;/electronic-resource-num&gt;&lt;/record&gt;&lt;/Cite&gt;&lt;/EndNote&gt;</w:instrText>
      </w:r>
      <w:r>
        <w:fldChar w:fldCharType="separate"/>
      </w:r>
      <w:r w:rsidR="00FC5BEB" w:rsidRPr="00FC5BEB">
        <w:rPr>
          <w:noProof/>
          <w:vertAlign w:val="superscript"/>
        </w:rPr>
        <w:t>519</w:t>
      </w:r>
      <w:r>
        <w:fldChar w:fldCharType="end"/>
      </w:r>
      <w:r>
        <w:t xml:space="preserve"> that can and should be tested. The inputs of microkinetic models consist </w:t>
      </w:r>
      <w:r w:rsidR="007E41FE">
        <w:t xml:space="preserve">of </w:t>
      </w:r>
      <w:r>
        <w:t>reaction energies and barriers for the elementary steps included in the model. Notice that when these quantities are coverage dependent, the models need to be solved self-consistently, i.e. the predicted coverages must be consistent with those used to compute the parameters of the models. An appealing aspect of these simulations is that predictions like the current</w:t>
      </w:r>
      <w:r w:rsidR="00426021">
        <w:t xml:space="preserve"> density</w:t>
      </w:r>
      <w:r>
        <w:t>-voltage (</w:t>
      </w:r>
      <w:r w:rsidR="009D62A3">
        <w:rPr>
          <w:i/>
        </w:rPr>
        <w:t>j</w:t>
      </w:r>
      <w:r w:rsidRPr="009B546C">
        <w:rPr>
          <w:i/>
        </w:rPr>
        <w:t>-V</w:t>
      </w:r>
      <w:r>
        <w:t>) curves can be directly compared against experiments, thus offering a suitable platform to test the validity of the underlying assumptions and input parameters.</w:t>
      </w:r>
      <w:r>
        <w:fldChar w:fldCharType="begin"/>
      </w:r>
      <w:r w:rsidR="00FC5BEB">
        <w:instrText xml:space="preserve"> ADDIN EN.CITE &lt;EndNote&gt;&lt;Cite&gt;&lt;Author&gt;Resasco&lt;/Author&gt;&lt;Year&gt;2022&lt;/Year&gt;&lt;RecNum&gt;538&lt;/RecNum&gt;&lt;DisplayText&gt;&lt;style face="superscript"&gt;540&lt;/style&gt;&lt;/DisplayText&gt;&lt;record&gt;&lt;rec-number&gt;538&lt;/rec-number&gt;&lt;foreign-keys&gt;&lt;key app="EN" db-id="2xex0erf4eexr4e2dpbxpdd829xttesxxxdr" timestamp="1715075297"&gt;538&lt;/key&gt;&lt;/foreign-keys&gt;&lt;ref-type name="Journal Article"&gt;17&lt;/ref-type&gt;&lt;contributors&gt;&lt;authors&gt;&lt;author&gt;Resasco, Joaquin&lt;/author&gt;&lt;author&gt;Abild-Pedersen, Frank&lt;/author&gt;&lt;author&gt;Hahn, Christopher&lt;/author&gt;&lt;author&gt;Bao, Zhenan&lt;/author&gt;&lt;author&gt;Koper, Marc T. M.&lt;/author&gt;&lt;author&gt;Jaramillo, Thomas F.&lt;/author&gt;&lt;/authors&gt;&lt;/contributors&gt;&lt;titles&gt;&lt;title&gt;Enhancing the connection between computation and experiments in electrocatalysis&lt;/title&gt;&lt;secondary-title&gt;Nat. Catal.&lt;/secondary-title&gt;&lt;/titles&gt;&lt;periodical&gt;&lt;full-title&gt;Nat. Catal.&lt;/full-title&gt;&lt;abbr-1&gt;Nat. Catal.&lt;/abbr-1&gt;&lt;/periodical&gt;&lt;pages&gt;374-381&lt;/pages&gt;&lt;volume&gt;5&lt;/volume&gt;&lt;number&gt;5&lt;/number&gt;&lt;dates&gt;&lt;year&gt;2022&lt;/year&gt;&lt;pub-dates&gt;&lt;date&gt;2022/05/01&lt;/date&gt;&lt;/pub-dates&gt;&lt;/dates&gt;&lt;isbn&gt;2520-1158&lt;/isbn&gt;&lt;urls&gt;&lt;related-urls&gt;&lt;url&gt;https://doi.org/10.1038/s41929-022-00789-0&lt;/url&gt;&lt;/related-urls&gt;&lt;/urls&gt;&lt;electronic-resource-num&gt;10.1038/s41929-022-00789-0&lt;/electronic-resource-num&gt;&lt;/record&gt;&lt;/Cite&gt;&lt;/EndNote&gt;</w:instrText>
      </w:r>
      <w:r>
        <w:fldChar w:fldCharType="separate"/>
      </w:r>
      <w:r w:rsidR="00FC5BEB" w:rsidRPr="00FC5BEB">
        <w:rPr>
          <w:noProof/>
          <w:vertAlign w:val="superscript"/>
        </w:rPr>
        <w:t>540</w:t>
      </w:r>
      <w:r>
        <w:fldChar w:fldCharType="end"/>
      </w:r>
      <w:r>
        <w:t xml:space="preserve"> The coverages of intermediates are notoriously difficult to measure in </w:t>
      </w:r>
      <w:r w:rsidR="00FE64CB" w:rsidRPr="00FE64CB">
        <w:rPr>
          <w:i/>
        </w:rPr>
        <w:t>operando</w:t>
      </w:r>
      <w:r>
        <w:t>, but significant progress in that direction has been made and, at least in some cases, predicted coverages can be tested against experimental evidence.</w:t>
      </w:r>
      <w:r>
        <w:fldChar w:fldCharType="begin">
          <w:fldData xml:space="preserve">PEVuZE5vdGU+PENpdGU+PEF1dGhvcj5Nb208L0F1dGhvcj48WWVhcj4yMDIyPC9ZZWFyPjxSZWNO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</w:fldData>
        </w:fldChar>
      </w:r>
      <w:r w:rsidR="00FC5BEB">
        <w:instrText xml:space="preserve"> ADDIN EN.CITE </w:instrText>
      </w:r>
      <w:r w:rsidR="00FC5BEB">
        <w:fldChar w:fldCharType="begin">
          <w:fldData xml:space="preserve">PEVuZE5vdGU+PENpdGU+PEF1dGhvcj5Nb208L0F1dGhvcj48WWVhcj4yMDIyPC9ZZWFyPjxSZWNO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</w:fldData>
        </w:fldChar>
      </w:r>
      <w:r w:rsidR="00FC5BEB">
        <w:instrText xml:space="preserve"> ADDIN EN.CITE.DATA </w:instrText>
      </w:r>
      <w:r w:rsidR="00FC5BEB">
        <w:fldChar w:fldCharType="end"/>
      </w:r>
      <w:r>
        <w:fldChar w:fldCharType="separate"/>
      </w:r>
      <w:r w:rsidR="00FC5BEB" w:rsidRPr="00FC5BEB">
        <w:rPr>
          <w:noProof/>
          <w:vertAlign w:val="superscript"/>
        </w:rPr>
        <w:t>63, 404</w:t>
      </w:r>
      <w:r>
        <w:fldChar w:fldCharType="end"/>
      </w:r>
      <w:r>
        <w:t xml:space="preserve">  </w:t>
      </w:r>
    </w:p>
    <w:p w14:paraId="6003D0A0" w14:textId="77777777" w:rsidR="006C1C9C" w:rsidRDefault="006C1C9C" w:rsidP="006C1C9C"/>
    <w:p w14:paraId="0D676DDC" w14:textId="3EA8D02C" w:rsidR="006C1C9C" w:rsidRDefault="006C1C9C" w:rsidP="006C1C9C">
      <w:pPr>
        <w:ind w:firstLine="720"/>
      </w:pPr>
      <w:r>
        <w:t xml:space="preserve">Barriers and reaction energies of the elementary steps can, in general, depend on the variation of the electric field in the double layer, an effect ignored in the CHE approach. In fact, while in experiments the potential is held constant, in </w:t>
      </w:r>
      <w:r w:rsidRPr="00B97543">
        <w:rPr>
          <w:i/>
        </w:rPr>
        <w:t>ab initio</w:t>
      </w:r>
      <w:r>
        <w:t xml:space="preserve"> simulations typically the charge is constant, hence the potential can vary, up to several volts</w:t>
      </w:r>
      <w:r>
        <w:fldChar w:fldCharType="begin"/>
      </w:r>
      <w:r w:rsidR="00FC5BEB">
        <w:instrText xml:space="preserve"> ADDIN EN.CITE &lt;EndNote&gt;&lt;Cite&gt;&lt;Author&gt;Chan&lt;/Author&gt;&lt;Year&gt;2015&lt;/Year&gt;&lt;RecNum&gt;495&lt;/RecNum&gt;&lt;DisplayText&gt;&lt;style face="superscript"&gt;497&lt;/style&gt;&lt;/DisplayText&gt;&lt;record&gt;&lt;rec-number&gt;495&lt;/rec-number&gt;&lt;foreign-keys&gt;&lt;key app="EN" db-id="2xex0erf4eexr4e2dpbxpdd829xttesxxxdr" timestamp="1715075297"&gt;495&lt;/key&gt;&lt;/foreign-keys&gt;&lt;ref-type name="Journal Article"&gt;17&lt;/ref-type&gt;&lt;contributors&gt;&lt;authors&gt;&lt;author&gt;Chan, Karen&lt;/author&gt;&lt;author&gt;Nørskov, Jens K.&lt;/author&gt;&lt;/authors&gt;&lt;/contributors&gt;&lt;titles&gt;&lt;title&gt;Electrochemical Barriers Made Simple&lt;/title&gt;&lt;secondary-title&gt;J. Phys. Chem. Lett.&lt;/secondary-title&gt;&lt;/titles&gt;&lt;periodical&gt;&lt;full-title&gt;J. Phys. Chem. Lett.&lt;/full-title&gt;&lt;/periodical&gt;&lt;pages&gt;2663-2668&lt;/pages&gt;&lt;volume&gt;6&lt;/volume&gt;&lt;number&gt;14&lt;/number&gt;&lt;dates&gt;&lt;year&gt;2015&lt;/year&gt;&lt;pub-dates&gt;&lt;date&gt;2015/07/16&lt;/date&gt;&lt;/pub-dates&gt;&lt;/dates&gt;&lt;publisher&gt;American Chemical Society&lt;/publisher&gt;&lt;urls&gt;&lt;related-urls&gt;&lt;url&gt;https://doi.org/10.1021/acs.jpclett.5b01043&lt;/url&gt;&lt;/related-urls&gt;&lt;/urls&gt;&lt;electronic-resource-num&gt;10.1021/acs.jpclett.5b01043&lt;/electronic-resource-num&gt;&lt;/record&gt;&lt;/Cite&gt;&lt;/EndNote&gt;</w:instrText>
      </w:r>
      <w:r>
        <w:fldChar w:fldCharType="separate"/>
      </w:r>
      <w:r w:rsidR="00FC5BEB" w:rsidRPr="00FC5BEB">
        <w:rPr>
          <w:noProof/>
          <w:vertAlign w:val="superscript"/>
        </w:rPr>
        <w:t>497</w:t>
      </w:r>
      <w:r>
        <w:fldChar w:fldCharType="end"/>
      </w:r>
      <w:r>
        <w:t>, along the reaction coordinate. To mitigate this effect, researchers have adopted two strategies. The first consists of obtaining constant potential information from constant charge calculations. This can be done either via extrapolation from a series of calculations with different surface cells</w:t>
      </w:r>
      <w:r>
        <w:fldChar w:fldCharType="begin">
          <w:fldData xml:space="preserve">PEVuZE5vdGU+PENpdGU+PEF1dGhvcj5Sb3NzbWVpc2w8L0F1dGhvcj48WWVhcj4yMDA4PC9ZZWFy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</w:fldData>
        </w:fldChar>
      </w:r>
      <w:r w:rsidR="00FC5BEB">
        <w:instrText xml:space="preserve"> ADDIN EN.CITE </w:instrText>
      </w:r>
      <w:r w:rsidR="00FC5BEB">
        <w:fldChar w:fldCharType="begin">
          <w:fldData xml:space="preserve">PEVuZE5vdGU+PENpdGU+PEF1dGhvcj5Sb3NzbWVpc2w8L0F1dGhvcj48WWVhcj4yMDA4PC9ZZWFy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</w:fldData>
        </w:fldChar>
      </w:r>
      <w:r w:rsidR="00FC5BEB">
        <w:instrText xml:space="preserve"> ADDIN EN.CITE.DATA </w:instrText>
      </w:r>
      <w:r w:rsidR="00FC5BEB">
        <w:fldChar w:fldCharType="end"/>
      </w:r>
      <w:r>
        <w:fldChar w:fldCharType="separate"/>
      </w:r>
      <w:r w:rsidR="00FC5BEB" w:rsidRPr="00FC5BEB">
        <w:rPr>
          <w:noProof/>
          <w:vertAlign w:val="superscript"/>
        </w:rPr>
        <w:t>458, 468</w:t>
      </w:r>
      <w:r>
        <w:fldChar w:fldCharType="end"/>
      </w:r>
      <w:r>
        <w:t xml:space="preserve"> or via models that capture the capacitive contribution to the barrier originating from charge transfer along the reaction coordinate.</w:t>
      </w:r>
      <w:r>
        <w:fldChar w:fldCharType="begin"/>
      </w:r>
      <w:r w:rsidR="00FC5BEB">
        <w:instrText xml:space="preserve"> ADDIN EN.CITE &lt;EndNote&gt;&lt;Cite&gt;&lt;Author&gt;Chan&lt;/Author&gt;&lt;Year&gt;2015&lt;/Year&gt;&lt;RecNum&gt;495&lt;/RecNum&gt;&lt;DisplayText&gt;&lt;style face="superscript"&gt;497, 498&lt;/style&gt;&lt;/DisplayText&gt;&lt;record&gt;&lt;rec-number&gt;495&lt;/rec-number&gt;&lt;foreign-keys&gt;&lt;key app="EN" db-id="2xex0erf4eexr4e2dpbxpdd829xttesxxxdr" timestamp="1715075297"&gt;495&lt;/key&gt;&lt;/foreign-keys&gt;&lt;ref-type name="Journal Article"&gt;17&lt;/ref-type&gt;&lt;contributors&gt;&lt;authors&gt;&lt;author&gt;Chan, Karen&lt;/author&gt;&lt;author&gt;Nørskov, Jens K.&lt;/author&gt;&lt;/authors&gt;&lt;/contributors&gt;&lt;titles&gt;&lt;title&gt;Electrochemical Barriers Made Simple&lt;/title&gt;&lt;secondary-title&gt;J. Phys. Chem. Lett.&lt;/secondary-title&gt;&lt;/titles&gt;&lt;periodical&gt;&lt;full-title&gt;J. Phys. Chem. Lett.&lt;/full-title&gt;&lt;/periodical&gt;&lt;pages&gt;2663-2668&lt;/pages&gt;&lt;volume&gt;6&lt;/volume&gt;&lt;number&gt;14&lt;/number&gt;&lt;dates&gt;&lt;year&gt;2015&lt;/year&gt;&lt;pub-dates&gt;&lt;date&gt;2015/07/16&lt;/date&gt;&lt;/pub-dates&gt;&lt;/dates&gt;&lt;publisher&gt;American Chemical Society&lt;/publisher&gt;&lt;urls&gt;&lt;related-urls&gt;&lt;url&gt;https://doi.org/10.1021/acs.jpclett.5b01043&lt;/url&gt;&lt;/related-urls&gt;&lt;/urls&gt;&lt;electronic-resource-num&gt;10.1021/acs.jpclett.5b01043&lt;/electronic-resource-num&gt;&lt;/record&gt;&lt;/Cite&gt;&lt;Cite&gt;&lt;Author&gt;Chan&lt;/Author&gt;&lt;Year&gt;2016&lt;/Year&gt;&lt;RecNum&gt;496&lt;/RecNum&gt;&lt;record&gt;&lt;rec-number&gt;496&lt;/rec-number&gt;&lt;foreign-keys&gt;&lt;key app="EN" db-id="2xex0erf4eexr4e2dpbxpdd829xttesxxxdr" timestamp="1715075297"&gt;496&lt;/key&gt;&lt;/foreign-keys&gt;&lt;ref-type name="Journal Article"&gt;17&lt;/ref-type&gt;&lt;contributors&gt;&lt;authors&gt;&lt;author&gt;Chan, Karen&lt;/author&gt;&lt;author&gt;Nørskov, Jens K.&lt;/author&gt;&lt;/authors&gt;&lt;/contributors&gt;&lt;titles&gt;&lt;title&gt;Potential Dependence of Electrochemical Barriers from ab Initio Calculations&lt;/title&gt;&lt;secondary-title&gt;J. Phys. Chem. Lett.&lt;/secondary-title&gt;&lt;/titles&gt;&lt;periodical&gt;&lt;full-title&gt;J. Phys. Chem. Lett.&lt;/full-title&gt;&lt;/periodical&gt;&lt;pages&gt;1686-1690&lt;/pages&gt;&lt;volume&gt;7&lt;/volume&gt;&lt;number&gt;9&lt;/number&gt;&lt;dates&gt;&lt;year&gt;2016&lt;/year&gt;&lt;pub-dates&gt;&lt;date&gt;2016/05/05&lt;/date&gt;&lt;/pub-dates&gt;&lt;/dates&gt;&lt;publisher&gt;American Chemical Society&lt;/publisher&gt;&lt;urls&gt;&lt;related-urls&gt;&lt;url&gt;https://doi.org/10.1021/acs.jpclett.6b00382&lt;/url&gt;&lt;/related-urls&gt;&lt;/urls&gt;&lt;electronic-resource-num&gt;10.1021/acs.jpclett.6b00382&lt;/electronic-resource-num&gt;&lt;/record&gt;&lt;/Cite&gt;&lt;/EndNote&gt;</w:instrText>
      </w:r>
      <w:r>
        <w:fldChar w:fldCharType="separate"/>
      </w:r>
      <w:r w:rsidR="00FC5BEB" w:rsidRPr="00FC5BEB">
        <w:rPr>
          <w:noProof/>
          <w:vertAlign w:val="superscript"/>
        </w:rPr>
        <w:t>497, 498</w:t>
      </w:r>
      <w:r>
        <w:fldChar w:fldCharType="end"/>
      </w:r>
      <w:r>
        <w:t xml:space="preserve"> The second strategy consists of adopting a grand canonical approach, where the electronic charge in the electrode can vary as a function of the external bias and correspondingly the electrolyte screens the excess charge. Several implementations of this scheme have been proposed, mostly in combination with a continuum description of the electrolyte.</w:t>
      </w:r>
      <w:r>
        <w:fldChar w:fldCharType="begin">
          <w:fldData xml:space="preserve">PEVuZE5vdGU+PENpdGU+PEF1dGhvcj5EdWFuPC9BdXRob3I+PFllYXI+MjAyMTwvWWVhcj48UmVj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</w:fldData>
        </w:fldChar>
      </w:r>
      <w:r w:rsidR="00FC5BEB">
        <w:instrText xml:space="preserve"> ADDIN EN.CITE </w:instrText>
      </w:r>
      <w:r w:rsidR="00FC5BEB">
        <w:fldChar w:fldCharType="begin">
          <w:fldData xml:space="preserve">PEVuZE5vdGU+PENpdGU+PEF1dGhvcj5EdWFuPC9BdXRob3I+PFllYXI+MjAyMTwvWWVhcj48UmVj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</w:fldData>
        </w:fldChar>
      </w:r>
      <w:r w:rsidR="00FC5BEB">
        <w:instrText xml:space="preserve"> ADDIN EN.CITE.DATA </w:instrText>
      </w:r>
      <w:r w:rsidR="00FC5BEB">
        <w:fldChar w:fldCharType="end"/>
      </w:r>
      <w:r>
        <w:fldChar w:fldCharType="separate"/>
      </w:r>
      <w:r w:rsidR="00FC5BEB" w:rsidRPr="00FC5BEB">
        <w:rPr>
          <w:noProof/>
          <w:vertAlign w:val="superscript"/>
        </w:rPr>
        <w:t>460, 472, 482, 501, 509</w:t>
      </w:r>
      <w:r>
        <w:fldChar w:fldCharType="end"/>
      </w:r>
      <w:r>
        <w:t xml:space="preserve"> When applied to the OER on IrO</w:t>
      </w:r>
      <w:r w:rsidRPr="00100691">
        <w:rPr>
          <w:vertAlign w:val="subscript"/>
        </w:rPr>
        <w:t>2</w:t>
      </w:r>
      <w:r>
        <w:t>(110), the extrapolation technique predicts a large effect (transfer coefficient of 0.6) of the applied bias on the barrier for the O-O bond formation via the AEM.</w:t>
      </w:r>
      <w:r>
        <w:fldChar w:fldCharType="begin"/>
      </w:r>
      <w:r w:rsidR="00FC5BEB">
        <w:instrText xml:space="preserve"> ADDIN EN.CITE &lt;EndNote&gt;&lt;Cite&gt;&lt;Author&gt;Dickens&lt;/Author&gt;&lt;Year&gt;2019&lt;/Year&gt;&lt;RecNum&gt;397&lt;/RecNum&gt;&lt;DisplayText&gt;&lt;style face="superscript"&gt;399&lt;/style&gt;&lt;/DisplayText&gt;&lt;record&gt;&lt;rec-number&gt;397&lt;/rec-number&gt;&lt;foreign-keys&gt;&lt;key app="EN" db-id="2xex0erf4eexr4e2dpbxpdd829xttesxxxdr" timestamp="1715075297"&gt;397&lt;/key&gt;&lt;/foreign-keys&gt;&lt;ref-type name="Journal Article"&gt;17&lt;/ref-type&gt;&lt;contributors&gt;&lt;authors&gt;&lt;author&gt;Dickens, Colin F.&lt;/author&gt;&lt;author&gt;Kirk, Charlotte&lt;/author&gt;&lt;author&gt;Nørskov, Jens K.&lt;/author&gt;&lt;/authors&gt;&lt;/contributors&gt;&lt;titles&gt;&lt;title&gt;Insights into the Electrochemical Oxygen Evolution Reaction with ab Initio Calculations and Microkinetic Modeling: Beyond the Limiting Potential Volcano&lt;/title&gt;&lt;secondary-title&gt;Journal of Physical Chemistry C&lt;/secondary-title&gt;&lt;/titles&gt;&lt;periodical&gt;&lt;full-title&gt;Journal of Physical Chemistry C&lt;/full-title&gt;&lt;abbr-1&gt;J. Phys. Chem. C&lt;/abbr-1&gt;&lt;/periodical&gt;&lt;pages&gt;18960-18977&lt;/pages&gt;&lt;volume&gt;123&lt;/volume&gt;&lt;number&gt;31&lt;/number&gt;&lt;dates&gt;&lt;year&gt;2019&lt;/year&gt;&lt;pub-dates&gt;&lt;date&gt;2019/08/08&lt;/date&gt;&lt;/pub-dates&gt;&lt;/dates&gt;&lt;publisher&gt;American Chemical Society&lt;/publisher&gt;&lt;isbn&gt;1932-7447&lt;/isbn&gt;&lt;urls&gt;&lt;related-urls&gt;&lt;url&gt;https://doi.org/10.1021/acs.jpcc.9b03830&lt;/url&gt;&lt;/related-urls&gt;&lt;/urls&gt;&lt;electronic-resource-num&gt;10.1021/acs.jpcc.9b03830&lt;/electronic-resource-num&gt;&lt;/record&gt;&lt;/Cite&gt;&lt;/EndNote&gt;</w:instrText>
      </w:r>
      <w:r>
        <w:fldChar w:fldCharType="separate"/>
      </w:r>
      <w:r w:rsidR="00FC5BEB" w:rsidRPr="00FC5BEB">
        <w:rPr>
          <w:noProof/>
          <w:vertAlign w:val="superscript"/>
        </w:rPr>
        <w:t>399</w:t>
      </w:r>
      <w:r>
        <w:fldChar w:fldCharType="end"/>
      </w:r>
      <w:r>
        <w:t xml:space="preserve"> Grand canonical schemes have been applied assuming the O-O bond formation takes place via a purely chemical step, the dissociation of water. A large effect of the bias on the barrier has been predicted even in this case, since it is argued that charge is transferred from the reactant to the surface.</w:t>
      </w:r>
      <w:r>
        <w:fldChar w:fldCharType="begin">
          <w:fldData xml:space="preserve">PEVuZE5vdGU+PENpdGU+PEF1dGhvcj5EdWFuPC9BdXRob3I+PFllYXI+MjAyMTwvWWVhcj48UmVj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</w:fldData>
        </w:fldChar>
      </w:r>
      <w:r w:rsidR="00FC5BEB">
        <w:instrText xml:space="preserve"> ADDIN EN.CITE </w:instrText>
      </w:r>
      <w:r w:rsidR="00FC5BEB">
        <w:fldChar w:fldCharType="begin">
          <w:fldData xml:space="preserve">PEVuZE5vdGU+PENpdGU+PEF1dGhvcj5EdWFuPC9BdXRob3I+PFllYXI+MjAyMTwvWWVhcj48UmVj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</w:fldData>
        </w:fldChar>
      </w:r>
      <w:r w:rsidR="00FC5BEB">
        <w:instrText xml:space="preserve"> ADDIN EN.CITE.DATA </w:instrText>
      </w:r>
      <w:r w:rsidR="00FC5BEB">
        <w:fldChar w:fldCharType="end"/>
      </w:r>
      <w:r>
        <w:fldChar w:fldCharType="separate"/>
      </w:r>
      <w:r w:rsidR="00FC5BEB" w:rsidRPr="00FC5BEB">
        <w:rPr>
          <w:noProof/>
          <w:vertAlign w:val="superscript"/>
        </w:rPr>
        <w:t>265, 509</w:t>
      </w:r>
      <w:r>
        <w:fldChar w:fldCharType="end"/>
      </w:r>
      <w:r>
        <w:t xml:space="preserve"> Other works, based on different implementations and electrolyte models, predict instead negligibly small effects.</w:t>
      </w:r>
      <w:r w:rsidR="00A75396">
        <w:fldChar w:fldCharType="begin"/>
      </w:r>
      <w:r w:rsidR="00A75396">
        <w:instrText xml:space="preserve"> ADDIN EN.CITE &lt;EndNote&gt;&lt;Cite&gt;&lt;Author&gt;Nong&lt;/Author&gt;&lt;Year&gt;2020&lt;/Year&gt;&lt;RecNum&gt;63&lt;/RecNum&gt;&lt;DisplayText&gt;&lt;style face="superscript"&gt;63&lt;/style&gt;&lt;/DisplayText&gt;&lt;record&gt;&lt;rec-number&gt;63&lt;/rec-number&gt;&lt;foreign-keys&gt;&lt;key app="EN" db-id="2xex0erf4eexr4e2dpbxpdd829xttesxxxdr" timestamp="1715075296"&gt;63&lt;/key&gt;&lt;/foreign-keys&gt;&lt;ref-type name="Journal Article"&gt;17&lt;/ref-type&gt;&lt;contributors&gt;&lt;authors&gt;&lt;author&gt;Nong, Hong Nhan&lt;/author&gt;&lt;author&gt;Falling, Lorenz J.&lt;/author&gt;&lt;author&gt;Bergmann, Arno&lt;/author&gt;&lt;author&gt;Klingenhof, Malte&lt;/author&gt;&lt;author&gt;Tran, Hoang Phi&lt;/author&gt;&lt;author&gt;Spöri, Camillo&lt;/author&gt;&lt;author&gt;Mom, Rik&lt;/author&gt;&lt;author&gt;Timoshenko, Janis&lt;/author&gt;&lt;author&gt;Zichittella, Guido&lt;/author&gt;&lt;author&gt;Knop-Gericke, Axel&lt;/author&gt;&lt;author&gt;Piccinin, Simone&lt;/author&gt;&lt;author&gt;Pérez-Ramírez, Javier&lt;/author&gt;&lt;author&gt;Cuenya, Beatriz Roldan&lt;/author&gt;&lt;author&gt;Schlögl, Robert&lt;/author&gt;&lt;author&gt;Strasser, Peter&lt;/author&gt;&lt;author&gt;Teschner, Detre&lt;/author&gt;&lt;author&gt;Jones, Travis E.&lt;/author&gt;&lt;/authors&gt;&lt;/contributors&gt;&lt;titles&gt;&lt;title&gt;Key role of chemistry versus bias in electrocatalytic oxygen evolution&lt;/title&gt;&lt;secondary-title&gt;Nature&lt;/secondary-title&gt;&lt;/titles&gt;&lt;pages&gt;408-413&lt;/pages&gt;&lt;volume&gt;587&lt;/volume&gt;&lt;number&gt;7834&lt;/number&gt;&lt;dates&gt;&lt;year&gt;2020&lt;/year&gt;&lt;pub-dates&gt;&lt;date&gt;2020/11/01&lt;/date&gt;&lt;/pub-dates&gt;&lt;/dates&gt;&lt;isbn&gt;1476-4687&lt;/isbn&gt;&lt;urls&gt;&lt;related-urls&gt;&lt;url&gt;https://doi.org/10.1038/s41586-020-2908-2&lt;/url&gt;&lt;/related-urls&gt;&lt;/urls&gt;&lt;electronic-resource-num&gt;10.1038/s41586-020-2908-2&lt;/electronic-resource-num&gt;&lt;/record&gt;&lt;/Cite&gt;&lt;/EndNote&gt;</w:instrText>
      </w:r>
      <w:r w:rsidR="00A75396">
        <w:fldChar w:fldCharType="separate"/>
      </w:r>
      <w:r w:rsidR="00A75396" w:rsidRPr="00A75396">
        <w:rPr>
          <w:noProof/>
          <w:vertAlign w:val="superscript"/>
        </w:rPr>
        <w:t>63</w:t>
      </w:r>
      <w:r w:rsidR="00A75396">
        <w:fldChar w:fldCharType="end"/>
      </w:r>
      <w:r>
        <w:t xml:space="preserve">  </w:t>
      </w:r>
    </w:p>
    <w:p w14:paraId="53EE3B55" w14:textId="77777777" w:rsidR="006C1C9C" w:rsidRDefault="006C1C9C" w:rsidP="006C1C9C"/>
    <w:p w14:paraId="7566FE5F" w14:textId="2BB174AE" w:rsidR="006C1C9C" w:rsidRDefault="006C1C9C" w:rsidP="006C1C9C">
      <w:pPr>
        <w:ind w:firstLine="720"/>
      </w:pPr>
      <w:r>
        <w:t>Microkinetic models based on DFT data have been applied to the OER on IrO</w:t>
      </w:r>
      <w:r w:rsidRPr="0005177B">
        <w:rPr>
          <w:vertAlign w:val="subscript"/>
        </w:rPr>
        <w:t>2</w:t>
      </w:r>
      <w:r>
        <w:t>(110), in some cases with bias-dependent barriers</w:t>
      </w:r>
      <w:r>
        <w:fldChar w:fldCharType="begin">
          <w:fldData xml:space="preserve">PEVuZE5vdGU+PENpdGU+PEF1dGhvcj5EaWNrZW5zPC9BdXRob3I+PFllYXI+MjAxOTwvWWVhcj48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</w:fldData>
        </w:fldChar>
      </w:r>
      <w:r w:rsidR="00FC5BEB">
        <w:instrText xml:space="preserve"> ADDIN EN.CITE </w:instrText>
      </w:r>
      <w:r w:rsidR="00FC5BEB">
        <w:fldChar w:fldCharType="begin">
          <w:fldData xml:space="preserve">PEVuZE5vdGU+PENpdGU+PEF1dGhvcj5EaWNrZW5zPC9BdXRob3I+PFllYXI+MjAxOTwvWWVhcj48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</w:fldData>
        </w:fldChar>
      </w:r>
      <w:r w:rsidR="00FC5BEB">
        <w:instrText xml:space="preserve"> ADDIN EN.CITE.DATA </w:instrText>
      </w:r>
      <w:r w:rsidR="00FC5BEB">
        <w:fldChar w:fldCharType="end"/>
      </w:r>
      <w:r>
        <w:fldChar w:fldCharType="separate"/>
      </w:r>
      <w:r w:rsidR="00FC5BEB" w:rsidRPr="00FC5BEB">
        <w:rPr>
          <w:noProof/>
          <w:vertAlign w:val="superscript"/>
        </w:rPr>
        <w:t>265, 399, 483</w:t>
      </w:r>
      <w:r>
        <w:fldChar w:fldCharType="end"/>
      </w:r>
      <w:r>
        <w:t>, in other cases with coverage dependent barriers</w:t>
      </w:r>
      <w:r w:rsidR="00A75396">
        <w:fldChar w:fldCharType="begin"/>
      </w:r>
      <w:r w:rsidR="00A75396">
        <w:instrText xml:space="preserve"> ADDIN EN.CITE &lt;EndNote&gt;&lt;Cite&gt;&lt;Author&gt;Nong&lt;/Author&gt;&lt;Year&gt;2020&lt;/Year&gt;&lt;RecNum&gt;63&lt;/RecNum&gt;&lt;DisplayText&gt;&lt;style face="superscript"&gt;63&lt;/style&gt;&lt;/DisplayText&gt;&lt;record&gt;&lt;rec-number&gt;63&lt;/rec-number&gt;&lt;foreign-keys&gt;&lt;key app="EN" db-id="2xex0erf4eexr4e2dpbxpdd829xttesxxxdr" timestamp="1715075296"&gt;63&lt;/key&gt;&lt;/foreign-keys&gt;&lt;ref-type name="Journal Article"&gt;17&lt;/ref-type&gt;&lt;contributors&gt;&lt;authors&gt;&lt;author&gt;Nong, Hong Nhan&lt;/author&gt;&lt;author&gt;Falling, Lorenz J.&lt;/author&gt;&lt;author&gt;Bergmann, Arno&lt;/author&gt;&lt;author&gt;Klingenhof, Malte&lt;/author&gt;&lt;author&gt;Tran, Hoang Phi&lt;/author&gt;&lt;author&gt;Spöri, Camillo&lt;/author&gt;&lt;author&gt;Mom, Rik&lt;/author&gt;&lt;author&gt;Timoshenko, Janis&lt;/author&gt;&lt;author&gt;Zichittella, Guido&lt;/author&gt;&lt;author&gt;Knop-Gericke, Axel&lt;/author&gt;&lt;author&gt;Piccinin, Simone&lt;/author&gt;&lt;author&gt;Pérez-Ramírez, Javier&lt;/author&gt;&lt;author&gt;Cuenya, Beatriz Roldan&lt;/author&gt;&lt;author&gt;Schlögl, Robert&lt;/author&gt;&lt;author&gt;Strasser, Peter&lt;/author&gt;&lt;author&gt;Teschner, Detre&lt;/author&gt;&lt;author&gt;Jones, Travis E.&lt;/author&gt;&lt;/authors&gt;&lt;/contributors&gt;&lt;titles&gt;&lt;title&gt;Key role of chemistry versus bias in electrocatalytic oxygen evolution&lt;/title&gt;&lt;secondary-title&gt;Nature&lt;/secondary-title&gt;&lt;/titles&gt;&lt;pages&gt;408-413&lt;/pages&gt;&lt;volume&gt;587&lt;/volume&gt;&lt;number&gt;7834&lt;/number&gt;&lt;dates&gt;&lt;year&gt;2020&lt;/year&gt;&lt;pub-dates&gt;&lt;date&gt;2020/11/01&lt;/date&gt;&lt;/pub-dates&gt;&lt;/dates&gt;&lt;isbn&gt;1476-4687&lt;/isbn&gt;&lt;urls&gt;&lt;related-urls&gt;&lt;url&gt;https://doi.org/10.1038/s41586-020-2908-2&lt;/url&gt;&lt;/related-urls&gt;&lt;/urls&gt;&lt;electronic-resource-num&gt;10.1038/s41586-020-2908-2&lt;/electronic-resource-num&gt;&lt;/record&gt;&lt;/Cite&gt;&lt;/EndNote&gt;</w:instrText>
      </w:r>
      <w:r w:rsidR="00A75396">
        <w:fldChar w:fldCharType="separate"/>
      </w:r>
      <w:r w:rsidR="00A75396" w:rsidRPr="00A75396">
        <w:rPr>
          <w:noProof/>
          <w:vertAlign w:val="superscript"/>
        </w:rPr>
        <w:t>63</w:t>
      </w:r>
      <w:r w:rsidR="00A75396">
        <w:fldChar w:fldCharType="end"/>
      </w:r>
      <w:r>
        <w:t>, in all cases adopting the quasi-equilibrium assumption. The predictions are very sensitive to the DFT-related uncertainties, for example the adsorption energy of molecular oxygen.</w:t>
      </w:r>
      <w:r>
        <w:fldChar w:fldCharType="begin"/>
      </w:r>
      <w:r w:rsidR="00FC5BEB">
        <w:instrText xml:space="preserve"> ADDIN EN.CITE &lt;EndNote&gt;&lt;Cite&gt;&lt;Author&gt;Dickens&lt;/Author&gt;&lt;Year&gt;2019&lt;/Year&gt;&lt;RecNum&gt;397&lt;/RecNum&gt;&lt;DisplayText&gt;&lt;style face="superscript"&gt;399&lt;/style&gt;&lt;/DisplayText&gt;&lt;record&gt;&lt;rec-number&gt;397&lt;/rec-number&gt;&lt;foreign-keys&gt;&lt;key app="EN" db-id="2xex0erf4eexr4e2dpbxpdd829xttesxxxdr" timestamp="1715075297"&gt;397&lt;/key&gt;&lt;/foreign-keys&gt;&lt;ref-type name="Journal Article"&gt;17&lt;/ref-type&gt;&lt;contributors&gt;&lt;authors&gt;&lt;author&gt;Dickens, Colin F.&lt;/author&gt;&lt;author&gt;Kirk, Charlotte&lt;/author&gt;&lt;author&gt;Nørskov, Jens K.&lt;/author&gt;&lt;/authors&gt;&lt;/contributors&gt;&lt;titles&gt;&lt;title&gt;Insights into the Electrochemical Oxygen Evolution Reaction with ab Initio Calculations and Microkinetic Modeling: Beyond the Limiting Potential Volcano&lt;/title&gt;&lt;secondary-title&gt;Journal of Physical Chemistry C&lt;/secondary-title&gt;&lt;/titles&gt;&lt;periodical&gt;&lt;full-title&gt;Journal of Physical Chemistry C&lt;/full-title&gt;&lt;abbr-1&gt;J. Phys. Chem. C&lt;/abbr-1&gt;&lt;/periodical&gt;&lt;pages&gt;18960-18977&lt;/pages&gt;&lt;volume&gt;123&lt;/volume&gt;&lt;number&gt;31&lt;/number&gt;&lt;dates&gt;&lt;year&gt;2019&lt;/year&gt;&lt;pub-dates&gt;&lt;date&gt;2019/08/08&lt;/date&gt;&lt;/pub-dates&gt;&lt;/dates&gt;&lt;publisher&gt;American Chemical Society&lt;/publisher&gt;&lt;isbn&gt;1932-7447&lt;/isbn&gt;&lt;urls&gt;&lt;related-urls&gt;&lt;url&gt;https://doi.org/10.1021/acs.jpcc.9b03830&lt;/url&gt;&lt;/related-urls&gt;&lt;/urls&gt;&lt;electronic-resource-num&gt;10.1021/acs.jpcc.9b03830&lt;/electronic-resource-num&gt;&lt;/record&gt;&lt;/Cite&gt;&lt;/EndNote&gt;</w:instrText>
      </w:r>
      <w:r>
        <w:fldChar w:fldCharType="separate"/>
      </w:r>
      <w:r w:rsidR="00FC5BEB" w:rsidRPr="00FC5BEB">
        <w:rPr>
          <w:noProof/>
          <w:vertAlign w:val="superscript"/>
        </w:rPr>
        <w:t>399</w:t>
      </w:r>
      <w:r>
        <w:fldChar w:fldCharType="end"/>
      </w:r>
      <w:r>
        <w:t xml:space="preserve"> The comparison with experiment is some cases poor, with Tafel slopes deviating significantly from experiments, especially at high anodic bias</w:t>
      </w:r>
      <w:r>
        <w:fldChar w:fldCharType="begin">
          <w:fldData xml:space="preserve">PEVuZE5vdGU+PENpdGU+PEF1dGhvcj5QaW5nPC9BdXRob3I+PFllYXI+MjAxNzwvWWVhcj48UmVj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</w:fldData>
        </w:fldChar>
      </w:r>
      <w:r w:rsidR="00FC5BEB">
        <w:instrText xml:space="preserve"> ADDIN EN.CITE </w:instrText>
      </w:r>
      <w:r w:rsidR="00FC5BEB">
        <w:fldChar w:fldCharType="begin">
          <w:fldData xml:space="preserve">PEVuZE5vdGU+PENpdGU+PEF1dGhvcj5QaW5nPC9BdXRob3I+PFllYXI+MjAxNzwvWWVhcj48UmVj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</w:fldData>
        </w:fldChar>
      </w:r>
      <w:r w:rsidR="00FC5BEB">
        <w:instrText xml:space="preserve"> ADDIN EN.CITE.DATA </w:instrText>
      </w:r>
      <w:r w:rsidR="00FC5BEB">
        <w:fldChar w:fldCharType="end"/>
      </w:r>
      <w:r>
        <w:fldChar w:fldCharType="separate"/>
      </w:r>
      <w:r w:rsidR="00FC5BEB" w:rsidRPr="00FC5BEB">
        <w:rPr>
          <w:noProof/>
          <w:vertAlign w:val="superscript"/>
        </w:rPr>
        <w:t>265, 483</w:t>
      </w:r>
      <w:r>
        <w:fldChar w:fldCharType="end"/>
      </w:r>
      <w:r>
        <w:t>, in other cases more favorable.</w:t>
      </w:r>
      <w:r w:rsidR="00A75396">
        <w:fldChar w:fldCharType="begin"/>
      </w:r>
      <w:r w:rsidR="00A75396">
        <w:instrText xml:space="preserve"> ADDIN EN.CITE &lt;EndNote&gt;&lt;Cite&gt;&lt;Author&gt;Nong&lt;/Author&gt;&lt;Year&gt;2020&lt;/Year&gt;&lt;RecNum&gt;63&lt;/RecNum&gt;&lt;DisplayText&gt;&lt;style face="superscript"&gt;63&lt;/style&gt;&lt;/DisplayText&gt;&lt;record&gt;&lt;rec-number&gt;63&lt;/rec-number&gt;&lt;foreign-keys&gt;&lt;key app="EN" db-id="2xex0erf4eexr4e2dpbxpdd829xttesxxxdr" timestamp="1715075296"&gt;63&lt;/key&gt;&lt;/foreign-keys&gt;&lt;ref-type name="Journal Article"&gt;17&lt;/ref-type&gt;&lt;contributors&gt;&lt;authors&gt;&lt;author&gt;Nong, Hong Nhan&lt;/author&gt;&lt;author&gt;Falling, Lorenz J.&lt;/author&gt;&lt;author&gt;Bergmann, Arno&lt;/author&gt;&lt;author&gt;Klingenhof, Malte&lt;/author&gt;&lt;author&gt;Tran, Hoang Phi&lt;/author&gt;&lt;author&gt;Spöri, Camillo&lt;/author&gt;&lt;author&gt;Mom, Rik&lt;/author&gt;&lt;author&gt;Timoshenko, Janis&lt;/author&gt;&lt;author&gt;Zichittella, Guido&lt;/author&gt;&lt;author&gt;Knop-Gericke, Axel&lt;/author&gt;&lt;author&gt;Piccinin, Simone&lt;/author&gt;&lt;author&gt;Pérez-Ramírez, Javier&lt;/author&gt;&lt;author&gt;Cuenya, Beatriz Roldan&lt;/author&gt;&lt;author&gt;Schlögl, Robert&lt;/author&gt;&lt;author&gt;Strasser, Peter&lt;/author&gt;&lt;author&gt;Teschner, Detre&lt;/author&gt;&lt;author&gt;Jones, Travis E.&lt;/author&gt;&lt;/authors&gt;&lt;/contributors&gt;&lt;titles&gt;&lt;title&gt;Key role of chemistry versus bias in electrocatalytic oxygen evolution&lt;/title&gt;&lt;secondary-title&gt;Nature&lt;/secondary-title&gt;&lt;/titles&gt;&lt;pages&gt;408-413&lt;/pages&gt;&lt;volume&gt;587&lt;/volume&gt;&lt;number&gt;7834&lt;/number&gt;&lt;dates&gt;&lt;year&gt;2020&lt;/year&gt;&lt;pub-dates&gt;&lt;date&gt;2020/11/01&lt;/date&gt;&lt;/pub-dates&gt;&lt;/dates&gt;&lt;isbn&gt;1476-4687&lt;/isbn&gt;&lt;urls&gt;&lt;related-urls&gt;&lt;url&gt;https://doi.org/10.1038/s41586-020-2908-2&lt;/url&gt;&lt;/related-urls&gt;&lt;/urls&gt;&lt;electronic-resource-num&gt;10.1038/s41586-020-2908-2&lt;/electronic-resource-num&gt;&lt;/record&gt;&lt;/Cite&gt;&lt;/EndNote&gt;</w:instrText>
      </w:r>
      <w:r w:rsidR="00A75396">
        <w:fldChar w:fldCharType="separate"/>
      </w:r>
      <w:r w:rsidR="00A75396" w:rsidRPr="00A75396">
        <w:rPr>
          <w:noProof/>
          <w:vertAlign w:val="superscript"/>
        </w:rPr>
        <w:t>63</w:t>
      </w:r>
      <w:r w:rsidR="00A75396">
        <w:fldChar w:fldCharType="end"/>
      </w:r>
      <w:r>
        <w:t xml:space="preserve"> The parameters entering the microkinetic models can also be fitted to match experimental polarization curves.</w:t>
      </w:r>
      <w:r>
        <w:fldChar w:fldCharType="begin"/>
      </w:r>
      <w:r w:rsidR="00FC5BEB">
        <w:instrText xml:space="preserve"> ADDIN EN.CITE &lt;EndNote&gt;&lt;Cite&gt;&lt;Author&gt;Geppert&lt;/Author&gt;&lt;Year&gt;2021&lt;/Year&gt;&lt;RecNum&gt;520&lt;/RecNum&gt;&lt;DisplayText&gt;&lt;style face="superscript"&gt;522&lt;/style&gt;&lt;/DisplayText&gt;&lt;record&gt;&lt;rec-number&gt;520&lt;/rec-number&gt;&lt;foreign-keys&gt;&lt;key app="EN" db-id="2xex0erf4eexr4e2dpbxpdd829xttesxxxdr" timestamp="1715075297"&gt;520&lt;/key&gt;&lt;/foreign-keys&gt;&lt;ref-type name="Journal Article"&gt;17&lt;/ref-type&gt;&lt;contributors&gt;&lt;authors&gt;&lt;author&gt;Geppert, Janis&lt;/author&gt;&lt;author&gt;Kubannek, Fabian&lt;/author&gt;&lt;author&gt;Röse, Philipp&lt;/author&gt;&lt;author&gt;Krewer, Ulrike&lt;/author&gt;&lt;/authors&gt;&lt;/contributors&gt;&lt;titles&gt;&lt;title&gt;Identifying the oxygen evolution mechanism by microkinetic modelling of cyclic voltammograms&lt;/title&gt;&lt;secondary-title&gt;Electrochimica Acta&lt;/secondary-title&gt;&lt;/titles&gt;&lt;periodical&gt;&lt;full-title&gt;Electrochimica Acta&lt;/full-title&gt;&lt;abbr-1&gt;Electrochim. Acta&lt;/abbr-1&gt;&lt;abbr-2&gt;Electrochim Acta&lt;/abbr-2&gt;&lt;/periodical&gt;&lt;pages&gt;137902&lt;/pages&gt;&lt;volume&gt;380&lt;/volume&gt;&lt;keywords&gt;&lt;keyword&gt;Hydrous iridium&lt;/keyword&gt;&lt;keyword&gt;Oxygen evolution reaction&lt;/keyword&gt;&lt;keyword&gt;Mechanistic study&lt;/keyword&gt;&lt;keyword&gt;Reaction kinetics&lt;/keyword&gt;&lt;keyword&gt;Surface coverage&lt;/keyword&gt;&lt;keyword&gt;Electrocatalytic watersplitting&lt;/keyword&gt;&lt;keyword&gt;Dynamic simulation&lt;/keyword&gt;&lt;/keywords&gt;&lt;dates&gt;&lt;year&gt;2021&lt;/year&gt;&lt;pub-dates&gt;&lt;date&gt;2021/06/01/&lt;/date&gt;&lt;/pub-dates&gt;&lt;/dates&gt;&lt;isbn&gt;0013-4686&lt;/isbn&gt;&lt;urls&gt;&lt;related-urls&gt;&lt;url&gt;https://www.sciencedirect.com/science/article/pii/S0013468621001924&lt;/url&gt;&lt;/related-urls&gt;&lt;/urls&gt;&lt;electronic-resource-num&gt;https://doi.org/10.1016/j.electacta.2021.137902&lt;/electronic-resource-num&gt;&lt;/record&gt;&lt;/Cite&gt;&lt;/EndNote&gt;</w:instrText>
      </w:r>
      <w:r>
        <w:fldChar w:fldCharType="separate"/>
      </w:r>
      <w:r w:rsidR="00FC5BEB" w:rsidRPr="00FC5BEB">
        <w:rPr>
          <w:noProof/>
          <w:vertAlign w:val="superscript"/>
        </w:rPr>
        <w:t>522</w:t>
      </w:r>
      <w:r>
        <w:fldChar w:fldCharType="end"/>
      </w:r>
      <w:r>
        <w:t xml:space="preserve"> The fitted parameters can then </w:t>
      </w:r>
      <w:r>
        <w:lastRenderedPageBreak/>
        <w:t xml:space="preserve">be tested against theory and the emergence of large discrepancies can raise some doubts regarding either the accuracy of the theoretical simulations or the assumptions of the fitted model.   </w:t>
      </w:r>
    </w:p>
    <w:p w14:paraId="0B398231" w14:textId="77777777" w:rsidR="006C1C9C" w:rsidRDefault="006C1C9C" w:rsidP="006C1C9C"/>
    <w:p w14:paraId="3844590F" w14:textId="2B1B758B" w:rsidR="006C1C9C" w:rsidRDefault="006C1C9C" w:rsidP="006C1C9C">
      <w:pPr>
        <w:ind w:firstLine="720"/>
      </w:pPr>
      <w:r>
        <w:t>Microkinetic models have also been applied to model the OER on Ni, Co and Ni-Fe oxyhydroxides, in some cases using DFT input parameters, in other cases fitting against experiments.</w:t>
      </w:r>
      <w:r>
        <w:fldChar w:fldCharType="begin">
          <w:fldData xml:space="preserve">PEVuZE5vdGU+PENpdGU+PEF1dGhvcj5Hb3ZpbmQgUmFqYW48L0F1dGhvcj48WWVhcj4yMDIwPC9Z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</w:fldData>
        </w:fldChar>
      </w:r>
      <w:r w:rsidR="00FC5BEB">
        <w:instrText xml:space="preserve"> ADDIN EN.CITE </w:instrText>
      </w:r>
      <w:r w:rsidR="00FC5BEB">
        <w:fldChar w:fldCharType="begin">
          <w:fldData xml:space="preserve">PEVuZE5vdGU+PENpdGU+PEF1dGhvcj5Hb3ZpbmQgUmFqYW48L0F1dGhvcj48WWVhcj4yMDIwPC9Z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</w:fldData>
        </w:fldChar>
      </w:r>
      <w:r w:rsidR="00FC5BEB">
        <w:instrText xml:space="preserve"> ADDIN EN.CITE.DATA </w:instrText>
      </w:r>
      <w:r w:rsidR="00FC5BEB">
        <w:fldChar w:fldCharType="end"/>
      </w:r>
      <w:r>
        <w:fldChar w:fldCharType="separate"/>
      </w:r>
      <w:r w:rsidR="00FC5BEB" w:rsidRPr="00FC5BEB">
        <w:rPr>
          <w:noProof/>
          <w:vertAlign w:val="superscript"/>
        </w:rPr>
        <w:t>516, 526</w:t>
      </w:r>
      <w:r>
        <w:fldChar w:fldCharType="end"/>
      </w:r>
      <w:r>
        <w:t xml:space="preserve"> Comparison of the predicted </w:t>
      </w:r>
      <w:r w:rsidR="007D7260">
        <w:rPr>
          <w:i/>
        </w:rPr>
        <w:t>j</w:t>
      </w:r>
      <w:r w:rsidRPr="006F1D41">
        <w:rPr>
          <w:i/>
        </w:rPr>
        <w:t>-V</w:t>
      </w:r>
      <w:r>
        <w:t xml:space="preserve"> polarization curves against experiments appears in </w:t>
      </w:r>
      <w:r w:rsidR="00627A21">
        <w:t xml:space="preserve">most </w:t>
      </w:r>
      <w:r>
        <w:t>cases excellent, even though the adopted mechanisms are different</w:t>
      </w:r>
      <w:r w:rsidR="009513F7">
        <w:fldChar w:fldCharType="begin">
          <w:fldData xml:space="preserve">PEVuZE5vdGU+PENpdGU+PEF1dGhvcj5XYW5nPC9BdXRob3I+PFllYXI+MjAyMzwvWWVhcj48UmVj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=
</w:fldData>
        </w:fldChar>
      </w:r>
      <w:r w:rsidR="00FC5BEB">
        <w:instrText xml:space="preserve"> ADDIN EN.CITE </w:instrText>
      </w:r>
      <w:r w:rsidR="00FC5BEB">
        <w:fldChar w:fldCharType="begin">
          <w:fldData xml:space="preserve">PEVuZE5vdGU+PENpdGU+PEF1dGhvcj5XYW5nPC9BdXRob3I+PFllYXI+MjAyMzwvWWVhcj48UmVj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=
</w:fldData>
        </w:fldChar>
      </w:r>
      <w:r w:rsidR="00FC5BEB">
        <w:instrText xml:space="preserve"> ADDIN EN.CITE.DATA </w:instrText>
      </w:r>
      <w:r w:rsidR="00FC5BEB">
        <w:fldChar w:fldCharType="end"/>
      </w:r>
      <w:r w:rsidR="009513F7">
        <w:fldChar w:fldCharType="separate"/>
      </w:r>
      <w:r w:rsidR="00FC5BEB" w:rsidRPr="00FC5BEB">
        <w:rPr>
          <w:noProof/>
          <w:vertAlign w:val="superscript"/>
        </w:rPr>
        <w:t>65, 484</w:t>
      </w:r>
      <w:r w:rsidR="009513F7">
        <w:fldChar w:fldCharType="end"/>
      </w:r>
      <w:r>
        <w:t xml:space="preserve">, which suggests further mechanistic validation beyond </w:t>
      </w:r>
      <w:r w:rsidR="007D7260">
        <w:rPr>
          <w:i/>
        </w:rPr>
        <w:t>j</w:t>
      </w:r>
      <w:r w:rsidRPr="00563BBB">
        <w:rPr>
          <w:i/>
        </w:rPr>
        <w:t>-V</w:t>
      </w:r>
      <w:r>
        <w:t xml:space="preserve"> curves is necessary. And while coverages of the intermediates are difficult to measure in </w:t>
      </w:r>
      <w:r w:rsidR="00FE64CB" w:rsidRPr="00FE64CB">
        <w:rPr>
          <w:i/>
          <w:iCs/>
        </w:rPr>
        <w:t>operando</w:t>
      </w:r>
      <w:r>
        <w:t>, the impact of the changes of the electrolyte composition (i.e. pH and counterions) can be tested. The pH can have a large effect on the activity of OER catalysts: at fixed potential on the RHE scale, perovskites can exhibit a close to order 1 dependence on the concentration of hydroxide anions</w:t>
      </w:r>
      <w:r>
        <w:fldChar w:fldCharType="begin">
          <w:fldData xml:space="preserve">PEVuZE5vdGU+PENpdGU+PEF1dGhvcj5MaTwvQXV0aG9yPjxZZWFyPjIwMTk8L1llYXI+PFJlY051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</w:fldData>
        </w:fldChar>
      </w:r>
      <w:r w:rsidR="00FC5BEB">
        <w:instrText xml:space="preserve"> ADDIN EN.CITE </w:instrText>
      </w:r>
      <w:r w:rsidR="00FC5BEB">
        <w:fldChar w:fldCharType="begin">
          <w:fldData xml:space="preserve">PEVuZE5vdGU+PENpdGU+PEF1dGhvcj5MaTwvQXV0aG9yPjxZZWFyPjIwMTk8L1llYXI+PFJlY051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</w:fldData>
        </w:fldChar>
      </w:r>
      <w:r w:rsidR="00FC5BEB">
        <w:instrText xml:space="preserve"> ADDIN EN.CITE.DATA </w:instrText>
      </w:r>
      <w:r w:rsidR="00FC5BEB">
        <w:fldChar w:fldCharType="end"/>
      </w:r>
      <w:r>
        <w:fldChar w:fldCharType="separate"/>
      </w:r>
      <w:r w:rsidR="00FC5BEB" w:rsidRPr="00FC5BEB">
        <w:rPr>
          <w:noProof/>
          <w:vertAlign w:val="superscript"/>
        </w:rPr>
        <w:t>315, 363</w:t>
      </w:r>
      <w:r>
        <w:fldChar w:fldCharType="end"/>
      </w:r>
      <w:r>
        <w:t>, a finding incompatible with a sequence of PCET steps, as often assumed in CHE calculations, and symptomatic of the involvement of lattice oxygen in the reaction mechanism (LOM). Redox peaks in rutile-type IrO</w:t>
      </w:r>
      <w:r w:rsidRPr="00497C9E">
        <w:rPr>
          <w:vertAlign w:val="subscript"/>
        </w:rPr>
        <w:t>2</w:t>
      </w:r>
      <w:r>
        <w:t>(110) thin films display non-Nernstian behavior</w:t>
      </w:r>
      <w:r>
        <w:fldChar w:fldCharType="begin">
          <w:fldData xml:space="preserve">PEVuZE5vdGU+PENpdGU+PEF1dGhvcj5LdW88L0F1dGhvcj48WWVhcj4yMDE3PC9ZZWFyPjxSZWNO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</w:fldData>
        </w:fldChar>
      </w:r>
      <w:r w:rsidR="00FC5BEB">
        <w:instrText xml:space="preserve"> ADDIN EN.CITE </w:instrText>
      </w:r>
      <w:r w:rsidR="00FC5BEB">
        <w:fldChar w:fldCharType="begin">
          <w:fldData xml:space="preserve">PEVuZE5vdGU+PENpdGU+PEF1dGhvcj5LdW88L0F1dGhvcj48WWVhcj4yMDE3PC9ZZWFyPjxSZWNO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</w:fldData>
        </w:fldChar>
      </w:r>
      <w:r w:rsidR="00FC5BEB">
        <w:instrText xml:space="preserve"> ADDIN EN.CITE.DATA </w:instrText>
      </w:r>
      <w:r w:rsidR="00FC5BEB">
        <w:fldChar w:fldCharType="end"/>
      </w:r>
      <w:r>
        <w:fldChar w:fldCharType="separate"/>
      </w:r>
      <w:r w:rsidR="00FC5BEB" w:rsidRPr="00FC5BEB">
        <w:rPr>
          <w:noProof/>
          <w:vertAlign w:val="superscript"/>
        </w:rPr>
        <w:t>126, 441</w:t>
      </w:r>
      <w:r>
        <w:fldChar w:fldCharType="end"/>
      </w:r>
      <w:r>
        <w:t>, also in this case casting doubts on mechanisms consisting solely of PCET steps. Experiments on IrO</w:t>
      </w:r>
      <w:r w:rsidRPr="004867E5">
        <w:rPr>
          <w:vertAlign w:val="subscript"/>
        </w:rPr>
        <w:t>2</w:t>
      </w:r>
      <w:r>
        <w:t xml:space="preserve"> as well as other catalysts have proved that the nature of the electrolyte (e.g. buffered or unbuffered or different counterion species) plays a role too.</w:t>
      </w:r>
      <w:r>
        <w:fldChar w:fldCharType="begin">
          <w:fldData xml:space="preserve">PEVuZE5vdGU+PENpdGU+PEF1dGhvcj5NaW5ndXp6aTwvQXV0aG9yPjxZZWFyPjIwMTI8L1llYXI+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==
</w:fldData>
        </w:fldChar>
      </w:r>
      <w:r w:rsidR="00FC5BEB">
        <w:instrText xml:space="preserve"> ADDIN EN.CITE </w:instrText>
      </w:r>
      <w:r w:rsidR="00FC5BEB">
        <w:fldChar w:fldCharType="begin">
          <w:fldData xml:space="preserve">PEVuZE5vdGU+PENpdGU+PEF1dGhvcj5NaW5ndXp6aTwvQXV0aG9yPjxZZWFyPjIwMTI8L1llYXI+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==
</w:fldData>
        </w:fldChar>
      </w:r>
      <w:r w:rsidR="00FC5BEB">
        <w:instrText xml:space="preserve"> ADDIN EN.CITE.DATA </w:instrText>
      </w:r>
      <w:r w:rsidR="00FC5BEB">
        <w:fldChar w:fldCharType="end"/>
      </w:r>
      <w:r>
        <w:fldChar w:fldCharType="separate"/>
      </w:r>
      <w:r w:rsidR="00FC5BEB" w:rsidRPr="00FC5BEB">
        <w:rPr>
          <w:noProof/>
          <w:vertAlign w:val="superscript"/>
        </w:rPr>
        <w:t>422, 443, 444</w:t>
      </w:r>
      <w:r>
        <w:fldChar w:fldCharType="end"/>
      </w:r>
      <w:r>
        <w:t xml:space="preserve"> The effects or electrolyte composition are particularly large in perovskites and oxyhydroxides.</w:t>
      </w:r>
      <w:r>
        <w:fldChar w:fldCharType="begin">
          <w:fldData xml:space="preserve">PEVuZE5vdGU+PENpdGU+PEF1dGhvcj5EdWFuPC9BdXRob3I+PFllYXI+MjAyMDwvWWVhcj48UmVj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</w:fldData>
        </w:fldChar>
      </w:r>
      <w:r w:rsidR="00FC5BEB">
        <w:instrText xml:space="preserve"> ADDIN EN.CITE </w:instrText>
      </w:r>
      <w:r w:rsidR="00FC5BEB">
        <w:fldChar w:fldCharType="begin">
          <w:fldData xml:space="preserve">PEVuZE5vdGU+PENpdGU+PEF1dGhvcj5EdWFuPC9BdXRob3I+PFllYXI+MjAyMDwvWWVhcj48UmVj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</w:fldData>
        </w:fldChar>
      </w:r>
      <w:r w:rsidR="00FC5BEB">
        <w:instrText xml:space="preserve"> ADDIN EN.CITE.DATA </w:instrText>
      </w:r>
      <w:r w:rsidR="00FC5BEB">
        <w:fldChar w:fldCharType="end"/>
      </w:r>
      <w:r>
        <w:fldChar w:fldCharType="separate"/>
      </w:r>
      <w:r w:rsidR="00FC5BEB" w:rsidRPr="00FC5BEB">
        <w:rPr>
          <w:noProof/>
          <w:vertAlign w:val="superscript"/>
        </w:rPr>
        <w:t>440, 447</w:t>
      </w:r>
      <w:r>
        <w:fldChar w:fldCharType="end"/>
      </w:r>
      <w:r>
        <w:t xml:space="preserve"> In spite of their relevance, save for few notable exceptions</w:t>
      </w:r>
      <w:r>
        <w:fldChar w:fldCharType="begin">
          <w:fldData xml:space="preserve">PEVuZE5vdGU+PENpdGU+PEF1dGhvcj5Hb3ZpbmQgUmFqYW48L0F1dGhvcj48WWVhcj4yMDIwPC9Z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</w:fldData>
        </w:fldChar>
      </w:r>
      <w:r w:rsidR="00FC5BEB">
        <w:instrText xml:space="preserve"> ADDIN EN.CITE </w:instrText>
      </w:r>
      <w:r w:rsidR="00FC5BEB">
        <w:fldChar w:fldCharType="begin">
          <w:fldData xml:space="preserve">PEVuZE5vdGU+PENpdGU+PEF1dGhvcj5Hb3ZpbmQgUmFqYW48L0F1dGhvcj48WWVhcj4yMDIwPC9Z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</w:fldData>
        </w:fldChar>
      </w:r>
      <w:r w:rsidR="00FC5BEB">
        <w:instrText xml:space="preserve"> ADDIN EN.CITE.DATA </w:instrText>
      </w:r>
      <w:r w:rsidR="00FC5BEB">
        <w:fldChar w:fldCharType="end"/>
      </w:r>
      <w:r>
        <w:fldChar w:fldCharType="separate"/>
      </w:r>
      <w:r w:rsidR="00FC5BEB" w:rsidRPr="00FC5BEB">
        <w:rPr>
          <w:noProof/>
          <w:vertAlign w:val="superscript"/>
        </w:rPr>
        <w:t>526, 529</w:t>
      </w:r>
      <w:r>
        <w:fldChar w:fldCharType="end"/>
      </w:r>
      <w:r>
        <w:t>, the effects of pH and electrolyte composition in the OER have received very little attention by the theoretical community. This is partly due to the difficulty in controlling pH in first principles simulations, where the number of atoms is conserved</w:t>
      </w:r>
      <w:r>
        <w:fldChar w:fldCharType="begin">
          <w:fldData xml:space="preserve">PEVuZE5vdGU+PENpdGU+PEF1dGhvcj5CYWdnZXI8L0F1dGhvcj48WWVhcj4yMDIwPC9ZZWFyPjxS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</w:fldData>
        </w:fldChar>
      </w:r>
      <w:r w:rsidR="00FC5BEB">
        <w:instrText xml:space="preserve"> ADDIN EN.CITE </w:instrText>
      </w:r>
      <w:r w:rsidR="00FC5BEB">
        <w:fldChar w:fldCharType="begin">
          <w:fldData xml:space="preserve">PEVuZE5vdGU+PENpdGU+PEF1dGhvcj5CYWdnZXI8L0F1dGhvcj48WWVhcj4yMDIwPC9ZZWFyPjxS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</w:fldData>
        </w:fldChar>
      </w:r>
      <w:r w:rsidR="00FC5BEB">
        <w:instrText xml:space="preserve"> ADDIN EN.CITE.DATA </w:instrText>
      </w:r>
      <w:r w:rsidR="00FC5BEB">
        <w:fldChar w:fldCharType="end"/>
      </w:r>
      <w:r>
        <w:fldChar w:fldCharType="separate"/>
      </w:r>
      <w:r w:rsidR="00FC5BEB" w:rsidRPr="00FC5BEB">
        <w:rPr>
          <w:noProof/>
          <w:vertAlign w:val="superscript"/>
        </w:rPr>
        <w:t>450, 491</w:t>
      </w:r>
      <w:r>
        <w:fldChar w:fldCharType="end"/>
      </w:r>
      <w:r>
        <w:t xml:space="preserve">, and also because modeling ionic species and their solvation shells require large cells and painfully long </w:t>
      </w:r>
      <w:r w:rsidR="009829BB">
        <w:t>MD</w:t>
      </w:r>
      <w:r>
        <w:t xml:space="preserve"> simulations. In fact, when these effects have been included in the models, it has been done via implicit descriptions of the electrolyte, in the case of the OER</w:t>
      </w:r>
      <w:r>
        <w:fldChar w:fldCharType="begin"/>
      </w:r>
      <w:r w:rsidR="00FC5BEB">
        <w:instrText xml:space="preserve"> ADDIN EN.CITE &lt;EndNote&gt;&lt;Cite&gt;&lt;Author&gt;Huang&lt;/Author&gt;&lt;Year&gt;2021&lt;/Year&gt;&lt;RecNum&gt;527&lt;/RecNum&gt;&lt;DisplayText&gt;&lt;style face="superscript"&gt;529&lt;/style&gt;&lt;/DisplayText&gt;&lt;record&gt;&lt;rec-number&gt;527&lt;/rec-number&gt;&lt;foreign-keys&gt;&lt;key app="EN" db-id="2xex0erf4eexr4e2dpbxpdd829xttesxxxdr" timestamp="1715075297"&gt;527&lt;/key&gt;&lt;/foreign-keys&gt;&lt;ref-type name="Journal Article"&gt;17&lt;/ref-type&gt;&lt;contributors&gt;&lt;authors&gt;&lt;author&gt;Huang, Jun&lt;/author&gt;&lt;author&gt;Li, Mengru&lt;/author&gt;&lt;author&gt;Eslamibidgoli, Mohammad J.&lt;/author&gt;&lt;author&gt;Eikerling, Michael&lt;/author&gt;&lt;author&gt;Groß, Axel&lt;/author&gt;&lt;/authors&gt;&lt;/contributors&gt;&lt;titles&gt;&lt;title&gt;Cation Overcrowding Effect on the Oxygen Evolution Reaction&lt;/title&gt;&lt;secondary-title&gt;JACS Au&lt;/secondary-title&gt;&lt;/titles&gt;&lt;pages&gt;1752-1765&lt;/pages&gt;&lt;volume&gt;1&lt;/volume&gt;&lt;number&gt;10&lt;/number&gt;&lt;keywords&gt;&lt;keyword&gt;Electric double layer&lt;/keyword&gt;&lt;keyword&gt;Electrolyte cation effects&lt;/keyword&gt;&lt;keyword&gt;Hydrogen production&lt;/keyword&gt;&lt;keyword&gt;Local reaction condition&lt;/keyword&gt;&lt;keyword&gt;Oxygen evolution reaction&lt;/keyword&gt;&lt;keyword&gt;Surface charging effects&lt;/keyword&gt;&lt;/keywords&gt;&lt;dates&gt;&lt;year&gt;2021&lt;/year&gt;&lt;/dates&gt;&lt;urls&gt;&lt;related-urls&gt;&lt;url&gt;https://www.ncbi.nlm.nih.gov/pmc/articles/PMC8549051/pdf/au1c00315.pdf&lt;/url&gt;&lt;/related-urls&gt;&lt;pdf-urls&gt;&lt;url&gt;file://localhost/localhost/Users/piccinin/Literature/huang-et-al-2021-cation-overcrowding-effect-on-the-oxygen-evolution-reaction.pdf&lt;/url&gt;&lt;/pdf-urls&gt;&lt;/urls&gt;&lt;electronic-resource-num&gt;10.1021/jacsau.1c00315&lt;/electronic-resource-num&gt;&lt;/record&gt;&lt;/Cite&gt;&lt;/EndNote&gt;</w:instrText>
      </w:r>
      <w:r>
        <w:fldChar w:fldCharType="separate"/>
      </w:r>
      <w:r w:rsidR="00FC5BEB" w:rsidRPr="00FC5BEB">
        <w:rPr>
          <w:noProof/>
          <w:vertAlign w:val="superscript"/>
        </w:rPr>
        <w:t>529</w:t>
      </w:r>
      <w:r>
        <w:fldChar w:fldCharType="end"/>
      </w:r>
      <w:r>
        <w:t>, and also in the case of CO</w:t>
      </w:r>
      <w:r w:rsidRPr="00CC3EFB">
        <w:rPr>
          <w:vertAlign w:val="subscript"/>
        </w:rPr>
        <w:t>2</w:t>
      </w:r>
      <w:r>
        <w:t xml:space="preserve"> reduction.</w:t>
      </w:r>
      <w:r>
        <w:fldChar w:fldCharType="begin"/>
      </w:r>
      <w:r w:rsidR="00FC5BEB">
        <w:instrText xml:space="preserve"> ADDIN EN.CITE &lt;EndNote&gt;&lt;Cite&gt;&lt;Author&gt;Ringe&lt;/Author&gt;&lt;Year&gt;2019&lt;/Year&gt;&lt;RecNum&gt;539&lt;/RecNum&gt;&lt;DisplayText&gt;&lt;style face="superscript"&gt;541&lt;/style&gt;&lt;/DisplayText&gt;&lt;record&gt;&lt;rec-number&gt;539&lt;/rec-number&gt;&lt;foreign-keys&gt;&lt;key app="EN" db-id="2xex0erf4eexr4e2dpbxpdd829xttesxxxdr" timestamp="1715075297"&gt;539&lt;/key&gt;&lt;/foreign-keys&gt;&lt;ref-type name="Journal Article"&gt;17&lt;/ref-type&gt;&lt;contributors&gt;&lt;authors&gt;&lt;author&gt;Ringe, Stefan&lt;/author&gt;&lt;author&gt;Clark, Ezra L.&lt;/author&gt;&lt;author&gt;Resasco, Joaquin&lt;/author&gt;&lt;author&gt;Walton, Amber&lt;/author&gt;&lt;author&gt;Seger, Brian&lt;/author&gt;&lt;author&gt;Bell, Alexis T.&lt;/author&gt;&lt;author&gt;Chan, Karen&lt;/author&gt;&lt;/authors&gt;&lt;/contributors&gt;&lt;titles&gt;&lt;title&gt;Understanding cation effects in electrochemical CO2 reduction&lt;/title&gt;&lt;secondary-title&gt;Energy Environ. Sci.&lt;/secondary-title&gt;&lt;/titles&gt;&lt;periodical&gt;&lt;full-title&gt;Energy Environ. Sci.&lt;/full-title&gt;&lt;/periodical&gt;&lt;pages&gt;3001-3014&lt;/pages&gt;&lt;volume&gt;12&lt;/volume&gt;&lt;number&gt;10&lt;/number&gt;&lt;dates&gt;&lt;year&gt;2019&lt;/year&gt;&lt;/dates&gt;&lt;publisher&gt;Royal Society of Chemistry&lt;/publisher&gt;&lt;urls&gt;&lt;related-urls&gt;&lt;url&gt;https://pubs.rsc.org/en/content/articlepdf/2019/ee/c9ee01341e&lt;/url&gt;&lt;/related-urls&gt;&lt;pdf-urls&gt;&lt;url&gt;file://localhost/localhost/localhost/Users/piccinin/Literature/c9ee01341e.pdf&lt;/url&gt;&lt;/pdf-urls&gt;&lt;/urls&gt;&lt;electronic-resource-num&gt;10.1039/c9ee01341e&lt;/electronic-resource-num&gt;&lt;/record&gt;&lt;/Cite&gt;&lt;/EndNote&gt;</w:instrText>
      </w:r>
      <w:r>
        <w:fldChar w:fldCharType="separate"/>
      </w:r>
      <w:r w:rsidR="00FC5BEB" w:rsidRPr="00FC5BEB">
        <w:rPr>
          <w:noProof/>
          <w:vertAlign w:val="superscript"/>
        </w:rPr>
        <w:t>541</w:t>
      </w:r>
      <w:r>
        <w:fldChar w:fldCharType="end"/>
      </w:r>
    </w:p>
    <w:p w14:paraId="31196453" w14:textId="77777777" w:rsidR="006C1C9C" w:rsidRDefault="006C1C9C" w:rsidP="006C1C9C"/>
    <w:p w14:paraId="362A8FC2" w14:textId="49E26796" w:rsidR="006C1C9C" w:rsidRDefault="006C1C9C" w:rsidP="006C1C9C">
      <w:pPr>
        <w:ind w:firstLine="720"/>
      </w:pPr>
      <w:r>
        <w:t>Our review highlighted the tremendous amount of work that has been accomplished in 20 years of research in the field of theoretical modeling of the OER, starting with very powerful but highly simplified models</w:t>
      </w:r>
      <w:r>
        <w:fldChar w:fldCharType="begin">
          <w:fldData xml:space="preserve">PEVuZE5vdGU+PENpdGU+PEF1dGhvcj5Ow7hyc2tvdjwvQXV0aG9yPjxZZWFyPjIwMDQ8L1llYXI+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==
</w:fldData>
        </w:fldChar>
      </w:r>
      <w:r w:rsidR="00FC5BEB">
        <w:instrText xml:space="preserve"> ADDIN EN.CITE </w:instrText>
      </w:r>
      <w:r w:rsidR="00FC5BEB">
        <w:fldChar w:fldCharType="begin">
          <w:fldData xml:space="preserve">PEVuZE5vdGU+PENpdGU+PEF1dGhvcj5Ow7hyc2tvdjwvQXV0aG9yPjxZZWFyPjIwMDQ8L1llYXI+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==
</w:fldData>
        </w:fldChar>
      </w:r>
      <w:r w:rsidR="00FC5BEB">
        <w:instrText xml:space="preserve"> ADDIN EN.CITE.DATA </w:instrText>
      </w:r>
      <w:r w:rsidR="00FC5BEB">
        <w:fldChar w:fldCharType="end"/>
      </w:r>
      <w:r>
        <w:fldChar w:fldCharType="separate"/>
      </w:r>
      <w:r w:rsidR="00FC5BEB" w:rsidRPr="00FC5BEB">
        <w:rPr>
          <w:noProof/>
          <w:vertAlign w:val="superscript"/>
        </w:rPr>
        <w:t>59, 87</w:t>
      </w:r>
      <w:r>
        <w:fldChar w:fldCharType="end"/>
      </w:r>
      <w:r>
        <w:t xml:space="preserve">, which enabled invaluable insights and formed the basis of our understanding of the OER. State-of-the-art approaches now include sophisticated first-principles based models that integrate multiple competing mechanisms and multiple environment effects, like the solvation, bias and coverage dependence of barriers and energies. </w:t>
      </w:r>
    </w:p>
    <w:p w14:paraId="19D9C385" w14:textId="77777777" w:rsidR="006C1C9C" w:rsidRDefault="006C1C9C" w:rsidP="006C1C9C"/>
    <w:p w14:paraId="522E8814" w14:textId="63C68B11" w:rsidR="006C1C9C" w:rsidRDefault="006C1C9C" w:rsidP="006C1C9C">
      <w:pPr>
        <w:ind w:firstLine="720"/>
      </w:pPr>
      <w:r>
        <w:t>In our view, the lessons emerging from the large body of research that we reviewed suggest that theoretical modeling of the OER should address the following critical points: (</w:t>
      </w:r>
      <w:proofErr w:type="spellStart"/>
      <w:r>
        <w:t>i</w:t>
      </w:r>
      <w:proofErr w:type="spellEnd"/>
      <w:r>
        <w:t xml:space="preserve">) The OER is a structure sensitive process and real catalysts are structurally complex, so any understanding emerging from theoretical modeling should be tested against variations of the structure adopted for the catalyst; (ii) There exist multiple competing mechanisms, including the AEM, as well as a series of LOMs, comprising of both electrochemical and chemical steps, and involving multiple sites: limiting our analysis to a single mechanism on a single site is an unwarranted simplification; (iii) The coverage of the reaction intermediates plays a crucial role in the energetics of the elementary steps, hence kinetic models should be solved self-consistently; (iv) The validity of the quasi-equilibrium approximation in microkinetic models should be tested; (v) Electrolyte effects, in general, cannot be ignored and to model solvation in aqueous media water needs to be described explicitly, at least for the first few layers directly in contact with the intermediates, to capture changes in the H-bond network; (vi) The energetics of some of the steps can exhibit strong dependence on the external bias, which can be accounted for; (vii) When the parameters of microkinetic models are derived from fitting against experimental </w:t>
      </w:r>
      <w:r w:rsidR="00383E45">
        <w:rPr>
          <w:i/>
        </w:rPr>
        <w:t>j</w:t>
      </w:r>
      <w:r w:rsidRPr="00115B46">
        <w:rPr>
          <w:i/>
        </w:rPr>
        <w:t>-V</w:t>
      </w:r>
      <w:r>
        <w:t xml:space="preserve"> curves and differ substantially from theoretical or experimental estimates, we should reconsider the assumptions of the models.</w:t>
      </w:r>
    </w:p>
    <w:p w14:paraId="5E273B09" w14:textId="77777777" w:rsidR="006C1C9C" w:rsidRDefault="006C1C9C" w:rsidP="006C1C9C"/>
    <w:p w14:paraId="2210A4F5" w14:textId="121C1546" w:rsidR="006C1C9C" w:rsidRDefault="006C1C9C" w:rsidP="006C1C9C">
      <w:pPr>
        <w:ind w:firstLine="720"/>
      </w:pPr>
      <w:r>
        <w:t>Disentangling the relative contributions of all these factors is a field where theory can make a significant contribution. We stressed that progress is strongly dependent on combined theoretical and experimental efforts</w:t>
      </w:r>
      <w:r>
        <w:fldChar w:fldCharType="begin"/>
      </w:r>
      <w:r w:rsidR="00FC5BEB">
        <w:instrText xml:space="preserve"> ADDIN EN.CITE &lt;EndNote&gt;&lt;Cite&gt;&lt;Author&gt;Resasco&lt;/Author&gt;&lt;Year&gt;2022&lt;/Year&gt;&lt;RecNum&gt;538&lt;/RecNum&gt;&lt;DisplayText&gt;&lt;style face="superscript"&gt;540&lt;/style&gt;&lt;/DisplayText&gt;&lt;record&gt;&lt;rec-number&gt;538&lt;/rec-number&gt;&lt;foreign-keys&gt;&lt;key app="EN" db-id="2xex0erf4eexr4e2dpbxpdd829xttesxxxdr" timestamp="1715075297"&gt;538&lt;/key&gt;&lt;/foreign-keys&gt;&lt;ref-type name="Journal Article"&gt;17&lt;/ref-type&gt;&lt;contributors&gt;&lt;authors&gt;&lt;author&gt;Resasco, Joaquin&lt;/author&gt;&lt;author&gt;Abild-Pedersen, Frank&lt;/author&gt;&lt;author&gt;Hahn, Christopher&lt;/author&gt;&lt;author&gt;Bao, Zhenan&lt;/author&gt;&lt;author&gt;Koper, Marc T. M.&lt;/author&gt;&lt;author&gt;Jaramillo, Thomas F.&lt;/author&gt;&lt;/authors&gt;&lt;/contributors&gt;&lt;titles&gt;&lt;title&gt;Enhancing the connection between computation and experiments in electrocatalysis&lt;/title&gt;&lt;secondary-title&gt;Nat. Catal.&lt;/secondary-title&gt;&lt;/titles&gt;&lt;periodical&gt;&lt;full-title&gt;Nat. Catal.&lt;/full-title&gt;&lt;abbr-1&gt;Nat. Catal.&lt;/abbr-1&gt;&lt;/periodical&gt;&lt;pages&gt;374-381&lt;/pages&gt;&lt;volume&gt;5&lt;/volume&gt;&lt;number&gt;5&lt;/number&gt;&lt;dates&gt;&lt;year&gt;2022&lt;/year&gt;&lt;pub-dates&gt;&lt;date&gt;2022/05/01&lt;/date&gt;&lt;/pub-dates&gt;&lt;/dates&gt;&lt;isbn&gt;2520-1158&lt;/isbn&gt;&lt;urls&gt;&lt;related-urls&gt;&lt;url&gt;https://doi.org/10.1038/s41929-022-00789-0&lt;/url&gt;&lt;/related-urls&gt;&lt;/urls&gt;&lt;electronic-resource-num&gt;10.1038/s41929-022-00789-0&lt;/electronic-resource-num&gt;&lt;/record&gt;&lt;/Cite&gt;&lt;/EndNote&gt;</w:instrText>
      </w:r>
      <w:r>
        <w:fldChar w:fldCharType="separate"/>
      </w:r>
      <w:r w:rsidR="00FC5BEB" w:rsidRPr="00FC5BEB">
        <w:rPr>
          <w:noProof/>
          <w:vertAlign w:val="superscript"/>
        </w:rPr>
        <w:t>540</w:t>
      </w:r>
      <w:r>
        <w:fldChar w:fldCharType="end"/>
      </w:r>
      <w:r>
        <w:t xml:space="preserve">, with </w:t>
      </w:r>
      <w:r w:rsidRPr="004A3362">
        <w:rPr>
          <w:color w:val="000000" w:themeColor="text1"/>
        </w:rPr>
        <w:t xml:space="preserve">theory striving to </w:t>
      </w:r>
      <w:r>
        <w:t xml:space="preserve">predict not one but multiple quantities that can be measured and </w:t>
      </w:r>
      <w:r w:rsidRPr="004A3362">
        <w:rPr>
          <w:color w:val="000000" w:themeColor="text1"/>
        </w:rPr>
        <w:t xml:space="preserve">experiments </w:t>
      </w:r>
      <w:r w:rsidR="00627A21">
        <w:rPr>
          <w:color w:val="000000" w:themeColor="text1"/>
        </w:rPr>
        <w:t>need to address</w:t>
      </w:r>
      <w:r w:rsidRPr="004A3362">
        <w:rPr>
          <w:color w:val="000000" w:themeColor="text1"/>
        </w:rPr>
        <w:t xml:space="preserve"> </w:t>
      </w:r>
      <w:r>
        <w:t>characteriz</w:t>
      </w:r>
      <w:r w:rsidR="00627A21">
        <w:t>ing</w:t>
      </w:r>
      <w:r>
        <w:t xml:space="preserve"> the electrode/electrolyte interface in </w:t>
      </w:r>
      <w:r w:rsidR="00FE64CB" w:rsidRPr="00FE64CB">
        <w:rPr>
          <w:i/>
        </w:rPr>
        <w:t>operando</w:t>
      </w:r>
      <w:r>
        <w:t xml:space="preserve"> at the atomic scale. In our view, to enable further insights and improve the predictive power of modeling, two critical areas deserve </w:t>
      </w:r>
      <w:r w:rsidR="00627A21">
        <w:t xml:space="preserve">even </w:t>
      </w:r>
      <w:r>
        <w:t xml:space="preserve">more attention compared to the current state-of-the-art: </w:t>
      </w:r>
      <w:r>
        <w:lastRenderedPageBreak/>
        <w:t>(</w:t>
      </w:r>
      <w:proofErr w:type="spellStart"/>
      <w:r>
        <w:t>i</w:t>
      </w:r>
      <w:proofErr w:type="spellEnd"/>
      <w:r>
        <w:t>) The interfaces of electrocatalysts are structurally complex</w:t>
      </w:r>
      <w:r>
        <w:fldChar w:fldCharType="begin">
          <w:fldData xml:space="preserve">PEVuZE5vdGU+PENpdGU+PEF1dGhvcj5SYW1hbjwvQXV0aG9yPjxZZWFyPjIwMjM8L1llYXI+PFJl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</w:fldData>
        </w:fldChar>
      </w:r>
      <w:r w:rsidR="00FC5BEB">
        <w:instrText xml:space="preserve"> ADDIN EN.CITE </w:instrText>
      </w:r>
      <w:r w:rsidR="00FC5BEB">
        <w:fldChar w:fldCharType="begin">
          <w:fldData xml:space="preserve">PEVuZE5vdGU+PENpdGU+PEF1dGhvcj5SYW1hbjwvQXV0aG9yPjxZZWFyPjIwMjM8L1llYXI+PFJl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</w:fldData>
        </w:fldChar>
      </w:r>
      <w:r w:rsidR="00FC5BEB">
        <w:instrText xml:space="preserve"> ADDIN EN.CITE.DATA </w:instrText>
      </w:r>
      <w:r w:rsidR="00FC5BEB">
        <w:fldChar w:fldCharType="end"/>
      </w:r>
      <w:r>
        <w:fldChar w:fldCharType="separate"/>
      </w:r>
      <w:r w:rsidR="00FC5BEB" w:rsidRPr="00FC5BEB">
        <w:rPr>
          <w:noProof/>
          <w:vertAlign w:val="superscript"/>
        </w:rPr>
        <w:t>542, 543</w:t>
      </w:r>
      <w:r>
        <w:fldChar w:fldCharType="end"/>
      </w:r>
      <w:r>
        <w:t xml:space="preserve"> and modeling this complexity is a largely unexplored field. New developments in the field of machine learning</w:t>
      </w:r>
      <w:r w:rsidR="00383E45">
        <w:t>, including novel</w:t>
      </w:r>
      <w:r>
        <w:t xml:space="preserve"> interatomic potentials</w:t>
      </w:r>
      <w:r w:rsidR="00383E45">
        <w:t>,</w:t>
      </w:r>
      <w:r>
        <w:fldChar w:fldCharType="begin">
          <w:fldData xml:space="preserve">PEVuZE5vdGU+PENpdGU+PEF1dGhvcj5EaW5nPC9BdXRob3I+PFllYXI+MjAyMTwvWWVhcj48UmVj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</w:fldData>
        </w:fldChar>
      </w:r>
      <w:r w:rsidR="00FC5BEB">
        <w:instrText xml:space="preserve"> ADDIN EN.CITE </w:instrText>
      </w:r>
      <w:r w:rsidR="00FC5BEB">
        <w:fldChar w:fldCharType="begin">
          <w:fldData xml:space="preserve">PEVuZE5vdGU+PENpdGU+PEF1dGhvcj5EaW5nPC9BdXRob3I+PFllYXI+MjAyMTwvWWVhcj48UmVj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</w:fldData>
        </w:fldChar>
      </w:r>
      <w:r w:rsidR="00FC5BEB">
        <w:instrText xml:space="preserve"> ADDIN EN.CITE.DATA </w:instrText>
      </w:r>
      <w:r w:rsidR="00FC5BEB">
        <w:fldChar w:fldCharType="end"/>
      </w:r>
      <w:r>
        <w:fldChar w:fldCharType="separate"/>
      </w:r>
      <w:r w:rsidR="00FC5BEB" w:rsidRPr="00FC5BEB">
        <w:rPr>
          <w:noProof/>
          <w:vertAlign w:val="superscript"/>
        </w:rPr>
        <w:t>544, 545</w:t>
      </w:r>
      <w:r>
        <w:fldChar w:fldCharType="end"/>
      </w:r>
      <w:r>
        <w:t xml:space="preserve"> represent an area with enormous potential to bridge this gap and to guide the search for new catalysts;</w:t>
      </w:r>
      <w:r w:rsidR="00ED56DC">
        <w:fldChar w:fldCharType="begin"/>
      </w:r>
      <w:r w:rsidR="00FC5BEB">
        <w:instrText xml:space="preserve"> ADDIN EN.CITE &lt;EndNote&gt;&lt;Cite&gt;&lt;Author&gt;Esterhuizen&lt;/Author&gt;&lt;Year&gt;2024&lt;/Year&gt;&lt;RecNum&gt;544&lt;/RecNum&gt;&lt;DisplayText&gt;&lt;style face="superscript"&gt;546&lt;/style&gt;&lt;/DisplayText&gt;&lt;record&gt;&lt;rec-number&gt;544&lt;/rec-number&gt;&lt;foreign-keys&gt;&lt;key app="EN" db-id="2xex0erf4eexr4e2dpbxpdd829xttesxxxdr" timestamp="1715075297"&gt;544&lt;/key&gt;&lt;/foreign-keys&gt;&lt;ref-type name="Journal Article"&gt;17&lt;/ref-type&gt;&lt;contributors&gt;&lt;authors&gt;&lt;author&gt;Esterhuizen, Jacques A.&lt;/author&gt;&lt;author&gt;Mathur, Aarti&lt;/author&gt;&lt;author&gt;Goldsmith, Bryan R.&lt;/author&gt;&lt;author&gt;Linic, Suljo&lt;/author&gt;&lt;/authors&gt;&lt;/contributors&gt;&lt;titles&gt;&lt;title&gt;High-Performance Iridium–Molybdenum Oxide Electrocatalysts for Water Oxidation in Acid: Bayesian Optimization Discovery and Experimental Testing&lt;/title&gt;&lt;secondary-title&gt;Journal of the American Chemical Society&lt;/secondary-title&gt;&lt;/titles&gt;&lt;periodical&gt;&lt;full-title&gt;Journal of the American Chemical Society&lt;/full-title&gt;&lt;abbr-1&gt;J. Am. Chem. Soc.&lt;/abbr-1&gt;&lt;abbr-2&gt;J Am Chem Soc&lt;/abbr-2&gt;&lt;/periodical&gt;&lt;pages&gt;5511-5522&lt;/pages&gt;&lt;volume&gt;146&lt;/volume&gt;&lt;dates&gt;&lt;year&gt;2024&lt;/year&gt;&lt;pub-dates&gt;&lt;date&gt;2024/02/19&lt;/date&gt;&lt;/pub-dates&gt;&lt;/dates&gt;&lt;publisher&gt;American Chemical Society&lt;/publisher&gt;&lt;isbn&gt;0002-7863&lt;/isbn&gt;&lt;urls&gt;&lt;related-urls&gt;&lt;url&gt;https://doi.org/10.1021/jacs.3c13491&lt;/url&gt;&lt;/related-urls&gt;&lt;/urls&gt;&lt;electronic-resource-num&gt;10.1021/jacs.3c13491&lt;/electronic-resource-num&gt;&lt;/record&gt;&lt;/Cite&gt;&lt;/EndNote&gt;</w:instrText>
      </w:r>
      <w:r w:rsidR="00ED56DC">
        <w:fldChar w:fldCharType="separate"/>
      </w:r>
      <w:r w:rsidR="00FC5BEB" w:rsidRPr="00FC5BEB">
        <w:rPr>
          <w:noProof/>
          <w:vertAlign w:val="superscript"/>
        </w:rPr>
        <w:t>546</w:t>
      </w:r>
      <w:r w:rsidR="00ED56DC">
        <w:fldChar w:fldCharType="end"/>
      </w:r>
      <w:r>
        <w:t xml:space="preserve"> (ii) We identified electrolyte effects in the OER as an important but fairly unexplored area, and so is the multiscale nature of the problem due to transport across multiple interfaces, including mass transport in the electrolyte</w:t>
      </w:r>
      <w:r>
        <w:fldChar w:fldCharType="begin"/>
      </w:r>
      <w:r w:rsidR="00FC5BEB">
        <w:instrText xml:space="preserve"> ADDIN EN.CITE &lt;EndNote&gt;&lt;Cite&gt;&lt;Author&gt;Zhang&lt;/Author&gt;&lt;Year&gt;2021&lt;/Year&gt;&lt;RecNum&gt;545&lt;/RecNum&gt;&lt;DisplayText&gt;&lt;style face="superscript"&gt;547&lt;/style&gt;&lt;/DisplayText&gt;&lt;record&gt;&lt;rec-number&gt;545&lt;/rec-number&gt;&lt;foreign-keys&gt;&lt;key app="EN" db-id="2xex0erf4eexr4e2dpbxpdd829xttesxxxdr" timestamp="1715075297"&gt;545&lt;/key&gt;&lt;/foreign-keys&gt;&lt;ref-type name="Journal Article"&gt;17&lt;/ref-type&gt;&lt;contributors&gt;&lt;authors&gt;&lt;author&gt;Zhang, Lulu&lt;/author&gt;&lt;author&gt;Cai, Jun&lt;/author&gt;&lt;author&gt;Chen, Yanxia&lt;/author&gt;&lt;author&gt;Huang, Jun&lt;/author&gt;&lt;/authors&gt;&lt;/contributors&gt;&lt;titles&gt;&lt;title&gt;Modelling electrocatalytic reactions with a concerted treatment of multistep electron transfer kinetics and local reaction conditions&lt;/title&gt;&lt;secondary-title&gt;J. Phys.: Condens.Matter&lt;/secondary-title&gt;&lt;/titles&gt;&lt;periodical&gt;&lt;full-title&gt;J. Phys.: Condens.Matter&lt;/full-title&gt;&lt;/periodical&gt;&lt;pages&gt;504002&lt;/pages&gt;&lt;volume&gt;33&lt;/volume&gt;&lt;number&gt;50&lt;/number&gt;&lt;keywords&gt;&lt;keyword&gt;electric double layer&lt;/keyword&gt;&lt;keyword&gt;local reaction conditions&lt;/keyword&gt;&lt;keyword&gt;macroscopic mass transportmicrokinetics&lt;/keyword&gt;&lt;keyword&gt;model for the electrocatalytic reactions&lt;/keyword&gt;&lt;keyword&gt;oxygen reduction reaction&lt;/keyword&gt;&lt;/keywords&gt;&lt;dates&gt;&lt;year&gt;2021&lt;/year&gt;&lt;/dates&gt;&lt;publisher&gt;IOP Publishing&lt;/publisher&gt;&lt;urls&gt;&lt;related-urls&gt;&lt;url&gt;https://iopscience.iop.org/article/10.1088/1361-648X/ac26fb/pdf&lt;/url&gt;&lt;/related-urls&gt;&lt;pdf-urls&gt;&lt;url&gt;file://localhost/localhost/localhost/localhost/Users/piccinin/Literature/Zhang_2021_J._Phys.__Condens._Matter_33_504002.pdf&lt;/url&gt;&lt;/pdf-urls&gt;&lt;/urls&gt;&lt;electronic-resource-num&gt;10.1088/1361-648X/ac26fb&lt;/electronic-resource-num&gt;&lt;/record&gt;&lt;/Cite&gt;&lt;/EndNote&gt;</w:instrText>
      </w:r>
      <w:r>
        <w:fldChar w:fldCharType="separate"/>
      </w:r>
      <w:r w:rsidR="00FC5BEB" w:rsidRPr="00FC5BEB">
        <w:rPr>
          <w:noProof/>
          <w:vertAlign w:val="superscript"/>
        </w:rPr>
        <w:t>547</w:t>
      </w:r>
      <w:r>
        <w:fldChar w:fldCharType="end"/>
      </w:r>
      <w:r>
        <w:t>, but also charge transport (and recombination) in photoelectrochemical devices.</w:t>
      </w:r>
      <w:r>
        <w:fldChar w:fldCharType="begin"/>
      </w:r>
      <w:r w:rsidR="00FC5BEB">
        <w:instrText xml:space="preserve"> ADDIN EN.CITE &lt;EndNote&gt;&lt;Cite&gt;&lt;Author&gt;Iqbal&lt;/Author&gt;&lt;Year&gt;2018&lt;/Year&gt;&lt;RecNum&gt;536&lt;/RecNum&gt;&lt;DisplayText&gt;&lt;style face="superscript"&gt;538&lt;/style&gt;&lt;/DisplayText&gt;&lt;record&gt;&lt;rec-number&gt;536&lt;/rec-number&gt;&lt;foreign-keys&gt;&lt;key app="EN" db-id="2xex0erf4eexr4e2dpbxpdd829xttesxxxdr" timestamp="1715075297"&gt;536&lt;/key&gt;&lt;/foreign-keys&gt;&lt;ref-type name="Journal Article"&gt;17&lt;/ref-type&gt;&lt;contributors&gt;&lt;authors&gt;&lt;author&gt;Iqbal, Asif&lt;/author&gt;&lt;author&gt;Bevan, Kirk H.&lt;/author&gt;&lt;/authors&gt;&lt;/contributors&gt;&lt;titles&gt;&lt;title&gt;Simultaneously Solving the Photovoltage and Photocurrent at Semiconductor-Liquid Interfaces&lt;/title&gt;&lt;secondary-title&gt;Journal of Physical Chemistry C&lt;/secondary-title&gt;&lt;/titles&gt;&lt;periodical&gt;&lt;full-title&gt;Journal of Physical Chemistry C&lt;/full-title&gt;&lt;abbr-1&gt;J. Phys. Chem. C&lt;/abbr-1&gt;&lt;/periodical&gt;&lt;pages&gt;30-43&lt;/pages&gt;&lt;volume&gt;122&lt;/volume&gt;&lt;number&gt;1&lt;/number&gt;&lt;dates&gt;&lt;year&gt;2018&lt;/year&gt;&lt;/dates&gt;&lt;urls&gt;&lt;related-urls&gt;&lt;url&gt;https://pubs.acs.org/doi/pdf/10.1021/acs.jpcc.7b08517&lt;/url&gt;&lt;/related-urls&gt;&lt;pdf-urls&gt;&lt;url&gt;file://localhost/localhost/Users/piccinin/Literature/acs.jpcc.7b08517.pdf&lt;/url&gt;&lt;/pdf-urls&gt;&lt;/urls&gt;&lt;electronic-resource-num&gt;10.1021/acs.jpcc.7b08517&lt;/electronic-resource-num&gt;&lt;/record&gt;&lt;/Cite&gt;&lt;/EndNote&gt;</w:instrText>
      </w:r>
      <w:r>
        <w:fldChar w:fldCharType="separate"/>
      </w:r>
      <w:r w:rsidR="00FC5BEB" w:rsidRPr="00FC5BEB">
        <w:rPr>
          <w:noProof/>
          <w:vertAlign w:val="superscript"/>
        </w:rPr>
        <w:t>538</w:t>
      </w:r>
      <w:r>
        <w:fldChar w:fldCharType="end"/>
      </w:r>
      <w:r>
        <w:t xml:space="preserve"> If the rapid advances made over the past twenty years are any guide, extending theory to tackle these issues will radically change our understanding of electrochemistry and the OER.  </w:t>
      </w:r>
    </w:p>
    <w:p w14:paraId="5395E14D" w14:textId="77777777" w:rsidR="005C7322" w:rsidRDefault="005C7322" w:rsidP="00AD54F9"/>
    <w:p w14:paraId="155FF0BB" w14:textId="77777777" w:rsidR="00AF449D" w:rsidRDefault="00AF449D" w:rsidP="00AD54F9"/>
    <w:p w14:paraId="31570D84" w14:textId="77777777" w:rsidR="00AF449D" w:rsidRDefault="00AF449D" w:rsidP="00AD54F9"/>
    <w:p w14:paraId="1030498E" w14:textId="60A28924" w:rsidR="00AC778F" w:rsidRPr="006C1C9C" w:rsidRDefault="00AD54F9">
      <w:r w:rsidRPr="00C149EF">
        <w:br w:type="page"/>
      </w:r>
      <w:bookmarkStart w:id="183" w:name="_Toc159281600"/>
      <w:bookmarkStart w:id="184" w:name="_Toc159371026"/>
    </w:p>
    <w:p w14:paraId="4CECA9DB" w14:textId="3C15176B" w:rsidR="00204D0E" w:rsidRPr="00441361" w:rsidRDefault="00204D0E" w:rsidP="000753D9">
      <w:pPr>
        <w:pStyle w:val="Heading1"/>
        <w:numPr>
          <w:ilvl w:val="0"/>
          <w:numId w:val="17"/>
        </w:numPr>
      </w:pPr>
      <w:bookmarkStart w:id="185" w:name="_Toc166441756"/>
      <w:r w:rsidRPr="00441361">
        <w:lastRenderedPageBreak/>
        <w:t>References</w:t>
      </w:r>
      <w:bookmarkEnd w:id="183"/>
      <w:bookmarkEnd w:id="184"/>
      <w:bookmarkEnd w:id="185"/>
    </w:p>
    <w:p w14:paraId="2E3D2454" w14:textId="77777777" w:rsidR="00204D0E" w:rsidRPr="00441361" w:rsidRDefault="00204D0E" w:rsidP="00204D0E">
      <w:pPr>
        <w:widowControl w:val="0"/>
        <w:autoSpaceDE w:val="0"/>
        <w:autoSpaceDN w:val="0"/>
        <w:adjustRightInd w:val="0"/>
        <w:ind w:left="640" w:hanging="640"/>
      </w:pPr>
    </w:p>
    <w:p w14:paraId="5F883E4F" w14:textId="77777777" w:rsidR="00B55191" w:rsidRPr="00B55191" w:rsidRDefault="00204D0E" w:rsidP="00B55191">
      <w:pPr>
        <w:pStyle w:val="EndNoteBibliography"/>
        <w:rPr>
          <w:noProof/>
        </w:rPr>
      </w:pPr>
      <w:r>
        <w:fldChar w:fldCharType="begin"/>
      </w:r>
      <w:r w:rsidRPr="00774BA5">
        <w:instrText xml:space="preserve"> ADDIN EN.REFLIST </w:instrText>
      </w:r>
      <w:r>
        <w:fldChar w:fldCharType="separate"/>
      </w:r>
      <w:r w:rsidR="00B55191" w:rsidRPr="00B55191">
        <w:rPr>
          <w:noProof/>
        </w:rPr>
        <w:t xml:space="preserve">(1) Shao, Y.; Markovic, N. M. Prelude: The Renaissance of Electrocatalysis. </w:t>
      </w:r>
      <w:r w:rsidR="00B55191" w:rsidRPr="00B55191">
        <w:rPr>
          <w:i/>
          <w:noProof/>
        </w:rPr>
        <w:t xml:space="preserve">Nano Energy </w:t>
      </w:r>
      <w:r w:rsidR="00B55191" w:rsidRPr="00B55191">
        <w:rPr>
          <w:b/>
          <w:noProof/>
        </w:rPr>
        <w:t>2016</w:t>
      </w:r>
      <w:r w:rsidR="00B55191" w:rsidRPr="00B55191">
        <w:rPr>
          <w:noProof/>
        </w:rPr>
        <w:t xml:space="preserve">, </w:t>
      </w:r>
      <w:r w:rsidR="00B55191" w:rsidRPr="00B55191">
        <w:rPr>
          <w:i/>
          <w:noProof/>
        </w:rPr>
        <w:t>29</w:t>
      </w:r>
      <w:r w:rsidR="00B55191" w:rsidRPr="00B55191">
        <w:rPr>
          <w:noProof/>
        </w:rPr>
        <w:t>, 1-3.</w:t>
      </w:r>
    </w:p>
    <w:p w14:paraId="78738CBB" w14:textId="77777777" w:rsidR="00B55191" w:rsidRPr="00B55191" w:rsidRDefault="00B55191" w:rsidP="00B55191">
      <w:pPr>
        <w:pStyle w:val="EndNoteBibliography"/>
        <w:rPr>
          <w:noProof/>
        </w:rPr>
      </w:pPr>
      <w:r w:rsidRPr="00B55191">
        <w:rPr>
          <w:noProof/>
        </w:rPr>
        <w:t xml:space="preserve">(2) Bockris, J. O. M. The Hydrogen Economy: Its History. </w:t>
      </w:r>
      <w:r w:rsidRPr="00B55191">
        <w:rPr>
          <w:i/>
          <w:noProof/>
        </w:rPr>
        <w:t xml:space="preserve">Int. J. Hydrogen Energy </w:t>
      </w:r>
      <w:r w:rsidRPr="00B55191">
        <w:rPr>
          <w:b/>
          <w:noProof/>
        </w:rPr>
        <w:t>2013</w:t>
      </w:r>
      <w:r w:rsidRPr="00B55191">
        <w:rPr>
          <w:noProof/>
        </w:rPr>
        <w:t xml:space="preserve">, </w:t>
      </w:r>
      <w:r w:rsidRPr="00B55191">
        <w:rPr>
          <w:i/>
          <w:noProof/>
        </w:rPr>
        <w:t>38</w:t>
      </w:r>
      <w:r w:rsidRPr="00B55191">
        <w:rPr>
          <w:noProof/>
        </w:rPr>
        <w:t>, 2579-2588.</w:t>
      </w:r>
    </w:p>
    <w:p w14:paraId="025F47F2" w14:textId="77777777" w:rsidR="00B55191" w:rsidRPr="00B55191" w:rsidRDefault="00B55191" w:rsidP="00B55191">
      <w:pPr>
        <w:pStyle w:val="EndNoteBibliography"/>
        <w:rPr>
          <w:noProof/>
        </w:rPr>
      </w:pPr>
      <w:r w:rsidRPr="00B55191">
        <w:rPr>
          <w:noProof/>
        </w:rPr>
        <w:t xml:space="preserve">(3) Bockris, J. O. M. Electrochemistry for a Future Society. In </w:t>
      </w:r>
      <w:r w:rsidRPr="00B55191">
        <w:rPr>
          <w:i/>
          <w:noProof/>
        </w:rPr>
        <w:t>Trends in Electrochemistry</w:t>
      </w:r>
      <w:r w:rsidRPr="00B55191">
        <w:rPr>
          <w:noProof/>
        </w:rPr>
        <w:t>,  Springer US, 1977; pp 1-23.</w:t>
      </w:r>
    </w:p>
    <w:p w14:paraId="6BACE050" w14:textId="77777777" w:rsidR="00B55191" w:rsidRPr="00B55191" w:rsidRDefault="00B55191" w:rsidP="00B55191">
      <w:pPr>
        <w:pStyle w:val="EndNoteBibliography"/>
        <w:rPr>
          <w:noProof/>
        </w:rPr>
      </w:pPr>
      <w:r w:rsidRPr="00B55191">
        <w:rPr>
          <w:noProof/>
        </w:rPr>
        <w:t xml:space="preserve">(4) Marcus, R. A. Electron Transfer Reactions in Chemistry. Theory and Experiment. </w:t>
      </w:r>
      <w:r w:rsidRPr="00B55191">
        <w:rPr>
          <w:i/>
          <w:noProof/>
        </w:rPr>
        <w:t xml:space="preserve">Rev. Mod. Phys. </w:t>
      </w:r>
      <w:r w:rsidRPr="00B55191">
        <w:rPr>
          <w:b/>
          <w:noProof/>
        </w:rPr>
        <w:t>1993</w:t>
      </w:r>
      <w:r w:rsidRPr="00B55191">
        <w:rPr>
          <w:noProof/>
        </w:rPr>
        <w:t xml:space="preserve">, </w:t>
      </w:r>
      <w:r w:rsidRPr="00B55191">
        <w:rPr>
          <w:i/>
          <w:noProof/>
        </w:rPr>
        <w:t>65</w:t>
      </w:r>
      <w:r w:rsidRPr="00B55191">
        <w:rPr>
          <w:noProof/>
        </w:rPr>
        <w:t>, 599-610.</w:t>
      </w:r>
    </w:p>
    <w:p w14:paraId="52031166" w14:textId="77777777" w:rsidR="00B55191" w:rsidRPr="00B55191" w:rsidRDefault="00B55191" w:rsidP="00B55191">
      <w:pPr>
        <w:pStyle w:val="EndNoteBibliography"/>
        <w:rPr>
          <w:noProof/>
        </w:rPr>
      </w:pPr>
      <w:r w:rsidRPr="00B55191">
        <w:rPr>
          <w:noProof/>
        </w:rPr>
        <w:t xml:space="preserve">(5) Marcus, R. A. Theoretical Relations among Rate Constants, Barriers, and Broensted Slopes of Chemical Reactions. </w:t>
      </w:r>
      <w:r w:rsidRPr="00B55191">
        <w:rPr>
          <w:i/>
          <w:noProof/>
        </w:rPr>
        <w:t xml:space="preserve">J. Phys. Chem. </w:t>
      </w:r>
      <w:r w:rsidRPr="00B55191">
        <w:rPr>
          <w:b/>
          <w:noProof/>
        </w:rPr>
        <w:t>1968</w:t>
      </w:r>
      <w:r w:rsidRPr="00B55191">
        <w:rPr>
          <w:noProof/>
        </w:rPr>
        <w:t xml:space="preserve">, </w:t>
      </w:r>
      <w:r w:rsidRPr="00B55191">
        <w:rPr>
          <w:i/>
          <w:noProof/>
        </w:rPr>
        <w:t>72</w:t>
      </w:r>
      <w:r w:rsidRPr="00B55191">
        <w:rPr>
          <w:noProof/>
        </w:rPr>
        <w:t>, 891-899.</w:t>
      </w:r>
    </w:p>
    <w:p w14:paraId="2B3F3A58" w14:textId="77777777" w:rsidR="00B55191" w:rsidRPr="00B55191" w:rsidRDefault="00B55191" w:rsidP="00B55191">
      <w:pPr>
        <w:pStyle w:val="EndNoteBibliography"/>
        <w:rPr>
          <w:noProof/>
        </w:rPr>
      </w:pPr>
      <w:r w:rsidRPr="00B55191">
        <w:rPr>
          <w:noProof/>
        </w:rPr>
        <w:t xml:space="preserve">(6) Dickinson, E. J. F.; Wain, A. J. The Butler-Volmer Equation in Electrochemical Theory: Origins, Value, and Practical Application. </w:t>
      </w:r>
      <w:r w:rsidRPr="00B55191">
        <w:rPr>
          <w:i/>
          <w:noProof/>
        </w:rPr>
        <w:t xml:space="preserve">J. Electroanal. Chem. </w:t>
      </w:r>
      <w:r w:rsidRPr="00B55191">
        <w:rPr>
          <w:b/>
          <w:noProof/>
        </w:rPr>
        <w:t>2020</w:t>
      </w:r>
      <w:r w:rsidRPr="00B55191">
        <w:rPr>
          <w:noProof/>
        </w:rPr>
        <w:t xml:space="preserve">, </w:t>
      </w:r>
      <w:r w:rsidRPr="00B55191">
        <w:rPr>
          <w:i/>
          <w:noProof/>
        </w:rPr>
        <w:t>872</w:t>
      </w:r>
      <w:r w:rsidRPr="00B55191">
        <w:rPr>
          <w:noProof/>
        </w:rPr>
        <w:t>, 114145.</w:t>
      </w:r>
    </w:p>
    <w:p w14:paraId="3814B564" w14:textId="77777777" w:rsidR="00B55191" w:rsidRPr="00B55191" w:rsidRDefault="00B55191" w:rsidP="00B55191">
      <w:pPr>
        <w:pStyle w:val="EndNoteBibliography"/>
        <w:rPr>
          <w:noProof/>
        </w:rPr>
      </w:pPr>
      <w:r w:rsidRPr="00B55191">
        <w:rPr>
          <w:noProof/>
        </w:rPr>
        <w:t xml:space="preserve">(7) Fraggedakis, D.; McEldrew, M.; Smith, R. B.; Krishnan, Y.; Zhang, Y.; Bai, P.; Chueh, W. C.; Shao-Horn, Y.; Bazant, M. Z. Theory of Coupled Ion-Electron Transfer Kinetics. </w:t>
      </w:r>
      <w:r w:rsidRPr="00B55191">
        <w:rPr>
          <w:i/>
          <w:noProof/>
        </w:rPr>
        <w:t xml:space="preserve">Electrochim. Acta </w:t>
      </w:r>
      <w:r w:rsidRPr="00B55191">
        <w:rPr>
          <w:b/>
          <w:noProof/>
        </w:rPr>
        <w:t>2021</w:t>
      </w:r>
      <w:r w:rsidRPr="00B55191">
        <w:rPr>
          <w:noProof/>
        </w:rPr>
        <w:t xml:space="preserve">, </w:t>
      </w:r>
      <w:r w:rsidRPr="00B55191">
        <w:rPr>
          <w:i/>
          <w:noProof/>
        </w:rPr>
        <w:t>367</w:t>
      </w:r>
      <w:r w:rsidRPr="00B55191">
        <w:rPr>
          <w:noProof/>
        </w:rPr>
        <w:t>, 137432.</w:t>
      </w:r>
    </w:p>
    <w:p w14:paraId="0CA4576B" w14:textId="77777777" w:rsidR="00B55191" w:rsidRPr="00B55191" w:rsidRDefault="00B55191" w:rsidP="00B55191">
      <w:pPr>
        <w:pStyle w:val="EndNoteBibliography"/>
        <w:rPr>
          <w:noProof/>
        </w:rPr>
      </w:pPr>
      <w:r w:rsidRPr="00B55191">
        <w:rPr>
          <w:noProof/>
        </w:rPr>
        <w:t xml:space="preserve">(8) Domínguez-Flores, F.; Melander, M. M. Electrocatalytic Rate Constants from Dft Simulations and Theoretical Models: Learning from Each Other. </w:t>
      </w:r>
      <w:r w:rsidRPr="00B55191">
        <w:rPr>
          <w:i/>
          <w:noProof/>
        </w:rPr>
        <w:t xml:space="preserve">Curr. Opin. Electrochem. </w:t>
      </w:r>
      <w:r w:rsidRPr="00B55191">
        <w:rPr>
          <w:b/>
          <w:noProof/>
        </w:rPr>
        <w:t>2022</w:t>
      </w:r>
      <w:r w:rsidRPr="00B55191">
        <w:rPr>
          <w:noProof/>
        </w:rPr>
        <w:t xml:space="preserve">, </w:t>
      </w:r>
      <w:r w:rsidRPr="00B55191">
        <w:rPr>
          <w:i/>
          <w:noProof/>
        </w:rPr>
        <w:t>36</w:t>
      </w:r>
      <w:r w:rsidRPr="00B55191">
        <w:rPr>
          <w:noProof/>
        </w:rPr>
        <w:t>, 101110.</w:t>
      </w:r>
    </w:p>
    <w:p w14:paraId="1F3AB182" w14:textId="77777777" w:rsidR="00B55191" w:rsidRPr="00B55191" w:rsidRDefault="00B55191" w:rsidP="00B55191">
      <w:pPr>
        <w:pStyle w:val="EndNoteBibliography"/>
        <w:rPr>
          <w:noProof/>
        </w:rPr>
      </w:pPr>
      <w:r w:rsidRPr="00B55191">
        <w:rPr>
          <w:noProof/>
        </w:rPr>
        <w:t xml:space="preserve">(9) Hartnig, C.; Koper, M. T. M. Solvent Reorganization in Electron and Ion Transfer Reactions near a Smooth Electrified Surface:  A Molecular Dynamics Study. </w:t>
      </w:r>
      <w:r w:rsidRPr="00B55191">
        <w:rPr>
          <w:i/>
          <w:noProof/>
        </w:rPr>
        <w:t xml:space="preserve">J. Am. Chem. Soc. </w:t>
      </w:r>
      <w:r w:rsidRPr="00B55191">
        <w:rPr>
          <w:b/>
          <w:noProof/>
        </w:rPr>
        <w:t>2003</w:t>
      </w:r>
      <w:r w:rsidRPr="00B55191">
        <w:rPr>
          <w:noProof/>
        </w:rPr>
        <w:t xml:space="preserve">, </w:t>
      </w:r>
      <w:r w:rsidRPr="00B55191">
        <w:rPr>
          <w:i/>
          <w:noProof/>
        </w:rPr>
        <w:t>125</w:t>
      </w:r>
      <w:r w:rsidRPr="00B55191">
        <w:rPr>
          <w:noProof/>
        </w:rPr>
        <w:t>, 9840-9845.</w:t>
      </w:r>
    </w:p>
    <w:p w14:paraId="2662CF12" w14:textId="77777777" w:rsidR="00B55191" w:rsidRPr="00B55191" w:rsidRDefault="00B55191" w:rsidP="00B55191">
      <w:pPr>
        <w:pStyle w:val="EndNoteBibliography"/>
        <w:rPr>
          <w:noProof/>
        </w:rPr>
      </w:pPr>
      <w:r w:rsidRPr="00B55191">
        <w:rPr>
          <w:noProof/>
        </w:rPr>
        <w:t xml:space="preserve">(10) Koper, M. T. M.; Schmickler, W. A Kramers Reaction Rate Theory for Electrochemical Ion Transfer Reactions. </w:t>
      </w:r>
      <w:r w:rsidRPr="00B55191">
        <w:rPr>
          <w:i/>
          <w:noProof/>
        </w:rPr>
        <w:t xml:space="preserve">Chem. Phys. </w:t>
      </w:r>
      <w:r w:rsidRPr="00B55191">
        <w:rPr>
          <w:b/>
          <w:noProof/>
        </w:rPr>
        <w:t>1996</w:t>
      </w:r>
      <w:r w:rsidRPr="00B55191">
        <w:rPr>
          <w:noProof/>
        </w:rPr>
        <w:t xml:space="preserve">, </w:t>
      </w:r>
      <w:r w:rsidRPr="00B55191">
        <w:rPr>
          <w:i/>
          <w:noProof/>
        </w:rPr>
        <w:t>211</w:t>
      </w:r>
      <w:r w:rsidRPr="00B55191">
        <w:rPr>
          <w:noProof/>
        </w:rPr>
        <w:t>, 123-133.</w:t>
      </w:r>
    </w:p>
    <w:p w14:paraId="4D9E3B04" w14:textId="77777777" w:rsidR="00B55191" w:rsidRPr="00B55191" w:rsidRDefault="00B55191" w:rsidP="00B55191">
      <w:pPr>
        <w:pStyle w:val="EndNoteBibliography"/>
        <w:rPr>
          <w:noProof/>
        </w:rPr>
      </w:pPr>
      <w:r w:rsidRPr="00B55191">
        <w:rPr>
          <w:noProof/>
        </w:rPr>
        <w:t xml:space="preserve">(11) Koper, M. T. M.; Mohr, J. H.; Schmickler, W. Quantum Effects in Adiabatic Electrochemical Electron-Transfer Reactions. </w:t>
      </w:r>
      <w:r w:rsidRPr="00B55191">
        <w:rPr>
          <w:i/>
          <w:noProof/>
        </w:rPr>
        <w:t xml:space="preserve">Chem. Phys. </w:t>
      </w:r>
      <w:r w:rsidRPr="00B55191">
        <w:rPr>
          <w:b/>
          <w:noProof/>
        </w:rPr>
        <w:t>1997</w:t>
      </w:r>
      <w:r w:rsidRPr="00B55191">
        <w:rPr>
          <w:noProof/>
        </w:rPr>
        <w:t xml:space="preserve">, </w:t>
      </w:r>
      <w:r w:rsidRPr="00B55191">
        <w:rPr>
          <w:i/>
          <w:noProof/>
        </w:rPr>
        <w:t>220</w:t>
      </w:r>
      <w:r w:rsidRPr="00B55191">
        <w:rPr>
          <w:noProof/>
        </w:rPr>
        <w:t>, 95-114.</w:t>
      </w:r>
    </w:p>
    <w:p w14:paraId="4E7349A2" w14:textId="77777777" w:rsidR="00B55191" w:rsidRPr="00B55191" w:rsidRDefault="00B55191" w:rsidP="00B55191">
      <w:pPr>
        <w:pStyle w:val="EndNoteBibliography"/>
        <w:rPr>
          <w:noProof/>
        </w:rPr>
      </w:pPr>
      <w:r w:rsidRPr="00B55191">
        <w:rPr>
          <w:noProof/>
        </w:rPr>
        <w:t xml:space="preserve">(12) He, Z.-D.; Chen, Y.-X.; Santos, E.; Schmickler, W. The Pre-Exponential Factor in Electrochemistry. </w:t>
      </w:r>
      <w:r w:rsidRPr="00B55191">
        <w:rPr>
          <w:i/>
          <w:noProof/>
        </w:rPr>
        <w:t xml:space="preserve">Angew. Chem. Int. Ed. </w:t>
      </w:r>
      <w:r w:rsidRPr="00B55191">
        <w:rPr>
          <w:b/>
          <w:noProof/>
        </w:rPr>
        <w:t>2018</w:t>
      </w:r>
      <w:r w:rsidRPr="00B55191">
        <w:rPr>
          <w:noProof/>
        </w:rPr>
        <w:t xml:space="preserve">, </w:t>
      </w:r>
      <w:r w:rsidRPr="00B55191">
        <w:rPr>
          <w:i/>
          <w:noProof/>
        </w:rPr>
        <w:t>57</w:t>
      </w:r>
      <w:r w:rsidRPr="00B55191">
        <w:rPr>
          <w:noProof/>
        </w:rPr>
        <w:t>, 7948-7956.</w:t>
      </w:r>
    </w:p>
    <w:p w14:paraId="2A5C7FFA" w14:textId="77777777" w:rsidR="00B55191" w:rsidRPr="00B55191" w:rsidRDefault="00B55191" w:rsidP="00B55191">
      <w:pPr>
        <w:pStyle w:val="EndNoteBibliography"/>
        <w:rPr>
          <w:noProof/>
        </w:rPr>
      </w:pPr>
      <w:r w:rsidRPr="00B55191">
        <w:rPr>
          <w:noProof/>
        </w:rPr>
        <w:t xml:space="preserve">(13) Schmickler, W.; Koper, M. T. M. Adiabatic Electrochemical Electron-Transfer Reactions Involving Frequency Changes of Inner-Sphere Modes. </w:t>
      </w:r>
      <w:r w:rsidRPr="00B55191">
        <w:rPr>
          <w:i/>
          <w:noProof/>
        </w:rPr>
        <w:t xml:space="preserve">Electrochem. Commun. </w:t>
      </w:r>
      <w:r w:rsidRPr="00B55191">
        <w:rPr>
          <w:b/>
          <w:noProof/>
        </w:rPr>
        <w:t>1999</w:t>
      </w:r>
      <w:r w:rsidRPr="00B55191">
        <w:rPr>
          <w:noProof/>
        </w:rPr>
        <w:t xml:space="preserve">, </w:t>
      </w:r>
      <w:r w:rsidRPr="00B55191">
        <w:rPr>
          <w:i/>
          <w:noProof/>
        </w:rPr>
        <w:t>1</w:t>
      </w:r>
      <w:r w:rsidRPr="00B55191">
        <w:rPr>
          <w:noProof/>
        </w:rPr>
        <w:t>, 402-405.</w:t>
      </w:r>
    </w:p>
    <w:p w14:paraId="5DEC7B2C" w14:textId="77777777" w:rsidR="00B55191" w:rsidRPr="00B55191" w:rsidRDefault="00B55191" w:rsidP="00B55191">
      <w:pPr>
        <w:pStyle w:val="EndNoteBibliography"/>
        <w:rPr>
          <w:noProof/>
        </w:rPr>
      </w:pPr>
      <w:r w:rsidRPr="00B55191">
        <w:rPr>
          <w:noProof/>
        </w:rPr>
        <w:t xml:space="preserve">(14) Schmickler, W. A Unified Model for Electrochemical Electron and Ion Transfer Reactions. </w:t>
      </w:r>
      <w:r w:rsidRPr="00B55191">
        <w:rPr>
          <w:i/>
          <w:noProof/>
        </w:rPr>
        <w:t xml:space="preserve">Chem. Phys. Lett. </w:t>
      </w:r>
      <w:r w:rsidRPr="00B55191">
        <w:rPr>
          <w:b/>
          <w:noProof/>
        </w:rPr>
        <w:t>1995</w:t>
      </w:r>
      <w:r w:rsidRPr="00B55191">
        <w:rPr>
          <w:noProof/>
        </w:rPr>
        <w:t xml:space="preserve">, </w:t>
      </w:r>
      <w:r w:rsidRPr="00B55191">
        <w:rPr>
          <w:i/>
          <w:noProof/>
        </w:rPr>
        <w:t>237</w:t>
      </w:r>
      <w:r w:rsidRPr="00B55191">
        <w:rPr>
          <w:noProof/>
        </w:rPr>
        <w:t>, 152-160.</w:t>
      </w:r>
    </w:p>
    <w:p w14:paraId="2A14848D" w14:textId="77777777" w:rsidR="00B55191" w:rsidRPr="00B55191" w:rsidRDefault="00B55191" w:rsidP="00B55191">
      <w:pPr>
        <w:pStyle w:val="EndNoteBibliography"/>
        <w:rPr>
          <w:noProof/>
        </w:rPr>
      </w:pPr>
      <w:r w:rsidRPr="00B55191">
        <w:rPr>
          <w:noProof/>
        </w:rPr>
        <w:t xml:space="preserve">(15) Santos, E.; Aradi, B.; van der Heide, T.; Schmickler, W. Free Energy Curves for the Volmer Reaction Obtained from Molecular Dynamics Simulation Based on Quantum Chemistry. </w:t>
      </w:r>
      <w:r w:rsidRPr="00B55191">
        <w:rPr>
          <w:i/>
          <w:noProof/>
        </w:rPr>
        <w:t xml:space="preserve">J. Electroanal. Chem. </w:t>
      </w:r>
      <w:r w:rsidRPr="00B55191">
        <w:rPr>
          <w:b/>
          <w:noProof/>
        </w:rPr>
        <w:t>2024</w:t>
      </w:r>
      <w:r w:rsidRPr="00B55191">
        <w:rPr>
          <w:noProof/>
        </w:rPr>
        <w:t xml:space="preserve">, </w:t>
      </w:r>
      <w:r w:rsidRPr="00B55191">
        <w:rPr>
          <w:i/>
          <w:noProof/>
        </w:rPr>
        <w:t>954</w:t>
      </w:r>
      <w:r w:rsidRPr="00B55191">
        <w:rPr>
          <w:noProof/>
        </w:rPr>
        <w:t>, 118044.</w:t>
      </w:r>
    </w:p>
    <w:p w14:paraId="2AC666AE" w14:textId="77777777" w:rsidR="00B55191" w:rsidRPr="00B55191" w:rsidRDefault="00B55191" w:rsidP="00B55191">
      <w:pPr>
        <w:pStyle w:val="EndNoteBibliography"/>
        <w:rPr>
          <w:noProof/>
        </w:rPr>
      </w:pPr>
      <w:r w:rsidRPr="00B55191">
        <w:rPr>
          <w:noProof/>
        </w:rPr>
        <w:t xml:space="preserve">(16) Björketun, M. E.; Tripkovic, V.; Skúlason, E.; Rossmeisl, J. Modeling of the Symmetry Factor of Electrochemical Proton Discharge Via the Volmer Reaction. </w:t>
      </w:r>
      <w:r w:rsidRPr="00B55191">
        <w:rPr>
          <w:i/>
          <w:noProof/>
        </w:rPr>
        <w:t xml:space="preserve">Catal. Today </w:t>
      </w:r>
      <w:r w:rsidRPr="00B55191">
        <w:rPr>
          <w:b/>
          <w:noProof/>
        </w:rPr>
        <w:t>2013</w:t>
      </w:r>
      <w:r w:rsidRPr="00B55191">
        <w:rPr>
          <w:noProof/>
        </w:rPr>
        <w:t xml:space="preserve">, </w:t>
      </w:r>
      <w:r w:rsidRPr="00B55191">
        <w:rPr>
          <w:i/>
          <w:noProof/>
        </w:rPr>
        <w:t>202</w:t>
      </w:r>
      <w:r w:rsidRPr="00B55191">
        <w:rPr>
          <w:noProof/>
        </w:rPr>
        <w:t>, 168-174.</w:t>
      </w:r>
    </w:p>
    <w:p w14:paraId="760C8451" w14:textId="77777777" w:rsidR="00B55191" w:rsidRPr="00B55191" w:rsidRDefault="00B55191" w:rsidP="00B55191">
      <w:pPr>
        <w:pStyle w:val="EndNoteBibliography"/>
        <w:rPr>
          <w:noProof/>
        </w:rPr>
      </w:pPr>
      <w:r w:rsidRPr="00B55191">
        <w:rPr>
          <w:noProof/>
        </w:rPr>
        <w:t xml:space="preserve">(17) Ikeshoji, T.; Otani, M. Toward Full Simulation of the Electrochemical Oxygen Reduction Reaction on Pt Using First-Principles and Kinetic Calculations. </w:t>
      </w:r>
      <w:r w:rsidRPr="00B55191">
        <w:rPr>
          <w:i/>
          <w:noProof/>
        </w:rPr>
        <w:t xml:space="preserve">Phys. Chem. Chem. Phys. </w:t>
      </w:r>
      <w:r w:rsidRPr="00B55191">
        <w:rPr>
          <w:b/>
          <w:noProof/>
        </w:rPr>
        <w:t>2017</w:t>
      </w:r>
      <w:r w:rsidRPr="00B55191">
        <w:rPr>
          <w:noProof/>
        </w:rPr>
        <w:t xml:space="preserve">, </w:t>
      </w:r>
      <w:r w:rsidRPr="00B55191">
        <w:rPr>
          <w:i/>
          <w:noProof/>
        </w:rPr>
        <w:t>19</w:t>
      </w:r>
      <w:r w:rsidRPr="00B55191">
        <w:rPr>
          <w:noProof/>
        </w:rPr>
        <w:t>, 4447-4453.</w:t>
      </w:r>
    </w:p>
    <w:p w14:paraId="6721787B" w14:textId="77777777" w:rsidR="00B55191" w:rsidRPr="00B55191" w:rsidRDefault="00B55191" w:rsidP="00B55191">
      <w:pPr>
        <w:pStyle w:val="EndNoteBibliography"/>
        <w:rPr>
          <w:noProof/>
        </w:rPr>
      </w:pPr>
      <w:r w:rsidRPr="00B55191">
        <w:rPr>
          <w:noProof/>
        </w:rPr>
        <w:t xml:space="preserve">(18) Maheshwari, S.; Li, Y.; Agrawal, N.; Janik, M. J. Chapter Three - Density Functional Theory Models for Electrocatalytic Reactions. In </w:t>
      </w:r>
      <w:r w:rsidRPr="00B55191">
        <w:rPr>
          <w:i/>
          <w:noProof/>
        </w:rPr>
        <w:t>Adv. Catal.</w:t>
      </w:r>
      <w:r w:rsidRPr="00B55191">
        <w:rPr>
          <w:noProof/>
        </w:rPr>
        <w:t>,  Vol. 63; Academic Press, 2018; pp 117-167.</w:t>
      </w:r>
    </w:p>
    <w:p w14:paraId="792CBD0F" w14:textId="77777777" w:rsidR="00B55191" w:rsidRPr="00B55191" w:rsidRDefault="00B55191" w:rsidP="00B55191">
      <w:pPr>
        <w:pStyle w:val="EndNoteBibliography"/>
        <w:rPr>
          <w:noProof/>
        </w:rPr>
      </w:pPr>
      <w:r w:rsidRPr="00B55191">
        <w:rPr>
          <w:noProof/>
        </w:rPr>
        <w:t xml:space="preserve">(19) Antipin, D.; Risch, M. Calculation of the Tafel Slope and Reaction Order of the Oxygen Evolution Reaction between Ph 12 and Ph 14 for the Adsorbate Mechanism. </w:t>
      </w:r>
      <w:r w:rsidRPr="00B55191">
        <w:rPr>
          <w:i/>
          <w:noProof/>
        </w:rPr>
        <w:t xml:space="preserve">Electrochem. Sci. Adv. </w:t>
      </w:r>
      <w:r w:rsidRPr="00B55191">
        <w:rPr>
          <w:b/>
          <w:noProof/>
        </w:rPr>
        <w:t>2023</w:t>
      </w:r>
      <w:r w:rsidRPr="00B55191">
        <w:rPr>
          <w:noProof/>
        </w:rPr>
        <w:t xml:space="preserve">, </w:t>
      </w:r>
      <w:r w:rsidRPr="00B55191">
        <w:rPr>
          <w:i/>
          <w:noProof/>
        </w:rPr>
        <w:t>3</w:t>
      </w:r>
      <w:r w:rsidRPr="00B55191">
        <w:rPr>
          <w:noProof/>
        </w:rPr>
        <w:t>, e2100213.</w:t>
      </w:r>
    </w:p>
    <w:p w14:paraId="14EEB2C8" w14:textId="77777777" w:rsidR="00B55191" w:rsidRPr="00B55191" w:rsidRDefault="00B55191" w:rsidP="00B55191">
      <w:pPr>
        <w:pStyle w:val="EndNoteBibliography"/>
        <w:rPr>
          <w:noProof/>
        </w:rPr>
      </w:pPr>
      <w:r w:rsidRPr="00B55191">
        <w:rPr>
          <w:noProof/>
        </w:rPr>
        <w:lastRenderedPageBreak/>
        <w:t xml:space="preserve">(20) Kronberg, R.; Laasonen, K. Reconciling the Experimental and Computational Hydrogen Evolution Activities of Pt(111) through Dft-Based Constrained Md Simulations. </w:t>
      </w:r>
      <w:r w:rsidRPr="00B55191">
        <w:rPr>
          <w:i/>
          <w:noProof/>
        </w:rPr>
        <w:t xml:space="preserve">ACS Catal. </w:t>
      </w:r>
      <w:r w:rsidRPr="00B55191">
        <w:rPr>
          <w:b/>
          <w:noProof/>
        </w:rPr>
        <w:t>2021</w:t>
      </w:r>
      <w:r w:rsidRPr="00B55191">
        <w:rPr>
          <w:noProof/>
        </w:rPr>
        <w:t xml:space="preserve">, </w:t>
      </w:r>
      <w:r w:rsidRPr="00B55191">
        <w:rPr>
          <w:i/>
          <w:noProof/>
        </w:rPr>
        <w:t>11</w:t>
      </w:r>
      <w:r w:rsidRPr="00B55191">
        <w:rPr>
          <w:noProof/>
        </w:rPr>
        <w:t>, 8062-8078.</w:t>
      </w:r>
    </w:p>
    <w:p w14:paraId="49D67B05" w14:textId="77777777" w:rsidR="00B55191" w:rsidRPr="00B55191" w:rsidRDefault="00B55191" w:rsidP="00B55191">
      <w:pPr>
        <w:pStyle w:val="EndNoteBibliography"/>
        <w:rPr>
          <w:noProof/>
        </w:rPr>
      </w:pPr>
      <w:r w:rsidRPr="00B55191">
        <w:rPr>
          <w:noProof/>
        </w:rPr>
        <w:t xml:space="preserve">(21) Sundararaman, R.; Vigil-Fowler, D.; Schwarz, K. Improving the Accuracy of Atomistic Simulations of the Electrochemical Interface. </w:t>
      </w:r>
      <w:r w:rsidRPr="00B55191">
        <w:rPr>
          <w:i/>
          <w:noProof/>
        </w:rPr>
        <w:t xml:space="preserve">Chem. Rev. </w:t>
      </w:r>
      <w:r w:rsidRPr="00B55191">
        <w:rPr>
          <w:b/>
          <w:noProof/>
        </w:rPr>
        <w:t>2022</w:t>
      </w:r>
      <w:r w:rsidRPr="00B55191">
        <w:rPr>
          <w:noProof/>
        </w:rPr>
        <w:t xml:space="preserve">, </w:t>
      </w:r>
      <w:r w:rsidRPr="00B55191">
        <w:rPr>
          <w:i/>
          <w:noProof/>
        </w:rPr>
        <w:t>122</w:t>
      </w:r>
      <w:r w:rsidRPr="00B55191">
        <w:rPr>
          <w:noProof/>
        </w:rPr>
        <w:t>, 10651-10674.</w:t>
      </w:r>
    </w:p>
    <w:p w14:paraId="690412DD" w14:textId="77777777" w:rsidR="00B55191" w:rsidRPr="00B55191" w:rsidRDefault="00B55191" w:rsidP="00B55191">
      <w:pPr>
        <w:pStyle w:val="EndNoteBibliography"/>
        <w:rPr>
          <w:noProof/>
        </w:rPr>
      </w:pPr>
      <w:r w:rsidRPr="00B55191">
        <w:rPr>
          <w:noProof/>
        </w:rPr>
        <w:t xml:space="preserve">(22) Bagger, A.; Castelli, I. E.; Hansen, M. H.; Rossmeisl, J. Fundamental Atomic Insight in Electrocatalysis. In </w:t>
      </w:r>
      <w:r w:rsidRPr="00B55191">
        <w:rPr>
          <w:i/>
          <w:noProof/>
        </w:rPr>
        <w:t>Handbook of Materials Modeling: Applications: Current and Emerging Materials</w:t>
      </w:r>
      <w:r w:rsidRPr="00B55191">
        <w:rPr>
          <w:noProof/>
        </w:rPr>
        <w:t>,  Springer International Publishing, 2018; pp 1-31.</w:t>
      </w:r>
    </w:p>
    <w:p w14:paraId="3E2BCD6F" w14:textId="77777777" w:rsidR="00B55191" w:rsidRPr="00B55191" w:rsidRDefault="00B55191" w:rsidP="00B55191">
      <w:pPr>
        <w:pStyle w:val="EndNoteBibliography"/>
        <w:rPr>
          <w:noProof/>
        </w:rPr>
      </w:pPr>
      <w:r w:rsidRPr="00B55191">
        <w:rPr>
          <w:noProof/>
        </w:rPr>
        <w:t xml:space="preserve">(23) Fang, Y.-H.; Liu, Z.-P. Tafel Kinetics of Electrocatalytic Reactions: From Experiment to First-Principles. </w:t>
      </w:r>
      <w:r w:rsidRPr="00B55191">
        <w:rPr>
          <w:i/>
          <w:noProof/>
        </w:rPr>
        <w:t xml:space="preserve">ACS Catal. </w:t>
      </w:r>
      <w:r w:rsidRPr="00B55191">
        <w:rPr>
          <w:b/>
          <w:noProof/>
        </w:rPr>
        <w:t>2014</w:t>
      </w:r>
      <w:r w:rsidRPr="00B55191">
        <w:rPr>
          <w:noProof/>
        </w:rPr>
        <w:t xml:space="preserve">, </w:t>
      </w:r>
      <w:r w:rsidRPr="00B55191">
        <w:rPr>
          <w:i/>
          <w:noProof/>
        </w:rPr>
        <w:t>4</w:t>
      </w:r>
      <w:r w:rsidRPr="00B55191">
        <w:rPr>
          <w:noProof/>
        </w:rPr>
        <w:t>, 4364-4376.</w:t>
      </w:r>
    </w:p>
    <w:p w14:paraId="651AE2EB" w14:textId="77777777" w:rsidR="00B55191" w:rsidRPr="00B55191" w:rsidRDefault="00B55191" w:rsidP="00B55191">
      <w:pPr>
        <w:pStyle w:val="EndNoteBibliography"/>
        <w:rPr>
          <w:noProof/>
        </w:rPr>
      </w:pPr>
      <w:r w:rsidRPr="00B55191">
        <w:rPr>
          <w:noProof/>
        </w:rPr>
        <w:t xml:space="preserve">(24) M, V.; Singh, S.; Bononi, F.; Andreussi, O.; Karmodak, N. Thermodynamic and Kinetic Modeling of Electrocatalytic Reactions Using a First-Principles Approach. </w:t>
      </w:r>
      <w:r w:rsidRPr="00B55191">
        <w:rPr>
          <w:i/>
          <w:noProof/>
        </w:rPr>
        <w:t xml:space="preserve">J. Chem. Phys. </w:t>
      </w:r>
      <w:r w:rsidRPr="00B55191">
        <w:rPr>
          <w:b/>
          <w:noProof/>
        </w:rPr>
        <w:t>2023</w:t>
      </w:r>
      <w:r w:rsidRPr="00B55191">
        <w:rPr>
          <w:noProof/>
        </w:rPr>
        <w:t xml:space="preserve">, </w:t>
      </w:r>
      <w:r w:rsidRPr="00B55191">
        <w:rPr>
          <w:i/>
          <w:noProof/>
        </w:rPr>
        <w:t>159</w:t>
      </w:r>
      <w:r w:rsidRPr="00B55191">
        <w:rPr>
          <w:noProof/>
        </w:rPr>
        <w:t>, 111001.</w:t>
      </w:r>
    </w:p>
    <w:p w14:paraId="27030B70" w14:textId="77777777" w:rsidR="00B55191" w:rsidRPr="00B55191" w:rsidRDefault="00B55191" w:rsidP="00B55191">
      <w:pPr>
        <w:pStyle w:val="EndNoteBibliography"/>
        <w:rPr>
          <w:noProof/>
        </w:rPr>
      </w:pPr>
      <w:r w:rsidRPr="00B55191">
        <w:rPr>
          <w:noProof/>
        </w:rPr>
        <w:t xml:space="preserve">(25) Zhao, Y.; Adiyeri Saseendran, D. P.; Huang, C.; Triana, C. A.; Marks, W. R.; Chen, H.; Zhao, H.; Patzke, G. R. Oxygen Evolution/Reduction Reaction Catalysts: From in Situ Monitoring and Reaction Mechanisms to Rational Design. </w:t>
      </w:r>
      <w:r w:rsidRPr="00B55191">
        <w:rPr>
          <w:i/>
          <w:noProof/>
        </w:rPr>
        <w:t xml:space="preserve">Chem. Rev. </w:t>
      </w:r>
      <w:r w:rsidRPr="00B55191">
        <w:rPr>
          <w:b/>
          <w:noProof/>
        </w:rPr>
        <w:t>2023</w:t>
      </w:r>
      <w:r w:rsidRPr="00B55191">
        <w:rPr>
          <w:noProof/>
        </w:rPr>
        <w:t xml:space="preserve">, </w:t>
      </w:r>
      <w:r w:rsidRPr="00B55191">
        <w:rPr>
          <w:i/>
          <w:noProof/>
        </w:rPr>
        <w:t>123</w:t>
      </w:r>
      <w:r w:rsidRPr="00B55191">
        <w:rPr>
          <w:noProof/>
        </w:rPr>
        <w:t>, 6257-6358.</w:t>
      </w:r>
    </w:p>
    <w:p w14:paraId="6BDEBE7A" w14:textId="77777777" w:rsidR="00B55191" w:rsidRPr="00B55191" w:rsidRDefault="00B55191" w:rsidP="00B55191">
      <w:pPr>
        <w:pStyle w:val="EndNoteBibliography"/>
        <w:rPr>
          <w:noProof/>
        </w:rPr>
      </w:pPr>
      <w:r w:rsidRPr="00B55191">
        <w:rPr>
          <w:noProof/>
        </w:rPr>
        <w:t xml:space="preserve">(26) Song, J.; Wei, C.; Huang, Z.-F.; Liu, C.; Zeng, L.; Wang, X.; Xu, Z. J. A Review on Fundamentals for Designing Oxygen Evolution Electrocatalysts. </w:t>
      </w:r>
      <w:r w:rsidRPr="00B55191">
        <w:rPr>
          <w:i/>
          <w:noProof/>
        </w:rPr>
        <w:t xml:space="preserve">Chem. Soc. Rev. </w:t>
      </w:r>
      <w:r w:rsidRPr="00B55191">
        <w:rPr>
          <w:b/>
          <w:noProof/>
        </w:rPr>
        <w:t>2020</w:t>
      </w:r>
      <w:r w:rsidRPr="00B55191">
        <w:rPr>
          <w:noProof/>
        </w:rPr>
        <w:t xml:space="preserve">, </w:t>
      </w:r>
      <w:r w:rsidRPr="00B55191">
        <w:rPr>
          <w:i/>
          <w:noProof/>
        </w:rPr>
        <w:t>49</w:t>
      </w:r>
      <w:r w:rsidRPr="00B55191">
        <w:rPr>
          <w:noProof/>
        </w:rPr>
        <w:t>, 2196-2214.</w:t>
      </w:r>
    </w:p>
    <w:p w14:paraId="2FDB203C" w14:textId="77777777" w:rsidR="00B55191" w:rsidRPr="00B55191" w:rsidRDefault="00B55191" w:rsidP="00B55191">
      <w:pPr>
        <w:pStyle w:val="EndNoteBibliography"/>
        <w:rPr>
          <w:noProof/>
        </w:rPr>
      </w:pPr>
      <w:r w:rsidRPr="00B55191">
        <w:rPr>
          <w:noProof/>
        </w:rPr>
        <w:t xml:space="preserve">(27) Wang, X.; Zhong, H.; Xi, S.; Lee, W. S. V.; Xue, J. Understanding of Oxygen Redox in the Oxygen Evolution Reaction. </w:t>
      </w:r>
      <w:r w:rsidRPr="00B55191">
        <w:rPr>
          <w:i/>
          <w:noProof/>
        </w:rPr>
        <w:t xml:space="preserve">Adv. Mater. </w:t>
      </w:r>
      <w:r w:rsidRPr="00B55191">
        <w:rPr>
          <w:b/>
          <w:noProof/>
        </w:rPr>
        <w:t>2022</w:t>
      </w:r>
      <w:r w:rsidRPr="00B55191">
        <w:rPr>
          <w:noProof/>
        </w:rPr>
        <w:t xml:space="preserve">, </w:t>
      </w:r>
      <w:r w:rsidRPr="00B55191">
        <w:rPr>
          <w:i/>
          <w:noProof/>
        </w:rPr>
        <w:t>34</w:t>
      </w:r>
      <w:r w:rsidRPr="00B55191">
        <w:rPr>
          <w:noProof/>
        </w:rPr>
        <w:t>, 2107956.</w:t>
      </w:r>
    </w:p>
    <w:p w14:paraId="6DDD5538" w14:textId="77777777" w:rsidR="00B55191" w:rsidRPr="00B55191" w:rsidRDefault="00B55191" w:rsidP="00B55191">
      <w:pPr>
        <w:pStyle w:val="EndNoteBibliography"/>
        <w:rPr>
          <w:noProof/>
        </w:rPr>
      </w:pPr>
      <w:r w:rsidRPr="00B55191">
        <w:rPr>
          <w:noProof/>
        </w:rPr>
        <w:t xml:space="preserve">(28) Gao, L.; Cui, X.; Sewell, C. D.; Li, J.; Lin, Z. Recent Advances in Activating Surface Reconstruction for the High-Efficiency Oxygen Evolution Reaction. </w:t>
      </w:r>
      <w:r w:rsidRPr="00B55191">
        <w:rPr>
          <w:i/>
          <w:noProof/>
        </w:rPr>
        <w:t xml:space="preserve">Chem. Soc. Rev. </w:t>
      </w:r>
      <w:r w:rsidRPr="00B55191">
        <w:rPr>
          <w:b/>
          <w:noProof/>
        </w:rPr>
        <w:t>2021</w:t>
      </w:r>
      <w:r w:rsidRPr="00B55191">
        <w:rPr>
          <w:noProof/>
        </w:rPr>
        <w:t xml:space="preserve">, </w:t>
      </w:r>
      <w:r w:rsidRPr="00B55191">
        <w:rPr>
          <w:i/>
          <w:noProof/>
        </w:rPr>
        <w:t>50</w:t>
      </w:r>
      <w:r w:rsidRPr="00B55191">
        <w:rPr>
          <w:noProof/>
        </w:rPr>
        <w:t>, 8428-8469.</w:t>
      </w:r>
    </w:p>
    <w:p w14:paraId="349B39C8" w14:textId="77777777" w:rsidR="00B55191" w:rsidRPr="00B55191" w:rsidRDefault="00B55191" w:rsidP="00B55191">
      <w:pPr>
        <w:pStyle w:val="EndNoteBibliography"/>
        <w:rPr>
          <w:noProof/>
        </w:rPr>
      </w:pPr>
      <w:r w:rsidRPr="00B55191">
        <w:rPr>
          <w:noProof/>
        </w:rPr>
        <w:t xml:space="preserve">(29) Plevová, M.; Hnát, J.; Bouzek, K. Electrocatalysts for the Oxygen Evolution Reaction in Alkaline and Neutral Media. A Comparative Review. </w:t>
      </w:r>
      <w:r w:rsidRPr="00B55191">
        <w:rPr>
          <w:i/>
          <w:noProof/>
        </w:rPr>
        <w:t xml:space="preserve">J. Power Sources </w:t>
      </w:r>
      <w:r w:rsidRPr="00B55191">
        <w:rPr>
          <w:b/>
          <w:noProof/>
        </w:rPr>
        <w:t>2021</w:t>
      </w:r>
      <w:r w:rsidRPr="00B55191">
        <w:rPr>
          <w:noProof/>
        </w:rPr>
        <w:t xml:space="preserve">, </w:t>
      </w:r>
      <w:r w:rsidRPr="00B55191">
        <w:rPr>
          <w:i/>
          <w:noProof/>
        </w:rPr>
        <w:t>507</w:t>
      </w:r>
      <w:r w:rsidRPr="00B55191">
        <w:rPr>
          <w:noProof/>
        </w:rPr>
        <w:t>, 230072.</w:t>
      </w:r>
    </w:p>
    <w:p w14:paraId="164BCFB3" w14:textId="77777777" w:rsidR="00B55191" w:rsidRPr="00B55191" w:rsidRDefault="00B55191" w:rsidP="00B55191">
      <w:pPr>
        <w:pStyle w:val="EndNoteBibliography"/>
        <w:rPr>
          <w:noProof/>
        </w:rPr>
      </w:pPr>
      <w:r w:rsidRPr="00B55191">
        <w:rPr>
          <w:noProof/>
        </w:rPr>
        <w:t xml:space="preserve">(30) Tahir, M.; Pan, L.; Idrees, F.; Zhang, X.; Wang, L.; Zou, J.-J.; Wang, Z. L. Electrocatalytic Oxygen Evolution Reaction for Energy Conversion and Storage: A Comprehensive Review. </w:t>
      </w:r>
      <w:r w:rsidRPr="00B55191">
        <w:rPr>
          <w:i/>
          <w:noProof/>
        </w:rPr>
        <w:t xml:space="preserve">Nano Energy </w:t>
      </w:r>
      <w:r w:rsidRPr="00B55191">
        <w:rPr>
          <w:b/>
          <w:noProof/>
        </w:rPr>
        <w:t>2017</w:t>
      </w:r>
      <w:r w:rsidRPr="00B55191">
        <w:rPr>
          <w:noProof/>
        </w:rPr>
        <w:t xml:space="preserve">, </w:t>
      </w:r>
      <w:r w:rsidRPr="00B55191">
        <w:rPr>
          <w:i/>
          <w:noProof/>
        </w:rPr>
        <w:t>37</w:t>
      </w:r>
      <w:r w:rsidRPr="00B55191">
        <w:rPr>
          <w:noProof/>
        </w:rPr>
        <w:t>, 136-157.</w:t>
      </w:r>
    </w:p>
    <w:p w14:paraId="4469ACA9" w14:textId="77777777" w:rsidR="00B55191" w:rsidRPr="00B55191" w:rsidRDefault="00B55191" w:rsidP="00B55191">
      <w:pPr>
        <w:pStyle w:val="EndNoteBibliography"/>
        <w:rPr>
          <w:noProof/>
        </w:rPr>
      </w:pPr>
      <w:r w:rsidRPr="00B55191">
        <w:rPr>
          <w:noProof/>
        </w:rPr>
        <w:t xml:space="preserve">(31) Suen, N.-T.; Hung, S.-F.; Quan, Q.; Zhang, N.; Xu, Y.-J.; Chen, H. M. Electrocatalysis for the Oxygen Evolution Reaction: Recent Development and Future Perspectives. </w:t>
      </w:r>
      <w:r w:rsidRPr="00B55191">
        <w:rPr>
          <w:i/>
          <w:noProof/>
        </w:rPr>
        <w:t xml:space="preserve">Chem. Soc. Rev. </w:t>
      </w:r>
      <w:r w:rsidRPr="00B55191">
        <w:rPr>
          <w:b/>
          <w:noProof/>
        </w:rPr>
        <w:t>2017</w:t>
      </w:r>
      <w:r w:rsidRPr="00B55191">
        <w:rPr>
          <w:noProof/>
        </w:rPr>
        <w:t xml:space="preserve">, </w:t>
      </w:r>
      <w:r w:rsidRPr="00B55191">
        <w:rPr>
          <w:i/>
          <w:noProof/>
        </w:rPr>
        <w:t>46</w:t>
      </w:r>
      <w:r w:rsidRPr="00B55191">
        <w:rPr>
          <w:noProof/>
        </w:rPr>
        <w:t>, 337-365.</w:t>
      </w:r>
    </w:p>
    <w:p w14:paraId="11C7CA71" w14:textId="77777777" w:rsidR="00B55191" w:rsidRPr="00B55191" w:rsidRDefault="00B55191" w:rsidP="00B55191">
      <w:pPr>
        <w:pStyle w:val="EndNoteBibliography"/>
        <w:rPr>
          <w:noProof/>
        </w:rPr>
      </w:pPr>
      <w:r w:rsidRPr="00B55191">
        <w:rPr>
          <w:noProof/>
        </w:rPr>
        <w:t xml:space="preserve">(32) Fabbri, E.; Schmidt, T. J. Oxygen Evolution Reaction—the Enigma in Water Electrolysis. </w:t>
      </w:r>
      <w:r w:rsidRPr="00B55191">
        <w:rPr>
          <w:i/>
          <w:noProof/>
        </w:rPr>
        <w:t xml:space="preserve">ACS Catal. </w:t>
      </w:r>
      <w:r w:rsidRPr="00B55191">
        <w:rPr>
          <w:b/>
          <w:noProof/>
        </w:rPr>
        <w:t>2018</w:t>
      </w:r>
      <w:r w:rsidRPr="00B55191">
        <w:rPr>
          <w:noProof/>
        </w:rPr>
        <w:t xml:space="preserve">, </w:t>
      </w:r>
      <w:r w:rsidRPr="00B55191">
        <w:rPr>
          <w:i/>
          <w:noProof/>
        </w:rPr>
        <w:t>8</w:t>
      </w:r>
      <w:r w:rsidRPr="00B55191">
        <w:rPr>
          <w:noProof/>
        </w:rPr>
        <w:t>, 9765-9774.</w:t>
      </w:r>
    </w:p>
    <w:p w14:paraId="057AD188" w14:textId="77777777" w:rsidR="00B55191" w:rsidRPr="00B55191" w:rsidRDefault="00B55191" w:rsidP="00B55191">
      <w:pPr>
        <w:pStyle w:val="EndNoteBibliography"/>
        <w:rPr>
          <w:noProof/>
        </w:rPr>
      </w:pPr>
      <w:r w:rsidRPr="00B55191">
        <w:rPr>
          <w:noProof/>
        </w:rPr>
        <w:t xml:space="preserve">(33) Vazhayil, A.; Vazhayal, L.; Thomas, J.; Ashok C, S.; Thomas, N. A Comprehensive Review on the Recent Developments in Transition Metal-Based Electrocatalysts for Oxygen Evolution Reaction. </w:t>
      </w:r>
      <w:r w:rsidRPr="00B55191">
        <w:rPr>
          <w:i/>
          <w:noProof/>
        </w:rPr>
        <w:t xml:space="preserve">Appli. Surf. Sci. Adv. </w:t>
      </w:r>
      <w:r w:rsidRPr="00B55191">
        <w:rPr>
          <w:b/>
          <w:noProof/>
        </w:rPr>
        <w:t>2021</w:t>
      </w:r>
      <w:r w:rsidRPr="00B55191">
        <w:rPr>
          <w:noProof/>
        </w:rPr>
        <w:t xml:space="preserve">, </w:t>
      </w:r>
      <w:r w:rsidRPr="00B55191">
        <w:rPr>
          <w:i/>
          <w:noProof/>
        </w:rPr>
        <w:t>6</w:t>
      </w:r>
      <w:r w:rsidRPr="00B55191">
        <w:rPr>
          <w:noProof/>
        </w:rPr>
        <w:t>, 100184.</w:t>
      </w:r>
    </w:p>
    <w:p w14:paraId="08EAF3F2" w14:textId="77777777" w:rsidR="00B55191" w:rsidRPr="00B55191" w:rsidRDefault="00B55191" w:rsidP="00B55191">
      <w:pPr>
        <w:pStyle w:val="EndNoteBibliography"/>
        <w:rPr>
          <w:noProof/>
        </w:rPr>
      </w:pPr>
      <w:r w:rsidRPr="00B55191">
        <w:rPr>
          <w:noProof/>
        </w:rPr>
        <w:t xml:space="preserve">(34) Brouzgou, A. Oxygen Evolution Reaction. In </w:t>
      </w:r>
      <w:r w:rsidRPr="00B55191">
        <w:rPr>
          <w:i/>
          <w:noProof/>
        </w:rPr>
        <w:t>Methods for Electrocatalysis: Advanced Materials and Allied Applications</w:t>
      </w:r>
      <w:r w:rsidRPr="00B55191">
        <w:rPr>
          <w:noProof/>
        </w:rPr>
        <w:t>,  Springer International Publishing, 2020; pp 149-169.</w:t>
      </w:r>
    </w:p>
    <w:p w14:paraId="78266579" w14:textId="77777777" w:rsidR="00B55191" w:rsidRPr="00B55191" w:rsidRDefault="00B55191" w:rsidP="00B55191">
      <w:pPr>
        <w:pStyle w:val="EndNoteBibliography"/>
        <w:rPr>
          <w:noProof/>
        </w:rPr>
      </w:pPr>
      <w:r w:rsidRPr="00B55191">
        <w:rPr>
          <w:noProof/>
        </w:rPr>
        <w:t xml:space="preserve">(35) Son, Y. J.; Kawashima, K.; Márquez, R. A.; Smith, L. A.; Chukwuneke, C. E.; Mullins, C. B. Key Concepts for Understanding Alkaline Oxygen Evolution Reaction at the Atomic/Molecular Scale. </w:t>
      </w:r>
      <w:r w:rsidRPr="00B55191">
        <w:rPr>
          <w:i/>
          <w:noProof/>
        </w:rPr>
        <w:t xml:space="preserve">Curr. Opin. Electrochem. </w:t>
      </w:r>
      <w:r w:rsidRPr="00B55191">
        <w:rPr>
          <w:b/>
          <w:noProof/>
        </w:rPr>
        <w:t>2023</w:t>
      </w:r>
      <w:r w:rsidRPr="00B55191">
        <w:rPr>
          <w:noProof/>
        </w:rPr>
        <w:t xml:space="preserve">, </w:t>
      </w:r>
      <w:r w:rsidRPr="00B55191">
        <w:rPr>
          <w:i/>
          <w:noProof/>
        </w:rPr>
        <w:t>39</w:t>
      </w:r>
      <w:r w:rsidRPr="00B55191">
        <w:rPr>
          <w:noProof/>
        </w:rPr>
        <w:t>, 101298.</w:t>
      </w:r>
    </w:p>
    <w:p w14:paraId="1366F85C" w14:textId="77777777" w:rsidR="00B55191" w:rsidRPr="00B55191" w:rsidRDefault="00B55191" w:rsidP="00B55191">
      <w:pPr>
        <w:pStyle w:val="EndNoteBibliography"/>
        <w:rPr>
          <w:noProof/>
        </w:rPr>
      </w:pPr>
      <w:r w:rsidRPr="00B55191">
        <w:rPr>
          <w:noProof/>
        </w:rPr>
        <w:t xml:space="preserve">(36) Sharshir, S. W.; Joseph, A.; Elsayad, M. M.; Tareemi, A. A.; Kandeal, A. W.; Elkadeem, M. R. A Review of Recent Advances in Alkaline Electrolyzer for Green Hydrogen Production: Performance Improvement and Applications. </w:t>
      </w:r>
      <w:r w:rsidRPr="00B55191">
        <w:rPr>
          <w:i/>
          <w:noProof/>
        </w:rPr>
        <w:t xml:space="preserve">Int. J. Hydrogen Energy </w:t>
      </w:r>
      <w:r w:rsidRPr="00B55191">
        <w:rPr>
          <w:b/>
          <w:noProof/>
        </w:rPr>
        <w:t>2024</w:t>
      </w:r>
      <w:r w:rsidRPr="00B55191">
        <w:rPr>
          <w:noProof/>
        </w:rPr>
        <w:t xml:space="preserve">, </w:t>
      </w:r>
      <w:r w:rsidRPr="00B55191">
        <w:rPr>
          <w:i/>
          <w:noProof/>
        </w:rPr>
        <w:t>49</w:t>
      </w:r>
      <w:r w:rsidRPr="00B55191">
        <w:rPr>
          <w:noProof/>
        </w:rPr>
        <w:t>, 458-488.</w:t>
      </w:r>
    </w:p>
    <w:p w14:paraId="1A45470D" w14:textId="77777777" w:rsidR="00B55191" w:rsidRPr="00B55191" w:rsidRDefault="00B55191" w:rsidP="00B55191">
      <w:pPr>
        <w:pStyle w:val="EndNoteBibliography"/>
        <w:rPr>
          <w:noProof/>
        </w:rPr>
      </w:pPr>
      <w:r w:rsidRPr="00B55191">
        <w:rPr>
          <w:noProof/>
        </w:rPr>
        <w:t xml:space="preserve">(37) Hassan, N. S.; Jalil, A. A.; Rajendran, S.; Khusnun, N. F.; Bahari, M. B.; Johari, A.; Kamaruddin, M. J.; Ismail, M. Recent Review and Evaluation of Green Hydrogen Production Via Water Electrolysis for a Sustainable and Clean Energy Society. </w:t>
      </w:r>
      <w:r w:rsidRPr="00B55191">
        <w:rPr>
          <w:i/>
          <w:noProof/>
        </w:rPr>
        <w:t xml:space="preserve">Int. J. Hydrogen Energy </w:t>
      </w:r>
      <w:r w:rsidRPr="00B55191">
        <w:rPr>
          <w:b/>
          <w:noProof/>
        </w:rPr>
        <w:t>2024</w:t>
      </w:r>
      <w:r w:rsidRPr="00B55191">
        <w:rPr>
          <w:noProof/>
        </w:rPr>
        <w:t xml:space="preserve">, </w:t>
      </w:r>
      <w:r w:rsidRPr="00B55191">
        <w:rPr>
          <w:i/>
          <w:noProof/>
        </w:rPr>
        <w:t>52</w:t>
      </w:r>
      <w:r w:rsidRPr="00B55191">
        <w:rPr>
          <w:noProof/>
        </w:rPr>
        <w:t>, 420-441.</w:t>
      </w:r>
    </w:p>
    <w:p w14:paraId="0208495B" w14:textId="77777777" w:rsidR="00B55191" w:rsidRPr="00B55191" w:rsidRDefault="00B55191" w:rsidP="00B55191">
      <w:pPr>
        <w:pStyle w:val="EndNoteBibliography"/>
        <w:rPr>
          <w:noProof/>
        </w:rPr>
      </w:pPr>
      <w:r w:rsidRPr="00B55191">
        <w:rPr>
          <w:noProof/>
        </w:rPr>
        <w:lastRenderedPageBreak/>
        <w:t xml:space="preserve">(38) Oliveira, A. M.; Beswick, R. R.; Yan, Y. A Green Hydrogen Economy for a Renewable Energy Society. </w:t>
      </w:r>
      <w:r w:rsidRPr="00B55191">
        <w:rPr>
          <w:i/>
          <w:noProof/>
        </w:rPr>
        <w:t xml:space="preserve">Curr. Opin. Chem. Eng. </w:t>
      </w:r>
      <w:r w:rsidRPr="00B55191">
        <w:rPr>
          <w:b/>
          <w:noProof/>
        </w:rPr>
        <w:t>2021</w:t>
      </w:r>
      <w:r w:rsidRPr="00B55191">
        <w:rPr>
          <w:noProof/>
        </w:rPr>
        <w:t xml:space="preserve">, </w:t>
      </w:r>
      <w:r w:rsidRPr="00B55191">
        <w:rPr>
          <w:i/>
          <w:noProof/>
        </w:rPr>
        <w:t>33</w:t>
      </w:r>
      <w:r w:rsidRPr="00B55191">
        <w:rPr>
          <w:noProof/>
        </w:rPr>
        <w:t>, 100701.</w:t>
      </w:r>
    </w:p>
    <w:p w14:paraId="14618806" w14:textId="77777777" w:rsidR="00B55191" w:rsidRPr="00B55191" w:rsidRDefault="00B55191" w:rsidP="00B55191">
      <w:pPr>
        <w:pStyle w:val="EndNoteBibliography"/>
        <w:rPr>
          <w:noProof/>
        </w:rPr>
      </w:pPr>
      <w:r w:rsidRPr="00B55191">
        <w:rPr>
          <w:noProof/>
        </w:rPr>
        <w:t xml:space="preserve">(39) Hassan, Q.; Abdulateef, A. M.; Hafedh, S. A.; Al-samari, A.; Abdulateef, J.; Sameen, A. Z.; Salman, H. M.; Al-Jiboory, A. K.; Wieteska, S.; Jaszczur, M. Renewable Energy-to-Green Hydrogen: A Review of Main Resources Routes, Processes and Evaluation. </w:t>
      </w:r>
      <w:r w:rsidRPr="00B55191">
        <w:rPr>
          <w:i/>
          <w:noProof/>
        </w:rPr>
        <w:t xml:space="preserve">Int. J. Hydrogen Energy </w:t>
      </w:r>
      <w:r w:rsidRPr="00B55191">
        <w:rPr>
          <w:b/>
          <w:noProof/>
        </w:rPr>
        <w:t>2023</w:t>
      </w:r>
      <w:r w:rsidRPr="00B55191">
        <w:rPr>
          <w:noProof/>
        </w:rPr>
        <w:t xml:space="preserve">, </w:t>
      </w:r>
      <w:r w:rsidRPr="00B55191">
        <w:rPr>
          <w:i/>
          <w:noProof/>
        </w:rPr>
        <w:t>48</w:t>
      </w:r>
      <w:r w:rsidRPr="00B55191">
        <w:rPr>
          <w:noProof/>
        </w:rPr>
        <w:t>, 17383-17408.</w:t>
      </w:r>
    </w:p>
    <w:p w14:paraId="633D62F1" w14:textId="77777777" w:rsidR="00B55191" w:rsidRPr="00B55191" w:rsidRDefault="00B55191" w:rsidP="00B55191">
      <w:pPr>
        <w:pStyle w:val="EndNoteBibliography"/>
        <w:rPr>
          <w:noProof/>
        </w:rPr>
      </w:pPr>
      <w:r w:rsidRPr="00B55191">
        <w:rPr>
          <w:noProof/>
        </w:rPr>
        <w:t xml:space="preserve">(40) Shen, H.; Choi, C.; Masa, J.; Li, X.; Qiu, J.; Jung, Y.; Sun, Z. Electrochemical Ammonia Synthesis: Mechanistic Understanding and Catalyst Design. </w:t>
      </w:r>
      <w:r w:rsidRPr="00B55191">
        <w:rPr>
          <w:i/>
          <w:noProof/>
        </w:rPr>
        <w:t xml:space="preserve">Chem </w:t>
      </w:r>
      <w:r w:rsidRPr="00B55191">
        <w:rPr>
          <w:b/>
          <w:noProof/>
        </w:rPr>
        <w:t>2021</w:t>
      </w:r>
      <w:r w:rsidRPr="00B55191">
        <w:rPr>
          <w:noProof/>
        </w:rPr>
        <w:t xml:space="preserve">, </w:t>
      </w:r>
      <w:r w:rsidRPr="00B55191">
        <w:rPr>
          <w:i/>
          <w:noProof/>
        </w:rPr>
        <w:t>7</w:t>
      </w:r>
      <w:r w:rsidRPr="00B55191">
        <w:rPr>
          <w:noProof/>
        </w:rPr>
        <w:t>, 1708-1754.</w:t>
      </w:r>
    </w:p>
    <w:p w14:paraId="1FD2C4AF" w14:textId="77777777" w:rsidR="00B55191" w:rsidRPr="00B55191" w:rsidRDefault="00B55191" w:rsidP="00B55191">
      <w:pPr>
        <w:pStyle w:val="EndNoteBibliography"/>
        <w:rPr>
          <w:noProof/>
        </w:rPr>
      </w:pPr>
      <w:r w:rsidRPr="00B55191">
        <w:rPr>
          <w:noProof/>
        </w:rPr>
        <w:t xml:space="preserve">(41) Wu, T.; Fan, W.; Zhang, Y.; Zhang, F. Electrochemical Synthesis of Ammonia: Progress and Challenges. </w:t>
      </w:r>
      <w:r w:rsidRPr="00B55191">
        <w:rPr>
          <w:i/>
          <w:noProof/>
        </w:rPr>
        <w:t xml:space="preserve">Mater. Today Phys. </w:t>
      </w:r>
      <w:r w:rsidRPr="00B55191">
        <w:rPr>
          <w:b/>
          <w:noProof/>
        </w:rPr>
        <w:t>2021</w:t>
      </w:r>
      <w:r w:rsidRPr="00B55191">
        <w:rPr>
          <w:noProof/>
        </w:rPr>
        <w:t xml:space="preserve">, </w:t>
      </w:r>
      <w:r w:rsidRPr="00B55191">
        <w:rPr>
          <w:i/>
          <w:noProof/>
        </w:rPr>
        <w:t>16</w:t>
      </w:r>
      <w:r w:rsidRPr="00B55191">
        <w:rPr>
          <w:noProof/>
        </w:rPr>
        <w:t>, 100310.</w:t>
      </w:r>
    </w:p>
    <w:p w14:paraId="75049450" w14:textId="77777777" w:rsidR="00B55191" w:rsidRPr="00B55191" w:rsidRDefault="00B55191" w:rsidP="00B55191">
      <w:pPr>
        <w:pStyle w:val="EndNoteBibliography"/>
        <w:rPr>
          <w:noProof/>
        </w:rPr>
      </w:pPr>
      <w:r w:rsidRPr="00B55191">
        <w:rPr>
          <w:noProof/>
        </w:rPr>
        <w:t xml:space="preserve">(42) Xu, H.; Ithisuphalap, K.; Li, Y.; Mukherjee, S.; Lattimer, J.; Soloveichik, G.; Wu, G. Electrochemical Ammonia Synthesis through N2 and H2o under Ambient Conditions: Theory, Practices, and Challenges for Catalysts and Electrolytes. </w:t>
      </w:r>
      <w:r w:rsidRPr="00B55191">
        <w:rPr>
          <w:i/>
          <w:noProof/>
        </w:rPr>
        <w:t xml:space="preserve">Nano Energy </w:t>
      </w:r>
      <w:r w:rsidRPr="00B55191">
        <w:rPr>
          <w:b/>
          <w:noProof/>
        </w:rPr>
        <w:t>2020</w:t>
      </w:r>
      <w:r w:rsidRPr="00B55191">
        <w:rPr>
          <w:noProof/>
        </w:rPr>
        <w:t xml:space="preserve">, </w:t>
      </w:r>
      <w:r w:rsidRPr="00B55191">
        <w:rPr>
          <w:i/>
          <w:noProof/>
        </w:rPr>
        <w:t>69</w:t>
      </w:r>
      <w:r w:rsidRPr="00B55191">
        <w:rPr>
          <w:noProof/>
        </w:rPr>
        <w:t>, 104469.</w:t>
      </w:r>
    </w:p>
    <w:p w14:paraId="534EAA50" w14:textId="77777777" w:rsidR="00B55191" w:rsidRPr="00B55191" w:rsidRDefault="00B55191" w:rsidP="00B55191">
      <w:pPr>
        <w:pStyle w:val="EndNoteBibliography"/>
        <w:rPr>
          <w:noProof/>
        </w:rPr>
      </w:pPr>
      <w:r w:rsidRPr="00B55191">
        <w:rPr>
          <w:noProof/>
        </w:rPr>
        <w:t xml:space="preserve">(43) Yang, B.; Ding, W.; Zhang, H.; Zhang, S. Recent Progress in Electrochemical Synthesis of Ammonia from Nitrogen: Strategies to Improve the Catalytic Activity and Selectivity. </w:t>
      </w:r>
      <w:r w:rsidRPr="00B55191">
        <w:rPr>
          <w:i/>
          <w:noProof/>
        </w:rPr>
        <w:t xml:space="preserve">Energy Environ. Sci. </w:t>
      </w:r>
      <w:r w:rsidRPr="00B55191">
        <w:rPr>
          <w:b/>
          <w:noProof/>
        </w:rPr>
        <w:t>2021</w:t>
      </w:r>
      <w:r w:rsidRPr="00B55191">
        <w:rPr>
          <w:noProof/>
        </w:rPr>
        <w:t xml:space="preserve">, </w:t>
      </w:r>
      <w:r w:rsidRPr="00B55191">
        <w:rPr>
          <w:i/>
          <w:noProof/>
        </w:rPr>
        <w:t>14</w:t>
      </w:r>
      <w:r w:rsidRPr="00B55191">
        <w:rPr>
          <w:noProof/>
        </w:rPr>
        <w:t>, 672-687.</w:t>
      </w:r>
    </w:p>
    <w:p w14:paraId="622FDF6E" w14:textId="77777777" w:rsidR="00B55191" w:rsidRPr="00B55191" w:rsidRDefault="00B55191" w:rsidP="00B55191">
      <w:pPr>
        <w:pStyle w:val="EndNoteBibliography"/>
        <w:rPr>
          <w:noProof/>
        </w:rPr>
      </w:pPr>
      <w:r w:rsidRPr="00B55191">
        <w:rPr>
          <w:noProof/>
        </w:rPr>
        <w:t xml:space="preserve">(44) Overa, S.; Ko, B. H.; Zhao, Y.; Jiao, F. Electrochemical Approaches for Co2 Conversion to Chemicals: A Journey toward Practical Applications. </w:t>
      </w:r>
      <w:r w:rsidRPr="00B55191">
        <w:rPr>
          <w:i/>
          <w:noProof/>
        </w:rPr>
        <w:t xml:space="preserve">Acc. Chem. Res. </w:t>
      </w:r>
      <w:r w:rsidRPr="00B55191">
        <w:rPr>
          <w:b/>
          <w:noProof/>
        </w:rPr>
        <w:t>2022</w:t>
      </w:r>
      <w:r w:rsidRPr="00B55191">
        <w:rPr>
          <w:noProof/>
        </w:rPr>
        <w:t xml:space="preserve">, </w:t>
      </w:r>
      <w:r w:rsidRPr="00B55191">
        <w:rPr>
          <w:i/>
          <w:noProof/>
        </w:rPr>
        <w:t>55</w:t>
      </w:r>
      <w:r w:rsidRPr="00B55191">
        <w:rPr>
          <w:noProof/>
        </w:rPr>
        <w:t>, 638-648.</w:t>
      </w:r>
    </w:p>
    <w:p w14:paraId="229020C8" w14:textId="77777777" w:rsidR="00B55191" w:rsidRPr="00B55191" w:rsidRDefault="00B55191" w:rsidP="00B55191">
      <w:pPr>
        <w:pStyle w:val="EndNoteBibliography"/>
        <w:rPr>
          <w:noProof/>
        </w:rPr>
      </w:pPr>
      <w:r w:rsidRPr="00B55191">
        <w:rPr>
          <w:noProof/>
        </w:rPr>
        <w:t xml:space="preserve">(45) Zhu, P.; Wang, H. High-Purity and High-Concentration Liquid Fuels through Co2 Electroreduction. </w:t>
      </w:r>
      <w:r w:rsidRPr="00B55191">
        <w:rPr>
          <w:i/>
          <w:noProof/>
        </w:rPr>
        <w:t xml:space="preserve">Nat. Catal. </w:t>
      </w:r>
      <w:r w:rsidRPr="00B55191">
        <w:rPr>
          <w:b/>
          <w:noProof/>
        </w:rPr>
        <w:t>2021</w:t>
      </w:r>
      <w:r w:rsidRPr="00B55191">
        <w:rPr>
          <w:noProof/>
        </w:rPr>
        <w:t xml:space="preserve">, </w:t>
      </w:r>
      <w:r w:rsidRPr="00B55191">
        <w:rPr>
          <w:i/>
          <w:noProof/>
        </w:rPr>
        <w:t>4</w:t>
      </w:r>
      <w:r w:rsidRPr="00B55191">
        <w:rPr>
          <w:noProof/>
        </w:rPr>
        <w:t>, 943-951.</w:t>
      </w:r>
    </w:p>
    <w:p w14:paraId="371B5643" w14:textId="77777777" w:rsidR="00B55191" w:rsidRPr="00B55191" w:rsidRDefault="00B55191" w:rsidP="00B55191">
      <w:pPr>
        <w:pStyle w:val="EndNoteBibliography"/>
        <w:rPr>
          <w:noProof/>
        </w:rPr>
      </w:pPr>
      <w:r w:rsidRPr="00B55191">
        <w:rPr>
          <w:noProof/>
        </w:rPr>
        <w:t xml:space="preserve">(46) Tan, X.; Yu, C.; Ren, Y.; Cui, S.; Li, W.; Qiu, J. Recent Advances in Innovative Strategies for the Co2 Electroreduction Reaction. </w:t>
      </w:r>
      <w:r w:rsidRPr="00B55191">
        <w:rPr>
          <w:i/>
          <w:noProof/>
        </w:rPr>
        <w:t xml:space="preserve">Energy Environ. Sci. </w:t>
      </w:r>
      <w:r w:rsidRPr="00B55191">
        <w:rPr>
          <w:b/>
          <w:noProof/>
        </w:rPr>
        <w:t>2021</w:t>
      </w:r>
      <w:r w:rsidRPr="00B55191">
        <w:rPr>
          <w:noProof/>
        </w:rPr>
        <w:t xml:space="preserve">, </w:t>
      </w:r>
      <w:r w:rsidRPr="00B55191">
        <w:rPr>
          <w:i/>
          <w:noProof/>
        </w:rPr>
        <w:t>14</w:t>
      </w:r>
      <w:r w:rsidRPr="00B55191">
        <w:rPr>
          <w:noProof/>
        </w:rPr>
        <w:t>, 765-780.</w:t>
      </w:r>
    </w:p>
    <w:p w14:paraId="2D61FF62" w14:textId="77777777" w:rsidR="00B55191" w:rsidRPr="00B55191" w:rsidRDefault="00B55191" w:rsidP="00B55191">
      <w:pPr>
        <w:pStyle w:val="EndNoteBibliography"/>
        <w:rPr>
          <w:noProof/>
        </w:rPr>
      </w:pPr>
      <w:r w:rsidRPr="00B55191">
        <w:rPr>
          <w:noProof/>
        </w:rPr>
        <w:t xml:space="preserve">(47) Koper, M. T. M. Thermodynamic Theory of Multi-Electron Transfer Reactions: Implications for Electrocatalysis. </w:t>
      </w:r>
      <w:r w:rsidRPr="00B55191">
        <w:rPr>
          <w:i/>
          <w:noProof/>
        </w:rPr>
        <w:t xml:space="preserve">J. Electroanal. Chem. </w:t>
      </w:r>
      <w:r w:rsidRPr="00B55191">
        <w:rPr>
          <w:b/>
          <w:noProof/>
        </w:rPr>
        <w:t>2011</w:t>
      </w:r>
      <w:r w:rsidRPr="00B55191">
        <w:rPr>
          <w:noProof/>
        </w:rPr>
        <w:t xml:space="preserve">, </w:t>
      </w:r>
      <w:r w:rsidRPr="00B55191">
        <w:rPr>
          <w:i/>
          <w:noProof/>
        </w:rPr>
        <w:t>660</w:t>
      </w:r>
      <w:r w:rsidRPr="00B55191">
        <w:rPr>
          <w:noProof/>
        </w:rPr>
        <w:t>, 254-260.</w:t>
      </w:r>
    </w:p>
    <w:p w14:paraId="46C57B6E" w14:textId="77777777" w:rsidR="00B55191" w:rsidRPr="00B55191" w:rsidRDefault="00B55191" w:rsidP="00B55191">
      <w:pPr>
        <w:pStyle w:val="EndNoteBibliography"/>
        <w:rPr>
          <w:noProof/>
        </w:rPr>
      </w:pPr>
      <w:r w:rsidRPr="00B55191">
        <w:rPr>
          <w:noProof/>
        </w:rPr>
        <w:t xml:space="preserve">(48) Klemenc, A. Die Elektrolytischen Vorgänge an Der Anode Als Wirkungen Des Hydroxyls. </w:t>
      </w:r>
      <w:r w:rsidRPr="00B55191">
        <w:rPr>
          <w:i/>
          <w:noProof/>
        </w:rPr>
        <w:t xml:space="preserve">Z. Phys. Chem. </w:t>
      </w:r>
      <w:r w:rsidRPr="00B55191">
        <w:rPr>
          <w:b/>
          <w:noProof/>
        </w:rPr>
        <w:t>1939</w:t>
      </w:r>
      <w:r w:rsidRPr="00B55191">
        <w:rPr>
          <w:noProof/>
        </w:rPr>
        <w:t xml:space="preserve">, </w:t>
      </w:r>
      <w:r w:rsidRPr="00B55191">
        <w:rPr>
          <w:i/>
          <w:noProof/>
        </w:rPr>
        <w:t>185A</w:t>
      </w:r>
      <w:r w:rsidRPr="00B55191">
        <w:rPr>
          <w:noProof/>
        </w:rPr>
        <w:t>, 1-36.</w:t>
      </w:r>
    </w:p>
    <w:p w14:paraId="640177A4" w14:textId="77777777" w:rsidR="00B55191" w:rsidRPr="00B55191" w:rsidRDefault="00B55191" w:rsidP="00B55191">
      <w:pPr>
        <w:pStyle w:val="EndNoteBibliography"/>
        <w:rPr>
          <w:noProof/>
        </w:rPr>
      </w:pPr>
      <w:r w:rsidRPr="00B55191">
        <w:rPr>
          <w:noProof/>
        </w:rPr>
        <w:t xml:space="preserve">(49) Foerster, F.; Yamasaki, J. Über Die Elektrolyse Der Alkalibromide Und Die Verzögerungserscheinungen Der Anodischen Abscheidung Der Halogene. </w:t>
      </w:r>
      <w:r w:rsidRPr="00B55191">
        <w:rPr>
          <w:i/>
          <w:noProof/>
        </w:rPr>
        <w:t xml:space="preserve">Zeitschrift für Elektrochemie und angewandte physikalische Chemie </w:t>
      </w:r>
      <w:r w:rsidRPr="00B55191">
        <w:rPr>
          <w:b/>
          <w:noProof/>
        </w:rPr>
        <w:t>1910</w:t>
      </w:r>
      <w:r w:rsidRPr="00B55191">
        <w:rPr>
          <w:noProof/>
        </w:rPr>
        <w:t xml:space="preserve">, </w:t>
      </w:r>
      <w:r w:rsidRPr="00B55191">
        <w:rPr>
          <w:i/>
          <w:noProof/>
        </w:rPr>
        <w:t>16</w:t>
      </w:r>
      <w:r w:rsidRPr="00B55191">
        <w:rPr>
          <w:noProof/>
        </w:rPr>
        <w:t>, 321-355.</w:t>
      </w:r>
    </w:p>
    <w:p w14:paraId="21C8DCCD" w14:textId="77777777" w:rsidR="00B55191" w:rsidRPr="00B55191" w:rsidRDefault="00B55191" w:rsidP="00B55191">
      <w:pPr>
        <w:pStyle w:val="EndNoteBibliography"/>
        <w:rPr>
          <w:noProof/>
        </w:rPr>
      </w:pPr>
      <w:r w:rsidRPr="00B55191">
        <w:rPr>
          <w:noProof/>
        </w:rPr>
        <w:t xml:space="preserve">(50) Gurney, R. W.; Rutherford, E. The Quantum Mechanics of Electrolysis. </w:t>
      </w:r>
      <w:r w:rsidRPr="00B55191">
        <w:rPr>
          <w:i/>
          <w:noProof/>
        </w:rPr>
        <w:t xml:space="preserve">Proc. R. soc. Lond. Ser. A-Contain. Pap. Math. Phys. Character </w:t>
      </w:r>
      <w:r w:rsidRPr="00B55191">
        <w:rPr>
          <w:b/>
          <w:noProof/>
        </w:rPr>
        <w:t>1931</w:t>
      </w:r>
      <w:r w:rsidRPr="00B55191">
        <w:rPr>
          <w:noProof/>
        </w:rPr>
        <w:t xml:space="preserve">, </w:t>
      </w:r>
      <w:r w:rsidRPr="00B55191">
        <w:rPr>
          <w:i/>
          <w:noProof/>
        </w:rPr>
        <w:t>134</w:t>
      </w:r>
      <w:r w:rsidRPr="00B55191">
        <w:rPr>
          <w:noProof/>
        </w:rPr>
        <w:t>, 137-154.</w:t>
      </w:r>
    </w:p>
    <w:p w14:paraId="613BF3F9" w14:textId="77777777" w:rsidR="00B55191" w:rsidRPr="00B55191" w:rsidRDefault="00B55191" w:rsidP="00B55191">
      <w:pPr>
        <w:pStyle w:val="EndNoteBibliography"/>
        <w:rPr>
          <w:noProof/>
        </w:rPr>
      </w:pPr>
      <w:r w:rsidRPr="00B55191">
        <w:rPr>
          <w:noProof/>
        </w:rPr>
        <w:t xml:space="preserve">(51) Gurney, R. W.; Fowler, R. H. The Quantum Mechanics of Electrochemistry.―Ii. </w:t>
      </w:r>
      <w:r w:rsidRPr="00B55191">
        <w:rPr>
          <w:i/>
          <w:noProof/>
        </w:rPr>
        <w:t xml:space="preserve">Proc. R. soc. Lond. Ser. A-Contain. Pap. Math. Phys. Character </w:t>
      </w:r>
      <w:r w:rsidRPr="00B55191">
        <w:rPr>
          <w:b/>
          <w:noProof/>
        </w:rPr>
        <w:t>1932</w:t>
      </w:r>
      <w:r w:rsidRPr="00B55191">
        <w:rPr>
          <w:noProof/>
        </w:rPr>
        <w:t xml:space="preserve">, </w:t>
      </w:r>
      <w:r w:rsidRPr="00B55191">
        <w:rPr>
          <w:i/>
          <w:noProof/>
        </w:rPr>
        <w:t>136</w:t>
      </w:r>
      <w:r w:rsidRPr="00B55191">
        <w:rPr>
          <w:noProof/>
        </w:rPr>
        <w:t>, 378-396.</w:t>
      </w:r>
    </w:p>
    <w:p w14:paraId="700D3A92" w14:textId="77777777" w:rsidR="00B55191" w:rsidRPr="00B55191" w:rsidRDefault="00B55191" w:rsidP="00B55191">
      <w:pPr>
        <w:pStyle w:val="EndNoteBibliography"/>
        <w:rPr>
          <w:noProof/>
        </w:rPr>
      </w:pPr>
      <w:r w:rsidRPr="00B55191">
        <w:rPr>
          <w:noProof/>
        </w:rPr>
        <w:t xml:space="preserve">(52) Eyring, H.; Glasstone, S.; Laidler, K. J. Application of the Theory of Absolute Reaction Rates to Overvoltage. </w:t>
      </w:r>
      <w:r w:rsidRPr="00B55191">
        <w:rPr>
          <w:i/>
          <w:noProof/>
        </w:rPr>
        <w:t xml:space="preserve">J. Chem. Phys. </w:t>
      </w:r>
      <w:r w:rsidRPr="00B55191">
        <w:rPr>
          <w:b/>
          <w:noProof/>
        </w:rPr>
        <w:t>1939</w:t>
      </w:r>
      <w:r w:rsidRPr="00B55191">
        <w:rPr>
          <w:noProof/>
        </w:rPr>
        <w:t xml:space="preserve">, </w:t>
      </w:r>
      <w:r w:rsidRPr="00B55191">
        <w:rPr>
          <w:i/>
          <w:noProof/>
        </w:rPr>
        <w:t>7</w:t>
      </w:r>
      <w:r w:rsidRPr="00B55191">
        <w:rPr>
          <w:noProof/>
        </w:rPr>
        <w:t>, 1053-1065.</w:t>
      </w:r>
    </w:p>
    <w:p w14:paraId="2440529B" w14:textId="77777777" w:rsidR="00B55191" w:rsidRPr="00B55191" w:rsidRDefault="00B55191" w:rsidP="00B55191">
      <w:pPr>
        <w:pStyle w:val="EndNoteBibliography"/>
        <w:rPr>
          <w:noProof/>
        </w:rPr>
      </w:pPr>
      <w:r w:rsidRPr="00B55191">
        <w:rPr>
          <w:noProof/>
        </w:rPr>
        <w:t xml:space="preserve">(53) Bockris, J. O. M. Electrolytic Polarisation: Iii. The Effect of the Solvent on the Oxygen Overpotential. </w:t>
      </w:r>
      <w:r w:rsidRPr="00B55191">
        <w:rPr>
          <w:i/>
          <w:noProof/>
        </w:rPr>
        <w:t xml:space="preserve">Discuss. Faraday Soc. </w:t>
      </w:r>
      <w:r w:rsidRPr="00B55191">
        <w:rPr>
          <w:b/>
          <w:noProof/>
        </w:rPr>
        <w:t>1947</w:t>
      </w:r>
      <w:r w:rsidRPr="00B55191">
        <w:rPr>
          <w:noProof/>
        </w:rPr>
        <w:t xml:space="preserve">, </w:t>
      </w:r>
      <w:r w:rsidRPr="00B55191">
        <w:rPr>
          <w:i/>
          <w:noProof/>
        </w:rPr>
        <w:t>1</w:t>
      </w:r>
      <w:r w:rsidRPr="00B55191">
        <w:rPr>
          <w:noProof/>
        </w:rPr>
        <w:t>, 229-235.</w:t>
      </w:r>
    </w:p>
    <w:p w14:paraId="4F5D3D77" w14:textId="77777777" w:rsidR="00B55191" w:rsidRPr="00B55191" w:rsidRDefault="00B55191" w:rsidP="00B55191">
      <w:pPr>
        <w:pStyle w:val="EndNoteBibliography"/>
        <w:rPr>
          <w:noProof/>
        </w:rPr>
      </w:pPr>
      <w:r w:rsidRPr="00B55191">
        <w:rPr>
          <w:noProof/>
        </w:rPr>
        <w:t xml:space="preserve">(54) Bockris, J. O. M. Effect of the Solvent on Oxygen Overpotential. </w:t>
      </w:r>
      <w:r w:rsidRPr="00B55191">
        <w:rPr>
          <w:i/>
          <w:noProof/>
        </w:rPr>
        <w:t xml:space="preserve">Nature </w:t>
      </w:r>
      <w:r w:rsidRPr="00B55191">
        <w:rPr>
          <w:b/>
          <w:noProof/>
        </w:rPr>
        <w:t>1947</w:t>
      </w:r>
      <w:r w:rsidRPr="00B55191">
        <w:rPr>
          <w:noProof/>
        </w:rPr>
        <w:t xml:space="preserve">, </w:t>
      </w:r>
      <w:r w:rsidRPr="00B55191">
        <w:rPr>
          <w:i/>
          <w:noProof/>
        </w:rPr>
        <w:t>159</w:t>
      </w:r>
      <w:r w:rsidRPr="00B55191">
        <w:rPr>
          <w:noProof/>
        </w:rPr>
        <w:t>, 401-402.</w:t>
      </w:r>
    </w:p>
    <w:p w14:paraId="5A3BC9CA" w14:textId="77777777" w:rsidR="00B55191" w:rsidRPr="00B55191" w:rsidRDefault="00B55191" w:rsidP="00B55191">
      <w:pPr>
        <w:pStyle w:val="EndNoteBibliography"/>
        <w:rPr>
          <w:noProof/>
        </w:rPr>
      </w:pPr>
      <w:r w:rsidRPr="00B55191">
        <w:rPr>
          <w:noProof/>
        </w:rPr>
        <w:t xml:space="preserve">(55) Malcolm W. Chase, Jr. </w:t>
      </w:r>
      <w:r w:rsidRPr="00B55191">
        <w:rPr>
          <w:i/>
          <w:noProof/>
        </w:rPr>
        <w:t>Nist-Janaf Thermochemical Tables</w:t>
      </w:r>
      <w:r w:rsidRPr="00B55191">
        <w:rPr>
          <w:noProof/>
        </w:rPr>
        <w:t>; Fourth edition. Washington, DC : American Chemical Society ; New York : American Institute of Physics for the National Institute of Standards and Technology, 1998., 1998.</w:t>
      </w:r>
    </w:p>
    <w:p w14:paraId="55A679BF" w14:textId="77777777" w:rsidR="00B55191" w:rsidRPr="00B55191" w:rsidRDefault="00B55191" w:rsidP="00B55191">
      <w:pPr>
        <w:pStyle w:val="EndNoteBibliography"/>
        <w:rPr>
          <w:noProof/>
        </w:rPr>
      </w:pPr>
      <w:r w:rsidRPr="00B55191">
        <w:rPr>
          <w:noProof/>
        </w:rPr>
        <w:t xml:space="preserve">(56) LeRoy, R. L.; Bowen, C. T.; LeRoy, D. J. The Thermodynamics of Aqueous Water Electrolysis. </w:t>
      </w:r>
      <w:r w:rsidRPr="00B55191">
        <w:rPr>
          <w:i/>
          <w:noProof/>
        </w:rPr>
        <w:t xml:space="preserve">J. Electrochem. Soc. </w:t>
      </w:r>
      <w:r w:rsidRPr="00B55191">
        <w:rPr>
          <w:b/>
          <w:noProof/>
        </w:rPr>
        <w:t>1980</w:t>
      </w:r>
      <w:r w:rsidRPr="00B55191">
        <w:rPr>
          <w:noProof/>
        </w:rPr>
        <w:t xml:space="preserve">, </w:t>
      </w:r>
      <w:r w:rsidRPr="00B55191">
        <w:rPr>
          <w:i/>
          <w:noProof/>
        </w:rPr>
        <w:t>127</w:t>
      </w:r>
      <w:r w:rsidRPr="00B55191">
        <w:rPr>
          <w:noProof/>
        </w:rPr>
        <w:t>, 1954.</w:t>
      </w:r>
    </w:p>
    <w:p w14:paraId="1AA109E2" w14:textId="77777777" w:rsidR="00B55191" w:rsidRPr="00B55191" w:rsidRDefault="00B55191" w:rsidP="00B55191">
      <w:pPr>
        <w:pStyle w:val="EndNoteBibliography"/>
        <w:rPr>
          <w:noProof/>
        </w:rPr>
      </w:pPr>
      <w:r w:rsidRPr="00B55191">
        <w:rPr>
          <w:noProof/>
        </w:rPr>
        <w:t xml:space="preserve">(57) Lee, Y.; Suntivich, J.; May, K. J.; Perry, E. E.; Shao-Horn, Y. Synthesis and Activities of Rutile Iro2 and Ruo2 Nanoparticles for Oxygen Evolution in Acid and Alkaline Solutions. </w:t>
      </w:r>
      <w:r w:rsidRPr="00B55191">
        <w:rPr>
          <w:i/>
          <w:noProof/>
        </w:rPr>
        <w:t xml:space="preserve">J. Phys. Chem. Lett. </w:t>
      </w:r>
      <w:r w:rsidRPr="00B55191">
        <w:rPr>
          <w:b/>
          <w:noProof/>
        </w:rPr>
        <w:t>2012</w:t>
      </w:r>
      <w:r w:rsidRPr="00B55191">
        <w:rPr>
          <w:noProof/>
        </w:rPr>
        <w:t xml:space="preserve">, </w:t>
      </w:r>
      <w:r w:rsidRPr="00B55191">
        <w:rPr>
          <w:i/>
          <w:noProof/>
        </w:rPr>
        <w:t>3</w:t>
      </w:r>
      <w:r w:rsidRPr="00B55191">
        <w:rPr>
          <w:noProof/>
        </w:rPr>
        <w:t>, 399-404.</w:t>
      </w:r>
    </w:p>
    <w:p w14:paraId="05D142D5" w14:textId="77777777" w:rsidR="00B55191" w:rsidRPr="00B55191" w:rsidRDefault="00B55191" w:rsidP="00B55191">
      <w:pPr>
        <w:pStyle w:val="EndNoteBibliography"/>
        <w:rPr>
          <w:noProof/>
        </w:rPr>
      </w:pPr>
      <w:r w:rsidRPr="00B55191">
        <w:rPr>
          <w:noProof/>
        </w:rPr>
        <w:lastRenderedPageBreak/>
        <w:t xml:space="preserve">(58) Mattos-Costa, F. I.; de Lima-Neto, P.; Machado, S. A. S.; Avaca, L. A. Characterisation of Surfaces Modified by Sol-Gel Derived Ruxir1-Xo2 Coatings for Oxygen Evolution in Acid Medium. </w:t>
      </w:r>
      <w:r w:rsidRPr="00B55191">
        <w:rPr>
          <w:i/>
          <w:noProof/>
        </w:rPr>
        <w:t xml:space="preserve">Electrochim. Acta </w:t>
      </w:r>
      <w:r w:rsidRPr="00B55191">
        <w:rPr>
          <w:b/>
          <w:noProof/>
        </w:rPr>
        <w:t>1998</w:t>
      </w:r>
      <w:r w:rsidRPr="00B55191">
        <w:rPr>
          <w:noProof/>
        </w:rPr>
        <w:t xml:space="preserve">, </w:t>
      </w:r>
      <w:r w:rsidRPr="00B55191">
        <w:rPr>
          <w:i/>
          <w:noProof/>
        </w:rPr>
        <w:t>44</w:t>
      </w:r>
      <w:r w:rsidRPr="00B55191">
        <w:rPr>
          <w:noProof/>
        </w:rPr>
        <w:t>, 1515-1523.</w:t>
      </w:r>
    </w:p>
    <w:p w14:paraId="7FFBD971" w14:textId="77777777" w:rsidR="00B55191" w:rsidRPr="00B55191" w:rsidRDefault="00B55191" w:rsidP="00B55191">
      <w:pPr>
        <w:pStyle w:val="EndNoteBibliography"/>
        <w:rPr>
          <w:noProof/>
        </w:rPr>
      </w:pPr>
      <w:r w:rsidRPr="00B55191">
        <w:rPr>
          <w:noProof/>
        </w:rPr>
        <w:t xml:space="preserve">(59) Nørskov, J. K.; Rossmeisl, J.; Logadottir, A.; Lindqvist, L.; Kitchin, J. R.; Bligaard, T.; Jónsson, H. Origin of the Overpotential for Oxygen Reduction at a Fuel-Cell Cathode. </w:t>
      </w:r>
      <w:r w:rsidRPr="00B55191">
        <w:rPr>
          <w:i/>
          <w:noProof/>
        </w:rPr>
        <w:t xml:space="preserve">J. Phys. Chem. B </w:t>
      </w:r>
      <w:r w:rsidRPr="00B55191">
        <w:rPr>
          <w:b/>
          <w:noProof/>
        </w:rPr>
        <w:t>2004</w:t>
      </w:r>
      <w:r w:rsidRPr="00B55191">
        <w:rPr>
          <w:noProof/>
        </w:rPr>
        <w:t xml:space="preserve">, </w:t>
      </w:r>
      <w:r w:rsidRPr="00B55191">
        <w:rPr>
          <w:i/>
          <w:noProof/>
        </w:rPr>
        <w:t>108</w:t>
      </w:r>
      <w:r w:rsidRPr="00B55191">
        <w:rPr>
          <w:noProof/>
        </w:rPr>
        <w:t>, 17886-17892.</w:t>
      </w:r>
    </w:p>
    <w:p w14:paraId="5C164C0F" w14:textId="77777777" w:rsidR="00B55191" w:rsidRPr="00B55191" w:rsidRDefault="00B55191" w:rsidP="00B55191">
      <w:pPr>
        <w:pStyle w:val="EndNoteBibliography"/>
        <w:rPr>
          <w:noProof/>
        </w:rPr>
      </w:pPr>
      <w:r w:rsidRPr="00B55191">
        <w:rPr>
          <w:noProof/>
        </w:rPr>
        <w:t xml:space="preserve">(60) Gono, P.; Ambrosio, F.; Pasquarello, A. Effect of the Solvent on the Oxygen Evolution Reaction at the Tio2–Water Interface. </w:t>
      </w:r>
      <w:r w:rsidRPr="00B55191">
        <w:rPr>
          <w:i/>
          <w:noProof/>
        </w:rPr>
        <w:t xml:space="preserve">J. Phys. Chem. C </w:t>
      </w:r>
      <w:r w:rsidRPr="00B55191">
        <w:rPr>
          <w:b/>
          <w:noProof/>
        </w:rPr>
        <w:t>2019</w:t>
      </w:r>
      <w:r w:rsidRPr="00B55191">
        <w:rPr>
          <w:noProof/>
        </w:rPr>
        <w:t xml:space="preserve">, </w:t>
      </w:r>
      <w:r w:rsidRPr="00B55191">
        <w:rPr>
          <w:i/>
          <w:noProof/>
        </w:rPr>
        <w:t>123</w:t>
      </w:r>
      <w:r w:rsidRPr="00B55191">
        <w:rPr>
          <w:noProof/>
        </w:rPr>
        <w:t>, 18467-18474.</w:t>
      </w:r>
    </w:p>
    <w:p w14:paraId="254C4508" w14:textId="77777777" w:rsidR="00B55191" w:rsidRPr="00B55191" w:rsidRDefault="00B55191" w:rsidP="00B55191">
      <w:pPr>
        <w:pStyle w:val="EndNoteBibliography"/>
        <w:rPr>
          <w:noProof/>
        </w:rPr>
      </w:pPr>
      <w:r w:rsidRPr="00B55191">
        <w:rPr>
          <w:noProof/>
        </w:rPr>
        <w:t xml:space="preserve">(61) Heenen, H. H.; Gauthier, J. A.; Kristoffersen, H. H.; Ludwig, T.; Chan, K. Solvation at Metal/Water Interfaces: An Ab Initio Molecular Dynamics Benchmark of Common Computational Approaches. </w:t>
      </w:r>
      <w:r w:rsidRPr="00B55191">
        <w:rPr>
          <w:i/>
          <w:noProof/>
        </w:rPr>
        <w:t xml:space="preserve">J. Chem. Phys. </w:t>
      </w:r>
      <w:r w:rsidRPr="00B55191">
        <w:rPr>
          <w:b/>
          <w:noProof/>
        </w:rPr>
        <w:t>2020</w:t>
      </w:r>
      <w:r w:rsidRPr="00B55191">
        <w:rPr>
          <w:noProof/>
        </w:rPr>
        <w:t xml:space="preserve">, </w:t>
      </w:r>
      <w:r w:rsidRPr="00B55191">
        <w:rPr>
          <w:i/>
          <w:noProof/>
        </w:rPr>
        <w:t>152</w:t>
      </w:r>
      <w:r w:rsidRPr="00B55191">
        <w:rPr>
          <w:noProof/>
        </w:rPr>
        <w:t xml:space="preserve">, </w:t>
      </w:r>
    </w:p>
    <w:p w14:paraId="3986881A" w14:textId="77777777" w:rsidR="00B55191" w:rsidRPr="00B55191" w:rsidRDefault="00B55191" w:rsidP="00B55191">
      <w:pPr>
        <w:pStyle w:val="EndNoteBibliography"/>
        <w:rPr>
          <w:noProof/>
        </w:rPr>
      </w:pPr>
      <w:r w:rsidRPr="00B55191">
        <w:rPr>
          <w:noProof/>
        </w:rPr>
        <w:t xml:space="preserve">(62) Ringe, S.; Hörmann, N. G.; Oberhofer, H.; Reuter, K. Implicit Solvation Methods for Catalysis at Electrified Interfaces. </w:t>
      </w:r>
      <w:r w:rsidRPr="00B55191">
        <w:rPr>
          <w:i/>
          <w:noProof/>
        </w:rPr>
        <w:t xml:space="preserve">Chem. Rev. </w:t>
      </w:r>
      <w:r w:rsidRPr="00B55191">
        <w:rPr>
          <w:b/>
          <w:noProof/>
        </w:rPr>
        <w:t>2022</w:t>
      </w:r>
      <w:r w:rsidRPr="00B55191">
        <w:rPr>
          <w:noProof/>
        </w:rPr>
        <w:t xml:space="preserve">, </w:t>
      </w:r>
      <w:r w:rsidRPr="00B55191">
        <w:rPr>
          <w:i/>
          <w:noProof/>
        </w:rPr>
        <w:t>122</w:t>
      </w:r>
      <w:r w:rsidRPr="00B55191">
        <w:rPr>
          <w:noProof/>
        </w:rPr>
        <w:t>, 10777-10820.</w:t>
      </w:r>
    </w:p>
    <w:p w14:paraId="2691D710" w14:textId="77777777" w:rsidR="00B55191" w:rsidRPr="00B55191" w:rsidRDefault="00B55191" w:rsidP="00B55191">
      <w:pPr>
        <w:pStyle w:val="EndNoteBibliography"/>
        <w:rPr>
          <w:noProof/>
        </w:rPr>
      </w:pPr>
      <w:r w:rsidRPr="00B55191">
        <w:rPr>
          <w:noProof/>
        </w:rPr>
        <w:t xml:space="preserve">(63) Nong, H. N.; Falling, L. J.; Bergmann, A.; Klingenhof, M.; Tran, H. P.; Spöri, C.; Mom, R.; Timoshenko, J.; Zichittella, G.; Knop-Gericke, A.; et al. Key Role of Chemistry Versus Bias in Electrocatalytic Oxygen Evolution. </w:t>
      </w:r>
      <w:r w:rsidRPr="00B55191">
        <w:rPr>
          <w:i/>
          <w:noProof/>
        </w:rPr>
        <w:t xml:space="preserve">Nature </w:t>
      </w:r>
      <w:r w:rsidRPr="00B55191">
        <w:rPr>
          <w:b/>
          <w:noProof/>
        </w:rPr>
        <w:t>2020</w:t>
      </w:r>
      <w:r w:rsidRPr="00B55191">
        <w:rPr>
          <w:noProof/>
        </w:rPr>
        <w:t xml:space="preserve">, </w:t>
      </w:r>
      <w:r w:rsidRPr="00B55191">
        <w:rPr>
          <w:i/>
          <w:noProof/>
        </w:rPr>
        <w:t>587</w:t>
      </w:r>
      <w:r w:rsidRPr="00B55191">
        <w:rPr>
          <w:noProof/>
        </w:rPr>
        <w:t>, 408-413.</w:t>
      </w:r>
    </w:p>
    <w:p w14:paraId="79491FC2" w14:textId="77777777" w:rsidR="00B55191" w:rsidRPr="00B55191" w:rsidRDefault="00B55191" w:rsidP="00B55191">
      <w:pPr>
        <w:pStyle w:val="EndNoteBibliography"/>
        <w:rPr>
          <w:noProof/>
        </w:rPr>
      </w:pPr>
      <w:r w:rsidRPr="00B55191">
        <w:rPr>
          <w:noProof/>
        </w:rPr>
        <w:t xml:space="preserve">(64) Fang, Y.-H.; Liu, Z.-P. Mechanism and Tafel Lines of Electro-Oxidation of Water to Oxygen on Ruo2(110). </w:t>
      </w:r>
      <w:r w:rsidRPr="00B55191">
        <w:rPr>
          <w:i/>
          <w:noProof/>
        </w:rPr>
        <w:t xml:space="preserve">J. Am. Chem. Soc. </w:t>
      </w:r>
      <w:r w:rsidRPr="00B55191">
        <w:rPr>
          <w:b/>
          <w:noProof/>
        </w:rPr>
        <w:t>2010</w:t>
      </w:r>
      <w:r w:rsidRPr="00B55191">
        <w:rPr>
          <w:noProof/>
        </w:rPr>
        <w:t xml:space="preserve">, </w:t>
      </w:r>
      <w:r w:rsidRPr="00B55191">
        <w:rPr>
          <w:i/>
          <w:noProof/>
        </w:rPr>
        <w:t>132</w:t>
      </w:r>
      <w:r w:rsidRPr="00B55191">
        <w:rPr>
          <w:noProof/>
        </w:rPr>
        <w:t>, 18214-18222.</w:t>
      </w:r>
    </w:p>
    <w:p w14:paraId="42DF9123" w14:textId="77777777" w:rsidR="00B55191" w:rsidRPr="00B55191" w:rsidRDefault="00B55191" w:rsidP="00B55191">
      <w:pPr>
        <w:pStyle w:val="EndNoteBibliography"/>
        <w:rPr>
          <w:noProof/>
        </w:rPr>
      </w:pPr>
      <w:r w:rsidRPr="00B55191">
        <w:rPr>
          <w:noProof/>
        </w:rPr>
        <w:t xml:space="preserve">(65) Xiao, H.; Shin, H.; Goddard, W. A. Synergy between Fe and Ni in the Optimal Performance of (Ni,Fe)Ooh Catalysts for the Oxygen Evolution Reaction. </w:t>
      </w:r>
      <w:r w:rsidRPr="00B55191">
        <w:rPr>
          <w:i/>
          <w:noProof/>
        </w:rPr>
        <w:t xml:space="preserve">Proc. Natl. Acad. Sci. U.S.A. </w:t>
      </w:r>
      <w:r w:rsidRPr="00B55191">
        <w:rPr>
          <w:b/>
          <w:noProof/>
        </w:rPr>
        <w:t>2018</w:t>
      </w:r>
      <w:r w:rsidRPr="00B55191">
        <w:rPr>
          <w:noProof/>
        </w:rPr>
        <w:t xml:space="preserve">, </w:t>
      </w:r>
      <w:r w:rsidRPr="00B55191">
        <w:rPr>
          <w:i/>
          <w:noProof/>
        </w:rPr>
        <w:t>115</w:t>
      </w:r>
      <w:r w:rsidRPr="00B55191">
        <w:rPr>
          <w:noProof/>
        </w:rPr>
        <w:t>, 5872-5877.</w:t>
      </w:r>
    </w:p>
    <w:p w14:paraId="5D53BBD8" w14:textId="77777777" w:rsidR="00B55191" w:rsidRPr="00B55191" w:rsidRDefault="00B55191" w:rsidP="00B55191">
      <w:pPr>
        <w:pStyle w:val="EndNoteBibliography"/>
        <w:rPr>
          <w:noProof/>
        </w:rPr>
      </w:pPr>
      <w:r w:rsidRPr="00B55191">
        <w:rPr>
          <w:noProof/>
        </w:rPr>
        <w:t xml:space="preserve">(66) Righi, G.; Plescher, J.; Schmidt, F.-P.; Campen, R. K.; Fabris, S.; Knop-Gericke, A.; Schlögl, R.; Jones, T. E.; Teschner, D.; Piccinin, S. On the Origin of Multihole Oxygen Evolution in Haematite Photoanodes. </w:t>
      </w:r>
      <w:r w:rsidRPr="00B55191">
        <w:rPr>
          <w:i/>
          <w:noProof/>
        </w:rPr>
        <w:t xml:space="preserve">Nat. Catal. </w:t>
      </w:r>
      <w:r w:rsidRPr="00B55191">
        <w:rPr>
          <w:b/>
          <w:noProof/>
        </w:rPr>
        <w:t>2022</w:t>
      </w:r>
      <w:r w:rsidRPr="00B55191">
        <w:rPr>
          <w:noProof/>
        </w:rPr>
        <w:t xml:space="preserve">, </w:t>
      </w:r>
      <w:r w:rsidRPr="00B55191">
        <w:rPr>
          <w:i/>
          <w:noProof/>
        </w:rPr>
        <w:t>5</w:t>
      </w:r>
      <w:r w:rsidRPr="00B55191">
        <w:rPr>
          <w:noProof/>
        </w:rPr>
        <w:t>, 888-899.</w:t>
      </w:r>
    </w:p>
    <w:p w14:paraId="4ABE4F72" w14:textId="77777777" w:rsidR="00B55191" w:rsidRPr="00B55191" w:rsidRDefault="00B55191" w:rsidP="00B55191">
      <w:pPr>
        <w:pStyle w:val="EndNoteBibliography"/>
        <w:rPr>
          <w:noProof/>
        </w:rPr>
      </w:pPr>
      <w:r w:rsidRPr="00B55191">
        <w:rPr>
          <w:noProof/>
        </w:rPr>
        <w:t xml:space="preserve">(67) Fornaciari, J. C.; Weng, L.-C.; Alia, S. M.; Zhan, C.; Pham, T. A.; Bell, A. T.; Ogitsu, T.; Danilovic, N.; Weber, A. Z. Mechanistic Understanding of Ph Effects on the Oxygen Evolution Reaction. </w:t>
      </w:r>
      <w:r w:rsidRPr="00B55191">
        <w:rPr>
          <w:i/>
          <w:noProof/>
        </w:rPr>
        <w:t xml:space="preserve">Electrochim. Acta </w:t>
      </w:r>
      <w:r w:rsidRPr="00B55191">
        <w:rPr>
          <w:b/>
          <w:noProof/>
        </w:rPr>
        <w:t>2022</w:t>
      </w:r>
      <w:r w:rsidRPr="00B55191">
        <w:rPr>
          <w:noProof/>
        </w:rPr>
        <w:t xml:space="preserve">, </w:t>
      </w:r>
      <w:r w:rsidRPr="00B55191">
        <w:rPr>
          <w:i/>
          <w:noProof/>
        </w:rPr>
        <w:t>405</w:t>
      </w:r>
      <w:r w:rsidRPr="00B55191">
        <w:rPr>
          <w:noProof/>
        </w:rPr>
        <w:t>, 139810.</w:t>
      </w:r>
    </w:p>
    <w:p w14:paraId="669E5683" w14:textId="77777777" w:rsidR="00B55191" w:rsidRPr="00B55191" w:rsidRDefault="00B55191" w:rsidP="00B55191">
      <w:pPr>
        <w:pStyle w:val="EndNoteBibliography"/>
        <w:rPr>
          <w:noProof/>
        </w:rPr>
      </w:pPr>
      <w:r w:rsidRPr="00B55191">
        <w:rPr>
          <w:noProof/>
        </w:rPr>
        <w:t xml:space="preserve">(68) Tafel, J. Über Die Polarisation Bei Kathodischer Wasserstoffentwicklung. </w:t>
      </w:r>
      <w:r w:rsidRPr="00B55191">
        <w:rPr>
          <w:i/>
          <w:noProof/>
        </w:rPr>
        <w:t xml:space="preserve">Z. Phys. Chem. </w:t>
      </w:r>
      <w:r w:rsidRPr="00B55191">
        <w:rPr>
          <w:b/>
          <w:noProof/>
        </w:rPr>
        <w:t>1905</w:t>
      </w:r>
      <w:r w:rsidRPr="00B55191">
        <w:rPr>
          <w:noProof/>
        </w:rPr>
        <w:t xml:space="preserve">, </w:t>
      </w:r>
      <w:r w:rsidRPr="00B55191">
        <w:rPr>
          <w:i/>
          <w:noProof/>
        </w:rPr>
        <w:t>50U</w:t>
      </w:r>
      <w:r w:rsidRPr="00B55191">
        <w:rPr>
          <w:noProof/>
        </w:rPr>
        <w:t>, 641-712.</w:t>
      </w:r>
    </w:p>
    <w:p w14:paraId="6E25C4A5" w14:textId="77777777" w:rsidR="00B55191" w:rsidRPr="00B55191" w:rsidRDefault="00B55191" w:rsidP="00B55191">
      <w:pPr>
        <w:pStyle w:val="EndNoteBibliography"/>
        <w:rPr>
          <w:noProof/>
        </w:rPr>
      </w:pPr>
      <w:r w:rsidRPr="00B55191">
        <w:rPr>
          <w:noProof/>
        </w:rPr>
        <w:t xml:space="preserve">(69) Erdey-Grúz, T.; Volmer, M. Zur Theorie Der Wasserstoff Überspannung. </w:t>
      </w:r>
      <w:r w:rsidRPr="00B55191">
        <w:rPr>
          <w:i/>
          <w:noProof/>
        </w:rPr>
        <w:t xml:space="preserve">Z. Phys. Chem. </w:t>
      </w:r>
      <w:r w:rsidRPr="00B55191">
        <w:rPr>
          <w:b/>
          <w:noProof/>
        </w:rPr>
        <w:t>1930</w:t>
      </w:r>
      <w:r w:rsidRPr="00B55191">
        <w:rPr>
          <w:noProof/>
        </w:rPr>
        <w:t xml:space="preserve">, </w:t>
      </w:r>
      <w:r w:rsidRPr="00B55191">
        <w:rPr>
          <w:i/>
          <w:noProof/>
        </w:rPr>
        <w:t>150A</w:t>
      </w:r>
      <w:r w:rsidRPr="00B55191">
        <w:rPr>
          <w:noProof/>
        </w:rPr>
        <w:t>, 203-213.</w:t>
      </w:r>
    </w:p>
    <w:p w14:paraId="3A0FB4E7" w14:textId="77777777" w:rsidR="00B55191" w:rsidRPr="00B55191" w:rsidRDefault="00B55191" w:rsidP="00B55191">
      <w:pPr>
        <w:pStyle w:val="EndNoteBibliography"/>
        <w:rPr>
          <w:noProof/>
        </w:rPr>
      </w:pPr>
      <w:r w:rsidRPr="00B55191">
        <w:rPr>
          <w:noProof/>
        </w:rPr>
        <w:t xml:space="preserve">(70) Butler, J. A. V. Studies in Heterogeneous Equilibria. Part Ii.—the Kinetic Interpretation of the Nernst Theory of Electromotive Force. </w:t>
      </w:r>
      <w:r w:rsidRPr="00B55191">
        <w:rPr>
          <w:i/>
          <w:noProof/>
        </w:rPr>
        <w:t xml:space="preserve">Trans. Faraday Society </w:t>
      </w:r>
      <w:r w:rsidRPr="00B55191">
        <w:rPr>
          <w:b/>
          <w:noProof/>
        </w:rPr>
        <w:t>1924</w:t>
      </w:r>
      <w:r w:rsidRPr="00B55191">
        <w:rPr>
          <w:noProof/>
        </w:rPr>
        <w:t xml:space="preserve">, </w:t>
      </w:r>
      <w:r w:rsidRPr="00B55191">
        <w:rPr>
          <w:i/>
          <w:noProof/>
        </w:rPr>
        <w:t>19</w:t>
      </w:r>
      <w:r w:rsidRPr="00B55191">
        <w:rPr>
          <w:noProof/>
        </w:rPr>
        <w:t>, 729-733.</w:t>
      </w:r>
    </w:p>
    <w:p w14:paraId="7FC384BC" w14:textId="77777777" w:rsidR="00B55191" w:rsidRPr="00B55191" w:rsidRDefault="00B55191" w:rsidP="00B55191">
      <w:pPr>
        <w:pStyle w:val="EndNoteBibliography"/>
        <w:rPr>
          <w:noProof/>
        </w:rPr>
      </w:pPr>
      <w:r w:rsidRPr="00B55191">
        <w:rPr>
          <w:noProof/>
        </w:rPr>
        <w:t xml:space="preserve">(71) Horiuti, J.; Polanyi, M. Acta Physicochim. Urss. </w:t>
      </w:r>
      <w:r w:rsidRPr="00B55191">
        <w:rPr>
          <w:i/>
          <w:noProof/>
        </w:rPr>
        <w:t xml:space="preserve">Acta Physicochim. URSS </w:t>
      </w:r>
      <w:r w:rsidRPr="00B55191">
        <w:rPr>
          <w:b/>
          <w:noProof/>
        </w:rPr>
        <w:t>1935</w:t>
      </w:r>
      <w:r w:rsidRPr="00B55191">
        <w:rPr>
          <w:noProof/>
        </w:rPr>
        <w:t xml:space="preserve">, </w:t>
      </w:r>
      <w:r w:rsidRPr="00B55191">
        <w:rPr>
          <w:i/>
          <w:noProof/>
        </w:rPr>
        <w:t>2</w:t>
      </w:r>
      <w:r w:rsidRPr="00B55191">
        <w:rPr>
          <w:noProof/>
        </w:rPr>
        <w:t xml:space="preserve">, </w:t>
      </w:r>
    </w:p>
    <w:p w14:paraId="0FCE3BC5" w14:textId="77777777" w:rsidR="00B55191" w:rsidRPr="00B55191" w:rsidRDefault="00B55191" w:rsidP="00B55191">
      <w:pPr>
        <w:pStyle w:val="EndNoteBibliography"/>
        <w:rPr>
          <w:noProof/>
        </w:rPr>
      </w:pPr>
      <w:r w:rsidRPr="00B55191">
        <w:rPr>
          <w:noProof/>
        </w:rPr>
        <w:t xml:space="preserve">(72) Eyring, H. The Activated Complex in Chemical Reactions. </w:t>
      </w:r>
      <w:r w:rsidRPr="00B55191">
        <w:rPr>
          <w:i/>
          <w:noProof/>
        </w:rPr>
        <w:t xml:space="preserve">J. Chem. Phys. </w:t>
      </w:r>
      <w:r w:rsidRPr="00B55191">
        <w:rPr>
          <w:b/>
          <w:noProof/>
        </w:rPr>
        <w:t>1935</w:t>
      </w:r>
      <w:r w:rsidRPr="00B55191">
        <w:rPr>
          <w:noProof/>
        </w:rPr>
        <w:t xml:space="preserve">, </w:t>
      </w:r>
      <w:r w:rsidRPr="00B55191">
        <w:rPr>
          <w:i/>
          <w:noProof/>
        </w:rPr>
        <w:t>3</w:t>
      </w:r>
      <w:r w:rsidRPr="00B55191">
        <w:rPr>
          <w:noProof/>
        </w:rPr>
        <w:t>, 107-115.</w:t>
      </w:r>
    </w:p>
    <w:p w14:paraId="70A95963" w14:textId="77777777" w:rsidR="00B55191" w:rsidRPr="00B55191" w:rsidRDefault="00B55191" w:rsidP="00B55191">
      <w:pPr>
        <w:pStyle w:val="EndNoteBibliography"/>
        <w:rPr>
          <w:noProof/>
        </w:rPr>
      </w:pPr>
      <w:r w:rsidRPr="00B55191">
        <w:rPr>
          <w:noProof/>
        </w:rPr>
        <w:t xml:space="preserve">(73) Marcus, R. A. On the Theory of Oxidation‐Reduction Reactions Involving Electron Transfer. I. </w:t>
      </w:r>
      <w:r w:rsidRPr="00B55191">
        <w:rPr>
          <w:i/>
          <w:noProof/>
        </w:rPr>
        <w:t xml:space="preserve">J. Chem. Phys. </w:t>
      </w:r>
      <w:r w:rsidRPr="00B55191">
        <w:rPr>
          <w:b/>
          <w:noProof/>
        </w:rPr>
        <w:t>1956</w:t>
      </w:r>
      <w:r w:rsidRPr="00B55191">
        <w:rPr>
          <w:noProof/>
        </w:rPr>
        <w:t xml:space="preserve">, </w:t>
      </w:r>
      <w:r w:rsidRPr="00B55191">
        <w:rPr>
          <w:i/>
          <w:noProof/>
        </w:rPr>
        <w:t>24</w:t>
      </w:r>
      <w:r w:rsidRPr="00B55191">
        <w:rPr>
          <w:noProof/>
        </w:rPr>
        <w:t>, 966-978.</w:t>
      </w:r>
    </w:p>
    <w:p w14:paraId="52DCD1C5" w14:textId="77777777" w:rsidR="00B55191" w:rsidRPr="00B55191" w:rsidRDefault="00B55191" w:rsidP="00B55191">
      <w:pPr>
        <w:pStyle w:val="EndNoteBibliography"/>
        <w:rPr>
          <w:noProof/>
        </w:rPr>
      </w:pPr>
      <w:r w:rsidRPr="00B55191">
        <w:rPr>
          <w:noProof/>
        </w:rPr>
        <w:t xml:space="preserve">(74) Hush, N. S. Adiabatic Rate Processes at Electrodes. I. Energy‐Charge Relationships. </w:t>
      </w:r>
      <w:r w:rsidRPr="00B55191">
        <w:rPr>
          <w:i/>
          <w:noProof/>
        </w:rPr>
        <w:t xml:space="preserve">J. Chem. Phys. </w:t>
      </w:r>
      <w:r w:rsidRPr="00B55191">
        <w:rPr>
          <w:b/>
          <w:noProof/>
        </w:rPr>
        <w:t>1958</w:t>
      </w:r>
      <w:r w:rsidRPr="00B55191">
        <w:rPr>
          <w:noProof/>
        </w:rPr>
        <w:t xml:space="preserve">, </w:t>
      </w:r>
      <w:r w:rsidRPr="00B55191">
        <w:rPr>
          <w:i/>
          <w:noProof/>
        </w:rPr>
        <w:t>28</w:t>
      </w:r>
      <w:r w:rsidRPr="00B55191">
        <w:rPr>
          <w:noProof/>
        </w:rPr>
        <w:t>, 962-972.</w:t>
      </w:r>
    </w:p>
    <w:p w14:paraId="4B6CDF3E" w14:textId="77777777" w:rsidR="00B55191" w:rsidRPr="00B55191" w:rsidRDefault="00B55191" w:rsidP="00B55191">
      <w:pPr>
        <w:pStyle w:val="EndNoteBibliography"/>
        <w:rPr>
          <w:noProof/>
        </w:rPr>
      </w:pPr>
      <w:r w:rsidRPr="00B55191">
        <w:rPr>
          <w:noProof/>
        </w:rPr>
        <w:t xml:space="preserve">(75) Gerischer, H. Über Den Ablauf Von Redoxreaktionen an Metallen Und an Halbleitern. </w:t>
      </w:r>
      <w:r w:rsidRPr="00B55191">
        <w:rPr>
          <w:i/>
          <w:noProof/>
        </w:rPr>
        <w:t xml:space="preserve">Z. Phys. Chem. </w:t>
      </w:r>
      <w:r w:rsidRPr="00B55191">
        <w:rPr>
          <w:b/>
          <w:noProof/>
        </w:rPr>
        <w:t>1960</w:t>
      </w:r>
      <w:r w:rsidRPr="00B55191">
        <w:rPr>
          <w:noProof/>
        </w:rPr>
        <w:t xml:space="preserve">, </w:t>
      </w:r>
      <w:r w:rsidRPr="00B55191">
        <w:rPr>
          <w:i/>
          <w:noProof/>
        </w:rPr>
        <w:t>26</w:t>
      </w:r>
      <w:r w:rsidRPr="00B55191">
        <w:rPr>
          <w:noProof/>
        </w:rPr>
        <w:t>, 223-247.</w:t>
      </w:r>
    </w:p>
    <w:p w14:paraId="692416EC" w14:textId="77777777" w:rsidR="00B55191" w:rsidRPr="00B55191" w:rsidRDefault="00B55191" w:rsidP="00B55191">
      <w:pPr>
        <w:pStyle w:val="EndNoteBibliography"/>
        <w:rPr>
          <w:noProof/>
        </w:rPr>
      </w:pPr>
      <w:r w:rsidRPr="00B55191">
        <w:rPr>
          <w:noProof/>
        </w:rPr>
        <w:t xml:space="preserve">(76) Dogonadze, R. R.; Kuznetsov, A. M. Theory of Charge Transfer Kinetics at Solid-Polar Liquid Interfaces. </w:t>
      </w:r>
      <w:r w:rsidRPr="00B55191">
        <w:rPr>
          <w:i/>
          <w:noProof/>
        </w:rPr>
        <w:t xml:space="preserve">Prog. Surf. Sci. </w:t>
      </w:r>
      <w:r w:rsidRPr="00B55191">
        <w:rPr>
          <w:b/>
          <w:noProof/>
        </w:rPr>
        <w:t>1975</w:t>
      </w:r>
      <w:r w:rsidRPr="00B55191">
        <w:rPr>
          <w:noProof/>
        </w:rPr>
        <w:t xml:space="preserve">, </w:t>
      </w:r>
      <w:r w:rsidRPr="00B55191">
        <w:rPr>
          <w:i/>
          <w:noProof/>
        </w:rPr>
        <w:t>6</w:t>
      </w:r>
      <w:r w:rsidRPr="00B55191">
        <w:rPr>
          <w:noProof/>
        </w:rPr>
        <w:t>, 1-41.</w:t>
      </w:r>
    </w:p>
    <w:p w14:paraId="40D129A6" w14:textId="77777777" w:rsidR="00B55191" w:rsidRPr="00B55191" w:rsidRDefault="00B55191" w:rsidP="00B55191">
      <w:pPr>
        <w:pStyle w:val="EndNoteBibliography"/>
        <w:rPr>
          <w:noProof/>
        </w:rPr>
      </w:pPr>
      <w:r w:rsidRPr="00B55191">
        <w:rPr>
          <w:noProof/>
        </w:rPr>
        <w:t xml:space="preserve">(77) Bard, A. J.; Faulkner, L. R.; White, H. S. </w:t>
      </w:r>
      <w:r w:rsidRPr="00B55191">
        <w:rPr>
          <w:i/>
          <w:noProof/>
        </w:rPr>
        <w:t>Interfacial Electrochemistry Electrochemical Methods: Fundamentals and Applications, 3rd Edition</w:t>
      </w:r>
      <w:r w:rsidRPr="00B55191">
        <w:rPr>
          <w:noProof/>
        </w:rPr>
        <w:t>; Wiley, 2022.</w:t>
      </w:r>
    </w:p>
    <w:p w14:paraId="51490892" w14:textId="06718536" w:rsidR="00B55191" w:rsidRPr="00B55191" w:rsidRDefault="00B55191" w:rsidP="00B55191">
      <w:pPr>
        <w:pStyle w:val="EndNoteBibliography"/>
        <w:rPr>
          <w:noProof/>
        </w:rPr>
      </w:pPr>
      <w:r w:rsidRPr="00B55191">
        <w:rPr>
          <w:noProof/>
        </w:rPr>
        <w:t xml:space="preserve">(78) Schmickler, W.; Santos, E. </w:t>
      </w:r>
      <w:r w:rsidRPr="00B55191">
        <w:rPr>
          <w:i/>
          <w:noProof/>
        </w:rPr>
        <w:t>Interfacial Electrochemistry</w:t>
      </w:r>
      <w:r w:rsidRPr="00B55191">
        <w:rPr>
          <w:noProof/>
        </w:rPr>
        <w:t xml:space="preserve">; Springer Berlin, Heidelberg, 2010. DOI: </w:t>
      </w:r>
      <w:hyperlink r:id="rId81" w:history="1">
        <w:r w:rsidRPr="00B55191">
          <w:rPr>
            <w:rStyle w:val="Hyperlink"/>
            <w:noProof/>
          </w:rPr>
          <w:t>https://doi.org/10.1007/978-3-642-04937-8</w:t>
        </w:r>
      </w:hyperlink>
      <w:r w:rsidRPr="00B55191">
        <w:rPr>
          <w:noProof/>
        </w:rPr>
        <w:t>.</w:t>
      </w:r>
    </w:p>
    <w:p w14:paraId="561A0737" w14:textId="2B45A2C3" w:rsidR="00B55191" w:rsidRPr="00B55191" w:rsidRDefault="00B55191" w:rsidP="00B55191">
      <w:pPr>
        <w:pStyle w:val="EndNoteBibliography"/>
        <w:rPr>
          <w:noProof/>
        </w:rPr>
      </w:pPr>
      <w:r w:rsidRPr="00B55191">
        <w:rPr>
          <w:noProof/>
        </w:rPr>
        <w:t xml:space="preserve">(79) Vetter, K. J. </w:t>
      </w:r>
      <w:r w:rsidRPr="00B55191">
        <w:rPr>
          <w:i/>
          <w:noProof/>
        </w:rPr>
        <w:t>Elektrochemische Kinetik</w:t>
      </w:r>
      <w:r w:rsidRPr="00B55191">
        <w:rPr>
          <w:noProof/>
        </w:rPr>
        <w:t xml:space="preserve">; Springer Berlin, Heidelberg, 1961. DOI: </w:t>
      </w:r>
      <w:hyperlink r:id="rId82" w:history="1">
        <w:r w:rsidRPr="00B55191">
          <w:rPr>
            <w:rStyle w:val="Hyperlink"/>
            <w:noProof/>
          </w:rPr>
          <w:t>https://doi.org/10.1007/978-3-642-86547-3</w:t>
        </w:r>
      </w:hyperlink>
      <w:r w:rsidRPr="00B55191">
        <w:rPr>
          <w:noProof/>
        </w:rPr>
        <w:t>.</w:t>
      </w:r>
    </w:p>
    <w:p w14:paraId="1CF335D5" w14:textId="77777777" w:rsidR="00B55191" w:rsidRPr="00B55191" w:rsidRDefault="00B55191" w:rsidP="00B55191">
      <w:pPr>
        <w:pStyle w:val="EndNoteBibliography"/>
        <w:rPr>
          <w:noProof/>
        </w:rPr>
      </w:pPr>
      <w:r w:rsidRPr="00B55191">
        <w:rPr>
          <w:noProof/>
        </w:rPr>
        <w:lastRenderedPageBreak/>
        <w:t xml:space="preserve">(80) Gileadi, E. Simultaneous Two-Electron Transfer in Electrode Kinetics. </w:t>
      </w:r>
      <w:r w:rsidRPr="00B55191">
        <w:rPr>
          <w:i/>
          <w:noProof/>
        </w:rPr>
        <w:t xml:space="preserve">J. Electroanal. Chem. </w:t>
      </w:r>
      <w:r w:rsidRPr="00B55191">
        <w:rPr>
          <w:b/>
          <w:noProof/>
        </w:rPr>
        <w:t>2002</w:t>
      </w:r>
      <w:r w:rsidRPr="00B55191">
        <w:rPr>
          <w:noProof/>
        </w:rPr>
        <w:t xml:space="preserve">, </w:t>
      </w:r>
      <w:r w:rsidRPr="00B55191">
        <w:rPr>
          <w:i/>
          <w:noProof/>
        </w:rPr>
        <w:t>532</w:t>
      </w:r>
      <w:r w:rsidRPr="00B55191">
        <w:rPr>
          <w:noProof/>
        </w:rPr>
        <w:t>, 181-189.</w:t>
      </w:r>
    </w:p>
    <w:p w14:paraId="35FC3A1A" w14:textId="77777777" w:rsidR="00B55191" w:rsidRPr="00B55191" w:rsidRDefault="00B55191" w:rsidP="00B55191">
      <w:pPr>
        <w:pStyle w:val="EndNoteBibliography"/>
        <w:rPr>
          <w:noProof/>
        </w:rPr>
      </w:pPr>
      <w:r w:rsidRPr="00B55191">
        <w:rPr>
          <w:noProof/>
        </w:rPr>
        <w:t xml:space="preserve">(81) Guidelli, R.; Compton, R. G.; Feliu, J. M.; Gileadi, E.; Lipkowski, J.; Schmickler, W.; Trasatti, S. Defining the Transfer Coefficient in Electrochemistry: An Assessment (Iupac Technical Report). </w:t>
      </w:r>
      <w:r w:rsidRPr="00B55191">
        <w:rPr>
          <w:i/>
          <w:noProof/>
        </w:rPr>
        <w:t xml:space="preserve">Pure Appl. Chem. </w:t>
      </w:r>
      <w:r w:rsidRPr="00B55191">
        <w:rPr>
          <w:b/>
          <w:noProof/>
        </w:rPr>
        <w:t>2014</w:t>
      </w:r>
      <w:r w:rsidRPr="00B55191">
        <w:rPr>
          <w:noProof/>
        </w:rPr>
        <w:t xml:space="preserve">, </w:t>
      </w:r>
      <w:r w:rsidRPr="00B55191">
        <w:rPr>
          <w:i/>
          <w:noProof/>
        </w:rPr>
        <w:t>86</w:t>
      </w:r>
      <w:r w:rsidRPr="00B55191">
        <w:rPr>
          <w:noProof/>
        </w:rPr>
        <w:t>, 245-258.</w:t>
      </w:r>
    </w:p>
    <w:p w14:paraId="492C942E" w14:textId="77777777" w:rsidR="00B55191" w:rsidRPr="00B55191" w:rsidRDefault="00B55191" w:rsidP="00B55191">
      <w:pPr>
        <w:pStyle w:val="EndNoteBibliography"/>
        <w:rPr>
          <w:noProof/>
        </w:rPr>
      </w:pPr>
      <w:r w:rsidRPr="00B55191">
        <w:rPr>
          <w:noProof/>
        </w:rPr>
        <w:t xml:space="preserve">(82) Fletcher, S. Tafel Slopes from First Principles. </w:t>
      </w:r>
      <w:r w:rsidRPr="00B55191">
        <w:rPr>
          <w:i/>
          <w:noProof/>
        </w:rPr>
        <w:t xml:space="preserve">J. Solid State Electrochem. </w:t>
      </w:r>
      <w:r w:rsidRPr="00B55191">
        <w:rPr>
          <w:b/>
          <w:noProof/>
        </w:rPr>
        <w:t>2009</w:t>
      </w:r>
      <w:r w:rsidRPr="00B55191">
        <w:rPr>
          <w:noProof/>
        </w:rPr>
        <w:t xml:space="preserve">, </w:t>
      </w:r>
      <w:r w:rsidRPr="00B55191">
        <w:rPr>
          <w:i/>
          <w:noProof/>
        </w:rPr>
        <w:t>13</w:t>
      </w:r>
      <w:r w:rsidRPr="00B55191">
        <w:rPr>
          <w:noProof/>
        </w:rPr>
        <w:t>, 537-549.</w:t>
      </w:r>
    </w:p>
    <w:p w14:paraId="14FFEEC4" w14:textId="77777777" w:rsidR="00B55191" w:rsidRPr="00B55191" w:rsidRDefault="00B55191" w:rsidP="00B55191">
      <w:pPr>
        <w:pStyle w:val="EndNoteBibliography"/>
        <w:rPr>
          <w:noProof/>
        </w:rPr>
      </w:pPr>
      <w:r w:rsidRPr="00B55191">
        <w:rPr>
          <w:noProof/>
        </w:rPr>
        <w:t xml:space="preserve">(83) Exner, K. S. Why the Microkinetic Modeling of Experimental Tafel Plots Requires Knowledge of the Reaction Intermediate's Binding Energy. </w:t>
      </w:r>
      <w:r w:rsidRPr="00B55191">
        <w:rPr>
          <w:i/>
          <w:noProof/>
        </w:rPr>
        <w:t xml:space="preserve">Electrochem. Sci. Adv. </w:t>
      </w:r>
      <w:r w:rsidRPr="00B55191">
        <w:rPr>
          <w:b/>
          <w:noProof/>
        </w:rPr>
        <w:t>2022</w:t>
      </w:r>
      <w:r w:rsidRPr="00B55191">
        <w:rPr>
          <w:noProof/>
        </w:rPr>
        <w:t xml:space="preserve">, </w:t>
      </w:r>
      <w:r w:rsidRPr="00B55191">
        <w:rPr>
          <w:i/>
          <w:noProof/>
        </w:rPr>
        <w:t>2</w:t>
      </w:r>
      <w:r w:rsidRPr="00B55191">
        <w:rPr>
          <w:noProof/>
        </w:rPr>
        <w:t>, e2100037.</w:t>
      </w:r>
    </w:p>
    <w:p w14:paraId="3B361C33" w14:textId="77777777" w:rsidR="00B55191" w:rsidRPr="00B55191" w:rsidRDefault="00B55191" w:rsidP="00B55191">
      <w:pPr>
        <w:pStyle w:val="EndNoteBibliography"/>
        <w:rPr>
          <w:noProof/>
        </w:rPr>
      </w:pPr>
      <w:r w:rsidRPr="00B55191">
        <w:rPr>
          <w:noProof/>
        </w:rPr>
        <w:t xml:space="preserve">(84) Bockris, J. O. M.; Otagawa, T. Mechanism of Oxygen Evolution on Perovskites. </w:t>
      </w:r>
      <w:r w:rsidRPr="00B55191">
        <w:rPr>
          <w:i/>
          <w:noProof/>
        </w:rPr>
        <w:t xml:space="preserve">J. Phys. Chem. </w:t>
      </w:r>
      <w:r w:rsidRPr="00B55191">
        <w:rPr>
          <w:b/>
          <w:noProof/>
        </w:rPr>
        <w:t>1983</w:t>
      </w:r>
      <w:r w:rsidRPr="00B55191">
        <w:rPr>
          <w:noProof/>
        </w:rPr>
        <w:t xml:space="preserve">, </w:t>
      </w:r>
      <w:r w:rsidRPr="00B55191">
        <w:rPr>
          <w:i/>
          <w:noProof/>
        </w:rPr>
        <w:t>87</w:t>
      </w:r>
      <w:r w:rsidRPr="00B55191">
        <w:rPr>
          <w:noProof/>
        </w:rPr>
        <w:t>, 2960-2971.</w:t>
      </w:r>
    </w:p>
    <w:p w14:paraId="36B56D5B" w14:textId="77777777" w:rsidR="00B55191" w:rsidRPr="00B55191" w:rsidRDefault="00B55191" w:rsidP="00B55191">
      <w:pPr>
        <w:pStyle w:val="EndNoteBibliography"/>
        <w:rPr>
          <w:noProof/>
        </w:rPr>
      </w:pPr>
      <w:r w:rsidRPr="00B55191">
        <w:rPr>
          <w:noProof/>
        </w:rPr>
        <w:t xml:space="preserve">(85) Doyle, R. L.; Godwin, I. J.; Brandon, M. P.; Lyons, M. E. G. Redox and Electrochemical Water Splitting Catalytic Properties of Hydrated Metal Oxide Modified Electrodes. </w:t>
      </w:r>
      <w:r w:rsidRPr="00B55191">
        <w:rPr>
          <w:i/>
          <w:noProof/>
        </w:rPr>
        <w:t xml:space="preserve">Phys. Chem. Chem. Phys. </w:t>
      </w:r>
      <w:r w:rsidRPr="00B55191">
        <w:rPr>
          <w:b/>
          <w:noProof/>
        </w:rPr>
        <w:t>2013</w:t>
      </w:r>
      <w:r w:rsidRPr="00B55191">
        <w:rPr>
          <w:noProof/>
        </w:rPr>
        <w:t xml:space="preserve">, </w:t>
      </w:r>
      <w:r w:rsidRPr="00B55191">
        <w:rPr>
          <w:i/>
          <w:noProof/>
        </w:rPr>
        <w:t>15</w:t>
      </w:r>
      <w:r w:rsidRPr="00B55191">
        <w:rPr>
          <w:noProof/>
        </w:rPr>
        <w:t>, 13737-13783.</w:t>
      </w:r>
    </w:p>
    <w:p w14:paraId="7BD238C2" w14:textId="77777777" w:rsidR="00B55191" w:rsidRPr="00B55191" w:rsidRDefault="00B55191" w:rsidP="00B55191">
      <w:pPr>
        <w:pStyle w:val="EndNoteBibliography"/>
        <w:rPr>
          <w:noProof/>
        </w:rPr>
      </w:pPr>
      <w:r w:rsidRPr="00B55191">
        <w:rPr>
          <w:noProof/>
        </w:rPr>
        <w:t xml:space="preserve">(86) Kobussen, A. G. C.; Broers, G. H. J. The Oxygen Evolution on La0.5ba0.5coo3: Theoretical Impedance Behaviour for a Multi-Step Mechanism Involving Two Adsorbates. </w:t>
      </w:r>
      <w:r w:rsidRPr="00B55191">
        <w:rPr>
          <w:i/>
          <w:noProof/>
        </w:rPr>
        <w:t xml:space="preserve">J. Electroanal. Chem. Interfacial Electrochem. </w:t>
      </w:r>
      <w:r w:rsidRPr="00B55191">
        <w:rPr>
          <w:b/>
          <w:noProof/>
        </w:rPr>
        <w:t>1981</w:t>
      </w:r>
      <w:r w:rsidRPr="00B55191">
        <w:rPr>
          <w:noProof/>
        </w:rPr>
        <w:t xml:space="preserve">, </w:t>
      </w:r>
      <w:r w:rsidRPr="00B55191">
        <w:rPr>
          <w:i/>
          <w:noProof/>
        </w:rPr>
        <w:t>126</w:t>
      </w:r>
      <w:r w:rsidRPr="00B55191">
        <w:rPr>
          <w:noProof/>
        </w:rPr>
        <w:t>, 221-240.</w:t>
      </w:r>
    </w:p>
    <w:p w14:paraId="2F975DFF" w14:textId="77777777" w:rsidR="00B55191" w:rsidRPr="00B55191" w:rsidRDefault="00B55191" w:rsidP="00B55191">
      <w:pPr>
        <w:pStyle w:val="EndNoteBibliography"/>
        <w:rPr>
          <w:noProof/>
        </w:rPr>
      </w:pPr>
      <w:r w:rsidRPr="00B55191">
        <w:rPr>
          <w:noProof/>
        </w:rPr>
        <w:t xml:space="preserve">(87) Rossmeisl, J.; Logadottir, A.; Nørskov, J. K. Electrolysis of Water on (Oxidized) Metal Surfaces. </w:t>
      </w:r>
      <w:r w:rsidRPr="00B55191">
        <w:rPr>
          <w:i/>
          <w:noProof/>
        </w:rPr>
        <w:t xml:space="preserve">Chem. Phys. </w:t>
      </w:r>
      <w:r w:rsidRPr="00B55191">
        <w:rPr>
          <w:b/>
          <w:noProof/>
        </w:rPr>
        <w:t>2005</w:t>
      </w:r>
      <w:r w:rsidRPr="00B55191">
        <w:rPr>
          <w:noProof/>
        </w:rPr>
        <w:t xml:space="preserve">, </w:t>
      </w:r>
      <w:r w:rsidRPr="00B55191">
        <w:rPr>
          <w:i/>
          <w:noProof/>
        </w:rPr>
        <w:t>319</w:t>
      </w:r>
      <w:r w:rsidRPr="00B55191">
        <w:rPr>
          <w:noProof/>
        </w:rPr>
        <w:t>, 178-184.</w:t>
      </w:r>
    </w:p>
    <w:p w14:paraId="1164B0CE" w14:textId="77777777" w:rsidR="00B55191" w:rsidRPr="00B55191" w:rsidRDefault="00B55191" w:rsidP="00B55191">
      <w:pPr>
        <w:pStyle w:val="EndNoteBibliography"/>
        <w:rPr>
          <w:noProof/>
        </w:rPr>
      </w:pPr>
      <w:r w:rsidRPr="00B55191">
        <w:rPr>
          <w:noProof/>
        </w:rPr>
        <w:t xml:space="preserve">(88) Rossmeisl, J.; Qu, Z. W.; Zhu, H.; Kroes, G. J.; Nørskov, J. K. Electrolysis of Water on Oxide Surfaces. </w:t>
      </w:r>
      <w:r w:rsidRPr="00B55191">
        <w:rPr>
          <w:i/>
          <w:noProof/>
        </w:rPr>
        <w:t xml:space="preserve">J. Electroanal. Chem. </w:t>
      </w:r>
      <w:r w:rsidRPr="00B55191">
        <w:rPr>
          <w:b/>
          <w:noProof/>
        </w:rPr>
        <w:t>2007</w:t>
      </w:r>
      <w:r w:rsidRPr="00B55191">
        <w:rPr>
          <w:noProof/>
        </w:rPr>
        <w:t xml:space="preserve">, </w:t>
      </w:r>
      <w:r w:rsidRPr="00B55191">
        <w:rPr>
          <w:i/>
          <w:noProof/>
        </w:rPr>
        <w:t>607</w:t>
      </w:r>
      <w:r w:rsidRPr="00B55191">
        <w:rPr>
          <w:noProof/>
        </w:rPr>
        <w:t>, 83-89.</w:t>
      </w:r>
    </w:p>
    <w:p w14:paraId="2D872A23" w14:textId="77777777" w:rsidR="00B55191" w:rsidRPr="00B55191" w:rsidRDefault="00B55191" w:rsidP="00B55191">
      <w:pPr>
        <w:pStyle w:val="EndNoteBibliography"/>
        <w:rPr>
          <w:noProof/>
        </w:rPr>
      </w:pPr>
      <w:r w:rsidRPr="00B55191">
        <w:rPr>
          <w:noProof/>
        </w:rPr>
        <w:t xml:space="preserve">(89) Busch, M.; Ahlberg, E.; Panas, I. Electrocatalytic Oxygen Evolution from Water on a Mn(Iii–V) Dimer Model Catalyst—a Dft Perspective. </w:t>
      </w:r>
      <w:r w:rsidRPr="00B55191">
        <w:rPr>
          <w:i/>
          <w:noProof/>
        </w:rPr>
        <w:t xml:space="preserve">Phys. Chem. Chem. Phys. </w:t>
      </w:r>
      <w:r w:rsidRPr="00B55191">
        <w:rPr>
          <w:b/>
          <w:noProof/>
        </w:rPr>
        <w:t>2011</w:t>
      </w:r>
      <w:r w:rsidRPr="00B55191">
        <w:rPr>
          <w:noProof/>
        </w:rPr>
        <w:t xml:space="preserve">, </w:t>
      </w:r>
      <w:r w:rsidRPr="00B55191">
        <w:rPr>
          <w:i/>
          <w:noProof/>
        </w:rPr>
        <w:t>13</w:t>
      </w:r>
      <w:r w:rsidRPr="00B55191">
        <w:rPr>
          <w:noProof/>
        </w:rPr>
        <w:t>, 15069-15076.</w:t>
      </w:r>
    </w:p>
    <w:p w14:paraId="7D04357D" w14:textId="77777777" w:rsidR="00B55191" w:rsidRPr="00B55191" w:rsidRDefault="00B55191" w:rsidP="00B55191">
      <w:pPr>
        <w:pStyle w:val="EndNoteBibliography"/>
        <w:rPr>
          <w:noProof/>
        </w:rPr>
      </w:pPr>
      <w:r w:rsidRPr="00B55191">
        <w:rPr>
          <w:noProof/>
        </w:rPr>
        <w:t xml:space="preserve">(90) Wang, L.-P.; Wu, Q.; Van Voorhis, T. Acid−Base Mechanism for Ruthenium Water Oxidation Catalysts. </w:t>
      </w:r>
      <w:r w:rsidRPr="00B55191">
        <w:rPr>
          <w:i/>
          <w:noProof/>
        </w:rPr>
        <w:t xml:space="preserve">Inorg. Chem. </w:t>
      </w:r>
      <w:r w:rsidRPr="00B55191">
        <w:rPr>
          <w:b/>
          <w:noProof/>
        </w:rPr>
        <w:t>2010</w:t>
      </w:r>
      <w:r w:rsidRPr="00B55191">
        <w:rPr>
          <w:noProof/>
        </w:rPr>
        <w:t xml:space="preserve">, </w:t>
      </w:r>
      <w:r w:rsidRPr="00B55191">
        <w:rPr>
          <w:i/>
          <w:noProof/>
        </w:rPr>
        <w:t>49</w:t>
      </w:r>
      <w:r w:rsidRPr="00B55191">
        <w:rPr>
          <w:noProof/>
        </w:rPr>
        <w:t>, 4543-4553.</w:t>
      </w:r>
    </w:p>
    <w:p w14:paraId="76EAC6AA" w14:textId="77777777" w:rsidR="00B55191" w:rsidRPr="00B55191" w:rsidRDefault="00B55191" w:rsidP="00B55191">
      <w:pPr>
        <w:pStyle w:val="EndNoteBibliography"/>
        <w:rPr>
          <w:noProof/>
        </w:rPr>
      </w:pPr>
      <w:r w:rsidRPr="00B55191">
        <w:rPr>
          <w:noProof/>
        </w:rPr>
        <w:t xml:space="preserve">(91) Shinagawa, T.; Garcia-Esparza, A. T.; Takanabe, K. Insight on Tafel Slopes from a Microkinetic Analysis of Aqueous Electrocatalysis for Energy Conversion. </w:t>
      </w:r>
      <w:r w:rsidRPr="00B55191">
        <w:rPr>
          <w:i/>
          <w:noProof/>
        </w:rPr>
        <w:t xml:space="preserve">Sci Rep </w:t>
      </w:r>
      <w:r w:rsidRPr="00B55191">
        <w:rPr>
          <w:b/>
          <w:noProof/>
        </w:rPr>
        <w:t>2015</w:t>
      </w:r>
      <w:r w:rsidRPr="00B55191">
        <w:rPr>
          <w:noProof/>
        </w:rPr>
        <w:t xml:space="preserve">, </w:t>
      </w:r>
      <w:r w:rsidRPr="00B55191">
        <w:rPr>
          <w:i/>
          <w:noProof/>
        </w:rPr>
        <w:t>5</w:t>
      </w:r>
      <w:r w:rsidRPr="00B55191">
        <w:rPr>
          <w:noProof/>
        </w:rPr>
        <w:t>, 13801.</w:t>
      </w:r>
    </w:p>
    <w:p w14:paraId="18599B67" w14:textId="1AD739A1" w:rsidR="00B55191" w:rsidRPr="00B55191" w:rsidRDefault="00B55191" w:rsidP="00B55191">
      <w:pPr>
        <w:pStyle w:val="EndNoteBibliography"/>
        <w:rPr>
          <w:noProof/>
        </w:rPr>
      </w:pPr>
      <w:r w:rsidRPr="00B55191">
        <w:rPr>
          <w:noProof/>
        </w:rPr>
        <w:t xml:space="preserve">(92) Alsaç, E. P.; Bodappa, N.; Whittingham, A. W. H.; Liu, Y.; de Lazzari, A.; Smith, R. D. L. Structure–Property Correlations for Analysis of Heterogeneous Electrocatalysts. </w:t>
      </w:r>
      <w:r w:rsidRPr="00B55191">
        <w:rPr>
          <w:i/>
          <w:noProof/>
        </w:rPr>
        <w:t xml:space="preserve">Chem. Phys. Rev. </w:t>
      </w:r>
      <w:r w:rsidRPr="00B55191">
        <w:rPr>
          <w:b/>
          <w:noProof/>
        </w:rPr>
        <w:t>2021</w:t>
      </w:r>
      <w:r w:rsidRPr="00B55191">
        <w:rPr>
          <w:noProof/>
        </w:rPr>
        <w:t xml:space="preserve">, </w:t>
      </w:r>
      <w:r w:rsidRPr="00B55191">
        <w:rPr>
          <w:i/>
          <w:noProof/>
        </w:rPr>
        <w:t>2</w:t>
      </w:r>
      <w:r w:rsidRPr="00B55191">
        <w:rPr>
          <w:noProof/>
        </w:rPr>
        <w:t xml:space="preserve">, </w:t>
      </w:r>
      <w:r w:rsidR="00B81519">
        <w:rPr>
          <w:noProof/>
        </w:rPr>
        <w:t>031306.</w:t>
      </w:r>
    </w:p>
    <w:p w14:paraId="14571F97" w14:textId="77777777" w:rsidR="00B55191" w:rsidRPr="00B55191" w:rsidRDefault="00B55191" w:rsidP="00B55191">
      <w:pPr>
        <w:pStyle w:val="EndNoteBibliography"/>
        <w:rPr>
          <w:noProof/>
        </w:rPr>
      </w:pPr>
      <w:r w:rsidRPr="00B55191">
        <w:rPr>
          <w:noProof/>
        </w:rPr>
        <w:t xml:space="preserve">(93) Clancy, J. P.; Chen, N.; Kim, C. Y.; Chen, W. F.; Plumb, K. W.; Jeon, B. C.; Noh, T. W.; Kim, Y. J. Spin-Orbit Coupling in Iridium-Based 5d Compounds Probed by X-Ray Absorption Spectroscopy. </w:t>
      </w:r>
      <w:r w:rsidRPr="00B55191">
        <w:rPr>
          <w:i/>
          <w:noProof/>
        </w:rPr>
        <w:t xml:space="preserve">Phys. Rev. B </w:t>
      </w:r>
      <w:r w:rsidRPr="00B55191">
        <w:rPr>
          <w:b/>
          <w:noProof/>
        </w:rPr>
        <w:t>2012</w:t>
      </w:r>
      <w:r w:rsidRPr="00B55191">
        <w:rPr>
          <w:noProof/>
        </w:rPr>
        <w:t xml:space="preserve">, </w:t>
      </w:r>
      <w:r w:rsidRPr="00B55191">
        <w:rPr>
          <w:i/>
          <w:noProof/>
        </w:rPr>
        <w:t>86</w:t>
      </w:r>
      <w:r w:rsidRPr="00B55191">
        <w:rPr>
          <w:noProof/>
        </w:rPr>
        <w:t>, 195131-195131.</w:t>
      </w:r>
    </w:p>
    <w:p w14:paraId="397EA32C" w14:textId="77777777" w:rsidR="00B55191" w:rsidRPr="00B55191" w:rsidRDefault="00B55191" w:rsidP="00B55191">
      <w:pPr>
        <w:pStyle w:val="EndNoteBibliography"/>
        <w:rPr>
          <w:noProof/>
        </w:rPr>
      </w:pPr>
      <w:r w:rsidRPr="00B55191">
        <w:rPr>
          <w:noProof/>
        </w:rPr>
        <w:t xml:space="preserve">(94) Pfeifer, V.; Jones, T. E.; Velasco Vélez, J. J.; Arrigo, R.; Piccinin, S.; Hävecker, M.; Knop-Gericke, A.; Schlögl, R. In Situ Observation of Reactive Oxygen Species Forming on Oxygen-Evolving Iridium Surfaces. </w:t>
      </w:r>
      <w:r w:rsidRPr="00B55191">
        <w:rPr>
          <w:i/>
          <w:noProof/>
        </w:rPr>
        <w:t xml:space="preserve">Chem. Sci. </w:t>
      </w:r>
      <w:r w:rsidRPr="00B55191">
        <w:rPr>
          <w:b/>
          <w:noProof/>
        </w:rPr>
        <w:t>2017</w:t>
      </w:r>
      <w:r w:rsidRPr="00B55191">
        <w:rPr>
          <w:noProof/>
        </w:rPr>
        <w:t xml:space="preserve">, </w:t>
      </w:r>
      <w:r w:rsidRPr="00B55191">
        <w:rPr>
          <w:i/>
          <w:noProof/>
        </w:rPr>
        <w:t>8</w:t>
      </w:r>
      <w:r w:rsidRPr="00B55191">
        <w:rPr>
          <w:noProof/>
        </w:rPr>
        <w:t>, 2143-2149.</w:t>
      </w:r>
    </w:p>
    <w:p w14:paraId="3AF3CDBF" w14:textId="77777777" w:rsidR="00B55191" w:rsidRPr="00B55191" w:rsidRDefault="00B55191" w:rsidP="00B55191">
      <w:pPr>
        <w:pStyle w:val="EndNoteBibliography"/>
        <w:rPr>
          <w:noProof/>
        </w:rPr>
      </w:pPr>
      <w:r w:rsidRPr="00B55191">
        <w:rPr>
          <w:noProof/>
        </w:rPr>
        <w:t xml:space="preserve">(95) Conway, B. E.; Gileadi, E. Kinetic Theory of Pseudo-Capacitance and Electrode Reactions at Appreciable Surface Coverage. </w:t>
      </w:r>
      <w:r w:rsidRPr="00B55191">
        <w:rPr>
          <w:i/>
          <w:noProof/>
        </w:rPr>
        <w:t xml:space="preserve">Trans. Faraday Society </w:t>
      </w:r>
      <w:r w:rsidRPr="00B55191">
        <w:rPr>
          <w:b/>
          <w:noProof/>
        </w:rPr>
        <w:t>1962</w:t>
      </w:r>
      <w:r w:rsidRPr="00B55191">
        <w:rPr>
          <w:noProof/>
        </w:rPr>
        <w:t xml:space="preserve">, </w:t>
      </w:r>
      <w:r w:rsidRPr="00B55191">
        <w:rPr>
          <w:i/>
          <w:noProof/>
        </w:rPr>
        <w:t>58</w:t>
      </w:r>
      <w:r w:rsidRPr="00B55191">
        <w:rPr>
          <w:noProof/>
        </w:rPr>
        <w:t>, 2493-2509.</w:t>
      </w:r>
    </w:p>
    <w:p w14:paraId="54570E63" w14:textId="77777777" w:rsidR="00B55191" w:rsidRPr="00B55191" w:rsidRDefault="00B55191" w:rsidP="00B55191">
      <w:pPr>
        <w:pStyle w:val="EndNoteBibliography"/>
        <w:rPr>
          <w:noProof/>
        </w:rPr>
      </w:pPr>
      <w:r w:rsidRPr="00B55191">
        <w:rPr>
          <w:noProof/>
        </w:rPr>
        <w:t xml:space="preserve">(96) Bai, L.; Gao, L.; Conway, B. E. Problem of in Situ Real-Area Determination in Evaluation of Performance of Rough or Porous, Gas-Evolving Electrocatalysts. Part 2.—Unfolding of the Electrochemically Accessible Surface of Rough or Porous Electrodes: A Case-Study with an Electrodeposited Porous Pt Electrode. </w:t>
      </w:r>
      <w:r w:rsidRPr="00B55191">
        <w:rPr>
          <w:i/>
          <w:noProof/>
        </w:rPr>
        <w:t xml:space="preserve">J. Chem. Soc., Faraday Trans. </w:t>
      </w:r>
      <w:r w:rsidRPr="00B55191">
        <w:rPr>
          <w:b/>
          <w:noProof/>
        </w:rPr>
        <w:t>1993</w:t>
      </w:r>
      <w:r w:rsidRPr="00B55191">
        <w:rPr>
          <w:noProof/>
        </w:rPr>
        <w:t xml:space="preserve">, </w:t>
      </w:r>
      <w:r w:rsidRPr="00B55191">
        <w:rPr>
          <w:i/>
          <w:noProof/>
        </w:rPr>
        <w:t>89</w:t>
      </w:r>
      <w:r w:rsidRPr="00B55191">
        <w:rPr>
          <w:noProof/>
        </w:rPr>
        <w:t>, 243-249.</w:t>
      </w:r>
    </w:p>
    <w:p w14:paraId="0C838C69" w14:textId="77777777" w:rsidR="00B55191" w:rsidRPr="00B55191" w:rsidRDefault="00B55191" w:rsidP="00B55191">
      <w:pPr>
        <w:pStyle w:val="EndNoteBibliography"/>
        <w:rPr>
          <w:noProof/>
        </w:rPr>
      </w:pPr>
      <w:r w:rsidRPr="00B55191">
        <w:rPr>
          <w:noProof/>
        </w:rPr>
        <w:t xml:space="preserve">(97) Anantharaj, S.; Kundu, S. Do the Evaluation Parameters Reflect Intrinsic Activity of Electrocatalysts in Electrochemical Water Splitting? </w:t>
      </w:r>
      <w:r w:rsidRPr="00B55191">
        <w:rPr>
          <w:i/>
          <w:noProof/>
        </w:rPr>
        <w:t xml:space="preserve">ACS Energy Lett. </w:t>
      </w:r>
      <w:r w:rsidRPr="00B55191">
        <w:rPr>
          <w:b/>
          <w:noProof/>
        </w:rPr>
        <w:t>2019</w:t>
      </w:r>
      <w:r w:rsidRPr="00B55191">
        <w:rPr>
          <w:noProof/>
        </w:rPr>
        <w:t xml:space="preserve">, </w:t>
      </w:r>
      <w:r w:rsidRPr="00B55191">
        <w:rPr>
          <w:i/>
          <w:noProof/>
        </w:rPr>
        <w:t>4</w:t>
      </w:r>
      <w:r w:rsidRPr="00B55191">
        <w:rPr>
          <w:noProof/>
        </w:rPr>
        <w:t>, 1260-1264.</w:t>
      </w:r>
    </w:p>
    <w:p w14:paraId="3E40C8AA" w14:textId="77777777" w:rsidR="00B55191" w:rsidRPr="00B55191" w:rsidRDefault="00B55191" w:rsidP="00B55191">
      <w:pPr>
        <w:pStyle w:val="EndNoteBibliography"/>
        <w:rPr>
          <w:noProof/>
        </w:rPr>
      </w:pPr>
      <w:r w:rsidRPr="00B55191">
        <w:rPr>
          <w:noProof/>
        </w:rPr>
        <w:lastRenderedPageBreak/>
        <w:t xml:space="preserve">(98) van der Heijden, O.; Park, S.; Eggebeen, J. J. J.; Koper, M. T. M. Non-Kinetic Effects Convolute Activity and Tafel Analysis for the Alkaline Oxygen Evolution Reaction on Nifeooh Electrocatalysts. </w:t>
      </w:r>
      <w:r w:rsidRPr="00B55191">
        <w:rPr>
          <w:i/>
          <w:noProof/>
        </w:rPr>
        <w:t xml:space="preserve">Angew. Chem. Int. Ed. </w:t>
      </w:r>
      <w:r w:rsidRPr="00B55191">
        <w:rPr>
          <w:b/>
          <w:noProof/>
        </w:rPr>
        <w:t>2023</w:t>
      </w:r>
      <w:r w:rsidRPr="00B55191">
        <w:rPr>
          <w:noProof/>
        </w:rPr>
        <w:t xml:space="preserve">, </w:t>
      </w:r>
      <w:r w:rsidRPr="00B55191">
        <w:rPr>
          <w:i/>
          <w:noProof/>
        </w:rPr>
        <w:t>62</w:t>
      </w:r>
      <w:r w:rsidRPr="00B55191">
        <w:rPr>
          <w:noProof/>
        </w:rPr>
        <w:t>, e202216477.</w:t>
      </w:r>
    </w:p>
    <w:p w14:paraId="3DC4F4A2" w14:textId="77777777" w:rsidR="00B55191" w:rsidRPr="00B55191" w:rsidRDefault="00B55191" w:rsidP="00B55191">
      <w:pPr>
        <w:pStyle w:val="EndNoteBibliography"/>
        <w:rPr>
          <w:noProof/>
        </w:rPr>
      </w:pPr>
      <w:r w:rsidRPr="00B55191">
        <w:rPr>
          <w:noProof/>
        </w:rPr>
        <w:t xml:space="preserve">(99) van der Heijden, O.; Eggebeen, J. J. J.; Trzesniowski, H.; Deka, N.; Golnak, R.; Xiao, J.; van Rijn, M.; Mom, R. V.; Koper, M. T. M. Li+ Cations Activate Nifeooh for Oxygen Evolution in Sodium and Potassium Hydroxide. </w:t>
      </w:r>
      <w:r w:rsidRPr="00B55191">
        <w:rPr>
          <w:i/>
          <w:noProof/>
        </w:rPr>
        <w:t xml:space="preserve">Angew. Chem. Int. Ed. </w:t>
      </w:r>
      <w:r w:rsidRPr="00B55191">
        <w:rPr>
          <w:b/>
          <w:noProof/>
        </w:rPr>
        <w:t>2024</w:t>
      </w:r>
      <w:r w:rsidRPr="00B55191">
        <w:rPr>
          <w:noProof/>
        </w:rPr>
        <w:t xml:space="preserve">, </w:t>
      </w:r>
      <w:r w:rsidRPr="00B55191">
        <w:rPr>
          <w:i/>
          <w:noProof/>
        </w:rPr>
        <w:t>63</w:t>
      </w:r>
      <w:r w:rsidRPr="00B55191">
        <w:rPr>
          <w:noProof/>
        </w:rPr>
        <w:t>, e202318692.</w:t>
      </w:r>
    </w:p>
    <w:p w14:paraId="4ACC6A01" w14:textId="77777777" w:rsidR="00B55191" w:rsidRPr="00B55191" w:rsidRDefault="00B55191" w:rsidP="00B55191">
      <w:pPr>
        <w:pStyle w:val="EndNoteBibliography"/>
        <w:rPr>
          <w:noProof/>
        </w:rPr>
      </w:pPr>
      <w:r w:rsidRPr="00B55191">
        <w:rPr>
          <w:noProof/>
        </w:rPr>
        <w:t xml:space="preserve">(100) Park, H. K.; Ahn, H.; Lee, T. H.; Lee, J. Y.; Lee, M. G.; Lee, S. A.; Yang, J. W.; Kim, S. J.; Ahn, S. H.; Kim, S. Y.; et al. Grain Boundaries Boost Oxygen Evolution Reaction in Nife Electrocatalysts. </w:t>
      </w:r>
      <w:r w:rsidRPr="00B55191">
        <w:rPr>
          <w:i/>
          <w:noProof/>
        </w:rPr>
        <w:t xml:space="preserve">Small Methods </w:t>
      </w:r>
      <w:r w:rsidRPr="00B55191">
        <w:rPr>
          <w:b/>
          <w:noProof/>
        </w:rPr>
        <w:t>2021</w:t>
      </w:r>
      <w:r w:rsidRPr="00B55191">
        <w:rPr>
          <w:noProof/>
        </w:rPr>
        <w:t xml:space="preserve">, </w:t>
      </w:r>
      <w:r w:rsidRPr="00B55191">
        <w:rPr>
          <w:i/>
          <w:noProof/>
        </w:rPr>
        <w:t>5</w:t>
      </w:r>
      <w:r w:rsidRPr="00B55191">
        <w:rPr>
          <w:noProof/>
        </w:rPr>
        <w:t>, 2000755.</w:t>
      </w:r>
    </w:p>
    <w:p w14:paraId="07303E54" w14:textId="77777777" w:rsidR="00B55191" w:rsidRPr="00B55191" w:rsidRDefault="00B55191" w:rsidP="00B55191">
      <w:pPr>
        <w:pStyle w:val="EndNoteBibliography"/>
        <w:rPr>
          <w:noProof/>
        </w:rPr>
      </w:pPr>
      <w:r w:rsidRPr="00B55191">
        <w:rPr>
          <w:noProof/>
        </w:rPr>
        <w:t xml:space="preserve">(101) Man, I. C.; Su, H.-Y.; Calle-Vallejo, F.; Hansen, H. A.; Martínez, J. I.; Inoglu, N. G.; Kitchin, J.; Jaramillo, T. F.; Nørskov, J. K.; Rossmeisl, J. Universality in Oxygen Evolution Electrocatalysis on Oxide Surfaces. </w:t>
      </w:r>
      <w:r w:rsidRPr="00B55191">
        <w:rPr>
          <w:i/>
          <w:noProof/>
        </w:rPr>
        <w:t xml:space="preserve">ChemCatChem </w:t>
      </w:r>
      <w:r w:rsidRPr="00B55191">
        <w:rPr>
          <w:b/>
          <w:noProof/>
        </w:rPr>
        <w:t>2011</w:t>
      </w:r>
      <w:r w:rsidRPr="00B55191">
        <w:rPr>
          <w:noProof/>
        </w:rPr>
        <w:t xml:space="preserve">, </w:t>
      </w:r>
      <w:r w:rsidRPr="00B55191">
        <w:rPr>
          <w:i/>
          <w:noProof/>
        </w:rPr>
        <w:t>3</w:t>
      </w:r>
      <w:r w:rsidRPr="00B55191">
        <w:rPr>
          <w:noProof/>
        </w:rPr>
        <w:t>, 1159-1165.</w:t>
      </w:r>
    </w:p>
    <w:p w14:paraId="78636963" w14:textId="77777777" w:rsidR="00B55191" w:rsidRPr="00B55191" w:rsidRDefault="00B55191" w:rsidP="00B55191">
      <w:pPr>
        <w:pStyle w:val="EndNoteBibliography"/>
        <w:rPr>
          <w:noProof/>
        </w:rPr>
      </w:pPr>
      <w:r w:rsidRPr="00B55191">
        <w:rPr>
          <w:noProof/>
        </w:rPr>
        <w:t xml:space="preserve">(102) Peterson, A. A.; Abild-Pedersen, F.; Studt, F.; Rossmeisl, J.; Nørskov, J. K. How Copper Catalyzes the Electroreduction of Carbon Dioxide into Hydrocarbon Fuels. </w:t>
      </w:r>
      <w:r w:rsidRPr="00B55191">
        <w:rPr>
          <w:i/>
          <w:noProof/>
        </w:rPr>
        <w:t xml:space="preserve">Energy Environ. Sci. </w:t>
      </w:r>
      <w:r w:rsidRPr="00B55191">
        <w:rPr>
          <w:b/>
          <w:noProof/>
        </w:rPr>
        <w:t>2010</w:t>
      </w:r>
      <w:r w:rsidRPr="00B55191">
        <w:rPr>
          <w:noProof/>
        </w:rPr>
        <w:t xml:space="preserve">, </w:t>
      </w:r>
      <w:r w:rsidRPr="00B55191">
        <w:rPr>
          <w:i/>
          <w:noProof/>
        </w:rPr>
        <w:t>3</w:t>
      </w:r>
      <w:r w:rsidRPr="00B55191">
        <w:rPr>
          <w:noProof/>
        </w:rPr>
        <w:t>, 1311-1315.</w:t>
      </w:r>
    </w:p>
    <w:p w14:paraId="5797B197" w14:textId="77777777" w:rsidR="00B55191" w:rsidRPr="00B55191" w:rsidRDefault="00B55191" w:rsidP="00B55191">
      <w:pPr>
        <w:pStyle w:val="EndNoteBibliography"/>
        <w:rPr>
          <w:noProof/>
        </w:rPr>
      </w:pPr>
      <w:r w:rsidRPr="00B55191">
        <w:rPr>
          <w:noProof/>
        </w:rPr>
        <w:t xml:space="preserve">(103) Kaxiras, E.; Bar-Yam, Y.; Joannopoulos, J. D.; Pandey, K. C. Ab Initio Theory of Polar Semiconductor Surfaces. I. Methodology and the (22) Reconstructions of Gaas(111). </w:t>
      </w:r>
      <w:r w:rsidRPr="00B55191">
        <w:rPr>
          <w:i/>
          <w:noProof/>
        </w:rPr>
        <w:t xml:space="preserve">Phys. Rev. B </w:t>
      </w:r>
      <w:r w:rsidRPr="00B55191">
        <w:rPr>
          <w:b/>
          <w:noProof/>
        </w:rPr>
        <w:t>1987</w:t>
      </w:r>
      <w:r w:rsidRPr="00B55191">
        <w:rPr>
          <w:noProof/>
        </w:rPr>
        <w:t xml:space="preserve">, </w:t>
      </w:r>
      <w:r w:rsidRPr="00B55191">
        <w:rPr>
          <w:i/>
          <w:noProof/>
        </w:rPr>
        <w:t>35</w:t>
      </w:r>
      <w:r w:rsidRPr="00B55191">
        <w:rPr>
          <w:noProof/>
        </w:rPr>
        <w:t>, 9625-9635.</w:t>
      </w:r>
    </w:p>
    <w:p w14:paraId="564F064B" w14:textId="77777777" w:rsidR="00B55191" w:rsidRPr="00B55191" w:rsidRDefault="00B55191" w:rsidP="00B55191">
      <w:pPr>
        <w:pStyle w:val="EndNoteBibliography"/>
        <w:rPr>
          <w:noProof/>
        </w:rPr>
      </w:pPr>
      <w:r w:rsidRPr="00B55191">
        <w:rPr>
          <w:noProof/>
        </w:rPr>
        <w:t xml:space="preserve">(104) Qian, G.-X.; Martin, R. M.; Chadi, D. J. First-Principles Study of the Atomic Reconstructions and Energies of Ga- and as-Stabilized Gaas(100) Surfaces. </w:t>
      </w:r>
      <w:r w:rsidRPr="00B55191">
        <w:rPr>
          <w:i/>
          <w:noProof/>
        </w:rPr>
        <w:t xml:space="preserve">Phys. Rev. B </w:t>
      </w:r>
      <w:r w:rsidRPr="00B55191">
        <w:rPr>
          <w:b/>
          <w:noProof/>
        </w:rPr>
        <w:t>1988</w:t>
      </w:r>
      <w:r w:rsidRPr="00B55191">
        <w:rPr>
          <w:noProof/>
        </w:rPr>
        <w:t xml:space="preserve">, </w:t>
      </w:r>
      <w:r w:rsidRPr="00B55191">
        <w:rPr>
          <w:i/>
          <w:noProof/>
        </w:rPr>
        <w:t>38</w:t>
      </w:r>
      <w:r w:rsidRPr="00B55191">
        <w:rPr>
          <w:noProof/>
        </w:rPr>
        <w:t>, 7649-7663.</w:t>
      </w:r>
    </w:p>
    <w:p w14:paraId="7BAC2AD3" w14:textId="77777777" w:rsidR="00B55191" w:rsidRPr="00B55191" w:rsidRDefault="00B55191" w:rsidP="00B55191">
      <w:pPr>
        <w:pStyle w:val="EndNoteBibliography"/>
        <w:rPr>
          <w:noProof/>
        </w:rPr>
      </w:pPr>
      <w:r w:rsidRPr="00B55191">
        <w:rPr>
          <w:noProof/>
        </w:rPr>
        <w:t xml:space="preserve">(105) Reuter, K.; Scheffler, M. Composition, Structure, and Stability of Ruo2(110) as a Function of Oxygen Pressure. </w:t>
      </w:r>
      <w:r w:rsidRPr="00B55191">
        <w:rPr>
          <w:i/>
          <w:noProof/>
        </w:rPr>
        <w:t xml:space="preserve">Phys. Rev. B </w:t>
      </w:r>
      <w:r w:rsidRPr="00B55191">
        <w:rPr>
          <w:b/>
          <w:noProof/>
        </w:rPr>
        <w:t>2001</w:t>
      </w:r>
      <w:r w:rsidRPr="00B55191">
        <w:rPr>
          <w:noProof/>
        </w:rPr>
        <w:t xml:space="preserve">, </w:t>
      </w:r>
      <w:r w:rsidRPr="00B55191">
        <w:rPr>
          <w:i/>
          <w:noProof/>
        </w:rPr>
        <w:t>65</w:t>
      </w:r>
      <w:r w:rsidRPr="00B55191">
        <w:rPr>
          <w:noProof/>
        </w:rPr>
        <w:t>, 035406.</w:t>
      </w:r>
    </w:p>
    <w:p w14:paraId="2653744E" w14:textId="77777777" w:rsidR="00B55191" w:rsidRPr="00B55191" w:rsidRDefault="00B55191" w:rsidP="00B55191">
      <w:pPr>
        <w:pStyle w:val="EndNoteBibliography"/>
        <w:rPr>
          <w:noProof/>
        </w:rPr>
      </w:pPr>
      <w:r w:rsidRPr="00B55191">
        <w:rPr>
          <w:noProof/>
        </w:rPr>
        <w:t xml:space="preserve">(106) Reuter, K.; Scheffler, M. Composition and Structure of the Ruo2(110) Surface in an O2 and Co Environment: Implications for the Catalytic Formation of Co2. </w:t>
      </w:r>
      <w:r w:rsidRPr="00B55191">
        <w:rPr>
          <w:i/>
          <w:noProof/>
        </w:rPr>
        <w:t xml:space="preserve">Phys. Rev. B </w:t>
      </w:r>
      <w:r w:rsidRPr="00B55191">
        <w:rPr>
          <w:b/>
          <w:noProof/>
        </w:rPr>
        <w:t>2003</w:t>
      </w:r>
      <w:r w:rsidRPr="00B55191">
        <w:rPr>
          <w:noProof/>
        </w:rPr>
        <w:t xml:space="preserve">, </w:t>
      </w:r>
      <w:r w:rsidRPr="00B55191">
        <w:rPr>
          <w:i/>
          <w:noProof/>
        </w:rPr>
        <w:t>68</w:t>
      </w:r>
      <w:r w:rsidRPr="00B55191">
        <w:rPr>
          <w:noProof/>
        </w:rPr>
        <w:t>, 045407.</w:t>
      </w:r>
    </w:p>
    <w:p w14:paraId="11F4E580" w14:textId="77777777" w:rsidR="00B55191" w:rsidRPr="00B55191" w:rsidRDefault="00B55191" w:rsidP="00B55191">
      <w:pPr>
        <w:pStyle w:val="EndNoteBibliography"/>
        <w:rPr>
          <w:noProof/>
        </w:rPr>
      </w:pPr>
      <w:r w:rsidRPr="00B55191">
        <w:rPr>
          <w:noProof/>
        </w:rPr>
        <w:t xml:space="preserve">(107) Stampfl, C. Surface Processes and Phase Transitions from Ab Initio Atomistic Thermodynamics and Statistical Mechanics. </w:t>
      </w:r>
      <w:r w:rsidRPr="00B55191">
        <w:rPr>
          <w:i/>
          <w:noProof/>
        </w:rPr>
        <w:t xml:space="preserve">Catal. Today </w:t>
      </w:r>
      <w:r w:rsidRPr="00B55191">
        <w:rPr>
          <w:b/>
          <w:noProof/>
        </w:rPr>
        <w:t>2005</w:t>
      </w:r>
      <w:r w:rsidRPr="00B55191">
        <w:rPr>
          <w:noProof/>
        </w:rPr>
        <w:t xml:space="preserve">, </w:t>
      </w:r>
      <w:r w:rsidRPr="00B55191">
        <w:rPr>
          <w:i/>
          <w:noProof/>
        </w:rPr>
        <w:t>105</w:t>
      </w:r>
      <w:r w:rsidRPr="00B55191">
        <w:rPr>
          <w:noProof/>
        </w:rPr>
        <w:t>, 17-35.</w:t>
      </w:r>
    </w:p>
    <w:p w14:paraId="7D044F9A" w14:textId="77777777" w:rsidR="00B55191" w:rsidRPr="00B55191" w:rsidRDefault="00B55191" w:rsidP="00B55191">
      <w:pPr>
        <w:pStyle w:val="EndNoteBibliography"/>
        <w:rPr>
          <w:noProof/>
        </w:rPr>
      </w:pPr>
      <w:r w:rsidRPr="00B55191">
        <w:rPr>
          <w:noProof/>
        </w:rPr>
        <w:t xml:space="preserve">(108) Reuter, K.; Stampf, C.; Scheffler, M. Ab Initio Atomistic Thermodynamics and Statistical Mechanics of Surface Properties and Functions. In </w:t>
      </w:r>
      <w:r w:rsidRPr="00B55191">
        <w:rPr>
          <w:i/>
          <w:noProof/>
        </w:rPr>
        <w:t>Handbook of Materials Modeling: Methods</w:t>
      </w:r>
      <w:r w:rsidRPr="00B55191">
        <w:rPr>
          <w:noProof/>
        </w:rPr>
        <w:t>,  Springer Netherlands, 2005; pp 149-194.</w:t>
      </w:r>
    </w:p>
    <w:p w14:paraId="19569481" w14:textId="77777777" w:rsidR="00B55191" w:rsidRPr="00B55191" w:rsidRDefault="00B55191" w:rsidP="00B55191">
      <w:pPr>
        <w:pStyle w:val="EndNoteBibliography"/>
        <w:rPr>
          <w:noProof/>
        </w:rPr>
      </w:pPr>
      <w:r w:rsidRPr="00B55191">
        <w:rPr>
          <w:noProof/>
        </w:rPr>
        <w:t xml:space="preserve">(109) Reuter, K. Ab Initio Thermodynamics and First-Principles Microkinetics for Surface Catalysis. </w:t>
      </w:r>
      <w:r w:rsidRPr="00B55191">
        <w:rPr>
          <w:i/>
          <w:noProof/>
        </w:rPr>
        <w:t xml:space="preserve">Catal. Lett. </w:t>
      </w:r>
      <w:r w:rsidRPr="00B55191">
        <w:rPr>
          <w:b/>
          <w:noProof/>
        </w:rPr>
        <w:t>2016</w:t>
      </w:r>
      <w:r w:rsidRPr="00B55191">
        <w:rPr>
          <w:noProof/>
        </w:rPr>
        <w:t xml:space="preserve">, </w:t>
      </w:r>
      <w:r w:rsidRPr="00B55191">
        <w:rPr>
          <w:i/>
          <w:noProof/>
        </w:rPr>
        <w:t>146</w:t>
      </w:r>
      <w:r w:rsidRPr="00B55191">
        <w:rPr>
          <w:noProof/>
        </w:rPr>
        <w:t>, 541-563.</w:t>
      </w:r>
    </w:p>
    <w:p w14:paraId="600ACBF3" w14:textId="77777777" w:rsidR="00B55191" w:rsidRPr="00B55191" w:rsidRDefault="00B55191" w:rsidP="00B55191">
      <w:pPr>
        <w:pStyle w:val="EndNoteBibliography"/>
        <w:rPr>
          <w:noProof/>
        </w:rPr>
      </w:pPr>
      <w:r w:rsidRPr="00B55191">
        <w:rPr>
          <w:noProof/>
        </w:rPr>
        <w:t xml:space="preserve">(110) Persson, K. A.; Waldwick, B.; Lazic, P.; Ceder, G. Prediction of Solid-Aqueous Equilibria: Scheme to Combine First-Principles Calculations of Solids with Experimental Aqueous States. </w:t>
      </w:r>
      <w:r w:rsidRPr="00B55191">
        <w:rPr>
          <w:i/>
          <w:noProof/>
        </w:rPr>
        <w:t xml:space="preserve">Phys. Rev. B </w:t>
      </w:r>
      <w:r w:rsidRPr="00B55191">
        <w:rPr>
          <w:b/>
          <w:noProof/>
        </w:rPr>
        <w:t>2012</w:t>
      </w:r>
      <w:r w:rsidRPr="00B55191">
        <w:rPr>
          <w:noProof/>
        </w:rPr>
        <w:t xml:space="preserve">, </w:t>
      </w:r>
      <w:r w:rsidRPr="00B55191">
        <w:rPr>
          <w:i/>
          <w:noProof/>
        </w:rPr>
        <w:t>85</w:t>
      </w:r>
      <w:r w:rsidRPr="00B55191">
        <w:rPr>
          <w:noProof/>
        </w:rPr>
        <w:t>, 235438.</w:t>
      </w:r>
    </w:p>
    <w:p w14:paraId="16BEEB38" w14:textId="77777777" w:rsidR="00B55191" w:rsidRPr="00B55191" w:rsidRDefault="00B55191" w:rsidP="00B55191">
      <w:pPr>
        <w:pStyle w:val="EndNoteBibliography"/>
        <w:rPr>
          <w:noProof/>
        </w:rPr>
      </w:pPr>
      <w:r w:rsidRPr="00B55191">
        <w:rPr>
          <w:noProof/>
        </w:rPr>
        <w:t xml:space="preserve">(111) Li, W.-X.; Stampfl, C.; Scheffler, M. Insights into the Function of Silver as an Oxidation Catalyst by Ab Initio Atomistic Thermodynamics. </w:t>
      </w:r>
      <w:r w:rsidRPr="00B55191">
        <w:rPr>
          <w:i/>
          <w:noProof/>
        </w:rPr>
        <w:t xml:space="preserve">Phys. Rev. B </w:t>
      </w:r>
      <w:r w:rsidRPr="00B55191">
        <w:rPr>
          <w:b/>
          <w:noProof/>
        </w:rPr>
        <w:t>2003</w:t>
      </w:r>
      <w:r w:rsidRPr="00B55191">
        <w:rPr>
          <w:noProof/>
        </w:rPr>
        <w:t xml:space="preserve">, </w:t>
      </w:r>
      <w:r w:rsidRPr="00B55191">
        <w:rPr>
          <w:i/>
          <w:noProof/>
        </w:rPr>
        <w:t>68</w:t>
      </w:r>
      <w:r w:rsidRPr="00B55191">
        <w:rPr>
          <w:noProof/>
        </w:rPr>
        <w:t>, 165412.</w:t>
      </w:r>
    </w:p>
    <w:p w14:paraId="034DD99F" w14:textId="77777777" w:rsidR="00B55191" w:rsidRPr="00B55191" w:rsidRDefault="00B55191" w:rsidP="00B55191">
      <w:pPr>
        <w:pStyle w:val="EndNoteBibliography"/>
        <w:rPr>
          <w:noProof/>
        </w:rPr>
      </w:pPr>
      <w:r w:rsidRPr="00B55191">
        <w:rPr>
          <w:noProof/>
        </w:rPr>
        <w:t xml:space="preserve">(112) Sargeant, E.; Illas, F.; Rodríguez, P.; Calle-Vallejo, F. Importance of the Gas-Phase Error Correction for O2 When Using Dft to Model the Oxygen Reduction and Evolution Reactions. </w:t>
      </w:r>
      <w:r w:rsidRPr="00B55191">
        <w:rPr>
          <w:i/>
          <w:noProof/>
        </w:rPr>
        <w:t xml:space="preserve">J. Electroanal. Chem. </w:t>
      </w:r>
      <w:r w:rsidRPr="00B55191">
        <w:rPr>
          <w:b/>
          <w:noProof/>
        </w:rPr>
        <w:t>2021</w:t>
      </w:r>
      <w:r w:rsidRPr="00B55191">
        <w:rPr>
          <w:noProof/>
        </w:rPr>
        <w:t xml:space="preserve">, </w:t>
      </w:r>
      <w:r w:rsidRPr="00B55191">
        <w:rPr>
          <w:i/>
          <w:noProof/>
        </w:rPr>
        <w:t>896</w:t>
      </w:r>
      <w:r w:rsidRPr="00B55191">
        <w:rPr>
          <w:noProof/>
        </w:rPr>
        <w:t>, 115178.</w:t>
      </w:r>
    </w:p>
    <w:p w14:paraId="0FE7D304" w14:textId="77777777" w:rsidR="00B55191" w:rsidRPr="00B55191" w:rsidRDefault="00B55191" w:rsidP="00B55191">
      <w:pPr>
        <w:pStyle w:val="EndNoteBibliography"/>
        <w:rPr>
          <w:noProof/>
        </w:rPr>
      </w:pPr>
      <w:r w:rsidRPr="00B55191">
        <w:rPr>
          <w:noProof/>
        </w:rPr>
        <w:t xml:space="preserve">(113) Martínez, J. I.; Hansen, H. A.; Rossmeisl, J.; Nørskov, J. K. Formation Energies of Rutile Metal Dioxides Using Density Functional Theory. </w:t>
      </w:r>
      <w:r w:rsidRPr="00B55191">
        <w:rPr>
          <w:i/>
          <w:noProof/>
        </w:rPr>
        <w:t xml:space="preserve">Phys. Rev. B </w:t>
      </w:r>
      <w:r w:rsidRPr="00B55191">
        <w:rPr>
          <w:b/>
          <w:noProof/>
        </w:rPr>
        <w:t>2009</w:t>
      </w:r>
      <w:r w:rsidRPr="00B55191">
        <w:rPr>
          <w:noProof/>
        </w:rPr>
        <w:t xml:space="preserve">, </w:t>
      </w:r>
      <w:r w:rsidRPr="00B55191">
        <w:rPr>
          <w:i/>
          <w:noProof/>
        </w:rPr>
        <w:t>79</w:t>
      </w:r>
      <w:r w:rsidRPr="00B55191">
        <w:rPr>
          <w:noProof/>
        </w:rPr>
        <w:t>, 045120.</w:t>
      </w:r>
    </w:p>
    <w:p w14:paraId="79C53B5F" w14:textId="77777777" w:rsidR="00B55191" w:rsidRPr="00B55191" w:rsidRDefault="00B55191" w:rsidP="00B55191">
      <w:pPr>
        <w:pStyle w:val="EndNoteBibliography"/>
        <w:rPr>
          <w:noProof/>
        </w:rPr>
      </w:pPr>
      <w:r w:rsidRPr="00B55191">
        <w:rPr>
          <w:noProof/>
        </w:rPr>
        <w:t xml:space="preserve">(114) Kurth, S.; Perdew, J. P.; Blaha, P. Molecular and Solid-State Tests of Density Functional Approximations: Lsd, Ggas, and Meta-Ggas. </w:t>
      </w:r>
      <w:r w:rsidRPr="00B55191">
        <w:rPr>
          <w:i/>
          <w:noProof/>
        </w:rPr>
        <w:t xml:space="preserve">Int. J. Quantum Chem. </w:t>
      </w:r>
      <w:r w:rsidRPr="00B55191">
        <w:rPr>
          <w:b/>
          <w:noProof/>
        </w:rPr>
        <w:t>1999</w:t>
      </w:r>
      <w:r w:rsidRPr="00B55191">
        <w:rPr>
          <w:noProof/>
        </w:rPr>
        <w:t xml:space="preserve">, </w:t>
      </w:r>
      <w:r w:rsidRPr="00B55191">
        <w:rPr>
          <w:i/>
          <w:noProof/>
        </w:rPr>
        <w:t>75</w:t>
      </w:r>
      <w:r w:rsidRPr="00B55191">
        <w:rPr>
          <w:noProof/>
        </w:rPr>
        <w:t>, 889-909.</w:t>
      </w:r>
    </w:p>
    <w:p w14:paraId="652B9003" w14:textId="77777777" w:rsidR="00B55191" w:rsidRPr="00B55191" w:rsidRDefault="00B55191" w:rsidP="00B55191">
      <w:pPr>
        <w:pStyle w:val="EndNoteBibliography"/>
        <w:rPr>
          <w:noProof/>
        </w:rPr>
      </w:pPr>
      <w:r w:rsidRPr="00B55191">
        <w:rPr>
          <w:noProof/>
        </w:rPr>
        <w:t xml:space="preserve">(115) Almeida, M. O.; Kolb, M. J.; Lanza, M. R. V.; Illas, F.; Calle-Vallejo, F. Gas-Phase Errors Affect Dft-Based Electrocatalysis Models of Oxygen Reduction to Hydrogen Peroxide. </w:t>
      </w:r>
      <w:r w:rsidRPr="00B55191">
        <w:rPr>
          <w:i/>
          <w:noProof/>
        </w:rPr>
        <w:t xml:space="preserve">ChemElectroChem </w:t>
      </w:r>
      <w:r w:rsidRPr="00B55191">
        <w:rPr>
          <w:b/>
          <w:noProof/>
        </w:rPr>
        <w:t>2022</w:t>
      </w:r>
      <w:r w:rsidRPr="00B55191">
        <w:rPr>
          <w:noProof/>
        </w:rPr>
        <w:t xml:space="preserve">, </w:t>
      </w:r>
      <w:r w:rsidRPr="00B55191">
        <w:rPr>
          <w:i/>
          <w:noProof/>
        </w:rPr>
        <w:t>9</w:t>
      </w:r>
      <w:r w:rsidRPr="00B55191">
        <w:rPr>
          <w:noProof/>
        </w:rPr>
        <w:t>, e202200210.</w:t>
      </w:r>
    </w:p>
    <w:p w14:paraId="55E600AF" w14:textId="77777777" w:rsidR="00B55191" w:rsidRPr="00B55191" w:rsidRDefault="00B55191" w:rsidP="00B55191">
      <w:pPr>
        <w:pStyle w:val="EndNoteBibliography"/>
        <w:rPr>
          <w:noProof/>
        </w:rPr>
      </w:pPr>
      <w:r w:rsidRPr="00B55191">
        <w:rPr>
          <w:noProof/>
        </w:rPr>
        <w:lastRenderedPageBreak/>
        <w:t xml:space="preserve">(116) Sun, Q.; Reuter, K.; Scheffler, M. Effect of a Humid Environment on the Surface Structure of Ruo2(110). </w:t>
      </w:r>
      <w:r w:rsidRPr="00B55191">
        <w:rPr>
          <w:i/>
          <w:noProof/>
        </w:rPr>
        <w:t xml:space="preserve">Phys. Rev. B </w:t>
      </w:r>
      <w:r w:rsidRPr="00B55191">
        <w:rPr>
          <w:b/>
          <w:noProof/>
        </w:rPr>
        <w:t>2003</w:t>
      </w:r>
      <w:r w:rsidRPr="00B55191">
        <w:rPr>
          <w:noProof/>
        </w:rPr>
        <w:t xml:space="preserve">, </w:t>
      </w:r>
      <w:r w:rsidRPr="00B55191">
        <w:rPr>
          <w:i/>
          <w:noProof/>
        </w:rPr>
        <w:t>67</w:t>
      </w:r>
      <w:r w:rsidRPr="00B55191">
        <w:rPr>
          <w:noProof/>
        </w:rPr>
        <w:t>, 205424.</w:t>
      </w:r>
    </w:p>
    <w:p w14:paraId="07C734A4" w14:textId="77777777" w:rsidR="00B55191" w:rsidRPr="00B55191" w:rsidRDefault="00B55191" w:rsidP="00B55191">
      <w:pPr>
        <w:pStyle w:val="EndNoteBibliography"/>
        <w:rPr>
          <w:noProof/>
        </w:rPr>
      </w:pPr>
      <w:r w:rsidRPr="00B55191">
        <w:rPr>
          <w:noProof/>
        </w:rPr>
        <w:t xml:space="preserve">(117) Wang, J.; Fan, C. Y.; Sun, Q.; Reuter, K.; Jacobi, K.; Scheffler, M.; Ertl, G. Surface Coordination Chemistry: Dihydrogen Versus Hydride Complexes on Ruo2(110). </w:t>
      </w:r>
      <w:r w:rsidRPr="00B55191">
        <w:rPr>
          <w:i/>
          <w:noProof/>
        </w:rPr>
        <w:t xml:space="preserve">Angew. Chem. Int. Ed. </w:t>
      </w:r>
      <w:r w:rsidRPr="00B55191">
        <w:rPr>
          <w:b/>
          <w:noProof/>
        </w:rPr>
        <w:t>2003</w:t>
      </w:r>
      <w:r w:rsidRPr="00B55191">
        <w:rPr>
          <w:noProof/>
        </w:rPr>
        <w:t xml:space="preserve">, </w:t>
      </w:r>
      <w:r w:rsidRPr="00B55191">
        <w:rPr>
          <w:i/>
          <w:noProof/>
        </w:rPr>
        <w:t>42</w:t>
      </w:r>
      <w:r w:rsidRPr="00B55191">
        <w:rPr>
          <w:noProof/>
        </w:rPr>
        <w:t>, 2151-2154.</w:t>
      </w:r>
    </w:p>
    <w:p w14:paraId="77D8B64D" w14:textId="77777777" w:rsidR="00B55191" w:rsidRPr="00B55191" w:rsidRDefault="00B55191" w:rsidP="00B55191">
      <w:pPr>
        <w:pStyle w:val="EndNoteBibliography"/>
        <w:rPr>
          <w:noProof/>
        </w:rPr>
      </w:pPr>
      <w:r w:rsidRPr="00B55191">
        <w:rPr>
          <w:noProof/>
        </w:rPr>
        <w:t xml:space="preserve">(118) Reuter, K.; Scheffler, M. First-Principles Atomistic Thermodynamics for Oxidation Catalysis: Surface Phase Diagrams and Catalytically Interesting Regions. </w:t>
      </w:r>
      <w:r w:rsidRPr="00B55191">
        <w:rPr>
          <w:i/>
          <w:noProof/>
        </w:rPr>
        <w:t xml:space="preserve">Phys. Rev. Lett. </w:t>
      </w:r>
      <w:r w:rsidRPr="00B55191">
        <w:rPr>
          <w:b/>
          <w:noProof/>
        </w:rPr>
        <w:t>2003</w:t>
      </w:r>
      <w:r w:rsidRPr="00B55191">
        <w:rPr>
          <w:noProof/>
        </w:rPr>
        <w:t xml:space="preserve">, </w:t>
      </w:r>
      <w:r w:rsidRPr="00B55191">
        <w:rPr>
          <w:i/>
          <w:noProof/>
        </w:rPr>
        <w:t>90</w:t>
      </w:r>
      <w:r w:rsidRPr="00B55191">
        <w:rPr>
          <w:noProof/>
        </w:rPr>
        <w:t>, 046103.</w:t>
      </w:r>
    </w:p>
    <w:p w14:paraId="56EB6381" w14:textId="77777777" w:rsidR="00B55191" w:rsidRPr="00B55191" w:rsidRDefault="00B55191" w:rsidP="00B55191">
      <w:pPr>
        <w:pStyle w:val="EndNoteBibliography"/>
        <w:rPr>
          <w:noProof/>
        </w:rPr>
      </w:pPr>
      <w:r w:rsidRPr="00B55191">
        <w:rPr>
          <w:noProof/>
        </w:rPr>
        <w:t xml:space="preserve">(119) Huynh, M. H. V.; Meyer, T. J. Proton-Coupled Electron Transfer. </w:t>
      </w:r>
      <w:r w:rsidRPr="00B55191">
        <w:rPr>
          <w:i/>
          <w:noProof/>
        </w:rPr>
        <w:t xml:space="preserve">Chem. Rev. </w:t>
      </w:r>
      <w:r w:rsidRPr="00B55191">
        <w:rPr>
          <w:b/>
          <w:noProof/>
        </w:rPr>
        <w:t>2007</w:t>
      </w:r>
      <w:r w:rsidRPr="00B55191">
        <w:rPr>
          <w:noProof/>
        </w:rPr>
        <w:t xml:space="preserve">, </w:t>
      </w:r>
      <w:r w:rsidRPr="00B55191">
        <w:rPr>
          <w:i/>
          <w:noProof/>
        </w:rPr>
        <w:t>107</w:t>
      </w:r>
      <w:r w:rsidRPr="00B55191">
        <w:rPr>
          <w:noProof/>
        </w:rPr>
        <w:t>, 5004-5064.</w:t>
      </w:r>
    </w:p>
    <w:p w14:paraId="213AF490" w14:textId="77777777" w:rsidR="00B55191" w:rsidRPr="00B55191" w:rsidRDefault="00B55191" w:rsidP="00B55191">
      <w:pPr>
        <w:pStyle w:val="EndNoteBibliography"/>
        <w:rPr>
          <w:noProof/>
        </w:rPr>
      </w:pPr>
      <w:r w:rsidRPr="00B55191">
        <w:rPr>
          <w:noProof/>
        </w:rPr>
        <w:t xml:space="preserve">(120) Warburton, R. E.; Soudackov, A. V.; Hammes-Schiffer, S. Theoretical Modeling of Electrochemical Proton-Coupled Electron Transfer. </w:t>
      </w:r>
      <w:r w:rsidRPr="00B55191">
        <w:rPr>
          <w:i/>
          <w:noProof/>
        </w:rPr>
        <w:t xml:space="preserve">Chem. Rev. </w:t>
      </w:r>
      <w:r w:rsidRPr="00B55191">
        <w:rPr>
          <w:b/>
          <w:noProof/>
        </w:rPr>
        <w:t>2022</w:t>
      </w:r>
      <w:r w:rsidRPr="00B55191">
        <w:rPr>
          <w:noProof/>
        </w:rPr>
        <w:t xml:space="preserve">, </w:t>
      </w:r>
      <w:r w:rsidRPr="00B55191">
        <w:rPr>
          <w:i/>
          <w:noProof/>
        </w:rPr>
        <w:t>122</w:t>
      </w:r>
      <w:r w:rsidRPr="00B55191">
        <w:rPr>
          <w:noProof/>
        </w:rPr>
        <w:t>, 10599-10650.</w:t>
      </w:r>
    </w:p>
    <w:p w14:paraId="67F44E0D" w14:textId="77777777" w:rsidR="00B55191" w:rsidRPr="00B55191" w:rsidRDefault="00B55191" w:rsidP="00B55191">
      <w:pPr>
        <w:pStyle w:val="EndNoteBibliography"/>
        <w:rPr>
          <w:noProof/>
        </w:rPr>
      </w:pPr>
      <w:r w:rsidRPr="00B55191">
        <w:rPr>
          <w:noProof/>
        </w:rPr>
        <w:t xml:space="preserve">(121) Weinberg, D. R.; Gagliardi, C. J.; Hull, J. F.; Murphy, C. F.; Kent, C. A.; Westlake, B. C.; Paul, A.; Ess, D. H.; McCafferty, D. G.; Meyer, T. J. Proton-Coupled Electron Transfer. </w:t>
      </w:r>
      <w:r w:rsidRPr="00B55191">
        <w:rPr>
          <w:i/>
          <w:noProof/>
        </w:rPr>
        <w:t xml:space="preserve">Chem. Rev. </w:t>
      </w:r>
      <w:r w:rsidRPr="00B55191">
        <w:rPr>
          <w:b/>
          <w:noProof/>
        </w:rPr>
        <w:t>2012</w:t>
      </w:r>
      <w:r w:rsidRPr="00B55191">
        <w:rPr>
          <w:noProof/>
        </w:rPr>
        <w:t xml:space="preserve">, </w:t>
      </w:r>
      <w:r w:rsidRPr="00B55191">
        <w:rPr>
          <w:i/>
          <w:noProof/>
        </w:rPr>
        <w:t>112</w:t>
      </w:r>
      <w:r w:rsidRPr="00B55191">
        <w:rPr>
          <w:noProof/>
        </w:rPr>
        <w:t>, 4016-4093.</w:t>
      </w:r>
    </w:p>
    <w:p w14:paraId="621BFEB6" w14:textId="77777777" w:rsidR="00B55191" w:rsidRPr="00B55191" w:rsidRDefault="00B55191" w:rsidP="00B55191">
      <w:pPr>
        <w:pStyle w:val="EndNoteBibliography"/>
        <w:rPr>
          <w:noProof/>
        </w:rPr>
      </w:pPr>
      <w:r w:rsidRPr="00B55191">
        <w:rPr>
          <w:noProof/>
        </w:rPr>
        <w:t xml:space="preserve">(122) Koper, M. T. M. Theory of Multiple Proton–Electron Transfer Reactions and Its Implications for Electrocatalysis. </w:t>
      </w:r>
      <w:r w:rsidRPr="00B55191">
        <w:rPr>
          <w:i/>
          <w:noProof/>
        </w:rPr>
        <w:t xml:space="preserve">Chem. Sci. </w:t>
      </w:r>
      <w:r w:rsidRPr="00B55191">
        <w:rPr>
          <w:b/>
          <w:noProof/>
        </w:rPr>
        <w:t>2013</w:t>
      </w:r>
      <w:r w:rsidRPr="00B55191">
        <w:rPr>
          <w:noProof/>
        </w:rPr>
        <w:t xml:space="preserve">, </w:t>
      </w:r>
      <w:r w:rsidRPr="00B55191">
        <w:rPr>
          <w:i/>
          <w:noProof/>
        </w:rPr>
        <w:t>4</w:t>
      </w:r>
      <w:r w:rsidRPr="00B55191">
        <w:rPr>
          <w:noProof/>
        </w:rPr>
        <w:t>, 2710-2723.</w:t>
      </w:r>
    </w:p>
    <w:p w14:paraId="229CF124" w14:textId="77777777" w:rsidR="00B55191" w:rsidRPr="00B55191" w:rsidRDefault="00B55191" w:rsidP="00B55191">
      <w:pPr>
        <w:pStyle w:val="EndNoteBibliography"/>
        <w:rPr>
          <w:noProof/>
        </w:rPr>
      </w:pPr>
      <w:r w:rsidRPr="00B55191">
        <w:rPr>
          <w:noProof/>
        </w:rPr>
        <w:t xml:space="preserve">(123) Koper, M. T. M. Theory of the Transition from Sequential to Concerted Electrochemical Proton–Electron Transfer. </w:t>
      </w:r>
      <w:r w:rsidRPr="00B55191">
        <w:rPr>
          <w:i/>
          <w:noProof/>
        </w:rPr>
        <w:t xml:space="preserve">Phys. Chem. Chem. Phys. </w:t>
      </w:r>
      <w:r w:rsidRPr="00B55191">
        <w:rPr>
          <w:b/>
          <w:noProof/>
        </w:rPr>
        <w:t>2013</w:t>
      </w:r>
      <w:r w:rsidRPr="00B55191">
        <w:rPr>
          <w:noProof/>
        </w:rPr>
        <w:t xml:space="preserve">, </w:t>
      </w:r>
      <w:r w:rsidRPr="00B55191">
        <w:rPr>
          <w:i/>
          <w:noProof/>
        </w:rPr>
        <w:t>15</w:t>
      </w:r>
      <w:r w:rsidRPr="00B55191">
        <w:rPr>
          <w:noProof/>
        </w:rPr>
        <w:t>, 1399-1407.</w:t>
      </w:r>
    </w:p>
    <w:p w14:paraId="1DFBA513" w14:textId="77777777" w:rsidR="00B55191" w:rsidRPr="00B55191" w:rsidRDefault="00B55191" w:rsidP="00B55191">
      <w:pPr>
        <w:pStyle w:val="EndNoteBibliography"/>
        <w:rPr>
          <w:noProof/>
        </w:rPr>
      </w:pPr>
      <w:r w:rsidRPr="00B55191">
        <w:rPr>
          <w:noProof/>
        </w:rPr>
        <w:t xml:space="preserve">(124) Göttle, A. J.; Koper, M. T. M. Proton-Coupled Electron Transfer in the Electrocatalysis of Co2 Reduction: Prediction of Sequential Vs. Concerted Pathways Using Dft. </w:t>
      </w:r>
      <w:r w:rsidRPr="00B55191">
        <w:rPr>
          <w:i/>
          <w:noProof/>
        </w:rPr>
        <w:t xml:space="preserve">Chem. Sci. </w:t>
      </w:r>
      <w:r w:rsidRPr="00B55191">
        <w:rPr>
          <w:b/>
          <w:noProof/>
        </w:rPr>
        <w:t>2017</w:t>
      </w:r>
      <w:r w:rsidRPr="00B55191">
        <w:rPr>
          <w:noProof/>
        </w:rPr>
        <w:t xml:space="preserve">, </w:t>
      </w:r>
      <w:r w:rsidRPr="00B55191">
        <w:rPr>
          <w:i/>
          <w:noProof/>
        </w:rPr>
        <w:t>8</w:t>
      </w:r>
      <w:r w:rsidRPr="00B55191">
        <w:rPr>
          <w:noProof/>
        </w:rPr>
        <w:t>, 458-465.</w:t>
      </w:r>
    </w:p>
    <w:p w14:paraId="15D32452" w14:textId="77777777" w:rsidR="00B55191" w:rsidRPr="00B55191" w:rsidRDefault="00B55191" w:rsidP="00B55191">
      <w:pPr>
        <w:pStyle w:val="EndNoteBibliography"/>
        <w:rPr>
          <w:noProof/>
        </w:rPr>
      </w:pPr>
      <w:r w:rsidRPr="00B55191">
        <w:rPr>
          <w:noProof/>
        </w:rPr>
        <w:t xml:space="preserve">(125) Groß, A. Reversible Vs Standard Hydrogen Electrode Scale in Interfacial Electrochemistry from a Theoretician’s Atomistic Point of View. </w:t>
      </w:r>
      <w:r w:rsidRPr="00B55191">
        <w:rPr>
          <w:i/>
          <w:noProof/>
        </w:rPr>
        <w:t xml:space="preserve">J. Phys. Chem. C </w:t>
      </w:r>
      <w:r w:rsidRPr="00B55191">
        <w:rPr>
          <w:b/>
          <w:noProof/>
        </w:rPr>
        <w:t>2022</w:t>
      </w:r>
      <w:r w:rsidRPr="00B55191">
        <w:rPr>
          <w:noProof/>
        </w:rPr>
        <w:t xml:space="preserve">, </w:t>
      </w:r>
      <w:r w:rsidRPr="00B55191">
        <w:rPr>
          <w:i/>
          <w:noProof/>
        </w:rPr>
        <w:t>126</w:t>
      </w:r>
      <w:r w:rsidRPr="00B55191">
        <w:rPr>
          <w:noProof/>
        </w:rPr>
        <w:t>, 11439-11446.</w:t>
      </w:r>
    </w:p>
    <w:p w14:paraId="348EE0A3" w14:textId="77777777" w:rsidR="00B55191" w:rsidRPr="00B55191" w:rsidRDefault="00B55191" w:rsidP="00B55191">
      <w:pPr>
        <w:pStyle w:val="EndNoteBibliography"/>
        <w:rPr>
          <w:noProof/>
        </w:rPr>
      </w:pPr>
      <w:r w:rsidRPr="00B55191">
        <w:rPr>
          <w:noProof/>
        </w:rPr>
        <w:t xml:space="preserve">(126) Kuo, D.-Y.; Kawasaki, J. K.; Nelson, J. N.; Kloppenburg, J.; Hautier, G.; Shen, K. M.; Schlom, D. G.; Suntivich, J. Influence of Surface Adsorption on the Oxygen Evolution Reaction on Iro2(110). </w:t>
      </w:r>
      <w:r w:rsidRPr="00B55191">
        <w:rPr>
          <w:i/>
          <w:noProof/>
        </w:rPr>
        <w:t xml:space="preserve">J. Am. Chem. Soc. </w:t>
      </w:r>
      <w:r w:rsidRPr="00B55191">
        <w:rPr>
          <w:b/>
          <w:noProof/>
        </w:rPr>
        <w:t>2017</w:t>
      </w:r>
      <w:r w:rsidRPr="00B55191">
        <w:rPr>
          <w:noProof/>
        </w:rPr>
        <w:t xml:space="preserve">, </w:t>
      </w:r>
      <w:r w:rsidRPr="00B55191">
        <w:rPr>
          <w:i/>
          <w:noProof/>
        </w:rPr>
        <w:t>139</w:t>
      </w:r>
      <w:r w:rsidRPr="00B55191">
        <w:rPr>
          <w:noProof/>
        </w:rPr>
        <w:t>, 3473-3479.</w:t>
      </w:r>
    </w:p>
    <w:p w14:paraId="56646E9D" w14:textId="77777777" w:rsidR="00B55191" w:rsidRPr="00B55191" w:rsidRDefault="00B55191" w:rsidP="00B55191">
      <w:pPr>
        <w:pStyle w:val="EndNoteBibliography"/>
        <w:rPr>
          <w:noProof/>
        </w:rPr>
      </w:pPr>
      <w:r w:rsidRPr="00B55191">
        <w:rPr>
          <w:noProof/>
        </w:rPr>
        <w:t xml:space="preserve">(127) Opalka, D.; Scheurer, C.; Reuter, K. Ab Initio Thermodynamics Insight into the Structural Evolution of Working Iro2 Catalysts in Proton-Exchange Membrane Electrolyzers. </w:t>
      </w:r>
      <w:r w:rsidRPr="00B55191">
        <w:rPr>
          <w:i/>
          <w:noProof/>
        </w:rPr>
        <w:t xml:space="preserve">ACS Catal. </w:t>
      </w:r>
      <w:r w:rsidRPr="00B55191">
        <w:rPr>
          <w:b/>
          <w:noProof/>
        </w:rPr>
        <w:t>2019</w:t>
      </w:r>
      <w:r w:rsidRPr="00B55191">
        <w:rPr>
          <w:noProof/>
        </w:rPr>
        <w:t xml:space="preserve">, </w:t>
      </w:r>
      <w:r w:rsidRPr="00B55191">
        <w:rPr>
          <w:i/>
          <w:noProof/>
        </w:rPr>
        <w:t>9</w:t>
      </w:r>
      <w:r w:rsidRPr="00B55191">
        <w:rPr>
          <w:noProof/>
        </w:rPr>
        <w:t>, 4944-4950.</w:t>
      </w:r>
    </w:p>
    <w:p w14:paraId="4A20B676" w14:textId="77777777" w:rsidR="00B55191" w:rsidRPr="00B55191" w:rsidRDefault="00B55191" w:rsidP="00B55191">
      <w:pPr>
        <w:pStyle w:val="EndNoteBibliography"/>
        <w:rPr>
          <w:noProof/>
        </w:rPr>
      </w:pPr>
      <w:r w:rsidRPr="00B55191">
        <w:rPr>
          <w:noProof/>
        </w:rPr>
        <w:t xml:space="preserve">(128) Karlberg, G. S.; Rossmeisl, J.; Nørskov, J. K. Estimations of Electric Field Effects on the Oxygen Reduction Reaction Based on the Density Functional Theory. </w:t>
      </w:r>
      <w:r w:rsidRPr="00B55191">
        <w:rPr>
          <w:i/>
          <w:noProof/>
        </w:rPr>
        <w:t xml:space="preserve">Phys. Chem. Chem. Phys. </w:t>
      </w:r>
      <w:r w:rsidRPr="00B55191">
        <w:rPr>
          <w:b/>
          <w:noProof/>
        </w:rPr>
        <w:t>2007</w:t>
      </w:r>
      <w:r w:rsidRPr="00B55191">
        <w:rPr>
          <w:noProof/>
        </w:rPr>
        <w:t xml:space="preserve">, </w:t>
      </w:r>
      <w:r w:rsidRPr="00B55191">
        <w:rPr>
          <w:i/>
          <w:noProof/>
        </w:rPr>
        <w:t>9</w:t>
      </w:r>
      <w:r w:rsidRPr="00B55191">
        <w:rPr>
          <w:noProof/>
        </w:rPr>
        <w:t>, 5158-5161.</w:t>
      </w:r>
    </w:p>
    <w:p w14:paraId="23CC64C9" w14:textId="77777777" w:rsidR="00B55191" w:rsidRPr="00B55191" w:rsidRDefault="00B55191" w:rsidP="00B55191">
      <w:pPr>
        <w:pStyle w:val="EndNoteBibliography"/>
        <w:rPr>
          <w:noProof/>
        </w:rPr>
      </w:pPr>
      <w:r w:rsidRPr="00B55191">
        <w:rPr>
          <w:noProof/>
        </w:rPr>
        <w:t xml:space="preserve">(129) Yeh, K.-Y.; Janik, M. J. Density Functional Theory-Based Electrochemical Models for the Oxygen Reduction Reaction: Comparison of Modeling Approaches for Electric Field and Solvent Effects. </w:t>
      </w:r>
      <w:r w:rsidRPr="00B55191">
        <w:rPr>
          <w:i/>
          <w:noProof/>
        </w:rPr>
        <w:t xml:space="preserve">J. Comput. Chem. </w:t>
      </w:r>
      <w:r w:rsidRPr="00B55191">
        <w:rPr>
          <w:b/>
          <w:noProof/>
        </w:rPr>
        <w:t>2011</w:t>
      </w:r>
      <w:r w:rsidRPr="00B55191">
        <w:rPr>
          <w:noProof/>
        </w:rPr>
        <w:t xml:space="preserve">, </w:t>
      </w:r>
      <w:r w:rsidRPr="00B55191">
        <w:rPr>
          <w:i/>
          <w:noProof/>
        </w:rPr>
        <w:t>32</w:t>
      </w:r>
      <w:r w:rsidRPr="00B55191">
        <w:rPr>
          <w:noProof/>
        </w:rPr>
        <w:t>, 3399-3408.</w:t>
      </w:r>
    </w:p>
    <w:p w14:paraId="25C0897B" w14:textId="77777777" w:rsidR="00B55191" w:rsidRPr="00B55191" w:rsidRDefault="00B55191" w:rsidP="00B55191">
      <w:pPr>
        <w:pStyle w:val="EndNoteBibliography"/>
        <w:rPr>
          <w:noProof/>
        </w:rPr>
      </w:pPr>
      <w:r w:rsidRPr="00B55191">
        <w:rPr>
          <w:noProof/>
        </w:rPr>
        <w:t xml:space="preserve">(130) Kelly, S. R.; Kirk, C.; Chan, K.; Nørskov, J. K. Electric Field Effects in Oxygen Reduction Kinetics: Rationalizing Ph Dependence at the Pt(111), Au(111), and Au(100) Electrodes. </w:t>
      </w:r>
      <w:r w:rsidRPr="00B55191">
        <w:rPr>
          <w:i/>
          <w:noProof/>
        </w:rPr>
        <w:t xml:space="preserve">J. Phys. Chem. C </w:t>
      </w:r>
      <w:r w:rsidRPr="00B55191">
        <w:rPr>
          <w:b/>
          <w:noProof/>
        </w:rPr>
        <w:t>2020</w:t>
      </w:r>
      <w:r w:rsidRPr="00B55191">
        <w:rPr>
          <w:noProof/>
        </w:rPr>
        <w:t xml:space="preserve">, </w:t>
      </w:r>
      <w:r w:rsidRPr="00B55191">
        <w:rPr>
          <w:i/>
          <w:noProof/>
        </w:rPr>
        <w:t>124</w:t>
      </w:r>
      <w:r w:rsidRPr="00B55191">
        <w:rPr>
          <w:noProof/>
        </w:rPr>
        <w:t>, 14581-14591.</w:t>
      </w:r>
    </w:p>
    <w:p w14:paraId="2A27454E" w14:textId="77777777" w:rsidR="00B55191" w:rsidRPr="00B55191" w:rsidRDefault="00B55191" w:rsidP="00B55191">
      <w:pPr>
        <w:pStyle w:val="EndNoteBibliography"/>
        <w:rPr>
          <w:noProof/>
        </w:rPr>
      </w:pPr>
      <w:r w:rsidRPr="00B55191">
        <w:rPr>
          <w:noProof/>
        </w:rPr>
        <w:t xml:space="preserve">(131) Nørskov, J. K.; Bligaard, T.; Logadottir, A.; Bahn, S.; Hansen, L. B.; Bollinger, M.; Bengaard, H.; Hammer, B.; Sljivancanin, Z.; Mavrikakis, M.; et al. Universality in Heterogeneous Catalysis. </w:t>
      </w:r>
      <w:r w:rsidRPr="00B55191">
        <w:rPr>
          <w:i/>
          <w:noProof/>
        </w:rPr>
        <w:t xml:space="preserve">J. Catal. </w:t>
      </w:r>
      <w:r w:rsidRPr="00B55191">
        <w:rPr>
          <w:b/>
          <w:noProof/>
        </w:rPr>
        <w:t>2002</w:t>
      </w:r>
      <w:r w:rsidRPr="00B55191">
        <w:rPr>
          <w:noProof/>
        </w:rPr>
        <w:t xml:space="preserve">, </w:t>
      </w:r>
      <w:r w:rsidRPr="00B55191">
        <w:rPr>
          <w:i/>
          <w:noProof/>
        </w:rPr>
        <w:t>209</w:t>
      </w:r>
      <w:r w:rsidRPr="00B55191">
        <w:rPr>
          <w:noProof/>
        </w:rPr>
        <w:t>, 275-278.</w:t>
      </w:r>
    </w:p>
    <w:p w14:paraId="7EF95C3E" w14:textId="77777777" w:rsidR="00B55191" w:rsidRPr="00B55191" w:rsidRDefault="00B55191" w:rsidP="00B55191">
      <w:pPr>
        <w:pStyle w:val="EndNoteBibliography"/>
        <w:rPr>
          <w:noProof/>
        </w:rPr>
      </w:pPr>
      <w:r w:rsidRPr="00B55191">
        <w:rPr>
          <w:noProof/>
        </w:rPr>
        <w:t xml:space="preserve">(132) Fierro, S.; Nagel, T.; Baltruschat, H.; Comninellis, C. Investigation of the Oxygen Evolution Reaction on Ti/Iro2 Electrodes Using Isotope Labelling and on-Line Mass Spectrometry. </w:t>
      </w:r>
      <w:r w:rsidRPr="00B55191">
        <w:rPr>
          <w:i/>
          <w:noProof/>
        </w:rPr>
        <w:t xml:space="preserve">Electrochem. Commun. </w:t>
      </w:r>
      <w:r w:rsidRPr="00B55191">
        <w:rPr>
          <w:b/>
          <w:noProof/>
        </w:rPr>
        <w:t>2007</w:t>
      </w:r>
      <w:r w:rsidRPr="00B55191">
        <w:rPr>
          <w:noProof/>
        </w:rPr>
        <w:t xml:space="preserve">, </w:t>
      </w:r>
      <w:r w:rsidRPr="00B55191">
        <w:rPr>
          <w:i/>
          <w:noProof/>
        </w:rPr>
        <w:t>9</w:t>
      </w:r>
      <w:r w:rsidRPr="00B55191">
        <w:rPr>
          <w:noProof/>
        </w:rPr>
        <w:t>, 1969-1974.</w:t>
      </w:r>
    </w:p>
    <w:p w14:paraId="052269FA" w14:textId="77777777" w:rsidR="00B55191" w:rsidRPr="00B55191" w:rsidRDefault="00B55191" w:rsidP="00B55191">
      <w:pPr>
        <w:pStyle w:val="EndNoteBibliography"/>
        <w:rPr>
          <w:noProof/>
        </w:rPr>
      </w:pPr>
      <w:r w:rsidRPr="00B55191">
        <w:rPr>
          <w:noProof/>
        </w:rPr>
        <w:t xml:space="preserve">(133) Wohlfahrt-Mehrens, M.; Heitbaum, J. Oxygen Evolution on Ru and Ruo2 Electrodes Studied Using Isotope Labelling and on-Line Mass Spectrometry. </w:t>
      </w:r>
      <w:r w:rsidRPr="00B55191">
        <w:rPr>
          <w:i/>
          <w:noProof/>
        </w:rPr>
        <w:t xml:space="preserve">J. Electroanal. Chem. Interfacial Electrochem. </w:t>
      </w:r>
      <w:r w:rsidRPr="00B55191">
        <w:rPr>
          <w:b/>
          <w:noProof/>
        </w:rPr>
        <w:t>1987</w:t>
      </w:r>
      <w:r w:rsidRPr="00B55191">
        <w:rPr>
          <w:noProof/>
        </w:rPr>
        <w:t xml:space="preserve">, </w:t>
      </w:r>
      <w:r w:rsidRPr="00B55191">
        <w:rPr>
          <w:i/>
          <w:noProof/>
        </w:rPr>
        <w:t>237</w:t>
      </w:r>
      <w:r w:rsidRPr="00B55191">
        <w:rPr>
          <w:noProof/>
        </w:rPr>
        <w:t>, 251-260.</w:t>
      </w:r>
    </w:p>
    <w:p w14:paraId="199A0E74" w14:textId="77777777" w:rsidR="00B55191" w:rsidRPr="00B55191" w:rsidRDefault="00B55191" w:rsidP="00B55191">
      <w:pPr>
        <w:pStyle w:val="EndNoteBibliography"/>
        <w:rPr>
          <w:noProof/>
        </w:rPr>
      </w:pPr>
      <w:r w:rsidRPr="00B55191">
        <w:rPr>
          <w:noProof/>
        </w:rPr>
        <w:lastRenderedPageBreak/>
        <w:t xml:space="preserve">(134) Krishtalik, L. I. Kinetics and Mechanism of Anodic Chlorine and Oxygen Evolution Reactions on Transition Metal Oxide Electrodes. </w:t>
      </w:r>
      <w:r w:rsidRPr="00B55191">
        <w:rPr>
          <w:i/>
          <w:noProof/>
        </w:rPr>
        <w:t xml:space="preserve">Electrochim. Acta </w:t>
      </w:r>
      <w:r w:rsidRPr="00B55191">
        <w:rPr>
          <w:b/>
          <w:noProof/>
        </w:rPr>
        <w:t>1981</w:t>
      </w:r>
      <w:r w:rsidRPr="00B55191">
        <w:rPr>
          <w:noProof/>
        </w:rPr>
        <w:t xml:space="preserve">, </w:t>
      </w:r>
      <w:r w:rsidRPr="00B55191">
        <w:rPr>
          <w:i/>
          <w:noProof/>
        </w:rPr>
        <w:t>26</w:t>
      </w:r>
      <w:r w:rsidRPr="00B55191">
        <w:rPr>
          <w:noProof/>
        </w:rPr>
        <w:t>, 329-337.</w:t>
      </w:r>
    </w:p>
    <w:p w14:paraId="390D096F" w14:textId="77777777" w:rsidR="00B55191" w:rsidRPr="00B55191" w:rsidRDefault="00B55191" w:rsidP="00B55191">
      <w:pPr>
        <w:pStyle w:val="EndNoteBibliography"/>
        <w:rPr>
          <w:noProof/>
        </w:rPr>
      </w:pPr>
      <w:r w:rsidRPr="00B55191">
        <w:rPr>
          <w:noProof/>
        </w:rPr>
        <w:t xml:space="preserve">(135) Bockris, J. O.; Shamshul Huq, A. K. M. The Mechanism of the Electrolytic Evolution of Oxygen on Platinum. </w:t>
      </w:r>
      <w:r w:rsidRPr="00B55191">
        <w:rPr>
          <w:i/>
          <w:noProof/>
        </w:rPr>
        <w:t xml:space="preserve">Proc. R. Soc. Lond. A </w:t>
      </w:r>
      <w:r w:rsidRPr="00B55191">
        <w:rPr>
          <w:b/>
          <w:noProof/>
        </w:rPr>
        <w:t>1956</w:t>
      </w:r>
      <w:r w:rsidRPr="00B55191">
        <w:rPr>
          <w:noProof/>
        </w:rPr>
        <w:t xml:space="preserve">, </w:t>
      </w:r>
      <w:r w:rsidRPr="00B55191">
        <w:rPr>
          <w:i/>
          <w:noProof/>
        </w:rPr>
        <w:t>237</w:t>
      </w:r>
      <w:r w:rsidRPr="00B55191">
        <w:rPr>
          <w:noProof/>
        </w:rPr>
        <w:t>, 277-296.</w:t>
      </w:r>
    </w:p>
    <w:p w14:paraId="14F3E3E0" w14:textId="77777777" w:rsidR="00B55191" w:rsidRPr="00B55191" w:rsidRDefault="00B55191" w:rsidP="00B55191">
      <w:pPr>
        <w:pStyle w:val="EndNoteBibliography"/>
        <w:rPr>
          <w:noProof/>
        </w:rPr>
      </w:pPr>
      <w:r w:rsidRPr="00B55191">
        <w:rPr>
          <w:noProof/>
        </w:rPr>
        <w:t xml:space="preserve">(136) Damjanovic, A.; Dey, A.; Bockris, J. O. M. Electrode Kinetics of Oxygen Evolution and Dissolution on Rh, Ir, and Pt‐Rh Alloy Electrodes. </w:t>
      </w:r>
      <w:r w:rsidRPr="00B55191">
        <w:rPr>
          <w:i/>
          <w:noProof/>
        </w:rPr>
        <w:t xml:space="preserve">J. Electrochem. Soc. </w:t>
      </w:r>
      <w:r w:rsidRPr="00B55191">
        <w:rPr>
          <w:b/>
          <w:noProof/>
        </w:rPr>
        <w:t>1966</w:t>
      </w:r>
      <w:r w:rsidRPr="00B55191">
        <w:rPr>
          <w:noProof/>
        </w:rPr>
        <w:t xml:space="preserve">, </w:t>
      </w:r>
      <w:r w:rsidRPr="00B55191">
        <w:rPr>
          <w:i/>
          <w:noProof/>
        </w:rPr>
        <w:t>113</w:t>
      </w:r>
      <w:r w:rsidRPr="00B55191">
        <w:rPr>
          <w:noProof/>
        </w:rPr>
        <w:t>, 739.</w:t>
      </w:r>
    </w:p>
    <w:p w14:paraId="42B26F12" w14:textId="77777777" w:rsidR="00B55191" w:rsidRPr="00B55191" w:rsidRDefault="00B55191" w:rsidP="00B55191">
      <w:pPr>
        <w:pStyle w:val="EndNoteBibliography"/>
        <w:rPr>
          <w:noProof/>
        </w:rPr>
      </w:pPr>
      <w:r w:rsidRPr="00B55191">
        <w:rPr>
          <w:noProof/>
        </w:rPr>
        <w:t xml:space="preserve">(137) Bockris, J. O. M. Kinetics of Activation Controlled Consecutive Electrochemical Reactions: Anodic Evolution of Oxygen. </w:t>
      </w:r>
      <w:r w:rsidRPr="00B55191">
        <w:rPr>
          <w:i/>
          <w:noProof/>
        </w:rPr>
        <w:t xml:space="preserve">J. Chem. Phys. </w:t>
      </w:r>
      <w:r w:rsidRPr="00B55191">
        <w:rPr>
          <w:b/>
          <w:noProof/>
        </w:rPr>
        <w:t>1956</w:t>
      </w:r>
      <w:r w:rsidRPr="00B55191">
        <w:rPr>
          <w:noProof/>
        </w:rPr>
        <w:t xml:space="preserve">, </w:t>
      </w:r>
      <w:r w:rsidRPr="00B55191">
        <w:rPr>
          <w:i/>
          <w:noProof/>
        </w:rPr>
        <w:t>24</w:t>
      </w:r>
      <w:r w:rsidRPr="00B55191">
        <w:rPr>
          <w:noProof/>
        </w:rPr>
        <w:t>, 817-827.</w:t>
      </w:r>
    </w:p>
    <w:p w14:paraId="28DA8651" w14:textId="77777777" w:rsidR="00B55191" w:rsidRPr="00B55191" w:rsidRDefault="00B55191" w:rsidP="00B55191">
      <w:pPr>
        <w:pStyle w:val="EndNoteBibliography"/>
        <w:rPr>
          <w:noProof/>
        </w:rPr>
      </w:pPr>
      <w:r w:rsidRPr="00B55191">
        <w:rPr>
          <w:noProof/>
        </w:rPr>
        <w:t xml:space="preserve">(138) Bronoel, G.; Reby, J. Mechanism of Oxygen Evolution in Basic Medium at a Nickel Electrode. </w:t>
      </w:r>
      <w:r w:rsidRPr="00B55191">
        <w:rPr>
          <w:i/>
          <w:noProof/>
        </w:rPr>
        <w:t xml:space="preserve">Electrochim. Acta </w:t>
      </w:r>
      <w:r w:rsidRPr="00B55191">
        <w:rPr>
          <w:b/>
          <w:noProof/>
        </w:rPr>
        <w:t>1980</w:t>
      </w:r>
      <w:r w:rsidRPr="00B55191">
        <w:rPr>
          <w:noProof/>
        </w:rPr>
        <w:t xml:space="preserve">, </w:t>
      </w:r>
      <w:r w:rsidRPr="00B55191">
        <w:rPr>
          <w:i/>
          <w:noProof/>
        </w:rPr>
        <w:t>25</w:t>
      </w:r>
      <w:r w:rsidRPr="00B55191">
        <w:rPr>
          <w:noProof/>
        </w:rPr>
        <w:t>, 973-976.</w:t>
      </w:r>
    </w:p>
    <w:p w14:paraId="59FF04E7" w14:textId="77777777" w:rsidR="00B55191" w:rsidRPr="00B55191" w:rsidRDefault="00B55191" w:rsidP="00B55191">
      <w:pPr>
        <w:pStyle w:val="EndNoteBibliography"/>
        <w:rPr>
          <w:noProof/>
        </w:rPr>
      </w:pPr>
      <w:r w:rsidRPr="00B55191">
        <w:rPr>
          <w:noProof/>
        </w:rPr>
        <w:t xml:space="preserve">(139) Matsumoto, Y.; Sato, E. Electrocatalytic Properties of Transition Metal Oxides for Oxygen Evolution Reaction. </w:t>
      </w:r>
      <w:r w:rsidRPr="00B55191">
        <w:rPr>
          <w:i/>
          <w:noProof/>
        </w:rPr>
        <w:t xml:space="preserve">Mater. Chem. Phys. </w:t>
      </w:r>
      <w:r w:rsidRPr="00B55191">
        <w:rPr>
          <w:b/>
          <w:noProof/>
        </w:rPr>
        <w:t>1986</w:t>
      </w:r>
      <w:r w:rsidRPr="00B55191">
        <w:rPr>
          <w:noProof/>
        </w:rPr>
        <w:t xml:space="preserve">, </w:t>
      </w:r>
      <w:r w:rsidRPr="00B55191">
        <w:rPr>
          <w:i/>
          <w:noProof/>
        </w:rPr>
        <w:t>14</w:t>
      </w:r>
      <w:r w:rsidRPr="00B55191">
        <w:rPr>
          <w:noProof/>
        </w:rPr>
        <w:t>, 397-426.</w:t>
      </w:r>
    </w:p>
    <w:p w14:paraId="756ADEAD" w14:textId="77777777" w:rsidR="00B55191" w:rsidRPr="00B55191" w:rsidRDefault="00B55191" w:rsidP="00B55191">
      <w:pPr>
        <w:pStyle w:val="EndNoteBibliography"/>
        <w:rPr>
          <w:noProof/>
        </w:rPr>
      </w:pPr>
      <w:r w:rsidRPr="00B55191">
        <w:rPr>
          <w:noProof/>
        </w:rPr>
        <w:t xml:space="preserve">(140) Wade, W. H.; Hackerman, N. Anodic Phenomena at an Iron Electrode. </w:t>
      </w:r>
      <w:r w:rsidRPr="00B55191">
        <w:rPr>
          <w:i/>
          <w:noProof/>
        </w:rPr>
        <w:t xml:space="preserve">Trans. Faraday Society </w:t>
      </w:r>
      <w:r w:rsidRPr="00B55191">
        <w:rPr>
          <w:b/>
          <w:noProof/>
        </w:rPr>
        <w:t>1957</w:t>
      </w:r>
      <w:r w:rsidRPr="00B55191">
        <w:rPr>
          <w:noProof/>
        </w:rPr>
        <w:t xml:space="preserve">, </w:t>
      </w:r>
      <w:r w:rsidRPr="00B55191">
        <w:rPr>
          <w:i/>
          <w:noProof/>
        </w:rPr>
        <w:t>53</w:t>
      </w:r>
      <w:r w:rsidRPr="00B55191">
        <w:rPr>
          <w:noProof/>
        </w:rPr>
        <w:t>, 1636-1647.</w:t>
      </w:r>
    </w:p>
    <w:p w14:paraId="11BAF403" w14:textId="77777777" w:rsidR="00B55191" w:rsidRPr="00B55191" w:rsidRDefault="00B55191" w:rsidP="00B55191">
      <w:pPr>
        <w:pStyle w:val="EndNoteBibliography"/>
        <w:rPr>
          <w:noProof/>
        </w:rPr>
      </w:pPr>
      <w:r w:rsidRPr="00B55191">
        <w:rPr>
          <w:noProof/>
        </w:rPr>
        <w:t xml:space="preserve">(141) Kobussen, A. G. C. Oxygen Evolution on La0.5ba0.5coo3: Impedance Measurements. </w:t>
      </w:r>
      <w:r w:rsidRPr="00B55191">
        <w:rPr>
          <w:i/>
          <w:noProof/>
        </w:rPr>
        <w:t xml:space="preserve">J. Electroanal. Chem. Interfacial Electrochem. </w:t>
      </w:r>
      <w:r w:rsidRPr="00B55191">
        <w:rPr>
          <w:b/>
          <w:noProof/>
        </w:rPr>
        <w:t>1981</w:t>
      </w:r>
      <w:r w:rsidRPr="00B55191">
        <w:rPr>
          <w:noProof/>
        </w:rPr>
        <w:t xml:space="preserve">, </w:t>
      </w:r>
      <w:r w:rsidRPr="00B55191">
        <w:rPr>
          <w:i/>
          <w:noProof/>
        </w:rPr>
        <w:t>126</w:t>
      </w:r>
      <w:r w:rsidRPr="00B55191">
        <w:rPr>
          <w:noProof/>
        </w:rPr>
        <w:t>, 199-220.</w:t>
      </w:r>
    </w:p>
    <w:p w14:paraId="60DCA9F3" w14:textId="77777777" w:rsidR="00B55191" w:rsidRPr="00B55191" w:rsidRDefault="00B55191" w:rsidP="00B55191">
      <w:pPr>
        <w:pStyle w:val="EndNoteBibliography"/>
        <w:rPr>
          <w:noProof/>
        </w:rPr>
      </w:pPr>
      <w:r w:rsidRPr="00B55191">
        <w:rPr>
          <w:noProof/>
        </w:rPr>
        <w:t xml:space="preserve">(142) Liang, Q.; Brocks, G.; Bieberle-Hütter, A. Oxygen Evolution Reaction (Oer) Mechanism under Alkaline and Acidic Conditions. </w:t>
      </w:r>
      <w:r w:rsidRPr="00B55191">
        <w:rPr>
          <w:i/>
          <w:noProof/>
        </w:rPr>
        <w:t xml:space="preserve">JPhys Energy </w:t>
      </w:r>
      <w:r w:rsidRPr="00B55191">
        <w:rPr>
          <w:b/>
          <w:noProof/>
        </w:rPr>
        <w:t>2021</w:t>
      </w:r>
      <w:r w:rsidRPr="00B55191">
        <w:rPr>
          <w:noProof/>
        </w:rPr>
        <w:t xml:space="preserve">, </w:t>
      </w:r>
      <w:r w:rsidRPr="00B55191">
        <w:rPr>
          <w:i/>
          <w:noProof/>
        </w:rPr>
        <w:t>3</w:t>
      </w:r>
      <w:r w:rsidRPr="00B55191">
        <w:rPr>
          <w:noProof/>
        </w:rPr>
        <w:t>, 026001.</w:t>
      </w:r>
    </w:p>
    <w:p w14:paraId="21D5A0A0" w14:textId="77777777" w:rsidR="00B55191" w:rsidRPr="00B55191" w:rsidRDefault="00B55191" w:rsidP="00B55191">
      <w:pPr>
        <w:pStyle w:val="EndNoteBibliography"/>
        <w:rPr>
          <w:noProof/>
        </w:rPr>
      </w:pPr>
      <w:r w:rsidRPr="00B55191">
        <w:rPr>
          <w:noProof/>
        </w:rPr>
        <w:t xml:space="preserve">(143) Ogasawara, H.; Brena, B.; Nordlund, D.; Nyberg, M.; Pelmenschikov, A.; Pettersson, L. G. M.; Nilsson, A. Structure and Bonding of Water on Pt(111). </w:t>
      </w:r>
      <w:r w:rsidRPr="00B55191">
        <w:rPr>
          <w:i/>
          <w:noProof/>
        </w:rPr>
        <w:t xml:space="preserve">Phys. Rev. Lett. </w:t>
      </w:r>
      <w:r w:rsidRPr="00B55191">
        <w:rPr>
          <w:b/>
          <w:noProof/>
        </w:rPr>
        <w:t>2002</w:t>
      </w:r>
      <w:r w:rsidRPr="00B55191">
        <w:rPr>
          <w:noProof/>
        </w:rPr>
        <w:t xml:space="preserve">, </w:t>
      </w:r>
      <w:r w:rsidRPr="00B55191">
        <w:rPr>
          <w:i/>
          <w:noProof/>
        </w:rPr>
        <w:t>89</w:t>
      </w:r>
      <w:r w:rsidRPr="00B55191">
        <w:rPr>
          <w:noProof/>
        </w:rPr>
        <w:t>, 276102.</w:t>
      </w:r>
    </w:p>
    <w:p w14:paraId="52F381AF" w14:textId="77777777" w:rsidR="00B55191" w:rsidRPr="00B55191" w:rsidRDefault="00B55191" w:rsidP="00B55191">
      <w:pPr>
        <w:pStyle w:val="EndNoteBibliography"/>
        <w:rPr>
          <w:noProof/>
        </w:rPr>
      </w:pPr>
      <w:r w:rsidRPr="00B55191">
        <w:rPr>
          <w:noProof/>
        </w:rPr>
        <w:t xml:space="preserve">(144) Sumaria, V.; Krishnamurthy, D.; Viswanathan, V. Quantifying Confidence in Dft Predicted Surface Pourbaix Diagrams and Associated Reaction Pathways for Chlorine Evolution. </w:t>
      </w:r>
      <w:r w:rsidRPr="00B55191">
        <w:rPr>
          <w:i/>
          <w:noProof/>
        </w:rPr>
        <w:t xml:space="preserve">ACS Catal. </w:t>
      </w:r>
      <w:r w:rsidRPr="00B55191">
        <w:rPr>
          <w:b/>
          <w:noProof/>
        </w:rPr>
        <w:t>2018</w:t>
      </w:r>
      <w:r w:rsidRPr="00B55191">
        <w:rPr>
          <w:noProof/>
        </w:rPr>
        <w:t xml:space="preserve">, </w:t>
      </w:r>
      <w:r w:rsidRPr="00B55191">
        <w:rPr>
          <w:i/>
          <w:noProof/>
        </w:rPr>
        <w:t>8</w:t>
      </w:r>
      <w:r w:rsidRPr="00B55191">
        <w:rPr>
          <w:noProof/>
        </w:rPr>
        <w:t>, 9034-9042.</w:t>
      </w:r>
    </w:p>
    <w:p w14:paraId="1B6ED585" w14:textId="77777777" w:rsidR="00B55191" w:rsidRPr="00B55191" w:rsidRDefault="00B55191" w:rsidP="00B55191">
      <w:pPr>
        <w:pStyle w:val="EndNoteBibliography"/>
        <w:rPr>
          <w:noProof/>
        </w:rPr>
      </w:pPr>
      <w:r w:rsidRPr="00B55191">
        <w:rPr>
          <w:noProof/>
        </w:rPr>
        <w:t xml:space="preserve">(145) Hansen, H. A.; Rossmeisl, J.; Nørskov, J. K. Surface Pourbaix Diagrams and Oxygen Reduction Activity of Pt, Ag and Ni(111) Surfaces Studied by Dft. </w:t>
      </w:r>
      <w:r w:rsidRPr="00B55191">
        <w:rPr>
          <w:i/>
          <w:noProof/>
        </w:rPr>
        <w:t xml:space="preserve">Phys. Chem. Chem. Phys. </w:t>
      </w:r>
      <w:r w:rsidRPr="00B55191">
        <w:rPr>
          <w:b/>
          <w:noProof/>
        </w:rPr>
        <w:t>2008</w:t>
      </w:r>
      <w:r w:rsidRPr="00B55191">
        <w:rPr>
          <w:noProof/>
        </w:rPr>
        <w:t xml:space="preserve">, </w:t>
      </w:r>
      <w:r w:rsidRPr="00B55191">
        <w:rPr>
          <w:i/>
          <w:noProof/>
        </w:rPr>
        <w:t>10</w:t>
      </w:r>
      <w:r w:rsidRPr="00B55191">
        <w:rPr>
          <w:noProof/>
        </w:rPr>
        <w:t>, 3722-3730.</w:t>
      </w:r>
    </w:p>
    <w:p w14:paraId="7BBEAB25" w14:textId="77777777" w:rsidR="00B55191" w:rsidRPr="00B55191" w:rsidRDefault="00B55191" w:rsidP="00B55191">
      <w:pPr>
        <w:pStyle w:val="EndNoteBibliography"/>
        <w:rPr>
          <w:noProof/>
        </w:rPr>
      </w:pPr>
      <w:r w:rsidRPr="00B55191">
        <w:rPr>
          <w:noProof/>
        </w:rPr>
        <w:t xml:space="preserve">(146) van Santen, R. A.; Neurock, M.; Shetty, S. G. Reactivity Theory of Transition-Metal Surfaces: A Brønsted−Evans−Polanyi Linear Activation Energy−Free-Energy Analysis. </w:t>
      </w:r>
      <w:r w:rsidRPr="00B55191">
        <w:rPr>
          <w:i/>
          <w:noProof/>
        </w:rPr>
        <w:t xml:space="preserve">Chem. Rev. </w:t>
      </w:r>
      <w:r w:rsidRPr="00B55191">
        <w:rPr>
          <w:b/>
          <w:noProof/>
        </w:rPr>
        <w:t>2010</w:t>
      </w:r>
      <w:r w:rsidRPr="00B55191">
        <w:rPr>
          <w:noProof/>
        </w:rPr>
        <w:t xml:space="preserve">, </w:t>
      </w:r>
      <w:r w:rsidRPr="00B55191">
        <w:rPr>
          <w:i/>
          <w:noProof/>
        </w:rPr>
        <w:t>110</w:t>
      </w:r>
      <w:r w:rsidRPr="00B55191">
        <w:rPr>
          <w:noProof/>
        </w:rPr>
        <w:t>, 2005-2048.</w:t>
      </w:r>
    </w:p>
    <w:p w14:paraId="31FEBE8E" w14:textId="77777777" w:rsidR="00B55191" w:rsidRPr="00B55191" w:rsidRDefault="00B55191" w:rsidP="00B55191">
      <w:pPr>
        <w:pStyle w:val="EndNoteBibliography"/>
        <w:rPr>
          <w:noProof/>
        </w:rPr>
      </w:pPr>
      <w:r w:rsidRPr="00B55191">
        <w:rPr>
          <w:noProof/>
        </w:rPr>
        <w:t xml:space="preserve">(147) Cheng, J.; Hu, P.; Ellis, P.; French, S.; Kelly, G.; Lok, C. M. Brønsted−Evans−Polanyi Relation of Multistep Reactions and Volcano Curve in Heterogeneous Catalysis. </w:t>
      </w:r>
      <w:r w:rsidRPr="00B55191">
        <w:rPr>
          <w:i/>
          <w:noProof/>
        </w:rPr>
        <w:t xml:space="preserve">J. Phys. Chem. B </w:t>
      </w:r>
      <w:r w:rsidRPr="00B55191">
        <w:rPr>
          <w:b/>
          <w:noProof/>
        </w:rPr>
        <w:t>2008</w:t>
      </w:r>
      <w:r w:rsidRPr="00B55191">
        <w:rPr>
          <w:noProof/>
        </w:rPr>
        <w:t xml:space="preserve">, </w:t>
      </w:r>
      <w:r w:rsidRPr="00B55191">
        <w:rPr>
          <w:i/>
          <w:noProof/>
        </w:rPr>
        <w:t>112</w:t>
      </w:r>
      <w:r w:rsidRPr="00B55191">
        <w:rPr>
          <w:noProof/>
        </w:rPr>
        <w:t>, 1308-1311.</w:t>
      </w:r>
    </w:p>
    <w:p w14:paraId="5A91CD11" w14:textId="77777777" w:rsidR="00B55191" w:rsidRPr="00B55191" w:rsidRDefault="00B55191" w:rsidP="00B55191">
      <w:pPr>
        <w:pStyle w:val="EndNoteBibliography"/>
        <w:rPr>
          <w:noProof/>
        </w:rPr>
      </w:pPr>
      <w:r w:rsidRPr="00B55191">
        <w:rPr>
          <w:noProof/>
        </w:rPr>
        <w:t xml:space="preserve">(148) Bligaard, T.; Nørskov, J. K.; Dahl, S.; Matthiesen, J.; Christensen, C. H.; Sehested, J. The Brønsted–Evans–Polanyi Relation and the Volcano Curve in Heterogeneous Catalysis. </w:t>
      </w:r>
      <w:r w:rsidRPr="00B55191">
        <w:rPr>
          <w:i/>
          <w:noProof/>
        </w:rPr>
        <w:t xml:space="preserve">J. Catal. </w:t>
      </w:r>
      <w:r w:rsidRPr="00B55191">
        <w:rPr>
          <w:b/>
          <w:noProof/>
        </w:rPr>
        <w:t>2004</w:t>
      </w:r>
      <w:r w:rsidRPr="00B55191">
        <w:rPr>
          <w:noProof/>
        </w:rPr>
        <w:t xml:space="preserve">, </w:t>
      </w:r>
      <w:r w:rsidRPr="00B55191">
        <w:rPr>
          <w:i/>
          <w:noProof/>
        </w:rPr>
        <w:t>224</w:t>
      </w:r>
      <w:r w:rsidRPr="00B55191">
        <w:rPr>
          <w:noProof/>
        </w:rPr>
        <w:t>, 206-217.</w:t>
      </w:r>
    </w:p>
    <w:p w14:paraId="48399B04" w14:textId="77777777" w:rsidR="00B55191" w:rsidRPr="00B55191" w:rsidRDefault="00B55191" w:rsidP="00B55191">
      <w:pPr>
        <w:pStyle w:val="EndNoteBibliography"/>
        <w:rPr>
          <w:noProof/>
        </w:rPr>
      </w:pPr>
      <w:r w:rsidRPr="00B55191">
        <w:rPr>
          <w:noProof/>
        </w:rPr>
        <w:t xml:space="preserve">(149) Hammer, B.; Nørskov, J. K. Theoretical Surface Science and Catalysis—Calculations and Concepts. In </w:t>
      </w:r>
      <w:r w:rsidRPr="00B55191">
        <w:rPr>
          <w:i/>
          <w:noProof/>
        </w:rPr>
        <w:t>Adv. Catal.</w:t>
      </w:r>
      <w:r w:rsidRPr="00B55191">
        <w:rPr>
          <w:noProof/>
        </w:rPr>
        <w:t>,  Vol. 45; Academic Press, 2000; pp 71-129.</w:t>
      </w:r>
    </w:p>
    <w:p w14:paraId="5253C599" w14:textId="77777777" w:rsidR="00B55191" w:rsidRPr="00B55191" w:rsidRDefault="00B55191" w:rsidP="00B55191">
      <w:pPr>
        <w:pStyle w:val="EndNoteBibliography"/>
        <w:rPr>
          <w:noProof/>
        </w:rPr>
      </w:pPr>
      <w:r w:rsidRPr="00B55191">
        <w:rPr>
          <w:noProof/>
        </w:rPr>
        <w:t xml:space="preserve">(150) Michaelides, A.; Liu, Z. P.; Zhang, C. J.; Alavi, A.; King, D. A.; Hu, P. Identification of General Linear Relationships between Activation Energies and Enthalpy Changes for Dissociation Reactions at Surfaces. </w:t>
      </w:r>
      <w:r w:rsidRPr="00B55191">
        <w:rPr>
          <w:i/>
          <w:noProof/>
        </w:rPr>
        <w:t xml:space="preserve">J. Am. Chem. Soc. </w:t>
      </w:r>
      <w:r w:rsidRPr="00B55191">
        <w:rPr>
          <w:b/>
          <w:noProof/>
        </w:rPr>
        <w:t>2003</w:t>
      </w:r>
      <w:r w:rsidRPr="00B55191">
        <w:rPr>
          <w:noProof/>
        </w:rPr>
        <w:t xml:space="preserve">, </w:t>
      </w:r>
      <w:r w:rsidRPr="00B55191">
        <w:rPr>
          <w:i/>
          <w:noProof/>
        </w:rPr>
        <w:t>125</w:t>
      </w:r>
      <w:r w:rsidRPr="00B55191">
        <w:rPr>
          <w:noProof/>
        </w:rPr>
        <w:t>, 3704-3705.</w:t>
      </w:r>
    </w:p>
    <w:p w14:paraId="0680A8ED" w14:textId="77777777" w:rsidR="00B55191" w:rsidRPr="00B55191" w:rsidRDefault="00B55191" w:rsidP="00B55191">
      <w:pPr>
        <w:pStyle w:val="EndNoteBibliography"/>
        <w:rPr>
          <w:noProof/>
        </w:rPr>
      </w:pPr>
      <w:r w:rsidRPr="00B55191">
        <w:rPr>
          <w:noProof/>
        </w:rPr>
        <w:t xml:space="preserve">(151) Wang, S.; Temel, B.; Shen, J.; Jones, G.; Grabow, L. C.; Studt, F.; Bligaard, T.; Abild-Pedersen, F.; Christensen, C. H.; Nørskov, J. K. Universal Brønsted-Evans-Polanyi Relations for C–C, C–O, C–N, N–O, N–N, and O–O Dissociation Reactions. </w:t>
      </w:r>
      <w:r w:rsidRPr="00B55191">
        <w:rPr>
          <w:i/>
          <w:noProof/>
        </w:rPr>
        <w:t xml:space="preserve">Catal. Lett. </w:t>
      </w:r>
      <w:r w:rsidRPr="00B55191">
        <w:rPr>
          <w:b/>
          <w:noProof/>
        </w:rPr>
        <w:t>2011</w:t>
      </w:r>
      <w:r w:rsidRPr="00B55191">
        <w:rPr>
          <w:noProof/>
        </w:rPr>
        <w:t xml:space="preserve">, </w:t>
      </w:r>
      <w:r w:rsidRPr="00B55191">
        <w:rPr>
          <w:i/>
          <w:noProof/>
        </w:rPr>
        <w:t>141</w:t>
      </w:r>
      <w:r w:rsidRPr="00B55191">
        <w:rPr>
          <w:noProof/>
        </w:rPr>
        <w:t>, 370-373.</w:t>
      </w:r>
    </w:p>
    <w:p w14:paraId="316D50EE" w14:textId="77777777" w:rsidR="00B55191" w:rsidRPr="00B55191" w:rsidRDefault="00B55191" w:rsidP="00B55191">
      <w:pPr>
        <w:pStyle w:val="EndNoteBibliography"/>
        <w:rPr>
          <w:noProof/>
        </w:rPr>
      </w:pPr>
      <w:r w:rsidRPr="00B55191">
        <w:rPr>
          <w:noProof/>
        </w:rPr>
        <w:t xml:space="preserve">(152) Wang, S.; Petzold, V.; Tripkovic, V.; Kleis, J.; Howalt, J. G.; Skúlason, E.; Fernández, E. M.; Hvolbæk, B.; Jones, G.; Toftelund, A.; et al. Universal Transition State Scaling Relations for (De)Hydrogenation over Transition Metals. </w:t>
      </w:r>
      <w:r w:rsidRPr="00B55191">
        <w:rPr>
          <w:i/>
          <w:noProof/>
        </w:rPr>
        <w:t xml:space="preserve">Phys. Chem. Chem. Phys. </w:t>
      </w:r>
      <w:r w:rsidRPr="00B55191">
        <w:rPr>
          <w:b/>
          <w:noProof/>
        </w:rPr>
        <w:t>2011</w:t>
      </w:r>
      <w:r w:rsidRPr="00B55191">
        <w:rPr>
          <w:noProof/>
        </w:rPr>
        <w:t xml:space="preserve">, </w:t>
      </w:r>
      <w:r w:rsidRPr="00B55191">
        <w:rPr>
          <w:i/>
          <w:noProof/>
        </w:rPr>
        <w:t>13</w:t>
      </w:r>
      <w:r w:rsidRPr="00B55191">
        <w:rPr>
          <w:noProof/>
        </w:rPr>
        <w:t>, 20760-20765.</w:t>
      </w:r>
    </w:p>
    <w:p w14:paraId="263B1E7D" w14:textId="77777777" w:rsidR="00B55191" w:rsidRPr="00B55191" w:rsidRDefault="00B55191" w:rsidP="00B55191">
      <w:pPr>
        <w:pStyle w:val="EndNoteBibliography"/>
        <w:rPr>
          <w:noProof/>
        </w:rPr>
      </w:pPr>
      <w:r w:rsidRPr="00B55191">
        <w:rPr>
          <w:noProof/>
        </w:rPr>
        <w:lastRenderedPageBreak/>
        <w:t xml:space="preserve">(153) Logadottir, A.; Rod, T. H.; Nørskov, J. K.; Hammer, B.; Dahl, S.; Jacobsen, C. J. H. The Brønsted–Evans–Polanyi Relation and the Volcano Plot for Ammonia Synthesis over Transition Metal Catalysts. </w:t>
      </w:r>
      <w:r w:rsidRPr="00B55191">
        <w:rPr>
          <w:i/>
          <w:noProof/>
        </w:rPr>
        <w:t xml:space="preserve">J. Catal. </w:t>
      </w:r>
      <w:r w:rsidRPr="00B55191">
        <w:rPr>
          <w:b/>
          <w:noProof/>
        </w:rPr>
        <w:t>2001</w:t>
      </w:r>
      <w:r w:rsidRPr="00B55191">
        <w:rPr>
          <w:noProof/>
        </w:rPr>
        <w:t xml:space="preserve">, </w:t>
      </w:r>
      <w:r w:rsidRPr="00B55191">
        <w:rPr>
          <w:i/>
          <w:noProof/>
        </w:rPr>
        <w:t>197</w:t>
      </w:r>
      <w:r w:rsidRPr="00B55191">
        <w:rPr>
          <w:noProof/>
        </w:rPr>
        <w:t>, 229-231.</w:t>
      </w:r>
    </w:p>
    <w:p w14:paraId="1943DDD9" w14:textId="77777777" w:rsidR="00B55191" w:rsidRPr="00B55191" w:rsidRDefault="00B55191" w:rsidP="00B55191">
      <w:pPr>
        <w:pStyle w:val="EndNoteBibliography"/>
        <w:rPr>
          <w:noProof/>
        </w:rPr>
      </w:pPr>
      <w:r w:rsidRPr="00B55191">
        <w:rPr>
          <w:noProof/>
        </w:rPr>
        <w:t xml:space="preserve">(154) Akhade, S. A.; Nidzyn, R. M.; Rostamikia, G.; Janik, M. J. Using Brønsted-Evans-Polanyi Relations to Predict Electrode Potential-Dependent Activation Energies. </w:t>
      </w:r>
      <w:r w:rsidRPr="00B55191">
        <w:rPr>
          <w:i/>
          <w:noProof/>
        </w:rPr>
        <w:t xml:space="preserve">Catal. Today </w:t>
      </w:r>
      <w:r w:rsidRPr="00B55191">
        <w:rPr>
          <w:b/>
          <w:noProof/>
        </w:rPr>
        <w:t>2018</w:t>
      </w:r>
      <w:r w:rsidRPr="00B55191">
        <w:rPr>
          <w:noProof/>
        </w:rPr>
        <w:t xml:space="preserve">, </w:t>
      </w:r>
      <w:r w:rsidRPr="00B55191">
        <w:rPr>
          <w:i/>
          <w:noProof/>
        </w:rPr>
        <w:t>312</w:t>
      </w:r>
      <w:r w:rsidRPr="00B55191">
        <w:rPr>
          <w:noProof/>
        </w:rPr>
        <w:t>, 82-91.</w:t>
      </w:r>
    </w:p>
    <w:p w14:paraId="062A6FA6" w14:textId="77777777" w:rsidR="00B55191" w:rsidRPr="00B55191" w:rsidRDefault="00B55191" w:rsidP="00B55191">
      <w:pPr>
        <w:pStyle w:val="EndNoteBibliography"/>
        <w:rPr>
          <w:noProof/>
        </w:rPr>
      </w:pPr>
      <w:r w:rsidRPr="00B55191">
        <w:rPr>
          <w:noProof/>
        </w:rPr>
        <w:t xml:space="preserve">(155) Panov, G. I.; Parfenov, M. V.; Parmon, V. N. The Brønsted−Evans−Polanyi Correlations in Oxidation Catalysis. </w:t>
      </w:r>
      <w:r w:rsidRPr="00B55191">
        <w:rPr>
          <w:i/>
          <w:noProof/>
        </w:rPr>
        <w:t xml:space="preserve">Catal. Rev. </w:t>
      </w:r>
      <w:r w:rsidRPr="00B55191">
        <w:rPr>
          <w:b/>
          <w:noProof/>
        </w:rPr>
        <w:t>2015</w:t>
      </w:r>
      <w:r w:rsidRPr="00B55191">
        <w:rPr>
          <w:noProof/>
        </w:rPr>
        <w:t xml:space="preserve">, </w:t>
      </w:r>
      <w:r w:rsidRPr="00B55191">
        <w:rPr>
          <w:i/>
          <w:noProof/>
        </w:rPr>
        <w:t>57</w:t>
      </w:r>
      <w:r w:rsidRPr="00B55191">
        <w:rPr>
          <w:noProof/>
        </w:rPr>
        <w:t>, 436-477.</w:t>
      </w:r>
    </w:p>
    <w:p w14:paraId="64F3FF2F" w14:textId="77777777" w:rsidR="00B55191" w:rsidRPr="00B55191" w:rsidRDefault="00B55191" w:rsidP="00B55191">
      <w:pPr>
        <w:pStyle w:val="EndNoteBibliography"/>
        <w:rPr>
          <w:noProof/>
        </w:rPr>
      </w:pPr>
      <w:r w:rsidRPr="00B55191">
        <w:rPr>
          <w:noProof/>
        </w:rPr>
        <w:t xml:space="preserve">(156) Plessow, P. N.; Abild-Pedersen, F. Examining the Linearity of Transition State Scaling Relations. </w:t>
      </w:r>
      <w:r w:rsidRPr="00B55191">
        <w:rPr>
          <w:i/>
          <w:noProof/>
        </w:rPr>
        <w:t xml:space="preserve">J. Phys. Chem. C </w:t>
      </w:r>
      <w:r w:rsidRPr="00B55191">
        <w:rPr>
          <w:b/>
          <w:noProof/>
        </w:rPr>
        <w:t>2015</w:t>
      </w:r>
      <w:r w:rsidRPr="00B55191">
        <w:rPr>
          <w:noProof/>
        </w:rPr>
        <w:t xml:space="preserve">, </w:t>
      </w:r>
      <w:r w:rsidRPr="00B55191">
        <w:rPr>
          <w:i/>
          <w:noProof/>
        </w:rPr>
        <w:t>119</w:t>
      </w:r>
      <w:r w:rsidRPr="00B55191">
        <w:rPr>
          <w:noProof/>
        </w:rPr>
        <w:t>, 10448-10453.</w:t>
      </w:r>
    </w:p>
    <w:p w14:paraId="14F5A50C" w14:textId="77777777" w:rsidR="00B55191" w:rsidRPr="00B55191" w:rsidRDefault="00B55191" w:rsidP="00B55191">
      <w:pPr>
        <w:pStyle w:val="EndNoteBibliography"/>
        <w:rPr>
          <w:noProof/>
        </w:rPr>
      </w:pPr>
      <w:r w:rsidRPr="00B55191">
        <w:rPr>
          <w:noProof/>
        </w:rPr>
        <w:t xml:space="preserve">(157) Kwon, N. H.; Kim, M.; Jin, X.; Lim, J.; Kim, I. Y.; Lee, N.-S.; Kim, H.; Hwang, S.-J. A Rational Method to Kinetically Control the Rate-Determining Step to Explore Efficient Electrocatalysts for the Oxygen Evolution Reaction. </w:t>
      </w:r>
      <w:r w:rsidRPr="00B55191">
        <w:rPr>
          <w:i/>
          <w:noProof/>
        </w:rPr>
        <w:t xml:space="preserve">NPG Asia Mater. </w:t>
      </w:r>
      <w:r w:rsidRPr="00B55191">
        <w:rPr>
          <w:b/>
          <w:noProof/>
        </w:rPr>
        <w:t>2018</w:t>
      </w:r>
      <w:r w:rsidRPr="00B55191">
        <w:rPr>
          <w:noProof/>
        </w:rPr>
        <w:t xml:space="preserve">, </w:t>
      </w:r>
      <w:r w:rsidRPr="00B55191">
        <w:rPr>
          <w:i/>
          <w:noProof/>
        </w:rPr>
        <w:t>10</w:t>
      </w:r>
      <w:r w:rsidRPr="00B55191">
        <w:rPr>
          <w:noProof/>
        </w:rPr>
        <w:t>, 659-669.</w:t>
      </w:r>
    </w:p>
    <w:p w14:paraId="2FEF0A7A" w14:textId="77777777" w:rsidR="00B55191" w:rsidRPr="00B55191" w:rsidRDefault="00B55191" w:rsidP="00B55191">
      <w:pPr>
        <w:pStyle w:val="EndNoteBibliography"/>
        <w:rPr>
          <w:noProof/>
        </w:rPr>
      </w:pPr>
      <w:r w:rsidRPr="00B55191">
        <w:rPr>
          <w:noProof/>
        </w:rPr>
        <w:t xml:space="preserve">(158) Feng, X.; Jiao, Q.; Dai, Z.; Dang, Y.; Suib, S. L.; Zhang, J.; Zhao, Y.; Li, H.; Feng, C.; Li, A. Revealing the Effect of Interfacial Electron Transfer in Heterostructured Co9s8@Nife Ldh for Enhanced Electrocatalytic Oxygen Evolution. </w:t>
      </w:r>
      <w:r w:rsidRPr="00B55191">
        <w:rPr>
          <w:i/>
          <w:noProof/>
        </w:rPr>
        <w:t xml:space="preserve">J. Mater. Chem. A </w:t>
      </w:r>
      <w:r w:rsidRPr="00B55191">
        <w:rPr>
          <w:b/>
          <w:noProof/>
        </w:rPr>
        <w:t>2021</w:t>
      </w:r>
      <w:r w:rsidRPr="00B55191">
        <w:rPr>
          <w:noProof/>
        </w:rPr>
        <w:t xml:space="preserve">, </w:t>
      </w:r>
      <w:r w:rsidRPr="00B55191">
        <w:rPr>
          <w:i/>
          <w:noProof/>
        </w:rPr>
        <w:t>9</w:t>
      </w:r>
      <w:r w:rsidRPr="00B55191">
        <w:rPr>
          <w:noProof/>
        </w:rPr>
        <w:t>, 12244-12254.</w:t>
      </w:r>
    </w:p>
    <w:p w14:paraId="39F32611" w14:textId="77777777" w:rsidR="00B55191" w:rsidRPr="00B55191" w:rsidRDefault="00B55191" w:rsidP="00B55191">
      <w:pPr>
        <w:pStyle w:val="EndNoteBibliography"/>
        <w:rPr>
          <w:noProof/>
        </w:rPr>
      </w:pPr>
      <w:r w:rsidRPr="00B55191">
        <w:rPr>
          <w:noProof/>
        </w:rPr>
        <w:t xml:space="preserve">(159) Ouyang, T.; Ye, Y.-Q.; Wu, C.-Y.; Xiao, K.; Liu, Z.-Q. Heterostructures Composed of N-Doped Carbon Nanotubes Encapsulating Cobalt and Β-Mo2c Nanoparticles as Bifunctional Electrodes for Water Splitting. </w:t>
      </w:r>
      <w:r w:rsidRPr="00B55191">
        <w:rPr>
          <w:i/>
          <w:noProof/>
        </w:rPr>
        <w:t xml:space="preserve">Angew. Chem. Int. Ed. </w:t>
      </w:r>
      <w:r w:rsidRPr="00B55191">
        <w:rPr>
          <w:b/>
          <w:noProof/>
        </w:rPr>
        <w:t>2019</w:t>
      </w:r>
      <w:r w:rsidRPr="00B55191">
        <w:rPr>
          <w:noProof/>
        </w:rPr>
        <w:t xml:space="preserve">, </w:t>
      </w:r>
      <w:r w:rsidRPr="00B55191">
        <w:rPr>
          <w:i/>
          <w:noProof/>
        </w:rPr>
        <w:t>58</w:t>
      </w:r>
      <w:r w:rsidRPr="00B55191">
        <w:rPr>
          <w:noProof/>
        </w:rPr>
        <w:t>, 4923-4928.</w:t>
      </w:r>
    </w:p>
    <w:p w14:paraId="33AEF852" w14:textId="77777777" w:rsidR="00B55191" w:rsidRPr="00B55191" w:rsidRDefault="00B55191" w:rsidP="00B55191">
      <w:pPr>
        <w:pStyle w:val="EndNoteBibliography"/>
        <w:rPr>
          <w:noProof/>
        </w:rPr>
      </w:pPr>
      <w:r w:rsidRPr="00B55191">
        <w:rPr>
          <w:noProof/>
        </w:rPr>
        <w:t xml:space="preserve">(160) Zhang, P.; Wang, Z.; Hou, X.; Lu, J.; Xu, X.; Stampfl, C.; Hu, C. Mechanistic Studies of Oxygen Reduction and Evolution Reactions on Ni3s2 Surfaces. </w:t>
      </w:r>
      <w:r w:rsidRPr="00B55191">
        <w:rPr>
          <w:i/>
          <w:noProof/>
        </w:rPr>
        <w:t xml:space="preserve">Appl. Catal., A </w:t>
      </w:r>
      <w:r w:rsidRPr="00B55191">
        <w:rPr>
          <w:b/>
          <w:noProof/>
        </w:rPr>
        <w:t>2021</w:t>
      </w:r>
      <w:r w:rsidRPr="00B55191">
        <w:rPr>
          <w:noProof/>
        </w:rPr>
        <w:t xml:space="preserve">, </w:t>
      </w:r>
      <w:r w:rsidRPr="00B55191">
        <w:rPr>
          <w:i/>
          <w:noProof/>
        </w:rPr>
        <w:t>624</w:t>
      </w:r>
      <w:r w:rsidRPr="00B55191">
        <w:rPr>
          <w:noProof/>
        </w:rPr>
        <w:t>, 118324.</w:t>
      </w:r>
    </w:p>
    <w:p w14:paraId="0FF5EC29" w14:textId="77777777" w:rsidR="00B55191" w:rsidRPr="00B55191" w:rsidRDefault="00B55191" w:rsidP="00B55191">
      <w:pPr>
        <w:pStyle w:val="EndNoteBibliography"/>
        <w:rPr>
          <w:noProof/>
        </w:rPr>
      </w:pPr>
      <w:r w:rsidRPr="00B55191">
        <w:rPr>
          <w:noProof/>
        </w:rPr>
        <w:t xml:space="preserve">(161) Lee, J.; Kumar, A.; Yang, T.; Liu, X.; Jadhav, A. R.; Park, G. H.; Hwang, Y.; Yu, J.; Nguyen, C. T. K.; Liu, Y.; et al. Stabilizing the Ooh* Intermediate Via Pre-Adsorbed Surface Oxygen of a Single Ru Atom-Bimetallic Alloy for Ultralow Overpotential Oxygen Generation. </w:t>
      </w:r>
      <w:r w:rsidRPr="00B55191">
        <w:rPr>
          <w:i/>
          <w:noProof/>
        </w:rPr>
        <w:t xml:space="preserve">Energy Environ. Sci. </w:t>
      </w:r>
      <w:r w:rsidRPr="00B55191">
        <w:rPr>
          <w:b/>
          <w:noProof/>
        </w:rPr>
        <w:t>2020</w:t>
      </w:r>
      <w:r w:rsidRPr="00B55191">
        <w:rPr>
          <w:noProof/>
        </w:rPr>
        <w:t xml:space="preserve">, </w:t>
      </w:r>
      <w:r w:rsidRPr="00B55191">
        <w:rPr>
          <w:i/>
          <w:noProof/>
        </w:rPr>
        <w:t>13</w:t>
      </w:r>
      <w:r w:rsidRPr="00B55191">
        <w:rPr>
          <w:noProof/>
        </w:rPr>
        <w:t>, 5152-5164.</w:t>
      </w:r>
    </w:p>
    <w:p w14:paraId="3AE4B7B2" w14:textId="77777777" w:rsidR="00B55191" w:rsidRPr="00B55191" w:rsidRDefault="00B55191" w:rsidP="00B55191">
      <w:pPr>
        <w:pStyle w:val="EndNoteBibliography"/>
        <w:rPr>
          <w:noProof/>
        </w:rPr>
      </w:pPr>
      <w:r w:rsidRPr="00B55191">
        <w:rPr>
          <w:noProof/>
        </w:rPr>
        <w:t xml:space="preserve">(162) Shi, Z.; Yu, Z.; Guo, J.; Jiang, R.; Hou, Y.; Chen, Y.; Chen, H.; Wang, M.; Pang, H.; Tang, W. Lattice Distortion of Crystalline-Amorphous Nickel Molybdenum Sulfide Nanosheets for High-Efficiency Overall Water Splitting: Libraries of Lone Pairs of Electrons and in Situ Surface Reconstitution. </w:t>
      </w:r>
      <w:r w:rsidRPr="00B55191">
        <w:rPr>
          <w:i/>
          <w:noProof/>
        </w:rPr>
        <w:t xml:space="preserve">Nanoscale </w:t>
      </w:r>
      <w:r w:rsidRPr="00B55191">
        <w:rPr>
          <w:b/>
          <w:noProof/>
        </w:rPr>
        <w:t>2022</w:t>
      </w:r>
      <w:r w:rsidRPr="00B55191">
        <w:rPr>
          <w:noProof/>
        </w:rPr>
        <w:t xml:space="preserve">, </w:t>
      </w:r>
      <w:r w:rsidRPr="00B55191">
        <w:rPr>
          <w:i/>
          <w:noProof/>
        </w:rPr>
        <w:t>14</w:t>
      </w:r>
      <w:r w:rsidRPr="00B55191">
        <w:rPr>
          <w:noProof/>
        </w:rPr>
        <w:t>, 1370-1379.</w:t>
      </w:r>
    </w:p>
    <w:p w14:paraId="4C579B18" w14:textId="77777777" w:rsidR="00B55191" w:rsidRPr="00B55191" w:rsidRDefault="00B55191" w:rsidP="00B55191">
      <w:pPr>
        <w:pStyle w:val="EndNoteBibliography"/>
        <w:rPr>
          <w:noProof/>
        </w:rPr>
      </w:pPr>
      <w:r w:rsidRPr="00B55191">
        <w:rPr>
          <w:noProof/>
        </w:rPr>
        <w:t xml:space="preserve">(163) Li, Y.; Hu, R.; Wan, X.; Shang, J.-X.; Wang, F.-H.; Shui, J. Density Functional Theory Calculation of Zn and N Codoped Graphene for Oxygen Reduction and Evolution Reactions. </w:t>
      </w:r>
      <w:r w:rsidRPr="00B55191">
        <w:rPr>
          <w:i/>
          <w:noProof/>
        </w:rPr>
        <w:t xml:space="preserve">Adv. Theory Simul. </w:t>
      </w:r>
      <w:r w:rsidRPr="00B55191">
        <w:rPr>
          <w:b/>
          <w:noProof/>
        </w:rPr>
        <w:t>2020</w:t>
      </w:r>
      <w:r w:rsidRPr="00B55191">
        <w:rPr>
          <w:noProof/>
        </w:rPr>
        <w:t xml:space="preserve">, </w:t>
      </w:r>
      <w:r w:rsidRPr="00B55191">
        <w:rPr>
          <w:i/>
          <w:noProof/>
        </w:rPr>
        <w:t>3</w:t>
      </w:r>
      <w:r w:rsidRPr="00B55191">
        <w:rPr>
          <w:noProof/>
        </w:rPr>
        <w:t>, 2000054.</w:t>
      </w:r>
    </w:p>
    <w:p w14:paraId="02C25CAE" w14:textId="77777777" w:rsidR="00B55191" w:rsidRPr="00B55191" w:rsidRDefault="00B55191" w:rsidP="00B55191">
      <w:pPr>
        <w:pStyle w:val="EndNoteBibliography"/>
        <w:rPr>
          <w:noProof/>
        </w:rPr>
      </w:pPr>
      <w:r w:rsidRPr="00B55191">
        <w:rPr>
          <w:noProof/>
        </w:rPr>
        <w:t xml:space="preserve">(164) Jung, S. Y.; Kim, K. M.; Mhin, S.; Kim, Y.-K.; Ryu, J. H.; Enkhtuvshin, E.; Kim, S. J.; Thao, N. T. T.; Choi, S.; Song, T.; Han, H. Computational Atomic-Scale Design and Experimental Verification for Layered Double Hydroxide as an Efficient Alkaline Oxygen Evolution Reaction Catalyst. </w:t>
      </w:r>
      <w:r w:rsidRPr="00B55191">
        <w:rPr>
          <w:i/>
          <w:noProof/>
        </w:rPr>
        <w:t xml:space="preserve">Int. J. Energy Res. </w:t>
      </w:r>
      <w:r w:rsidRPr="00B55191">
        <w:rPr>
          <w:b/>
          <w:noProof/>
        </w:rPr>
        <w:t>2022</w:t>
      </w:r>
      <w:r w:rsidRPr="00B55191">
        <w:rPr>
          <w:noProof/>
        </w:rPr>
        <w:t xml:space="preserve">, </w:t>
      </w:r>
      <w:r w:rsidRPr="00B55191">
        <w:rPr>
          <w:i/>
          <w:noProof/>
        </w:rPr>
        <w:t>46</w:t>
      </w:r>
      <w:r w:rsidRPr="00B55191">
        <w:rPr>
          <w:noProof/>
        </w:rPr>
        <w:t>, 11972-11988.</w:t>
      </w:r>
    </w:p>
    <w:p w14:paraId="2CAE24AE" w14:textId="77777777" w:rsidR="00B55191" w:rsidRPr="00B55191" w:rsidRDefault="00B55191" w:rsidP="00B55191">
      <w:pPr>
        <w:pStyle w:val="EndNoteBibliography"/>
        <w:rPr>
          <w:noProof/>
        </w:rPr>
      </w:pPr>
      <w:r w:rsidRPr="00B55191">
        <w:rPr>
          <w:noProof/>
        </w:rPr>
        <w:t xml:space="preserve">(165) Yang, Y.; Yang, Q.-N.; Yang, Y.-B.; Guo, P.-F.; Feng, W.-X.; Jia, Y.; Wang, K.; Wang, W.-T.; He, Z.-H.; Liu, Z.-T. Enhancing Water Oxidation of Ru Single Atoms Via Oxygen-Coordination Bonding with Nife Layered Double Hydroxide. </w:t>
      </w:r>
      <w:r w:rsidRPr="00B55191">
        <w:rPr>
          <w:i/>
          <w:noProof/>
        </w:rPr>
        <w:t xml:space="preserve">ACS Catal. </w:t>
      </w:r>
      <w:r w:rsidRPr="00B55191">
        <w:rPr>
          <w:b/>
          <w:noProof/>
        </w:rPr>
        <w:t>2023</w:t>
      </w:r>
      <w:r w:rsidRPr="00B55191">
        <w:rPr>
          <w:noProof/>
        </w:rPr>
        <w:t xml:space="preserve">, </w:t>
      </w:r>
      <w:r w:rsidRPr="00B55191">
        <w:rPr>
          <w:i/>
          <w:noProof/>
        </w:rPr>
        <w:t>13</w:t>
      </w:r>
      <w:r w:rsidRPr="00B55191">
        <w:rPr>
          <w:noProof/>
        </w:rPr>
        <w:t>, 2771-2779.</w:t>
      </w:r>
    </w:p>
    <w:p w14:paraId="1D8DDE51" w14:textId="77777777" w:rsidR="00B55191" w:rsidRPr="00B55191" w:rsidRDefault="00B55191" w:rsidP="00B55191">
      <w:pPr>
        <w:pStyle w:val="EndNoteBibliography"/>
        <w:rPr>
          <w:noProof/>
        </w:rPr>
      </w:pPr>
      <w:r w:rsidRPr="00B55191">
        <w:rPr>
          <w:noProof/>
        </w:rPr>
        <w:t xml:space="preserve">(166) Gu, J.; Magagula, S.; Zhao, J.; Chen, Z. Boosting Orr/Oer Activity of Graphdiyne by Simple Heteroatom Doping. </w:t>
      </w:r>
      <w:r w:rsidRPr="00B55191">
        <w:rPr>
          <w:i/>
          <w:noProof/>
        </w:rPr>
        <w:t xml:space="preserve">Small Methods </w:t>
      </w:r>
      <w:r w:rsidRPr="00B55191">
        <w:rPr>
          <w:b/>
          <w:noProof/>
        </w:rPr>
        <w:t>2019</w:t>
      </w:r>
      <w:r w:rsidRPr="00B55191">
        <w:rPr>
          <w:noProof/>
        </w:rPr>
        <w:t xml:space="preserve">, </w:t>
      </w:r>
      <w:r w:rsidRPr="00B55191">
        <w:rPr>
          <w:i/>
          <w:noProof/>
        </w:rPr>
        <w:t>3</w:t>
      </w:r>
      <w:r w:rsidRPr="00B55191">
        <w:rPr>
          <w:noProof/>
        </w:rPr>
        <w:t>, 1800550.</w:t>
      </w:r>
    </w:p>
    <w:p w14:paraId="0B5E4E63" w14:textId="77777777" w:rsidR="00B55191" w:rsidRPr="00B55191" w:rsidRDefault="00B55191" w:rsidP="00B55191">
      <w:pPr>
        <w:pStyle w:val="EndNoteBibliography"/>
        <w:rPr>
          <w:noProof/>
        </w:rPr>
      </w:pPr>
      <w:r w:rsidRPr="00B55191">
        <w:rPr>
          <w:noProof/>
        </w:rPr>
        <w:t xml:space="preserve">(167) Wang, Y.; Tao, S.; Lin, H.; Wang, G.; Zhao, K.; Cai, R.; Tao, K.; Zhang, C.; Sun, M.; Hu, J.; et al. Atomically Targeting Nife Ldh to Create Multivacancies for Oer Catalysis with a Small Organic Anchor. </w:t>
      </w:r>
      <w:r w:rsidRPr="00B55191">
        <w:rPr>
          <w:i/>
          <w:noProof/>
        </w:rPr>
        <w:t xml:space="preserve">Nano Energy </w:t>
      </w:r>
      <w:r w:rsidRPr="00B55191">
        <w:rPr>
          <w:b/>
          <w:noProof/>
        </w:rPr>
        <w:t>2021</w:t>
      </w:r>
      <w:r w:rsidRPr="00B55191">
        <w:rPr>
          <w:noProof/>
        </w:rPr>
        <w:t xml:space="preserve">, </w:t>
      </w:r>
      <w:r w:rsidRPr="00B55191">
        <w:rPr>
          <w:i/>
          <w:noProof/>
        </w:rPr>
        <w:t>81</w:t>
      </w:r>
      <w:r w:rsidRPr="00B55191">
        <w:rPr>
          <w:noProof/>
        </w:rPr>
        <w:t>, 105606.</w:t>
      </w:r>
    </w:p>
    <w:p w14:paraId="42FFAE2F" w14:textId="77777777" w:rsidR="00B55191" w:rsidRPr="00B55191" w:rsidRDefault="00B55191" w:rsidP="00B55191">
      <w:pPr>
        <w:pStyle w:val="EndNoteBibliography"/>
        <w:rPr>
          <w:noProof/>
        </w:rPr>
      </w:pPr>
      <w:r w:rsidRPr="00B55191">
        <w:rPr>
          <w:noProof/>
        </w:rPr>
        <w:t xml:space="preserve">(168) He, F.; Liu, Y.; Cai, Q.; Zhao, J. Size-Dependent Electrocatalytic Activity of Orr/Oer on Palladium Nanoclusters Anchored on Defective Mos2 Monolayers. </w:t>
      </w:r>
      <w:r w:rsidRPr="00B55191">
        <w:rPr>
          <w:i/>
          <w:noProof/>
        </w:rPr>
        <w:t xml:space="preserve">New J. Chem. </w:t>
      </w:r>
      <w:r w:rsidRPr="00B55191">
        <w:rPr>
          <w:b/>
          <w:noProof/>
        </w:rPr>
        <w:t>2020</w:t>
      </w:r>
      <w:r w:rsidRPr="00B55191">
        <w:rPr>
          <w:noProof/>
        </w:rPr>
        <w:t xml:space="preserve">, </w:t>
      </w:r>
      <w:r w:rsidRPr="00B55191">
        <w:rPr>
          <w:i/>
          <w:noProof/>
        </w:rPr>
        <w:t>44</w:t>
      </w:r>
      <w:r w:rsidRPr="00B55191">
        <w:rPr>
          <w:noProof/>
        </w:rPr>
        <w:t>, 16135-16143.</w:t>
      </w:r>
    </w:p>
    <w:p w14:paraId="1FA11A74" w14:textId="77777777" w:rsidR="00B55191" w:rsidRPr="00B55191" w:rsidRDefault="00B55191" w:rsidP="00B55191">
      <w:pPr>
        <w:pStyle w:val="EndNoteBibliography"/>
        <w:rPr>
          <w:noProof/>
        </w:rPr>
      </w:pPr>
      <w:r w:rsidRPr="00B55191">
        <w:rPr>
          <w:noProof/>
        </w:rPr>
        <w:lastRenderedPageBreak/>
        <w:t xml:space="preserve">(169) Liu, Y.; Ran, N.; Ge, R.; Liu, J.; Li, W.; Chen, Y.; Feng, L.; Che, R. Porous Mn-Doped Cobalt Phosphide Nanosheets as Highly Active Electrocatalysts for Oxygen Evolution Reaction. </w:t>
      </w:r>
      <w:r w:rsidRPr="00B55191">
        <w:rPr>
          <w:i/>
          <w:noProof/>
        </w:rPr>
        <w:t xml:space="preserve">Chem. Eng. J. </w:t>
      </w:r>
      <w:r w:rsidRPr="00B55191">
        <w:rPr>
          <w:b/>
          <w:noProof/>
        </w:rPr>
        <w:t>2021</w:t>
      </w:r>
      <w:r w:rsidRPr="00B55191">
        <w:rPr>
          <w:noProof/>
        </w:rPr>
        <w:t xml:space="preserve">, </w:t>
      </w:r>
      <w:r w:rsidRPr="00B55191">
        <w:rPr>
          <w:i/>
          <w:noProof/>
        </w:rPr>
        <w:t>425</w:t>
      </w:r>
      <w:r w:rsidRPr="00B55191">
        <w:rPr>
          <w:noProof/>
        </w:rPr>
        <w:t>, 131642.</w:t>
      </w:r>
    </w:p>
    <w:p w14:paraId="19B414FE" w14:textId="77777777" w:rsidR="00B55191" w:rsidRPr="00B55191" w:rsidRDefault="00B55191" w:rsidP="00B55191">
      <w:pPr>
        <w:pStyle w:val="EndNoteBibliography"/>
        <w:rPr>
          <w:noProof/>
        </w:rPr>
      </w:pPr>
      <w:r w:rsidRPr="00B55191">
        <w:rPr>
          <w:noProof/>
        </w:rPr>
        <w:t xml:space="preserve">(170) Guan, C.; Xiao, W.; Wu, H.; Liu, X.; Zang, W.; Zhang, H.; Ding, J.; Feng, Y. P.; Pennycook, S. J.; Wang, J. Hollow Mo-Doped Cop Nanoarrays for Efficient Overall Water Splitting. </w:t>
      </w:r>
      <w:r w:rsidRPr="00B55191">
        <w:rPr>
          <w:i/>
          <w:noProof/>
        </w:rPr>
        <w:t xml:space="preserve">Nano Energy </w:t>
      </w:r>
      <w:r w:rsidRPr="00B55191">
        <w:rPr>
          <w:b/>
          <w:noProof/>
        </w:rPr>
        <w:t>2018</w:t>
      </w:r>
      <w:r w:rsidRPr="00B55191">
        <w:rPr>
          <w:noProof/>
        </w:rPr>
        <w:t xml:space="preserve">, </w:t>
      </w:r>
      <w:r w:rsidRPr="00B55191">
        <w:rPr>
          <w:i/>
          <w:noProof/>
        </w:rPr>
        <w:t>48</w:t>
      </w:r>
      <w:r w:rsidRPr="00B55191">
        <w:rPr>
          <w:noProof/>
        </w:rPr>
        <w:t>, 73-80.</w:t>
      </w:r>
    </w:p>
    <w:p w14:paraId="306F3222" w14:textId="77777777" w:rsidR="00B55191" w:rsidRPr="00B55191" w:rsidRDefault="00B55191" w:rsidP="00B55191">
      <w:pPr>
        <w:pStyle w:val="EndNoteBibliography"/>
        <w:rPr>
          <w:noProof/>
        </w:rPr>
      </w:pPr>
      <w:r w:rsidRPr="00B55191">
        <w:rPr>
          <w:noProof/>
        </w:rPr>
        <w:t xml:space="preserve">(171) Sun, Y.; Ren, X.; Sun, S.; Liu, Z.; Xi, S.; Xu, Z. J. Engineering High-Spin State Cobalt Cations in Spinel Zinc Cobalt Oxide for Spin Channel Propagation and Active Site Enhancement in Water Oxidation. </w:t>
      </w:r>
      <w:r w:rsidRPr="00B55191">
        <w:rPr>
          <w:i/>
          <w:noProof/>
        </w:rPr>
        <w:t xml:space="preserve">Angew. Chem. Int. Ed. </w:t>
      </w:r>
      <w:r w:rsidRPr="00B55191">
        <w:rPr>
          <w:b/>
          <w:noProof/>
        </w:rPr>
        <w:t>2021</w:t>
      </w:r>
      <w:r w:rsidRPr="00B55191">
        <w:rPr>
          <w:noProof/>
        </w:rPr>
        <w:t xml:space="preserve">, </w:t>
      </w:r>
      <w:r w:rsidRPr="00B55191">
        <w:rPr>
          <w:i/>
          <w:noProof/>
        </w:rPr>
        <w:t>60</w:t>
      </w:r>
      <w:r w:rsidRPr="00B55191">
        <w:rPr>
          <w:noProof/>
        </w:rPr>
        <w:t>, 14536-14544.</w:t>
      </w:r>
    </w:p>
    <w:p w14:paraId="1332701E" w14:textId="77777777" w:rsidR="00B55191" w:rsidRPr="00B55191" w:rsidRDefault="00B55191" w:rsidP="00B55191">
      <w:pPr>
        <w:pStyle w:val="EndNoteBibliography"/>
        <w:rPr>
          <w:noProof/>
        </w:rPr>
      </w:pPr>
      <w:r w:rsidRPr="00B55191">
        <w:rPr>
          <w:noProof/>
        </w:rPr>
        <w:t xml:space="preserve">(172) Yan, P.; Liu, Q.; Zhang, H.; Qiu, L.; Wu, H. B.; Yu, X.-Y. Deeply Reconstructed Hierarchical and Defective Niooh/Feooh Nanoboxes with Accelerated Kinetics for the Oxygen Evolution Reaction. </w:t>
      </w:r>
      <w:r w:rsidRPr="00B55191">
        <w:rPr>
          <w:i/>
          <w:noProof/>
        </w:rPr>
        <w:t xml:space="preserve">J. Mater. Chem. A </w:t>
      </w:r>
      <w:r w:rsidRPr="00B55191">
        <w:rPr>
          <w:b/>
          <w:noProof/>
        </w:rPr>
        <w:t>2021</w:t>
      </w:r>
      <w:r w:rsidRPr="00B55191">
        <w:rPr>
          <w:noProof/>
        </w:rPr>
        <w:t xml:space="preserve">, </w:t>
      </w:r>
      <w:r w:rsidRPr="00B55191">
        <w:rPr>
          <w:i/>
          <w:noProof/>
        </w:rPr>
        <w:t>9</w:t>
      </w:r>
      <w:r w:rsidRPr="00B55191">
        <w:rPr>
          <w:noProof/>
        </w:rPr>
        <w:t>, 15586-15594.</w:t>
      </w:r>
    </w:p>
    <w:p w14:paraId="5563F009" w14:textId="77777777" w:rsidR="00B55191" w:rsidRPr="00B55191" w:rsidRDefault="00B55191" w:rsidP="00B55191">
      <w:pPr>
        <w:pStyle w:val="EndNoteBibliography"/>
        <w:rPr>
          <w:noProof/>
        </w:rPr>
      </w:pPr>
      <w:r w:rsidRPr="00B55191">
        <w:rPr>
          <w:noProof/>
        </w:rPr>
        <w:t xml:space="preserve">(173) Xu, D.; Long, X.; Xiao, J.; Zhang, Z.; Liu, G.; Tong, H.; Liu, Z.; Li, N.; Qian, D.; Li, J.; Liu, J. Rationally Constructing Coo and Cose2 Hybrid with Cnts-Graphene for Impressively Enhanced Oxygen Evolution and Dft Calculations. </w:t>
      </w:r>
      <w:r w:rsidRPr="00B55191">
        <w:rPr>
          <w:i/>
          <w:noProof/>
        </w:rPr>
        <w:t xml:space="preserve">Chem. Eng. J. </w:t>
      </w:r>
      <w:r w:rsidRPr="00B55191">
        <w:rPr>
          <w:b/>
          <w:noProof/>
        </w:rPr>
        <w:t>2021</w:t>
      </w:r>
      <w:r w:rsidRPr="00B55191">
        <w:rPr>
          <w:noProof/>
        </w:rPr>
        <w:t xml:space="preserve">, </w:t>
      </w:r>
      <w:r w:rsidRPr="00B55191">
        <w:rPr>
          <w:i/>
          <w:noProof/>
        </w:rPr>
        <w:t>422</w:t>
      </w:r>
      <w:r w:rsidRPr="00B55191">
        <w:rPr>
          <w:noProof/>
        </w:rPr>
        <w:t>, 129982.</w:t>
      </w:r>
    </w:p>
    <w:p w14:paraId="796101CA" w14:textId="77777777" w:rsidR="00B55191" w:rsidRPr="00B55191" w:rsidRDefault="00B55191" w:rsidP="00B55191">
      <w:pPr>
        <w:pStyle w:val="EndNoteBibliography"/>
        <w:rPr>
          <w:noProof/>
        </w:rPr>
      </w:pPr>
      <w:r w:rsidRPr="00B55191">
        <w:rPr>
          <w:noProof/>
        </w:rPr>
        <w:t xml:space="preserve">(174) Li, R.; Hu, B.; Yu, T.; Chen, H.; Wang, Y.; Song, S. Insights into Correlation among Surface-Structure-Activity of Cobalt-Derived Pre-Catalyst for Oxygen Evolution Reaction. </w:t>
      </w:r>
      <w:r w:rsidRPr="00B55191">
        <w:rPr>
          <w:i/>
          <w:noProof/>
        </w:rPr>
        <w:t xml:space="preserve">Adv. Sci. </w:t>
      </w:r>
      <w:r w:rsidRPr="00B55191">
        <w:rPr>
          <w:b/>
          <w:noProof/>
        </w:rPr>
        <w:t>2020</w:t>
      </w:r>
      <w:r w:rsidRPr="00B55191">
        <w:rPr>
          <w:noProof/>
        </w:rPr>
        <w:t xml:space="preserve">, </w:t>
      </w:r>
      <w:r w:rsidRPr="00B55191">
        <w:rPr>
          <w:i/>
          <w:noProof/>
        </w:rPr>
        <w:t>7</w:t>
      </w:r>
      <w:r w:rsidRPr="00B55191">
        <w:rPr>
          <w:noProof/>
        </w:rPr>
        <w:t>, 1902830.</w:t>
      </w:r>
    </w:p>
    <w:p w14:paraId="0C9F6E7C" w14:textId="77777777" w:rsidR="00B55191" w:rsidRPr="00B55191" w:rsidRDefault="00B55191" w:rsidP="00B55191">
      <w:pPr>
        <w:pStyle w:val="EndNoteBibliography"/>
        <w:rPr>
          <w:noProof/>
        </w:rPr>
      </w:pPr>
      <w:r w:rsidRPr="00B55191">
        <w:rPr>
          <w:noProof/>
        </w:rPr>
        <w:t xml:space="preserve">(175) Rao, R. R.; Kolb, M. J.; Giordano, L.; Pedersen, A. F.; Katayama, Y.; Hwang, J.; Mehta, A.; You, H.; Lunger, J. R.; Zhou, H.; et al. Operando Identification of Site-Dependent Water Oxidation Activity on Ruthenium Dioxide Single-Crystal Surfaces. </w:t>
      </w:r>
      <w:r w:rsidRPr="00B55191">
        <w:rPr>
          <w:i/>
          <w:noProof/>
        </w:rPr>
        <w:t xml:space="preserve">Nat. Catal. </w:t>
      </w:r>
      <w:r w:rsidRPr="00B55191">
        <w:rPr>
          <w:b/>
          <w:noProof/>
        </w:rPr>
        <w:t>2020</w:t>
      </w:r>
      <w:r w:rsidRPr="00B55191">
        <w:rPr>
          <w:noProof/>
        </w:rPr>
        <w:t xml:space="preserve">, </w:t>
      </w:r>
      <w:r w:rsidRPr="00B55191">
        <w:rPr>
          <w:i/>
          <w:noProof/>
        </w:rPr>
        <w:t>3</w:t>
      </w:r>
      <w:r w:rsidRPr="00B55191">
        <w:rPr>
          <w:noProof/>
        </w:rPr>
        <w:t>, 516-525.</w:t>
      </w:r>
    </w:p>
    <w:p w14:paraId="1A1150E7" w14:textId="77777777" w:rsidR="00B55191" w:rsidRPr="00B55191" w:rsidRDefault="00B55191" w:rsidP="00B55191">
      <w:pPr>
        <w:pStyle w:val="EndNoteBibliography"/>
        <w:rPr>
          <w:noProof/>
        </w:rPr>
      </w:pPr>
      <w:r w:rsidRPr="00B55191">
        <w:rPr>
          <w:noProof/>
        </w:rPr>
        <w:t xml:space="preserve">(176) Rao, R. R.; Kolb, M. J.; Halck, N. B.; Pedersen, A. F.; Mehta, A.; You, H.; Stoerzinger, K. A.; Feng, Z.; Hansen, H. A.; Zhou, H.; et al. Towards Identifying the Active Sites on Ruo2(110) in Catalyzing Oxygen Evolution. </w:t>
      </w:r>
      <w:r w:rsidRPr="00B55191">
        <w:rPr>
          <w:i/>
          <w:noProof/>
        </w:rPr>
        <w:t xml:space="preserve">Energy Environ. Sci. </w:t>
      </w:r>
      <w:r w:rsidRPr="00B55191">
        <w:rPr>
          <w:b/>
          <w:noProof/>
        </w:rPr>
        <w:t>2017</w:t>
      </w:r>
      <w:r w:rsidRPr="00B55191">
        <w:rPr>
          <w:noProof/>
        </w:rPr>
        <w:t xml:space="preserve">, </w:t>
      </w:r>
      <w:r w:rsidRPr="00B55191">
        <w:rPr>
          <w:i/>
          <w:noProof/>
        </w:rPr>
        <w:t>10</w:t>
      </w:r>
      <w:r w:rsidRPr="00B55191">
        <w:rPr>
          <w:noProof/>
        </w:rPr>
        <w:t>, 2626-2637.</w:t>
      </w:r>
    </w:p>
    <w:p w14:paraId="70283333" w14:textId="77777777" w:rsidR="00B55191" w:rsidRPr="00B55191" w:rsidRDefault="00B55191" w:rsidP="00B55191">
      <w:pPr>
        <w:pStyle w:val="EndNoteBibliography"/>
        <w:rPr>
          <w:noProof/>
        </w:rPr>
      </w:pPr>
      <w:r w:rsidRPr="00B55191">
        <w:rPr>
          <w:noProof/>
        </w:rPr>
        <w:t xml:space="preserve">(177) Hu, Y.; Luo, X.; Wu, G.; Chao, T.; Li, Z.; Qu, Y.; Li, H.; Wu, Y.; Jiang, B.; Hong, X. Engineering the Atomic Layer of Ruo2 on Pdo Nanosheets Boosts Oxygen Evolution Catalysis. </w:t>
      </w:r>
      <w:r w:rsidRPr="00B55191">
        <w:rPr>
          <w:i/>
          <w:noProof/>
        </w:rPr>
        <w:t xml:space="preserve">ACS Appl. Mater. Interfaces </w:t>
      </w:r>
      <w:r w:rsidRPr="00B55191">
        <w:rPr>
          <w:b/>
          <w:noProof/>
        </w:rPr>
        <w:t>2019</w:t>
      </w:r>
      <w:r w:rsidRPr="00B55191">
        <w:rPr>
          <w:noProof/>
        </w:rPr>
        <w:t xml:space="preserve">, </w:t>
      </w:r>
      <w:r w:rsidRPr="00B55191">
        <w:rPr>
          <w:i/>
          <w:noProof/>
        </w:rPr>
        <w:t>11</w:t>
      </w:r>
      <w:r w:rsidRPr="00B55191">
        <w:rPr>
          <w:noProof/>
        </w:rPr>
        <w:t>, 42298-42304.</w:t>
      </w:r>
    </w:p>
    <w:p w14:paraId="5E256D96" w14:textId="77777777" w:rsidR="00B55191" w:rsidRPr="00B55191" w:rsidRDefault="00B55191" w:rsidP="00B55191">
      <w:pPr>
        <w:pStyle w:val="EndNoteBibliography"/>
        <w:rPr>
          <w:noProof/>
        </w:rPr>
      </w:pPr>
      <w:r w:rsidRPr="00B55191">
        <w:rPr>
          <w:noProof/>
        </w:rPr>
        <w:t xml:space="preserve">(178) Zhang, R.; Wei, Z.; Ye, G.; Chen, G.; Miao, J.; Zhou, X.; Zhu, X.; Cao, X.; Sun, X. “D-Electron Complementation” Induced V-Co Phosphide for Efficient Overall Water Splitting. </w:t>
      </w:r>
      <w:r w:rsidRPr="00B55191">
        <w:rPr>
          <w:i/>
          <w:noProof/>
        </w:rPr>
        <w:t xml:space="preserve">Adv. Energy Mater. </w:t>
      </w:r>
      <w:r w:rsidRPr="00B55191">
        <w:rPr>
          <w:b/>
          <w:noProof/>
        </w:rPr>
        <w:t>2021</w:t>
      </w:r>
      <w:r w:rsidRPr="00B55191">
        <w:rPr>
          <w:noProof/>
        </w:rPr>
        <w:t xml:space="preserve">, </w:t>
      </w:r>
      <w:r w:rsidRPr="00B55191">
        <w:rPr>
          <w:i/>
          <w:noProof/>
        </w:rPr>
        <w:t>11</w:t>
      </w:r>
      <w:r w:rsidRPr="00B55191">
        <w:rPr>
          <w:noProof/>
        </w:rPr>
        <w:t>, 2101758.</w:t>
      </w:r>
    </w:p>
    <w:p w14:paraId="2B55F4BD" w14:textId="77777777" w:rsidR="00B55191" w:rsidRPr="00B55191" w:rsidRDefault="00B55191" w:rsidP="00B55191">
      <w:pPr>
        <w:pStyle w:val="EndNoteBibliography"/>
        <w:rPr>
          <w:noProof/>
        </w:rPr>
      </w:pPr>
      <w:r w:rsidRPr="00B55191">
        <w:rPr>
          <w:noProof/>
        </w:rPr>
        <w:t xml:space="preserve">(179) Exner, K. S.; Over, H. Kinetics of Electrocatalytic Reactions from First-Principles: A Critical Comparison with the Ab Initio Thermodynamics Approach. </w:t>
      </w:r>
      <w:r w:rsidRPr="00B55191">
        <w:rPr>
          <w:i/>
          <w:noProof/>
        </w:rPr>
        <w:t xml:space="preserve">Acc. Chem. Res. </w:t>
      </w:r>
      <w:r w:rsidRPr="00B55191">
        <w:rPr>
          <w:b/>
          <w:noProof/>
        </w:rPr>
        <w:t>2017</w:t>
      </w:r>
      <w:r w:rsidRPr="00B55191">
        <w:rPr>
          <w:noProof/>
        </w:rPr>
        <w:t xml:space="preserve">, </w:t>
      </w:r>
      <w:r w:rsidRPr="00B55191">
        <w:rPr>
          <w:i/>
          <w:noProof/>
        </w:rPr>
        <w:t>50</w:t>
      </w:r>
      <w:r w:rsidRPr="00B55191">
        <w:rPr>
          <w:noProof/>
        </w:rPr>
        <w:t>, 1240-1247.</w:t>
      </w:r>
    </w:p>
    <w:p w14:paraId="542F2FF2" w14:textId="77777777" w:rsidR="00B55191" w:rsidRPr="00B55191" w:rsidRDefault="00B55191" w:rsidP="00B55191">
      <w:pPr>
        <w:pStyle w:val="EndNoteBibliography"/>
        <w:rPr>
          <w:noProof/>
        </w:rPr>
      </w:pPr>
      <w:r w:rsidRPr="00B55191">
        <w:rPr>
          <w:noProof/>
        </w:rPr>
        <w:t xml:space="preserve">(180) Koper, M. T. M. Analysis of Electrocatalytic Reaction Schemes: Distinction between Rate-Determining and Potential-Determining Steps. </w:t>
      </w:r>
      <w:r w:rsidRPr="00B55191">
        <w:rPr>
          <w:i/>
          <w:noProof/>
        </w:rPr>
        <w:t xml:space="preserve">J. Solid State Electrochem. </w:t>
      </w:r>
      <w:r w:rsidRPr="00B55191">
        <w:rPr>
          <w:b/>
          <w:noProof/>
        </w:rPr>
        <w:t>2013</w:t>
      </w:r>
      <w:r w:rsidRPr="00B55191">
        <w:rPr>
          <w:noProof/>
        </w:rPr>
        <w:t xml:space="preserve">, </w:t>
      </w:r>
      <w:r w:rsidRPr="00B55191">
        <w:rPr>
          <w:i/>
          <w:noProof/>
        </w:rPr>
        <w:t>17</w:t>
      </w:r>
      <w:r w:rsidRPr="00B55191">
        <w:rPr>
          <w:noProof/>
        </w:rPr>
        <w:t>, 339-344.</w:t>
      </w:r>
    </w:p>
    <w:p w14:paraId="4DDCED43" w14:textId="77777777" w:rsidR="00B55191" w:rsidRPr="00B55191" w:rsidRDefault="00B55191" w:rsidP="00B55191">
      <w:pPr>
        <w:pStyle w:val="EndNoteBibliography"/>
        <w:rPr>
          <w:noProof/>
        </w:rPr>
      </w:pPr>
      <w:r w:rsidRPr="00B55191">
        <w:rPr>
          <w:noProof/>
        </w:rPr>
        <w:t xml:space="preserve">(181) Abild-Pedersen, F.; Greeley, J.; Studt, F.; Rossmeisl, J.; Munter, T. R.; Moses, P. G.; Skúlason, E.; Bligaard, T.; Nørskov, J. K. Scaling Properties of Adsorption Energies for Hydrogen-Containing Molecules on Transition-Metal Surfaces. </w:t>
      </w:r>
      <w:r w:rsidRPr="00B55191">
        <w:rPr>
          <w:i/>
          <w:noProof/>
        </w:rPr>
        <w:t xml:space="preserve">Phys. Rev. Lett. </w:t>
      </w:r>
      <w:r w:rsidRPr="00B55191">
        <w:rPr>
          <w:b/>
          <w:noProof/>
        </w:rPr>
        <w:t>2007</w:t>
      </w:r>
      <w:r w:rsidRPr="00B55191">
        <w:rPr>
          <w:noProof/>
        </w:rPr>
        <w:t xml:space="preserve">, </w:t>
      </w:r>
      <w:r w:rsidRPr="00B55191">
        <w:rPr>
          <w:i/>
          <w:noProof/>
        </w:rPr>
        <w:t>99</w:t>
      </w:r>
      <w:r w:rsidRPr="00B55191">
        <w:rPr>
          <w:noProof/>
        </w:rPr>
        <w:t>, 016105.</w:t>
      </w:r>
    </w:p>
    <w:p w14:paraId="7518AA2C" w14:textId="77777777" w:rsidR="00B55191" w:rsidRPr="00B55191" w:rsidRDefault="00B55191" w:rsidP="00B55191">
      <w:pPr>
        <w:pStyle w:val="EndNoteBibliography"/>
        <w:rPr>
          <w:noProof/>
        </w:rPr>
      </w:pPr>
      <w:r w:rsidRPr="00B55191">
        <w:rPr>
          <w:noProof/>
        </w:rPr>
        <w:t xml:space="preserve">(182) Calle-Vallejo, F.; Martínez, J. I.; García-Lastra, J. M.; Rossmeisl, J.; Koper, M. T. M. Physical and Chemical Nature of the Scaling Relations between Adsorption Energies of Atoms on Metal Surfaces. </w:t>
      </w:r>
      <w:r w:rsidRPr="00B55191">
        <w:rPr>
          <w:i/>
          <w:noProof/>
        </w:rPr>
        <w:t xml:space="preserve">Phys. Rev. Lett. </w:t>
      </w:r>
      <w:r w:rsidRPr="00B55191">
        <w:rPr>
          <w:b/>
          <w:noProof/>
        </w:rPr>
        <w:t>2012</w:t>
      </w:r>
      <w:r w:rsidRPr="00B55191">
        <w:rPr>
          <w:noProof/>
        </w:rPr>
        <w:t xml:space="preserve">, </w:t>
      </w:r>
      <w:r w:rsidRPr="00B55191">
        <w:rPr>
          <w:i/>
          <w:noProof/>
        </w:rPr>
        <w:t>108</w:t>
      </w:r>
      <w:r w:rsidRPr="00B55191">
        <w:rPr>
          <w:noProof/>
        </w:rPr>
        <w:t>, 116103.</w:t>
      </w:r>
    </w:p>
    <w:p w14:paraId="52FB53B4" w14:textId="77777777" w:rsidR="00B55191" w:rsidRPr="00B55191" w:rsidRDefault="00B55191" w:rsidP="00B55191">
      <w:pPr>
        <w:pStyle w:val="EndNoteBibliography"/>
        <w:rPr>
          <w:noProof/>
        </w:rPr>
      </w:pPr>
      <w:r w:rsidRPr="00B55191">
        <w:rPr>
          <w:noProof/>
        </w:rPr>
        <w:t xml:space="preserve">(183) Greeley, J. Theoretical Heterogeneous Catalysis: Scaling Relationships and Computational Catalyst Design. </w:t>
      </w:r>
      <w:r w:rsidRPr="00B55191">
        <w:rPr>
          <w:i/>
          <w:noProof/>
        </w:rPr>
        <w:t xml:space="preserve">Annu. Rev. Chem. Biomol. Eng. </w:t>
      </w:r>
      <w:r w:rsidRPr="00B55191">
        <w:rPr>
          <w:b/>
          <w:noProof/>
        </w:rPr>
        <w:t>2016</w:t>
      </w:r>
      <w:r w:rsidRPr="00B55191">
        <w:rPr>
          <w:noProof/>
        </w:rPr>
        <w:t xml:space="preserve">, </w:t>
      </w:r>
      <w:r w:rsidRPr="00B55191">
        <w:rPr>
          <w:i/>
          <w:noProof/>
        </w:rPr>
        <w:t>7</w:t>
      </w:r>
      <w:r w:rsidRPr="00B55191">
        <w:rPr>
          <w:noProof/>
        </w:rPr>
        <w:t>, 605-635.</w:t>
      </w:r>
    </w:p>
    <w:p w14:paraId="33420502" w14:textId="77777777" w:rsidR="00B55191" w:rsidRPr="00B55191" w:rsidRDefault="00B55191" w:rsidP="00B55191">
      <w:pPr>
        <w:pStyle w:val="EndNoteBibliography"/>
        <w:rPr>
          <w:noProof/>
        </w:rPr>
      </w:pPr>
      <w:r w:rsidRPr="00B55191">
        <w:rPr>
          <w:noProof/>
        </w:rPr>
        <w:t xml:space="preserve">(184) Montemore, M. M.; Medlin, J. W. Scaling Relations between Adsorption Energies for Computational Screening and Design of Catalysts. </w:t>
      </w:r>
      <w:r w:rsidRPr="00B55191">
        <w:rPr>
          <w:i/>
          <w:noProof/>
        </w:rPr>
        <w:t xml:space="preserve">Catal. Sci. Technol. </w:t>
      </w:r>
      <w:r w:rsidRPr="00B55191">
        <w:rPr>
          <w:b/>
          <w:noProof/>
        </w:rPr>
        <w:t>2014</w:t>
      </w:r>
      <w:r w:rsidRPr="00B55191">
        <w:rPr>
          <w:noProof/>
        </w:rPr>
        <w:t xml:space="preserve">, </w:t>
      </w:r>
      <w:r w:rsidRPr="00B55191">
        <w:rPr>
          <w:i/>
          <w:noProof/>
        </w:rPr>
        <w:t>4</w:t>
      </w:r>
      <w:r w:rsidRPr="00B55191">
        <w:rPr>
          <w:noProof/>
        </w:rPr>
        <w:t>, 3748-3761.</w:t>
      </w:r>
    </w:p>
    <w:p w14:paraId="3D16B9A5" w14:textId="77777777" w:rsidR="00B55191" w:rsidRPr="00B55191" w:rsidRDefault="00B55191" w:rsidP="00B55191">
      <w:pPr>
        <w:pStyle w:val="EndNoteBibliography"/>
        <w:rPr>
          <w:noProof/>
        </w:rPr>
      </w:pPr>
      <w:r w:rsidRPr="00B55191">
        <w:rPr>
          <w:noProof/>
        </w:rPr>
        <w:lastRenderedPageBreak/>
        <w:t xml:space="preserve">(185) Calle-Vallejo, F.; Loffreda, D.; Koper, M. T. M.; Sautet, P. Introducing Structural Sensitivity into Adsorption–Energy Scaling Relations by Means of Coordination Numbers. </w:t>
      </w:r>
      <w:r w:rsidRPr="00B55191">
        <w:rPr>
          <w:i/>
          <w:noProof/>
        </w:rPr>
        <w:t xml:space="preserve">Nat. Chem. </w:t>
      </w:r>
      <w:r w:rsidRPr="00B55191">
        <w:rPr>
          <w:b/>
          <w:noProof/>
        </w:rPr>
        <w:t>2015</w:t>
      </w:r>
      <w:r w:rsidRPr="00B55191">
        <w:rPr>
          <w:noProof/>
        </w:rPr>
        <w:t xml:space="preserve">, </w:t>
      </w:r>
      <w:r w:rsidRPr="00B55191">
        <w:rPr>
          <w:i/>
          <w:noProof/>
        </w:rPr>
        <w:t>7</w:t>
      </w:r>
      <w:r w:rsidRPr="00B55191">
        <w:rPr>
          <w:noProof/>
        </w:rPr>
        <w:t>, 403-410.</w:t>
      </w:r>
    </w:p>
    <w:p w14:paraId="28B6978D" w14:textId="77777777" w:rsidR="00B55191" w:rsidRPr="00B55191" w:rsidRDefault="00B55191" w:rsidP="00B55191">
      <w:pPr>
        <w:pStyle w:val="EndNoteBibliography"/>
        <w:rPr>
          <w:noProof/>
        </w:rPr>
      </w:pPr>
      <w:r w:rsidRPr="00B55191">
        <w:rPr>
          <w:noProof/>
        </w:rPr>
        <w:t xml:space="preserve">(186) Stoerzinger, K. A.; Qiao, L.; Biegalski, M. D.; Shao-Horn, Y. Orientation-Dependent Oxygen Evolution Activities of Rutile Iro2 and Ruo2. </w:t>
      </w:r>
      <w:r w:rsidRPr="00B55191">
        <w:rPr>
          <w:i/>
          <w:noProof/>
        </w:rPr>
        <w:t xml:space="preserve">J. Phys. Chem. Lett. </w:t>
      </w:r>
      <w:r w:rsidRPr="00B55191">
        <w:rPr>
          <w:b/>
          <w:noProof/>
        </w:rPr>
        <w:t>2014</w:t>
      </w:r>
      <w:r w:rsidRPr="00B55191">
        <w:rPr>
          <w:noProof/>
        </w:rPr>
        <w:t xml:space="preserve">, </w:t>
      </w:r>
      <w:r w:rsidRPr="00B55191">
        <w:rPr>
          <w:i/>
          <w:noProof/>
        </w:rPr>
        <w:t>5</w:t>
      </w:r>
      <w:r w:rsidRPr="00B55191">
        <w:rPr>
          <w:noProof/>
        </w:rPr>
        <w:t>, 1636-1641.</w:t>
      </w:r>
    </w:p>
    <w:p w14:paraId="6E5BC2AC" w14:textId="77777777" w:rsidR="00B55191" w:rsidRPr="00B55191" w:rsidRDefault="00B55191" w:rsidP="00B55191">
      <w:pPr>
        <w:pStyle w:val="EndNoteBibliography"/>
        <w:rPr>
          <w:noProof/>
        </w:rPr>
      </w:pPr>
      <w:r w:rsidRPr="00B55191">
        <w:rPr>
          <w:noProof/>
        </w:rPr>
        <w:t xml:space="preserve">(187) Gland, J. L.; Sexton, B. A.; Fisher, G. B. Oxygen Interactions with the Pt(111) Surface. </w:t>
      </w:r>
      <w:r w:rsidRPr="00B55191">
        <w:rPr>
          <w:i/>
          <w:noProof/>
        </w:rPr>
        <w:t xml:space="preserve">Surf. Sci. </w:t>
      </w:r>
      <w:r w:rsidRPr="00B55191">
        <w:rPr>
          <w:b/>
          <w:noProof/>
        </w:rPr>
        <w:t>1980</w:t>
      </w:r>
      <w:r w:rsidRPr="00B55191">
        <w:rPr>
          <w:noProof/>
        </w:rPr>
        <w:t xml:space="preserve">, </w:t>
      </w:r>
      <w:r w:rsidRPr="00B55191">
        <w:rPr>
          <w:i/>
          <w:noProof/>
        </w:rPr>
        <w:t>95</w:t>
      </w:r>
      <w:r w:rsidRPr="00B55191">
        <w:rPr>
          <w:noProof/>
        </w:rPr>
        <w:t>, 587-602.</w:t>
      </w:r>
    </w:p>
    <w:p w14:paraId="22F091FF" w14:textId="77777777" w:rsidR="00B55191" w:rsidRPr="00B55191" w:rsidRDefault="00B55191" w:rsidP="00B55191">
      <w:pPr>
        <w:pStyle w:val="EndNoteBibliography"/>
        <w:rPr>
          <w:noProof/>
        </w:rPr>
      </w:pPr>
      <w:r w:rsidRPr="00B55191">
        <w:rPr>
          <w:noProof/>
        </w:rPr>
        <w:t xml:space="preserve">(188) Gileadi, E. Problems in Interfacial Electrochemistry That Have Been Swept under the Carpet. </w:t>
      </w:r>
      <w:r w:rsidRPr="00B55191">
        <w:rPr>
          <w:i/>
          <w:noProof/>
        </w:rPr>
        <w:t xml:space="preserve">J. Solid State Electrochem. </w:t>
      </w:r>
      <w:r w:rsidRPr="00B55191">
        <w:rPr>
          <w:b/>
          <w:noProof/>
        </w:rPr>
        <w:t>2011</w:t>
      </w:r>
      <w:r w:rsidRPr="00B55191">
        <w:rPr>
          <w:noProof/>
        </w:rPr>
        <w:t xml:space="preserve">, </w:t>
      </w:r>
      <w:r w:rsidRPr="00B55191">
        <w:rPr>
          <w:i/>
          <w:noProof/>
        </w:rPr>
        <w:t>15</w:t>
      </w:r>
      <w:r w:rsidRPr="00B55191">
        <w:rPr>
          <w:noProof/>
        </w:rPr>
        <w:t>, 1359-1371.</w:t>
      </w:r>
    </w:p>
    <w:p w14:paraId="460CB042" w14:textId="77777777" w:rsidR="00B55191" w:rsidRPr="00B55191" w:rsidRDefault="00B55191" w:rsidP="00B55191">
      <w:pPr>
        <w:pStyle w:val="EndNoteBibliography"/>
        <w:rPr>
          <w:noProof/>
        </w:rPr>
      </w:pPr>
      <w:r w:rsidRPr="00B55191">
        <w:rPr>
          <w:noProof/>
        </w:rPr>
        <w:t xml:space="preserve">(189) Laitinen, H. A.; Enke, C. G. The Electrolytic Formation and Dissolution of Oxide Films on Platinum. </w:t>
      </w:r>
      <w:r w:rsidRPr="00B55191">
        <w:rPr>
          <w:i/>
          <w:noProof/>
        </w:rPr>
        <w:t xml:space="preserve">J. Electrochem. Soc. </w:t>
      </w:r>
      <w:r w:rsidRPr="00B55191">
        <w:rPr>
          <w:b/>
          <w:noProof/>
        </w:rPr>
        <w:t>1960</w:t>
      </w:r>
      <w:r w:rsidRPr="00B55191">
        <w:rPr>
          <w:noProof/>
        </w:rPr>
        <w:t xml:space="preserve">, </w:t>
      </w:r>
      <w:r w:rsidRPr="00B55191">
        <w:rPr>
          <w:i/>
          <w:noProof/>
        </w:rPr>
        <w:t>107</w:t>
      </w:r>
      <w:r w:rsidRPr="00B55191">
        <w:rPr>
          <w:noProof/>
        </w:rPr>
        <w:t>, 773.</w:t>
      </w:r>
    </w:p>
    <w:p w14:paraId="21A41A86" w14:textId="77777777" w:rsidR="00B55191" w:rsidRPr="00B55191" w:rsidRDefault="00B55191" w:rsidP="00B55191">
      <w:pPr>
        <w:pStyle w:val="EndNoteBibliography"/>
        <w:rPr>
          <w:noProof/>
        </w:rPr>
      </w:pPr>
      <w:r w:rsidRPr="00B55191">
        <w:rPr>
          <w:noProof/>
        </w:rPr>
        <w:t xml:space="preserve">(190) Conway, B. E.; Liu, T. C. Characterization of Electrocatalysis in the Oxygen Evolution Reaction at Platinum by Evaluation of Behavior of Surface Intermediate States at the Oxide Film. </w:t>
      </w:r>
      <w:r w:rsidRPr="00B55191">
        <w:rPr>
          <w:i/>
          <w:noProof/>
        </w:rPr>
        <w:t xml:space="preserve">Langmuir </w:t>
      </w:r>
      <w:r w:rsidRPr="00B55191">
        <w:rPr>
          <w:b/>
          <w:noProof/>
        </w:rPr>
        <w:t>1990</w:t>
      </w:r>
      <w:r w:rsidRPr="00B55191">
        <w:rPr>
          <w:noProof/>
        </w:rPr>
        <w:t xml:space="preserve">, </w:t>
      </w:r>
      <w:r w:rsidRPr="00B55191">
        <w:rPr>
          <w:i/>
          <w:noProof/>
        </w:rPr>
        <w:t>6</w:t>
      </w:r>
      <w:r w:rsidRPr="00B55191">
        <w:rPr>
          <w:noProof/>
        </w:rPr>
        <w:t>, 268-276.</w:t>
      </w:r>
    </w:p>
    <w:p w14:paraId="3FDFF3B4" w14:textId="77777777" w:rsidR="00B55191" w:rsidRPr="00B55191" w:rsidRDefault="00B55191" w:rsidP="00B55191">
      <w:pPr>
        <w:pStyle w:val="EndNoteBibliography"/>
        <w:rPr>
          <w:noProof/>
        </w:rPr>
      </w:pPr>
      <w:r w:rsidRPr="00B55191">
        <w:rPr>
          <w:noProof/>
        </w:rPr>
        <w:t xml:space="preserve">(191) Arrigo, R.; Hävecker, M.; Schuster, M. E.; Ranjan, C.; Stotz, E.; Knop-Gericke, A.; Schlögl, R. In Situ Study of the Gas-Phase Electrolysis of Water on Platinum by Nap-Xps. </w:t>
      </w:r>
      <w:r w:rsidRPr="00B55191">
        <w:rPr>
          <w:i/>
          <w:noProof/>
        </w:rPr>
        <w:t xml:space="preserve">Angew. Chem. Int. Ed. </w:t>
      </w:r>
      <w:r w:rsidRPr="00B55191">
        <w:rPr>
          <w:b/>
          <w:noProof/>
        </w:rPr>
        <w:t>2013</w:t>
      </w:r>
      <w:r w:rsidRPr="00B55191">
        <w:rPr>
          <w:noProof/>
        </w:rPr>
        <w:t xml:space="preserve">, </w:t>
      </w:r>
      <w:r w:rsidRPr="00B55191">
        <w:rPr>
          <w:i/>
          <w:noProof/>
        </w:rPr>
        <w:t>52</w:t>
      </w:r>
      <w:r w:rsidRPr="00B55191">
        <w:rPr>
          <w:noProof/>
        </w:rPr>
        <w:t>, 11660-11664.</w:t>
      </w:r>
    </w:p>
    <w:p w14:paraId="5B34822E" w14:textId="77777777" w:rsidR="00B55191" w:rsidRPr="00B55191" w:rsidRDefault="00B55191" w:rsidP="00B55191">
      <w:pPr>
        <w:pStyle w:val="EndNoteBibliography"/>
        <w:rPr>
          <w:noProof/>
        </w:rPr>
      </w:pPr>
      <w:r w:rsidRPr="00B55191">
        <w:rPr>
          <w:noProof/>
        </w:rPr>
        <w:t xml:space="preserve">(192) Diaz-Morales, O.; Calle-Vallejo, F.; de Munck, C.; Koper, M. T. M. Electrochemical Water Splitting by Gold: Evidence for an Oxide Decomposition Mechanism. </w:t>
      </w:r>
      <w:r w:rsidRPr="00B55191">
        <w:rPr>
          <w:i/>
          <w:noProof/>
        </w:rPr>
        <w:t xml:space="preserve">Chem. Sci. </w:t>
      </w:r>
      <w:r w:rsidRPr="00B55191">
        <w:rPr>
          <w:b/>
          <w:noProof/>
        </w:rPr>
        <w:t>2013</w:t>
      </w:r>
      <w:r w:rsidRPr="00B55191">
        <w:rPr>
          <w:noProof/>
        </w:rPr>
        <w:t xml:space="preserve">, </w:t>
      </w:r>
      <w:r w:rsidRPr="00B55191">
        <w:rPr>
          <w:i/>
          <w:noProof/>
        </w:rPr>
        <w:t>4</w:t>
      </w:r>
      <w:r w:rsidRPr="00B55191">
        <w:rPr>
          <w:noProof/>
        </w:rPr>
        <w:t>, 2334-2343.</w:t>
      </w:r>
    </w:p>
    <w:p w14:paraId="3D9F0BEE" w14:textId="77777777" w:rsidR="00B55191" w:rsidRPr="00B55191" w:rsidRDefault="00B55191" w:rsidP="00B55191">
      <w:pPr>
        <w:pStyle w:val="EndNoteBibliography"/>
        <w:rPr>
          <w:noProof/>
        </w:rPr>
      </w:pPr>
      <w:r w:rsidRPr="00B55191">
        <w:rPr>
          <w:noProof/>
        </w:rPr>
        <w:t xml:space="preserve">(193) Yang, S.; Hetterscheid, D. G. H. Redefinition of the Active Species and the Mechanism of the Oxygen Evolution Reaction on Gold Oxide. </w:t>
      </w:r>
      <w:r w:rsidRPr="00B55191">
        <w:rPr>
          <w:i/>
          <w:noProof/>
        </w:rPr>
        <w:t xml:space="preserve">ACS Catal. </w:t>
      </w:r>
      <w:r w:rsidRPr="00B55191">
        <w:rPr>
          <w:b/>
          <w:noProof/>
        </w:rPr>
        <w:t>2020</w:t>
      </w:r>
      <w:r w:rsidRPr="00B55191">
        <w:rPr>
          <w:noProof/>
        </w:rPr>
        <w:t xml:space="preserve">, </w:t>
      </w:r>
      <w:r w:rsidRPr="00B55191">
        <w:rPr>
          <w:i/>
          <w:noProof/>
        </w:rPr>
        <w:t>10</w:t>
      </w:r>
      <w:r w:rsidRPr="00B55191">
        <w:rPr>
          <w:noProof/>
        </w:rPr>
        <w:t>, 12582-12589.</w:t>
      </w:r>
    </w:p>
    <w:p w14:paraId="234B39DC" w14:textId="77777777" w:rsidR="00B55191" w:rsidRPr="00B55191" w:rsidRDefault="00B55191" w:rsidP="00B55191">
      <w:pPr>
        <w:pStyle w:val="EndNoteBibliography"/>
        <w:rPr>
          <w:noProof/>
        </w:rPr>
      </w:pPr>
      <w:r w:rsidRPr="00B55191">
        <w:rPr>
          <w:noProof/>
        </w:rPr>
        <w:t xml:space="preserve">(194) Calle-Vallejo, F.; Inoglu, N. G.; Su, H.-Y.; Martínez, J. I.; Man, I. C.; Koper, M. T. M.; Kitchin, J. R.; Rossmeisl, J. Number of Outer Electrons as Descriptor for Adsorption Processes on Transition Metals and Their Oxides. </w:t>
      </w:r>
      <w:r w:rsidRPr="00B55191">
        <w:rPr>
          <w:i/>
          <w:noProof/>
        </w:rPr>
        <w:t xml:space="preserve">Chem. Sci. </w:t>
      </w:r>
      <w:r w:rsidRPr="00B55191">
        <w:rPr>
          <w:b/>
          <w:noProof/>
        </w:rPr>
        <w:t>2013</w:t>
      </w:r>
      <w:r w:rsidRPr="00B55191">
        <w:rPr>
          <w:noProof/>
        </w:rPr>
        <w:t xml:space="preserve">, </w:t>
      </w:r>
      <w:r w:rsidRPr="00B55191">
        <w:rPr>
          <w:i/>
          <w:noProof/>
        </w:rPr>
        <w:t>4</w:t>
      </w:r>
      <w:r w:rsidRPr="00B55191">
        <w:rPr>
          <w:noProof/>
        </w:rPr>
        <w:t>, 1245-1249.</w:t>
      </w:r>
    </w:p>
    <w:p w14:paraId="0914AC97" w14:textId="77777777" w:rsidR="00B55191" w:rsidRPr="00A41B5A" w:rsidRDefault="00B55191" w:rsidP="00B55191">
      <w:pPr>
        <w:pStyle w:val="EndNoteBibliography"/>
        <w:rPr>
          <w:noProof/>
          <w:lang w:val="it-IT"/>
        </w:rPr>
      </w:pPr>
      <w:r w:rsidRPr="00B55191">
        <w:rPr>
          <w:noProof/>
        </w:rPr>
        <w:t xml:space="preserve">(195) Koper, M. T. M. Structure Sensitivity and Nanoscale Effects in Electrocatalysis. </w:t>
      </w:r>
      <w:r w:rsidRPr="00A41B5A">
        <w:rPr>
          <w:i/>
          <w:noProof/>
          <w:lang w:val="it-IT"/>
        </w:rPr>
        <w:t xml:space="preserve">Nanoscale </w:t>
      </w:r>
      <w:r w:rsidRPr="00A41B5A">
        <w:rPr>
          <w:b/>
          <w:noProof/>
          <w:lang w:val="it-IT"/>
        </w:rPr>
        <w:t>2011</w:t>
      </w:r>
      <w:r w:rsidRPr="00A41B5A">
        <w:rPr>
          <w:noProof/>
          <w:lang w:val="it-IT"/>
        </w:rPr>
        <w:t xml:space="preserve">, </w:t>
      </w:r>
      <w:r w:rsidRPr="00A41B5A">
        <w:rPr>
          <w:i/>
          <w:noProof/>
          <w:lang w:val="it-IT"/>
        </w:rPr>
        <w:t>3</w:t>
      </w:r>
      <w:r w:rsidRPr="00A41B5A">
        <w:rPr>
          <w:noProof/>
          <w:lang w:val="it-IT"/>
        </w:rPr>
        <w:t>, 2054-2073.</w:t>
      </w:r>
    </w:p>
    <w:p w14:paraId="1AD64B9F" w14:textId="77777777" w:rsidR="00B55191" w:rsidRPr="00B55191" w:rsidRDefault="00B55191" w:rsidP="00B55191">
      <w:pPr>
        <w:pStyle w:val="EndNoteBibliography"/>
        <w:rPr>
          <w:noProof/>
        </w:rPr>
      </w:pPr>
      <w:r w:rsidRPr="00A41B5A">
        <w:rPr>
          <w:noProof/>
          <w:lang w:val="it-IT"/>
        </w:rPr>
        <w:t xml:space="preserve">(196) Galizzioli, D.; Tantardini, F.; Trasatti, S. Ruthenium Dioxide: A New Electrode Material. </w:t>
      </w:r>
      <w:r w:rsidRPr="00B55191">
        <w:rPr>
          <w:noProof/>
        </w:rPr>
        <w:t xml:space="preserve">I. Behaviour in Acid Solutions of Inert Electrolytes. </w:t>
      </w:r>
      <w:r w:rsidRPr="00B55191">
        <w:rPr>
          <w:i/>
          <w:noProof/>
        </w:rPr>
        <w:t xml:space="preserve">J. Appl. Electrochem. </w:t>
      </w:r>
      <w:r w:rsidRPr="00B55191">
        <w:rPr>
          <w:b/>
          <w:noProof/>
        </w:rPr>
        <w:t>1974</w:t>
      </w:r>
      <w:r w:rsidRPr="00B55191">
        <w:rPr>
          <w:noProof/>
        </w:rPr>
        <w:t xml:space="preserve">, </w:t>
      </w:r>
      <w:r w:rsidRPr="00B55191">
        <w:rPr>
          <w:i/>
          <w:noProof/>
        </w:rPr>
        <w:t>4</w:t>
      </w:r>
      <w:r w:rsidRPr="00B55191">
        <w:rPr>
          <w:noProof/>
        </w:rPr>
        <w:t>, 57-67.</w:t>
      </w:r>
    </w:p>
    <w:p w14:paraId="2351FDD0" w14:textId="77777777" w:rsidR="00B55191" w:rsidRPr="00B55191" w:rsidRDefault="00B55191" w:rsidP="00B55191">
      <w:pPr>
        <w:pStyle w:val="EndNoteBibliography"/>
        <w:rPr>
          <w:noProof/>
        </w:rPr>
      </w:pPr>
      <w:r w:rsidRPr="00B55191">
        <w:rPr>
          <w:noProof/>
        </w:rPr>
        <w:t xml:space="preserve">(197) Horkans, J.; Shafer, M. W. An Investigation of the Electrochemistry of a Series of Metal Dioxides with Rutile‐Type Structure: Moo2,  Wo 2, Reo2, Ruo2, Oso2, and Iro2. </w:t>
      </w:r>
      <w:r w:rsidRPr="00B55191">
        <w:rPr>
          <w:i/>
          <w:noProof/>
        </w:rPr>
        <w:t xml:space="preserve">J. Electrochem. Soc. </w:t>
      </w:r>
      <w:r w:rsidRPr="00B55191">
        <w:rPr>
          <w:b/>
          <w:noProof/>
        </w:rPr>
        <w:t>1977</w:t>
      </w:r>
      <w:r w:rsidRPr="00B55191">
        <w:rPr>
          <w:noProof/>
        </w:rPr>
        <w:t xml:space="preserve">, </w:t>
      </w:r>
      <w:r w:rsidRPr="00B55191">
        <w:rPr>
          <w:i/>
          <w:noProof/>
        </w:rPr>
        <w:t>124</w:t>
      </w:r>
      <w:r w:rsidRPr="00B55191">
        <w:rPr>
          <w:noProof/>
        </w:rPr>
        <w:t>, 1202.</w:t>
      </w:r>
    </w:p>
    <w:p w14:paraId="07DF07FD" w14:textId="77777777" w:rsidR="00B55191" w:rsidRPr="00B55191" w:rsidRDefault="00B55191" w:rsidP="00B55191">
      <w:pPr>
        <w:pStyle w:val="EndNoteBibliography"/>
        <w:rPr>
          <w:noProof/>
        </w:rPr>
      </w:pPr>
      <w:r w:rsidRPr="00B55191">
        <w:rPr>
          <w:noProof/>
        </w:rPr>
        <w:t xml:space="preserve">(198) Divanis, S.; Frandsen, A. M.; Kutlusoy, T.; Rossmeisl, J. Lifting the Discrepancy between Experimental Results and the Theoretical Predictions for the Catalytic Activity of Ruo2(110) Towards Oxygen Evolution Reaction. </w:t>
      </w:r>
      <w:r w:rsidRPr="00B55191">
        <w:rPr>
          <w:i/>
          <w:noProof/>
        </w:rPr>
        <w:t xml:space="preserve">Phys. Chem. Chem. Phys. </w:t>
      </w:r>
      <w:r w:rsidRPr="00B55191">
        <w:rPr>
          <w:b/>
          <w:noProof/>
        </w:rPr>
        <w:t>2021</w:t>
      </w:r>
      <w:r w:rsidRPr="00B55191">
        <w:rPr>
          <w:noProof/>
        </w:rPr>
        <w:t xml:space="preserve">, </w:t>
      </w:r>
      <w:r w:rsidRPr="00B55191">
        <w:rPr>
          <w:i/>
          <w:noProof/>
        </w:rPr>
        <w:t>23</w:t>
      </w:r>
      <w:r w:rsidRPr="00B55191">
        <w:rPr>
          <w:noProof/>
        </w:rPr>
        <w:t>, 19141-19145.</w:t>
      </w:r>
    </w:p>
    <w:p w14:paraId="3438DACE" w14:textId="77777777" w:rsidR="00B55191" w:rsidRPr="00B55191" w:rsidRDefault="00B55191" w:rsidP="00B55191">
      <w:pPr>
        <w:pStyle w:val="EndNoteBibliography"/>
        <w:rPr>
          <w:noProof/>
        </w:rPr>
      </w:pPr>
      <w:r w:rsidRPr="00B55191">
        <w:rPr>
          <w:noProof/>
        </w:rPr>
        <w:t xml:space="preserve">(199) Briquet, L. G. V.; Sarwar, M.; Mugo, J.; Jones, G.; Calle-Vallejo, F. A New Type of Scaling Relations to Assess the Accuracy of Computational Predictions of Catalytic Activities Applied to the Oxygen Evolution Reaction. </w:t>
      </w:r>
      <w:r w:rsidRPr="00B55191">
        <w:rPr>
          <w:i/>
          <w:noProof/>
        </w:rPr>
        <w:t xml:space="preserve">ChemCatChem </w:t>
      </w:r>
      <w:r w:rsidRPr="00B55191">
        <w:rPr>
          <w:b/>
          <w:noProof/>
        </w:rPr>
        <w:t>2017</w:t>
      </w:r>
      <w:r w:rsidRPr="00B55191">
        <w:rPr>
          <w:noProof/>
        </w:rPr>
        <w:t xml:space="preserve">, </w:t>
      </w:r>
      <w:r w:rsidRPr="00B55191">
        <w:rPr>
          <w:i/>
          <w:noProof/>
        </w:rPr>
        <w:t>9</w:t>
      </w:r>
      <w:r w:rsidRPr="00B55191">
        <w:rPr>
          <w:noProof/>
        </w:rPr>
        <w:t>, 1261-1268.</w:t>
      </w:r>
    </w:p>
    <w:p w14:paraId="2107B8AA" w14:textId="77777777" w:rsidR="00B55191" w:rsidRPr="00B55191" w:rsidRDefault="00B55191" w:rsidP="00B55191">
      <w:pPr>
        <w:pStyle w:val="EndNoteBibliography"/>
        <w:rPr>
          <w:noProof/>
        </w:rPr>
      </w:pPr>
      <w:r w:rsidRPr="00B55191">
        <w:rPr>
          <w:noProof/>
        </w:rPr>
        <w:t xml:space="preserve">(200) Exner, K. S. Why Approximating Electrocatalytic Activity by a Single Free‐Energy Change Is Insufficient. </w:t>
      </w:r>
      <w:r w:rsidRPr="00B55191">
        <w:rPr>
          <w:i/>
          <w:noProof/>
        </w:rPr>
        <w:t xml:space="preserve">Electrochim. Acta </w:t>
      </w:r>
      <w:r w:rsidRPr="00B55191">
        <w:rPr>
          <w:b/>
          <w:noProof/>
        </w:rPr>
        <w:t>2021</w:t>
      </w:r>
      <w:r w:rsidRPr="00B55191">
        <w:rPr>
          <w:noProof/>
        </w:rPr>
        <w:t xml:space="preserve">, </w:t>
      </w:r>
      <w:r w:rsidRPr="00B55191">
        <w:rPr>
          <w:i/>
          <w:noProof/>
        </w:rPr>
        <w:t>375</w:t>
      </w:r>
      <w:r w:rsidRPr="00B55191">
        <w:rPr>
          <w:noProof/>
        </w:rPr>
        <w:t>, 137975.</w:t>
      </w:r>
    </w:p>
    <w:p w14:paraId="08B3ECCB" w14:textId="77777777" w:rsidR="00B55191" w:rsidRPr="00B55191" w:rsidRDefault="00B55191" w:rsidP="00B55191">
      <w:pPr>
        <w:pStyle w:val="EndNoteBibliography"/>
        <w:rPr>
          <w:noProof/>
        </w:rPr>
      </w:pPr>
      <w:r w:rsidRPr="00B55191">
        <w:rPr>
          <w:noProof/>
        </w:rPr>
        <w:t xml:space="preserve">(201) Valdés, Á.; Qu, Z. W.; Kroes, G. J.; Rossmeisl, J.; Nørskov, J. K. Oxidation and Photo-Oxidation of Water on Tio2 Surface. </w:t>
      </w:r>
      <w:r w:rsidRPr="00B55191">
        <w:rPr>
          <w:i/>
          <w:noProof/>
        </w:rPr>
        <w:t xml:space="preserve">J. Phys. Chem. C </w:t>
      </w:r>
      <w:r w:rsidRPr="00B55191">
        <w:rPr>
          <w:b/>
          <w:noProof/>
        </w:rPr>
        <w:t>2008</w:t>
      </w:r>
      <w:r w:rsidRPr="00B55191">
        <w:rPr>
          <w:noProof/>
        </w:rPr>
        <w:t xml:space="preserve">, </w:t>
      </w:r>
      <w:r w:rsidRPr="00B55191">
        <w:rPr>
          <w:i/>
          <w:noProof/>
        </w:rPr>
        <w:t>112</w:t>
      </w:r>
      <w:r w:rsidRPr="00B55191">
        <w:rPr>
          <w:noProof/>
        </w:rPr>
        <w:t>, 9872-9879.</w:t>
      </w:r>
    </w:p>
    <w:p w14:paraId="1D028097" w14:textId="77777777" w:rsidR="00B55191" w:rsidRPr="00B55191" w:rsidRDefault="00B55191" w:rsidP="00B55191">
      <w:pPr>
        <w:pStyle w:val="EndNoteBibliography"/>
        <w:rPr>
          <w:noProof/>
        </w:rPr>
      </w:pPr>
      <w:r w:rsidRPr="00B55191">
        <w:rPr>
          <w:noProof/>
        </w:rPr>
        <w:t xml:space="preserve">(202) Valdés, Á.; Kroes, G. J. Cluster Study of the Photo-Oxidation of Water on Rutile Titanium Dioxide (Tio2). </w:t>
      </w:r>
      <w:r w:rsidRPr="00B55191">
        <w:rPr>
          <w:i/>
          <w:noProof/>
        </w:rPr>
        <w:t xml:space="preserve">J. Phys. Chem. C </w:t>
      </w:r>
      <w:r w:rsidRPr="00B55191">
        <w:rPr>
          <w:b/>
          <w:noProof/>
        </w:rPr>
        <w:t>2010</w:t>
      </w:r>
      <w:r w:rsidRPr="00B55191">
        <w:rPr>
          <w:noProof/>
        </w:rPr>
        <w:t xml:space="preserve">, </w:t>
      </w:r>
      <w:r w:rsidRPr="00B55191">
        <w:rPr>
          <w:i/>
          <w:noProof/>
        </w:rPr>
        <w:t>114</w:t>
      </w:r>
      <w:r w:rsidRPr="00B55191">
        <w:rPr>
          <w:noProof/>
        </w:rPr>
        <w:t>, 1701-1708.</w:t>
      </w:r>
    </w:p>
    <w:p w14:paraId="5C903EB7" w14:textId="77777777" w:rsidR="00B55191" w:rsidRPr="00B55191" w:rsidRDefault="00B55191" w:rsidP="00B55191">
      <w:pPr>
        <w:pStyle w:val="EndNoteBibliography"/>
        <w:rPr>
          <w:noProof/>
        </w:rPr>
      </w:pPr>
      <w:r w:rsidRPr="00B55191">
        <w:rPr>
          <w:noProof/>
        </w:rPr>
        <w:t xml:space="preserve">(203) Valdés, Á.; Kroes, G.-J. First Principles Study of the Photo-Oxidation of Water on Tungsten Trioxide (Wo3). </w:t>
      </w:r>
      <w:r w:rsidRPr="00B55191">
        <w:rPr>
          <w:i/>
          <w:noProof/>
        </w:rPr>
        <w:t xml:space="preserve">J. Chem. Phys. </w:t>
      </w:r>
      <w:r w:rsidRPr="00B55191">
        <w:rPr>
          <w:b/>
          <w:noProof/>
        </w:rPr>
        <w:t>2009</w:t>
      </w:r>
      <w:r w:rsidRPr="00B55191">
        <w:rPr>
          <w:noProof/>
        </w:rPr>
        <w:t xml:space="preserve">, </w:t>
      </w:r>
      <w:r w:rsidRPr="00B55191">
        <w:rPr>
          <w:i/>
          <w:noProof/>
        </w:rPr>
        <w:t>130</w:t>
      </w:r>
      <w:r w:rsidRPr="00B55191">
        <w:rPr>
          <w:noProof/>
        </w:rPr>
        <w:t xml:space="preserve">, </w:t>
      </w:r>
    </w:p>
    <w:p w14:paraId="5ED8F8B1" w14:textId="77777777" w:rsidR="00B55191" w:rsidRPr="00B55191" w:rsidRDefault="00B55191" w:rsidP="00B55191">
      <w:pPr>
        <w:pStyle w:val="EndNoteBibliography"/>
        <w:rPr>
          <w:noProof/>
        </w:rPr>
      </w:pPr>
      <w:r w:rsidRPr="00B55191">
        <w:rPr>
          <w:noProof/>
        </w:rPr>
        <w:lastRenderedPageBreak/>
        <w:t xml:space="preserve">(204) Rossmeisl, J.; Dimitrievski, K.; Siegbahn, P.; Nørskov, J. K. Comparing Electrochemical and Biological Water Splitting. </w:t>
      </w:r>
      <w:r w:rsidRPr="00B55191">
        <w:rPr>
          <w:i/>
          <w:noProof/>
        </w:rPr>
        <w:t xml:space="preserve">J. Phys. Chem. C </w:t>
      </w:r>
      <w:r w:rsidRPr="00B55191">
        <w:rPr>
          <w:b/>
          <w:noProof/>
        </w:rPr>
        <w:t>2007</w:t>
      </w:r>
      <w:r w:rsidRPr="00B55191">
        <w:rPr>
          <w:noProof/>
        </w:rPr>
        <w:t xml:space="preserve">, </w:t>
      </w:r>
      <w:r w:rsidRPr="00B55191">
        <w:rPr>
          <w:i/>
          <w:noProof/>
        </w:rPr>
        <w:t>111</w:t>
      </w:r>
      <w:r w:rsidRPr="00B55191">
        <w:rPr>
          <w:noProof/>
        </w:rPr>
        <w:t>, 18821-18823.</w:t>
      </w:r>
    </w:p>
    <w:p w14:paraId="01EA398B" w14:textId="77777777" w:rsidR="00B55191" w:rsidRPr="00B55191" w:rsidRDefault="00B55191" w:rsidP="00B55191">
      <w:pPr>
        <w:pStyle w:val="EndNoteBibliography"/>
        <w:rPr>
          <w:noProof/>
        </w:rPr>
      </w:pPr>
      <w:r w:rsidRPr="00B55191">
        <w:rPr>
          <w:noProof/>
        </w:rPr>
        <w:t xml:space="preserve">(205) Dau, H.; Limberg, C.; Reier, T.; Risch, M.; Roggan, S.; Strasser, P. The Mechanism of Water Oxidation: From Electrolysis Via Homogeneous to Biological Catalysis. </w:t>
      </w:r>
      <w:r w:rsidRPr="00B55191">
        <w:rPr>
          <w:i/>
          <w:noProof/>
        </w:rPr>
        <w:t xml:space="preserve">ChemCatChem </w:t>
      </w:r>
      <w:r w:rsidRPr="00B55191">
        <w:rPr>
          <w:b/>
          <w:noProof/>
        </w:rPr>
        <w:t>2010</w:t>
      </w:r>
      <w:r w:rsidRPr="00B55191">
        <w:rPr>
          <w:noProof/>
        </w:rPr>
        <w:t xml:space="preserve">, </w:t>
      </w:r>
      <w:r w:rsidRPr="00B55191">
        <w:rPr>
          <w:i/>
          <w:noProof/>
        </w:rPr>
        <w:t>2</w:t>
      </w:r>
      <w:r w:rsidRPr="00B55191">
        <w:rPr>
          <w:noProof/>
        </w:rPr>
        <w:t>, 724-761.</w:t>
      </w:r>
    </w:p>
    <w:p w14:paraId="0DAFEF9C" w14:textId="77777777" w:rsidR="00B55191" w:rsidRPr="00B55191" w:rsidRDefault="00B55191" w:rsidP="00B55191">
      <w:pPr>
        <w:pStyle w:val="EndNoteBibliography"/>
        <w:rPr>
          <w:noProof/>
        </w:rPr>
      </w:pPr>
      <w:r w:rsidRPr="00B55191">
        <w:rPr>
          <w:noProof/>
        </w:rPr>
        <w:t xml:space="preserve">(206) Koper, M. T. M.; Heering, H. A. Comparison of Electrocatalysis and Bioelectrocatalysis of Hydrogen and Oxygen Redox Reactions. In </w:t>
      </w:r>
      <w:r w:rsidRPr="00B55191">
        <w:rPr>
          <w:i/>
          <w:noProof/>
        </w:rPr>
        <w:t>Fuel Cell Science</w:t>
      </w:r>
      <w:r w:rsidRPr="00B55191">
        <w:rPr>
          <w:noProof/>
        </w:rPr>
        <w:t>,  2010; pp 71-110.</w:t>
      </w:r>
    </w:p>
    <w:p w14:paraId="0B191A00" w14:textId="77777777" w:rsidR="00B55191" w:rsidRPr="00B55191" w:rsidRDefault="00B55191" w:rsidP="00B55191">
      <w:pPr>
        <w:pStyle w:val="EndNoteBibliography"/>
        <w:rPr>
          <w:noProof/>
        </w:rPr>
      </w:pPr>
      <w:r w:rsidRPr="00B55191">
        <w:rPr>
          <w:noProof/>
        </w:rPr>
        <w:t xml:space="preserve">(207) Lyons, M. E. G.; Brandon, M. P. A Comparative Study of the Oxygen Evolution Reaction on Oxidised Nickel, Cobalt and Iron Electrodes in Base. </w:t>
      </w:r>
      <w:r w:rsidRPr="00B55191">
        <w:rPr>
          <w:i/>
          <w:noProof/>
        </w:rPr>
        <w:t xml:space="preserve">J. Electroanal. Chem. </w:t>
      </w:r>
      <w:r w:rsidRPr="00B55191">
        <w:rPr>
          <w:b/>
          <w:noProof/>
        </w:rPr>
        <w:t>2010</w:t>
      </w:r>
      <w:r w:rsidRPr="00B55191">
        <w:rPr>
          <w:noProof/>
        </w:rPr>
        <w:t xml:space="preserve">, </w:t>
      </w:r>
      <w:r w:rsidRPr="00B55191">
        <w:rPr>
          <w:i/>
          <w:noProof/>
        </w:rPr>
        <w:t>641</w:t>
      </w:r>
      <w:r w:rsidRPr="00B55191">
        <w:rPr>
          <w:noProof/>
        </w:rPr>
        <w:t>, 119-130.</w:t>
      </w:r>
    </w:p>
    <w:p w14:paraId="18773208" w14:textId="77777777" w:rsidR="00B55191" w:rsidRPr="00B55191" w:rsidRDefault="00B55191" w:rsidP="00B55191">
      <w:pPr>
        <w:pStyle w:val="EndNoteBibliography"/>
        <w:rPr>
          <w:noProof/>
        </w:rPr>
      </w:pPr>
      <w:r w:rsidRPr="00B55191">
        <w:rPr>
          <w:noProof/>
        </w:rPr>
        <w:t xml:space="preserve">(208) Yeo, B. S.; Klaus, S. L.; Ross, P. N.; Mathies, R. A.; Bell, A. T. Identification of Hydroperoxy Species as Reaction Intermediates in the Electrochemical Evolution of Oxygen on Gold. </w:t>
      </w:r>
      <w:r w:rsidRPr="00B55191">
        <w:rPr>
          <w:i/>
          <w:noProof/>
        </w:rPr>
        <w:t xml:space="preserve">ChemPhysChem </w:t>
      </w:r>
      <w:r w:rsidRPr="00B55191">
        <w:rPr>
          <w:b/>
          <w:noProof/>
        </w:rPr>
        <w:t>2010</w:t>
      </w:r>
      <w:r w:rsidRPr="00B55191">
        <w:rPr>
          <w:noProof/>
        </w:rPr>
        <w:t xml:space="preserve">, </w:t>
      </w:r>
      <w:r w:rsidRPr="00B55191">
        <w:rPr>
          <w:i/>
          <w:noProof/>
        </w:rPr>
        <w:t>11</w:t>
      </w:r>
      <w:r w:rsidRPr="00B55191">
        <w:rPr>
          <w:noProof/>
        </w:rPr>
        <w:t>, 1854-1857.</w:t>
      </w:r>
    </w:p>
    <w:p w14:paraId="03564B12" w14:textId="77777777" w:rsidR="00B55191" w:rsidRPr="00B55191" w:rsidRDefault="00B55191" w:rsidP="00B55191">
      <w:pPr>
        <w:pStyle w:val="EndNoteBibliography"/>
        <w:rPr>
          <w:noProof/>
        </w:rPr>
      </w:pPr>
      <w:r w:rsidRPr="00B55191">
        <w:rPr>
          <w:noProof/>
        </w:rPr>
        <w:t xml:space="preserve">(209) Forgie, R.; Bugosh, G.; Neyerlin, K. C.; Liu, Z.; Strasser, P. Bimetallic Ru Electrocatalysts for the Oer and Electrolytic Water Splitting in Acidic Media. </w:t>
      </w:r>
      <w:r w:rsidRPr="00B55191">
        <w:rPr>
          <w:i/>
          <w:noProof/>
        </w:rPr>
        <w:t xml:space="preserve">Electrochem. Solid-State Lett. </w:t>
      </w:r>
      <w:r w:rsidRPr="00B55191">
        <w:rPr>
          <w:b/>
          <w:noProof/>
        </w:rPr>
        <w:t>2010</w:t>
      </w:r>
      <w:r w:rsidRPr="00B55191">
        <w:rPr>
          <w:noProof/>
        </w:rPr>
        <w:t xml:space="preserve">, </w:t>
      </w:r>
      <w:r w:rsidRPr="00B55191">
        <w:rPr>
          <w:i/>
          <w:noProof/>
        </w:rPr>
        <w:t>13</w:t>
      </w:r>
      <w:r w:rsidRPr="00B55191">
        <w:rPr>
          <w:noProof/>
        </w:rPr>
        <w:t>, B36.</w:t>
      </w:r>
    </w:p>
    <w:p w14:paraId="64D87E6A" w14:textId="77777777" w:rsidR="00B55191" w:rsidRPr="00B55191" w:rsidRDefault="00B55191" w:rsidP="00B55191">
      <w:pPr>
        <w:pStyle w:val="EndNoteBibliography"/>
        <w:rPr>
          <w:noProof/>
        </w:rPr>
      </w:pPr>
      <w:r w:rsidRPr="00B55191">
        <w:rPr>
          <w:noProof/>
        </w:rPr>
        <w:t xml:space="preserve">(210) Macounova, K.; Makarova, M.; Krtil, P. Oxygen Evolution on Nanocrystalline Ruo2 and Ru0.9ni0.1o2-Δ Electrodes – Dems Approach to Reaction Mechanism Determination. </w:t>
      </w:r>
      <w:r w:rsidRPr="00B55191">
        <w:rPr>
          <w:i/>
          <w:noProof/>
        </w:rPr>
        <w:t xml:space="preserve">Electrochem. Commun. </w:t>
      </w:r>
      <w:r w:rsidRPr="00B55191">
        <w:rPr>
          <w:b/>
          <w:noProof/>
        </w:rPr>
        <w:t>2009</w:t>
      </w:r>
      <w:r w:rsidRPr="00B55191">
        <w:rPr>
          <w:noProof/>
        </w:rPr>
        <w:t xml:space="preserve">, </w:t>
      </w:r>
      <w:r w:rsidRPr="00B55191">
        <w:rPr>
          <w:i/>
          <w:noProof/>
        </w:rPr>
        <w:t>11</w:t>
      </w:r>
      <w:r w:rsidRPr="00B55191">
        <w:rPr>
          <w:noProof/>
        </w:rPr>
        <w:t>, 1865-1868.</w:t>
      </w:r>
    </w:p>
    <w:p w14:paraId="2AFAFBF8" w14:textId="77777777" w:rsidR="00B55191" w:rsidRPr="00B55191" w:rsidRDefault="00B55191" w:rsidP="00B55191">
      <w:pPr>
        <w:pStyle w:val="EndNoteBibliography"/>
        <w:rPr>
          <w:noProof/>
        </w:rPr>
      </w:pPr>
      <w:r w:rsidRPr="00B55191">
        <w:rPr>
          <w:noProof/>
        </w:rPr>
        <w:t xml:space="preserve">(211) Fernández, E. M.; Moses, P. G.; Toftelund, A.; Hansen, H. A.; Martínez, J. I.; Abild-Pedersen, F.; Kleis, J.; Hinnemann, B.; Rossmeisl, J.; Bligaard, T.; Nørskov, J. K. Scaling Relationships for Adsorption Energies on Transition Metal Oxide, Sulfide, and Nitride Surfaces. </w:t>
      </w:r>
      <w:r w:rsidRPr="00B55191">
        <w:rPr>
          <w:i/>
          <w:noProof/>
        </w:rPr>
        <w:t xml:space="preserve">Angew. Chem. Int. Ed. </w:t>
      </w:r>
      <w:r w:rsidRPr="00B55191">
        <w:rPr>
          <w:b/>
          <w:noProof/>
        </w:rPr>
        <w:t>2008</w:t>
      </w:r>
      <w:r w:rsidRPr="00B55191">
        <w:rPr>
          <w:noProof/>
        </w:rPr>
        <w:t xml:space="preserve">, </w:t>
      </w:r>
      <w:r w:rsidRPr="00B55191">
        <w:rPr>
          <w:i/>
          <w:noProof/>
        </w:rPr>
        <w:t>47</w:t>
      </w:r>
      <w:r w:rsidRPr="00B55191">
        <w:rPr>
          <w:noProof/>
        </w:rPr>
        <w:t>, 4683-4686.</w:t>
      </w:r>
    </w:p>
    <w:p w14:paraId="01C770DD" w14:textId="77777777" w:rsidR="00B55191" w:rsidRPr="00B55191" w:rsidRDefault="00B55191" w:rsidP="00B55191">
      <w:pPr>
        <w:pStyle w:val="EndNoteBibliography"/>
        <w:rPr>
          <w:noProof/>
        </w:rPr>
      </w:pPr>
      <w:r w:rsidRPr="00B55191">
        <w:rPr>
          <w:noProof/>
        </w:rPr>
        <w:t xml:space="preserve">(212) Hansen, H. A.; Man, I. C.; Studt, F.; Abild-Pedersen, F.; Bligaard, T.; Rossmeisl, J. Electrochemical Chlorine Evolution at Rutile Oxide (110) Surfaces. </w:t>
      </w:r>
      <w:r w:rsidRPr="00B55191">
        <w:rPr>
          <w:i/>
          <w:noProof/>
        </w:rPr>
        <w:t xml:space="preserve">Phys. Chem. Chem. Phys. </w:t>
      </w:r>
      <w:r w:rsidRPr="00B55191">
        <w:rPr>
          <w:b/>
          <w:noProof/>
        </w:rPr>
        <w:t>2010</w:t>
      </w:r>
      <w:r w:rsidRPr="00B55191">
        <w:rPr>
          <w:noProof/>
        </w:rPr>
        <w:t xml:space="preserve">, </w:t>
      </w:r>
      <w:r w:rsidRPr="00B55191">
        <w:rPr>
          <w:i/>
          <w:noProof/>
        </w:rPr>
        <w:t>12</w:t>
      </w:r>
      <w:r w:rsidRPr="00B55191">
        <w:rPr>
          <w:noProof/>
        </w:rPr>
        <w:t>, 283-290.</w:t>
      </w:r>
    </w:p>
    <w:p w14:paraId="5577A815" w14:textId="77777777" w:rsidR="00B55191" w:rsidRPr="00B55191" w:rsidRDefault="00B55191" w:rsidP="00B55191">
      <w:pPr>
        <w:pStyle w:val="EndNoteBibliography"/>
        <w:rPr>
          <w:noProof/>
        </w:rPr>
      </w:pPr>
      <w:r w:rsidRPr="00B55191">
        <w:rPr>
          <w:noProof/>
        </w:rPr>
        <w:t xml:space="preserve">(213) Ruberto, C.; Lundqvist, B. I. Nature of Adsorption on Tic(111) Investigated with Density-Functional Calculations. </w:t>
      </w:r>
      <w:r w:rsidRPr="00B55191">
        <w:rPr>
          <w:i/>
          <w:noProof/>
        </w:rPr>
        <w:t xml:space="preserve">Phys. Rev. B </w:t>
      </w:r>
      <w:r w:rsidRPr="00B55191">
        <w:rPr>
          <w:b/>
          <w:noProof/>
        </w:rPr>
        <w:t>2007</w:t>
      </w:r>
      <w:r w:rsidRPr="00B55191">
        <w:rPr>
          <w:noProof/>
        </w:rPr>
        <w:t xml:space="preserve">, </w:t>
      </w:r>
      <w:r w:rsidRPr="00B55191">
        <w:rPr>
          <w:i/>
          <w:noProof/>
        </w:rPr>
        <w:t>75</w:t>
      </w:r>
      <w:r w:rsidRPr="00B55191">
        <w:rPr>
          <w:noProof/>
        </w:rPr>
        <w:t>, 235438.</w:t>
      </w:r>
    </w:p>
    <w:p w14:paraId="778871BA" w14:textId="77777777" w:rsidR="00B55191" w:rsidRPr="00B55191" w:rsidRDefault="00B55191" w:rsidP="00B55191">
      <w:pPr>
        <w:pStyle w:val="EndNoteBibliography"/>
        <w:rPr>
          <w:noProof/>
        </w:rPr>
      </w:pPr>
      <w:r w:rsidRPr="00B55191">
        <w:rPr>
          <w:noProof/>
        </w:rPr>
        <w:t xml:space="preserve">(214) Vojvodic, A.; Hellman, A.; Ruberto, C.; Lundqvist, B. I. From Electronic Structure to Catalytic Activity: A Single Descriptor for Adsorption and Reactivity on Transition-Metal Carbides. </w:t>
      </w:r>
      <w:r w:rsidRPr="00B55191">
        <w:rPr>
          <w:i/>
          <w:noProof/>
        </w:rPr>
        <w:t xml:space="preserve">Phys. Rev. Lett. </w:t>
      </w:r>
      <w:r w:rsidRPr="00B55191">
        <w:rPr>
          <w:b/>
          <w:noProof/>
        </w:rPr>
        <w:t>2009</w:t>
      </w:r>
      <w:r w:rsidRPr="00B55191">
        <w:rPr>
          <w:noProof/>
        </w:rPr>
        <w:t xml:space="preserve">, </w:t>
      </w:r>
      <w:r w:rsidRPr="00B55191">
        <w:rPr>
          <w:i/>
          <w:noProof/>
        </w:rPr>
        <w:t>103</w:t>
      </w:r>
      <w:r w:rsidRPr="00B55191">
        <w:rPr>
          <w:noProof/>
        </w:rPr>
        <w:t>, 146103.</w:t>
      </w:r>
    </w:p>
    <w:p w14:paraId="55C45B67" w14:textId="77777777" w:rsidR="00B55191" w:rsidRPr="00B55191" w:rsidRDefault="00B55191" w:rsidP="00B55191">
      <w:pPr>
        <w:pStyle w:val="EndNoteBibliography"/>
        <w:rPr>
          <w:noProof/>
        </w:rPr>
      </w:pPr>
      <w:r w:rsidRPr="00B55191">
        <w:rPr>
          <w:noProof/>
        </w:rPr>
        <w:t xml:space="preserve">(215) Araujo, R. B.; Rodrigues, G. L. S.; dos Santos, E. C.; Pettersson, L. G. M. Adsorption Energies on Transition Metal Surfaces: Towards an Accurate and Balanced Description. </w:t>
      </w:r>
      <w:r w:rsidRPr="00B55191">
        <w:rPr>
          <w:i/>
          <w:noProof/>
        </w:rPr>
        <w:t xml:space="preserve">Nat. Commun. </w:t>
      </w:r>
      <w:r w:rsidRPr="00B55191">
        <w:rPr>
          <w:b/>
          <w:noProof/>
        </w:rPr>
        <w:t>2022</w:t>
      </w:r>
      <w:r w:rsidRPr="00B55191">
        <w:rPr>
          <w:noProof/>
        </w:rPr>
        <w:t xml:space="preserve">, </w:t>
      </w:r>
      <w:r w:rsidRPr="00B55191">
        <w:rPr>
          <w:i/>
          <w:noProof/>
        </w:rPr>
        <w:t>13</w:t>
      </w:r>
      <w:r w:rsidRPr="00B55191">
        <w:rPr>
          <w:noProof/>
        </w:rPr>
        <w:t>, 6853.</w:t>
      </w:r>
    </w:p>
    <w:p w14:paraId="75F66B0C" w14:textId="77777777" w:rsidR="00B55191" w:rsidRPr="00B55191" w:rsidRDefault="00B55191" w:rsidP="00B55191">
      <w:pPr>
        <w:pStyle w:val="EndNoteBibliography"/>
        <w:rPr>
          <w:noProof/>
        </w:rPr>
      </w:pPr>
      <w:r w:rsidRPr="00B55191">
        <w:rPr>
          <w:noProof/>
        </w:rPr>
        <w:t xml:space="preserve">(216) Wellendorff, J.; Silbaugh, T. L.; Garcia-Pintos, D.; Nørskov, J. K.; Bligaard, T.; Studt, F.; Campbell, C. T. A Benchmark Database for Adsorption Bond Energies to Transition Metal Surfaces and Comparison to Selected Dft Functionals. </w:t>
      </w:r>
      <w:r w:rsidRPr="00B55191">
        <w:rPr>
          <w:i/>
          <w:noProof/>
        </w:rPr>
        <w:t xml:space="preserve">Surf. Sci. </w:t>
      </w:r>
      <w:r w:rsidRPr="00B55191">
        <w:rPr>
          <w:b/>
          <w:noProof/>
        </w:rPr>
        <w:t>2015</w:t>
      </w:r>
      <w:r w:rsidRPr="00B55191">
        <w:rPr>
          <w:noProof/>
        </w:rPr>
        <w:t xml:space="preserve">, </w:t>
      </w:r>
      <w:r w:rsidRPr="00B55191">
        <w:rPr>
          <w:i/>
          <w:noProof/>
        </w:rPr>
        <w:t>640</w:t>
      </w:r>
      <w:r w:rsidRPr="00B55191">
        <w:rPr>
          <w:noProof/>
        </w:rPr>
        <w:t>, 36-44.</w:t>
      </w:r>
    </w:p>
    <w:p w14:paraId="01942CE1" w14:textId="77777777" w:rsidR="00B55191" w:rsidRPr="00B55191" w:rsidRDefault="00B55191" w:rsidP="00B55191">
      <w:pPr>
        <w:pStyle w:val="EndNoteBibliography"/>
        <w:rPr>
          <w:noProof/>
        </w:rPr>
      </w:pPr>
      <w:r w:rsidRPr="00B55191">
        <w:rPr>
          <w:noProof/>
        </w:rPr>
        <w:t xml:space="preserve">(217) Bockris, J. O. M.; Otagawa, T. The Electrocatalysis of Oxygen Evolution on Perovskites. </w:t>
      </w:r>
      <w:r w:rsidRPr="00B55191">
        <w:rPr>
          <w:i/>
          <w:noProof/>
        </w:rPr>
        <w:t xml:space="preserve">J. Electrochem. Soc. </w:t>
      </w:r>
      <w:r w:rsidRPr="00B55191">
        <w:rPr>
          <w:b/>
          <w:noProof/>
        </w:rPr>
        <w:t>1984</w:t>
      </w:r>
      <w:r w:rsidRPr="00B55191">
        <w:rPr>
          <w:noProof/>
        </w:rPr>
        <w:t xml:space="preserve">, </w:t>
      </w:r>
      <w:r w:rsidRPr="00B55191">
        <w:rPr>
          <w:i/>
          <w:noProof/>
        </w:rPr>
        <w:t>131</w:t>
      </w:r>
      <w:r w:rsidRPr="00B55191">
        <w:rPr>
          <w:noProof/>
        </w:rPr>
        <w:t>, 290.</w:t>
      </w:r>
    </w:p>
    <w:p w14:paraId="57190941" w14:textId="77777777" w:rsidR="00B55191" w:rsidRPr="00B55191" w:rsidRDefault="00B55191" w:rsidP="00B55191">
      <w:pPr>
        <w:pStyle w:val="EndNoteBibliography"/>
        <w:rPr>
          <w:noProof/>
        </w:rPr>
      </w:pPr>
      <w:r w:rsidRPr="00B55191">
        <w:rPr>
          <w:noProof/>
        </w:rPr>
        <w:t xml:space="preserve">(218) Vojvodic, A.; Calle-Vallejo, F.; Guo, W.; Wang, S.; Toftelund, A.; Studt, F.; Martínez, J. I.; Shen, J.; Man, I. C.; Rossmeisl, J.; et al. On the Behavior of Brønsted-Evans-Polanyi Relations for Transition Metal Oxides. </w:t>
      </w:r>
      <w:r w:rsidRPr="00B55191">
        <w:rPr>
          <w:i/>
          <w:noProof/>
        </w:rPr>
        <w:t xml:space="preserve">J. Chem. Phys. </w:t>
      </w:r>
      <w:r w:rsidRPr="00B55191">
        <w:rPr>
          <w:b/>
          <w:noProof/>
        </w:rPr>
        <w:t>2011</w:t>
      </w:r>
      <w:r w:rsidRPr="00B55191">
        <w:rPr>
          <w:noProof/>
        </w:rPr>
        <w:t xml:space="preserve">, </w:t>
      </w:r>
      <w:r w:rsidRPr="00B55191">
        <w:rPr>
          <w:i/>
          <w:noProof/>
        </w:rPr>
        <w:t>134</w:t>
      </w:r>
      <w:r w:rsidRPr="00B55191">
        <w:rPr>
          <w:noProof/>
        </w:rPr>
        <w:t xml:space="preserve">, </w:t>
      </w:r>
    </w:p>
    <w:p w14:paraId="5731C7FA" w14:textId="77777777" w:rsidR="00B55191" w:rsidRPr="00B55191" w:rsidRDefault="00B55191" w:rsidP="00B55191">
      <w:pPr>
        <w:pStyle w:val="EndNoteBibliography"/>
        <w:rPr>
          <w:noProof/>
        </w:rPr>
      </w:pPr>
      <w:r w:rsidRPr="00B55191">
        <w:rPr>
          <w:noProof/>
        </w:rPr>
        <w:t xml:space="preserve">(219) Frevel, L. J.; Mom, R.; Velasco-Vélez, J.-J.; Plodinec, M.; Knop-Gericke, A.; Schlögl, R.; Jones, T. E. In Situ X-Ray Spectroscopy of the Electrochemical Development of Iridium Nanoparticles in Confined Electrolyte. </w:t>
      </w:r>
      <w:r w:rsidRPr="00B55191">
        <w:rPr>
          <w:i/>
          <w:noProof/>
        </w:rPr>
        <w:t xml:space="preserve">J. Phys. Chem. C </w:t>
      </w:r>
      <w:r w:rsidRPr="00B55191">
        <w:rPr>
          <w:b/>
          <w:noProof/>
        </w:rPr>
        <w:t>2019</w:t>
      </w:r>
      <w:r w:rsidRPr="00B55191">
        <w:rPr>
          <w:noProof/>
        </w:rPr>
        <w:t xml:space="preserve">, </w:t>
      </w:r>
      <w:r w:rsidRPr="00B55191">
        <w:rPr>
          <w:i/>
          <w:noProof/>
        </w:rPr>
        <w:t>123</w:t>
      </w:r>
      <w:r w:rsidRPr="00B55191">
        <w:rPr>
          <w:noProof/>
        </w:rPr>
        <w:t>, 9146-9152.</w:t>
      </w:r>
    </w:p>
    <w:p w14:paraId="57287CB0" w14:textId="77777777" w:rsidR="00B55191" w:rsidRPr="00B55191" w:rsidRDefault="00B55191" w:rsidP="00B55191">
      <w:pPr>
        <w:pStyle w:val="EndNoteBibliography"/>
        <w:rPr>
          <w:noProof/>
        </w:rPr>
      </w:pPr>
      <w:r w:rsidRPr="00B55191">
        <w:rPr>
          <w:noProof/>
        </w:rPr>
        <w:t xml:space="preserve">(220) Torun, E.; Fang, C. M.; de Wijs, G. A.; de Groot, R. A. Role of Magnetism in Catalysis: Ruo2 (110) Surface. </w:t>
      </w:r>
      <w:r w:rsidRPr="00B55191">
        <w:rPr>
          <w:i/>
          <w:noProof/>
        </w:rPr>
        <w:t xml:space="preserve">J. Phys. Chem. C </w:t>
      </w:r>
      <w:r w:rsidRPr="00B55191">
        <w:rPr>
          <w:b/>
          <w:noProof/>
        </w:rPr>
        <w:t>2013</w:t>
      </w:r>
      <w:r w:rsidRPr="00B55191">
        <w:rPr>
          <w:noProof/>
        </w:rPr>
        <w:t xml:space="preserve">, </w:t>
      </w:r>
      <w:r w:rsidRPr="00B55191">
        <w:rPr>
          <w:i/>
          <w:noProof/>
        </w:rPr>
        <w:t>117</w:t>
      </w:r>
      <w:r w:rsidRPr="00B55191">
        <w:rPr>
          <w:noProof/>
        </w:rPr>
        <w:t>, 6353-6357.</w:t>
      </w:r>
    </w:p>
    <w:p w14:paraId="4A048B9E" w14:textId="77777777" w:rsidR="00B55191" w:rsidRPr="00B55191" w:rsidRDefault="00B55191" w:rsidP="00B55191">
      <w:pPr>
        <w:pStyle w:val="EndNoteBibliography"/>
        <w:rPr>
          <w:noProof/>
        </w:rPr>
      </w:pPr>
      <w:r w:rsidRPr="00B55191">
        <w:rPr>
          <w:noProof/>
        </w:rPr>
        <w:lastRenderedPageBreak/>
        <w:t xml:space="preserve">(221) Mom, R. V.; Cheng, J.; Koper, M. T. M.; Sprik, M. Modeling the Oxygen Evolution Reaction on Metal Oxides: The Infuence of Unrestricted Dft Calculations. </w:t>
      </w:r>
      <w:r w:rsidRPr="00B55191">
        <w:rPr>
          <w:i/>
          <w:noProof/>
        </w:rPr>
        <w:t xml:space="preserve">J. Phys. Chem. C </w:t>
      </w:r>
      <w:r w:rsidRPr="00B55191">
        <w:rPr>
          <w:b/>
          <w:noProof/>
        </w:rPr>
        <w:t>2014</w:t>
      </w:r>
      <w:r w:rsidRPr="00B55191">
        <w:rPr>
          <w:noProof/>
        </w:rPr>
        <w:t xml:space="preserve">, </w:t>
      </w:r>
      <w:r w:rsidRPr="00B55191">
        <w:rPr>
          <w:i/>
          <w:noProof/>
        </w:rPr>
        <w:t>118</w:t>
      </w:r>
      <w:r w:rsidRPr="00B55191">
        <w:rPr>
          <w:noProof/>
        </w:rPr>
        <w:t>, 4095-4102.</w:t>
      </w:r>
    </w:p>
    <w:p w14:paraId="0F3393BE" w14:textId="77777777" w:rsidR="00B55191" w:rsidRPr="00B55191" w:rsidRDefault="00B55191" w:rsidP="00B55191">
      <w:pPr>
        <w:pStyle w:val="EndNoteBibliography"/>
        <w:rPr>
          <w:noProof/>
        </w:rPr>
      </w:pPr>
      <w:r w:rsidRPr="00B55191">
        <w:rPr>
          <w:noProof/>
        </w:rPr>
        <w:t xml:space="preserve">(222) González, D.; Heras-Domingo, J.; Sodupe, M.; Rodríguez-Santiago, L.; Solans-Monfort, X. Importance of the Oxyl Character on the Iro2 Surface Dependent Catalytic Activity for the Oxygen Evolution Reaction. </w:t>
      </w:r>
      <w:r w:rsidRPr="00B55191">
        <w:rPr>
          <w:i/>
          <w:noProof/>
        </w:rPr>
        <w:t xml:space="preserve">J. Catal. </w:t>
      </w:r>
      <w:r w:rsidRPr="00B55191">
        <w:rPr>
          <w:b/>
          <w:noProof/>
        </w:rPr>
        <w:t>2021</w:t>
      </w:r>
      <w:r w:rsidRPr="00B55191">
        <w:rPr>
          <w:noProof/>
        </w:rPr>
        <w:t xml:space="preserve">, </w:t>
      </w:r>
      <w:r w:rsidRPr="00B55191">
        <w:rPr>
          <w:i/>
          <w:noProof/>
        </w:rPr>
        <w:t>396</w:t>
      </w:r>
      <w:r w:rsidRPr="00B55191">
        <w:rPr>
          <w:noProof/>
        </w:rPr>
        <w:t>, 192-201.</w:t>
      </w:r>
    </w:p>
    <w:p w14:paraId="60B1771C" w14:textId="77777777" w:rsidR="00B55191" w:rsidRPr="00B55191" w:rsidRDefault="00B55191" w:rsidP="00B55191">
      <w:pPr>
        <w:pStyle w:val="EndNoteBibliography"/>
        <w:rPr>
          <w:noProof/>
        </w:rPr>
      </w:pPr>
      <w:r w:rsidRPr="00B55191">
        <w:rPr>
          <w:noProof/>
        </w:rPr>
        <w:t xml:space="preserve">(223) Haase, F. T.; Bergmann, A.; Jones, T. E.; Timoshenko, J.; Herzog, A.; Jeon, H. S.; Rettenmaier, C.; Cuenya, B. R. Size Effects and Active State Formation of Cobalt Oxide Nanoparticles During the Oxygen Evolution Reaction. </w:t>
      </w:r>
      <w:r w:rsidRPr="00B55191">
        <w:rPr>
          <w:i/>
          <w:noProof/>
        </w:rPr>
        <w:t xml:space="preserve">Nat. Energy </w:t>
      </w:r>
      <w:r w:rsidRPr="00B55191">
        <w:rPr>
          <w:b/>
          <w:noProof/>
        </w:rPr>
        <w:t>2022</w:t>
      </w:r>
      <w:r w:rsidRPr="00B55191">
        <w:rPr>
          <w:noProof/>
        </w:rPr>
        <w:t xml:space="preserve">, </w:t>
      </w:r>
      <w:r w:rsidRPr="00B55191">
        <w:rPr>
          <w:i/>
          <w:noProof/>
        </w:rPr>
        <w:t>7</w:t>
      </w:r>
      <w:r w:rsidRPr="00B55191">
        <w:rPr>
          <w:noProof/>
        </w:rPr>
        <w:t>, 765-773.</w:t>
      </w:r>
    </w:p>
    <w:p w14:paraId="1471BFA8" w14:textId="77777777" w:rsidR="00B55191" w:rsidRPr="00B55191" w:rsidRDefault="00B55191" w:rsidP="00B55191">
      <w:pPr>
        <w:pStyle w:val="EndNoteBibliography"/>
        <w:rPr>
          <w:noProof/>
        </w:rPr>
      </w:pPr>
      <w:r w:rsidRPr="00B55191">
        <w:rPr>
          <w:noProof/>
        </w:rPr>
        <w:t xml:space="preserve">(224) Velasco-Vélez, J.-J.; Carbonio, E. A.; Chuang, C.-H.; Hsu, C.-J.; Lee, J.-F.; Arrigo, R.; Hävecker, M.; Wang, R.; Plodinec, M.; Wang, F. R.; et al. Surface Electron-Hole Rich Species Active in the Electrocatalytic Water Oxidation. </w:t>
      </w:r>
      <w:r w:rsidRPr="00B55191">
        <w:rPr>
          <w:i/>
          <w:noProof/>
        </w:rPr>
        <w:t xml:space="preserve">J. Am. Chem. Soc. </w:t>
      </w:r>
      <w:r w:rsidRPr="00B55191">
        <w:rPr>
          <w:b/>
          <w:noProof/>
        </w:rPr>
        <w:t>2021</w:t>
      </w:r>
      <w:r w:rsidRPr="00B55191">
        <w:rPr>
          <w:noProof/>
        </w:rPr>
        <w:t xml:space="preserve">, </w:t>
      </w:r>
      <w:r w:rsidRPr="00B55191">
        <w:rPr>
          <w:i/>
          <w:noProof/>
        </w:rPr>
        <w:t>143</w:t>
      </w:r>
      <w:r w:rsidRPr="00B55191">
        <w:rPr>
          <w:noProof/>
        </w:rPr>
        <w:t>, 12524-12534.</w:t>
      </w:r>
    </w:p>
    <w:p w14:paraId="13449F25" w14:textId="77777777" w:rsidR="00B55191" w:rsidRPr="00B55191" w:rsidRDefault="00B55191" w:rsidP="00B55191">
      <w:pPr>
        <w:pStyle w:val="EndNoteBibliography"/>
        <w:rPr>
          <w:noProof/>
        </w:rPr>
      </w:pPr>
      <w:r w:rsidRPr="00B55191">
        <w:rPr>
          <w:noProof/>
        </w:rPr>
        <w:t xml:space="preserve">(225) Carbonio, E. A.; Sulzmann, F.; Teschner, D.; Velasco-Vélez, J. J.; Hävecker, M.; Gericke, A. K.; Schlögl, R.; Jones, T. Thermal Synthesis of Electron Deficient Oxygen Species on Crystalline Iro2. </w:t>
      </w:r>
      <w:r w:rsidRPr="00B55191">
        <w:rPr>
          <w:i/>
          <w:noProof/>
        </w:rPr>
        <w:t xml:space="preserve">Catal. Sci. Technol. </w:t>
      </w:r>
      <w:r w:rsidRPr="00B55191">
        <w:rPr>
          <w:b/>
          <w:noProof/>
        </w:rPr>
        <w:t>2024</w:t>
      </w:r>
      <w:r w:rsidRPr="00B55191">
        <w:rPr>
          <w:noProof/>
        </w:rPr>
        <w:t xml:space="preserve">, </w:t>
      </w:r>
      <w:r w:rsidRPr="00B55191">
        <w:rPr>
          <w:i/>
          <w:noProof/>
        </w:rPr>
        <w:t>14</w:t>
      </w:r>
      <w:r w:rsidRPr="00B55191">
        <w:rPr>
          <w:noProof/>
        </w:rPr>
        <w:t>, 572-580.</w:t>
      </w:r>
    </w:p>
    <w:p w14:paraId="67CA5449" w14:textId="77777777" w:rsidR="00B55191" w:rsidRPr="00B55191" w:rsidRDefault="00B55191" w:rsidP="00B55191">
      <w:pPr>
        <w:pStyle w:val="EndNoteBibliography"/>
        <w:rPr>
          <w:noProof/>
        </w:rPr>
      </w:pPr>
      <w:r w:rsidRPr="00B55191">
        <w:rPr>
          <w:noProof/>
        </w:rPr>
        <w:t xml:space="preserve">(226) Andris, E.; Navrátil, R.; Jašík, J.; Srnec, M.; Rodríguez, M.; Costas, M.; Roithová, J. M−O Bonding Beyond the Oxo Wall: Spectroscopy and Reactivity of Cobalt(Iii)-Oxyl and Cobalt(Iii)-Oxo Complexes. </w:t>
      </w:r>
      <w:r w:rsidRPr="00B55191">
        <w:rPr>
          <w:i/>
          <w:noProof/>
        </w:rPr>
        <w:t xml:space="preserve">Angew. Chem. Int. Ed. </w:t>
      </w:r>
      <w:r w:rsidRPr="00B55191">
        <w:rPr>
          <w:b/>
          <w:noProof/>
        </w:rPr>
        <w:t>2019</w:t>
      </w:r>
      <w:r w:rsidRPr="00B55191">
        <w:rPr>
          <w:noProof/>
        </w:rPr>
        <w:t xml:space="preserve">, </w:t>
      </w:r>
      <w:r w:rsidRPr="00B55191">
        <w:rPr>
          <w:i/>
          <w:noProof/>
        </w:rPr>
        <w:t>58</w:t>
      </w:r>
      <w:r w:rsidRPr="00B55191">
        <w:rPr>
          <w:noProof/>
        </w:rPr>
        <w:t>, 9619-9624.</w:t>
      </w:r>
    </w:p>
    <w:p w14:paraId="09637A01" w14:textId="77777777" w:rsidR="00B55191" w:rsidRPr="00B55191" w:rsidRDefault="00B55191" w:rsidP="00B55191">
      <w:pPr>
        <w:pStyle w:val="EndNoteBibliography"/>
        <w:rPr>
          <w:noProof/>
        </w:rPr>
      </w:pPr>
      <w:r w:rsidRPr="00B55191">
        <w:rPr>
          <w:noProof/>
        </w:rPr>
        <w:t xml:space="preserve">(227) Shimoyama, Y.; Kojima, T. Metal–Oxyl Species and Their Possible Roles in Chemical Oxidations. </w:t>
      </w:r>
      <w:r w:rsidRPr="00B55191">
        <w:rPr>
          <w:i/>
          <w:noProof/>
        </w:rPr>
        <w:t xml:space="preserve">Inorg. Chem. </w:t>
      </w:r>
      <w:r w:rsidRPr="00B55191">
        <w:rPr>
          <w:b/>
          <w:noProof/>
        </w:rPr>
        <w:t>2019</w:t>
      </w:r>
      <w:r w:rsidRPr="00B55191">
        <w:rPr>
          <w:noProof/>
        </w:rPr>
        <w:t xml:space="preserve">, </w:t>
      </w:r>
      <w:r w:rsidRPr="00B55191">
        <w:rPr>
          <w:i/>
          <w:noProof/>
        </w:rPr>
        <w:t>58</w:t>
      </w:r>
      <w:r w:rsidRPr="00B55191">
        <w:rPr>
          <w:noProof/>
        </w:rPr>
        <w:t>, 9517-9542.</w:t>
      </w:r>
    </w:p>
    <w:p w14:paraId="3651AF00" w14:textId="77777777" w:rsidR="00B55191" w:rsidRPr="00B55191" w:rsidRDefault="00B55191" w:rsidP="00B55191">
      <w:pPr>
        <w:pStyle w:val="EndNoteBibliography"/>
        <w:rPr>
          <w:noProof/>
        </w:rPr>
      </w:pPr>
      <w:r w:rsidRPr="00B55191">
        <w:rPr>
          <w:noProof/>
        </w:rPr>
        <w:t xml:space="preserve">(228) García-Mota, M.; Bajdich, M.; Viswanathan, V.; Vojvodic, A.; Bell, A. T.; Nørskov, J. K. Importance of Correlation in Determining Electrocatalytic Oxygen Evolution Activity on Cobalt Oxides. </w:t>
      </w:r>
      <w:r w:rsidRPr="00B55191">
        <w:rPr>
          <w:i/>
          <w:noProof/>
        </w:rPr>
        <w:t xml:space="preserve">J. Phys. Chem. C </w:t>
      </w:r>
      <w:r w:rsidRPr="00B55191">
        <w:rPr>
          <w:b/>
          <w:noProof/>
        </w:rPr>
        <w:t>2012</w:t>
      </w:r>
      <w:r w:rsidRPr="00B55191">
        <w:rPr>
          <w:noProof/>
        </w:rPr>
        <w:t xml:space="preserve">, </w:t>
      </w:r>
      <w:r w:rsidRPr="00B55191">
        <w:rPr>
          <w:i/>
          <w:noProof/>
        </w:rPr>
        <w:t>116</w:t>
      </w:r>
      <w:r w:rsidRPr="00B55191">
        <w:rPr>
          <w:noProof/>
        </w:rPr>
        <w:t>, 21077-21082.</w:t>
      </w:r>
    </w:p>
    <w:p w14:paraId="6D8AC044" w14:textId="77777777" w:rsidR="00B55191" w:rsidRPr="00B55191" w:rsidRDefault="00B55191" w:rsidP="00B55191">
      <w:pPr>
        <w:pStyle w:val="EndNoteBibliography"/>
        <w:rPr>
          <w:noProof/>
        </w:rPr>
      </w:pPr>
      <w:r w:rsidRPr="00B55191">
        <w:rPr>
          <w:noProof/>
        </w:rPr>
        <w:t xml:space="preserve">(229) Xu, Z.; Rossmeisl, J.; Kitchin, J. R. A Linear Response Dft+U Study of Trends in the Oxygen Evolution Activity of Transition Metal Rutile Dioxides. </w:t>
      </w:r>
      <w:r w:rsidRPr="00B55191">
        <w:rPr>
          <w:i/>
          <w:noProof/>
        </w:rPr>
        <w:t xml:space="preserve">J. Phys. Chem. C </w:t>
      </w:r>
      <w:r w:rsidRPr="00B55191">
        <w:rPr>
          <w:b/>
          <w:noProof/>
        </w:rPr>
        <w:t>2015</w:t>
      </w:r>
      <w:r w:rsidRPr="00B55191">
        <w:rPr>
          <w:noProof/>
        </w:rPr>
        <w:t xml:space="preserve">, </w:t>
      </w:r>
      <w:r w:rsidRPr="00B55191">
        <w:rPr>
          <w:i/>
          <w:noProof/>
        </w:rPr>
        <w:t>119</w:t>
      </w:r>
      <w:r w:rsidRPr="00B55191">
        <w:rPr>
          <w:noProof/>
        </w:rPr>
        <w:t>, 4827-4833.</w:t>
      </w:r>
    </w:p>
    <w:p w14:paraId="7F132F76" w14:textId="77777777" w:rsidR="00B55191" w:rsidRPr="00B55191" w:rsidRDefault="00B55191" w:rsidP="00B55191">
      <w:pPr>
        <w:pStyle w:val="EndNoteBibliography"/>
        <w:rPr>
          <w:noProof/>
        </w:rPr>
      </w:pPr>
      <w:r w:rsidRPr="00B55191">
        <w:rPr>
          <w:noProof/>
        </w:rPr>
        <w:t xml:space="preserve">(230) Bajdich, M.; García-Mota, M.; Vojvodic, A.; Nørskov, J. K.; Bell, A. T. Theoretical Investigation of the Activity of Cobalt Oxides for the Electrochemical Oxidation of Water. </w:t>
      </w:r>
      <w:r w:rsidRPr="00B55191">
        <w:rPr>
          <w:i/>
          <w:noProof/>
        </w:rPr>
        <w:t xml:space="preserve">J. Am. Chem. Soc. </w:t>
      </w:r>
      <w:r w:rsidRPr="00B55191">
        <w:rPr>
          <w:b/>
          <w:noProof/>
        </w:rPr>
        <w:t>2013</w:t>
      </w:r>
      <w:r w:rsidRPr="00B55191">
        <w:rPr>
          <w:noProof/>
        </w:rPr>
        <w:t xml:space="preserve">, </w:t>
      </w:r>
      <w:r w:rsidRPr="00B55191">
        <w:rPr>
          <w:i/>
          <w:noProof/>
        </w:rPr>
        <w:t>135</w:t>
      </w:r>
      <w:r w:rsidRPr="00B55191">
        <w:rPr>
          <w:noProof/>
        </w:rPr>
        <w:t>, 13521-13530.</w:t>
      </w:r>
    </w:p>
    <w:p w14:paraId="04175C89" w14:textId="77777777" w:rsidR="00B55191" w:rsidRPr="00B55191" w:rsidRDefault="00B55191" w:rsidP="00B55191">
      <w:pPr>
        <w:pStyle w:val="EndNoteBibliography"/>
        <w:rPr>
          <w:noProof/>
        </w:rPr>
      </w:pPr>
      <w:r w:rsidRPr="00B55191">
        <w:rPr>
          <w:noProof/>
        </w:rPr>
        <w:t xml:space="preserve">(231) Tkalych, A. J.; Martirez, J. M. P.; Carter, E. A. Effect of Transition-Metal-Ion Dopants on the Oxygen Evolution Reaction on Niooh(0001). </w:t>
      </w:r>
      <w:r w:rsidRPr="00B55191">
        <w:rPr>
          <w:i/>
          <w:noProof/>
        </w:rPr>
        <w:t xml:space="preserve">Phys. Chem. Chem. Phys. </w:t>
      </w:r>
      <w:r w:rsidRPr="00B55191">
        <w:rPr>
          <w:b/>
          <w:noProof/>
        </w:rPr>
        <w:t>2018</w:t>
      </w:r>
      <w:r w:rsidRPr="00B55191">
        <w:rPr>
          <w:noProof/>
        </w:rPr>
        <w:t xml:space="preserve">, </w:t>
      </w:r>
      <w:r w:rsidRPr="00B55191">
        <w:rPr>
          <w:i/>
          <w:noProof/>
        </w:rPr>
        <w:t>20</w:t>
      </w:r>
      <w:r w:rsidRPr="00B55191">
        <w:rPr>
          <w:noProof/>
        </w:rPr>
        <w:t>, 19525-19531.</w:t>
      </w:r>
    </w:p>
    <w:p w14:paraId="3B82ED31" w14:textId="77777777" w:rsidR="00B55191" w:rsidRPr="00B55191" w:rsidRDefault="00B55191" w:rsidP="00B55191">
      <w:pPr>
        <w:pStyle w:val="EndNoteBibliography"/>
        <w:rPr>
          <w:noProof/>
        </w:rPr>
      </w:pPr>
      <w:r w:rsidRPr="00B55191">
        <w:rPr>
          <w:noProof/>
        </w:rPr>
        <w:t xml:space="preserve">(232) Govind Rajan, A.; Martirez, J. M. P.; Carter, E. A. Facet-Independent Oxygen Evolution Activity of Pure Β-Niooh: Different Chemistries Leading to Similar Overpotentials. </w:t>
      </w:r>
      <w:r w:rsidRPr="00B55191">
        <w:rPr>
          <w:i/>
          <w:noProof/>
        </w:rPr>
        <w:t xml:space="preserve">J. Am. Chem. Soc. </w:t>
      </w:r>
      <w:r w:rsidRPr="00B55191">
        <w:rPr>
          <w:b/>
          <w:noProof/>
        </w:rPr>
        <w:t>2020</w:t>
      </w:r>
      <w:r w:rsidRPr="00B55191">
        <w:rPr>
          <w:noProof/>
        </w:rPr>
        <w:t xml:space="preserve">, </w:t>
      </w:r>
      <w:r w:rsidRPr="00B55191">
        <w:rPr>
          <w:i/>
          <w:noProof/>
        </w:rPr>
        <w:t>142</w:t>
      </w:r>
      <w:r w:rsidRPr="00B55191">
        <w:rPr>
          <w:noProof/>
        </w:rPr>
        <w:t>, 3600-3612.</w:t>
      </w:r>
    </w:p>
    <w:p w14:paraId="37FF6EE2" w14:textId="77777777" w:rsidR="00B55191" w:rsidRPr="00B55191" w:rsidRDefault="00B55191" w:rsidP="00B55191">
      <w:pPr>
        <w:pStyle w:val="EndNoteBibliography"/>
        <w:rPr>
          <w:noProof/>
        </w:rPr>
      </w:pPr>
      <w:r w:rsidRPr="00B55191">
        <w:rPr>
          <w:noProof/>
        </w:rPr>
        <w:t xml:space="preserve">(233) Martirez, J. M. P.; Carter, E. A. Unraveling Oxygen Evolution on Iron-Doped Β-Nickel Oxyhydroxide: The Key Role of Highly Active Molecular-Like Sites. </w:t>
      </w:r>
      <w:r w:rsidRPr="00B55191">
        <w:rPr>
          <w:i/>
          <w:noProof/>
        </w:rPr>
        <w:t xml:space="preserve">J. Am. Chem. Soc. </w:t>
      </w:r>
      <w:r w:rsidRPr="00B55191">
        <w:rPr>
          <w:b/>
          <w:noProof/>
        </w:rPr>
        <w:t>2019</w:t>
      </w:r>
      <w:r w:rsidRPr="00B55191">
        <w:rPr>
          <w:noProof/>
        </w:rPr>
        <w:t xml:space="preserve">, </w:t>
      </w:r>
      <w:r w:rsidRPr="00B55191">
        <w:rPr>
          <w:i/>
          <w:noProof/>
        </w:rPr>
        <w:t>141</w:t>
      </w:r>
      <w:r w:rsidRPr="00B55191">
        <w:rPr>
          <w:noProof/>
        </w:rPr>
        <w:t>, 693-705.</w:t>
      </w:r>
    </w:p>
    <w:p w14:paraId="30057F4D" w14:textId="77777777" w:rsidR="00B55191" w:rsidRPr="00B55191" w:rsidRDefault="00B55191" w:rsidP="00B55191">
      <w:pPr>
        <w:pStyle w:val="EndNoteBibliography"/>
        <w:rPr>
          <w:noProof/>
        </w:rPr>
      </w:pPr>
      <w:r w:rsidRPr="00B55191">
        <w:rPr>
          <w:noProof/>
        </w:rPr>
        <w:t xml:space="preserve">(234) Martirez, J. M. P.; Carter, E. A. Noninnocent Influence of Host Β-Niooh Redox Activity on Transition-Metal Dopants’ Efficacy as Active Sites in Electrocatalytic Water Oxidation. </w:t>
      </w:r>
      <w:r w:rsidRPr="00B55191">
        <w:rPr>
          <w:i/>
          <w:noProof/>
        </w:rPr>
        <w:t xml:space="preserve">ACS Catal. </w:t>
      </w:r>
      <w:r w:rsidRPr="00B55191">
        <w:rPr>
          <w:b/>
          <w:noProof/>
        </w:rPr>
        <w:t>2020</w:t>
      </w:r>
      <w:r w:rsidRPr="00B55191">
        <w:rPr>
          <w:noProof/>
        </w:rPr>
        <w:t xml:space="preserve">, </w:t>
      </w:r>
      <w:r w:rsidRPr="00B55191">
        <w:rPr>
          <w:i/>
          <w:noProof/>
        </w:rPr>
        <w:t>10</w:t>
      </w:r>
      <w:r w:rsidRPr="00B55191">
        <w:rPr>
          <w:noProof/>
        </w:rPr>
        <w:t>, 2720-2734.</w:t>
      </w:r>
    </w:p>
    <w:p w14:paraId="186C1926" w14:textId="77777777" w:rsidR="00B55191" w:rsidRPr="00B55191" w:rsidRDefault="00B55191" w:rsidP="00B55191">
      <w:pPr>
        <w:pStyle w:val="EndNoteBibliography"/>
        <w:rPr>
          <w:noProof/>
        </w:rPr>
      </w:pPr>
      <w:r w:rsidRPr="00B55191">
        <w:rPr>
          <w:noProof/>
        </w:rPr>
        <w:t xml:space="preserve">(235) Christensen, R.; Hansen, H. A.; Dickens, C. F.; Nørskov, J. K.; Vegge, T. Functional Independent Scaling Relation for Orr/Oer Catalysts. </w:t>
      </w:r>
      <w:r w:rsidRPr="00B55191">
        <w:rPr>
          <w:i/>
          <w:noProof/>
        </w:rPr>
        <w:t xml:space="preserve">J. Phys. Chem. C </w:t>
      </w:r>
      <w:r w:rsidRPr="00B55191">
        <w:rPr>
          <w:b/>
          <w:noProof/>
        </w:rPr>
        <w:t>2016</w:t>
      </w:r>
      <w:r w:rsidRPr="00B55191">
        <w:rPr>
          <w:noProof/>
        </w:rPr>
        <w:t xml:space="preserve">, </w:t>
      </w:r>
      <w:r w:rsidRPr="00B55191">
        <w:rPr>
          <w:i/>
          <w:noProof/>
        </w:rPr>
        <w:t>120</w:t>
      </w:r>
      <w:r w:rsidRPr="00B55191">
        <w:rPr>
          <w:noProof/>
        </w:rPr>
        <w:t>, 24910-24916.</w:t>
      </w:r>
    </w:p>
    <w:p w14:paraId="4273A137" w14:textId="77777777" w:rsidR="00B55191" w:rsidRPr="00B55191" w:rsidRDefault="00B55191" w:rsidP="00B55191">
      <w:pPr>
        <w:pStyle w:val="EndNoteBibliography"/>
        <w:rPr>
          <w:noProof/>
        </w:rPr>
      </w:pPr>
      <w:r w:rsidRPr="00B55191">
        <w:rPr>
          <w:noProof/>
        </w:rPr>
        <w:t xml:space="preserve">(236) García-Mota, M.; Vojvodic, A.; Metiu, H.; Man, I. C.; Su, H.-Y.; Rossmeisl, J.; Nørskov, J. K. Tailoring the Activity for Oxygen Evolution Electrocatalysis on Rutile Tio2(110) by Transition-Metal Substitution. </w:t>
      </w:r>
      <w:r w:rsidRPr="00B55191">
        <w:rPr>
          <w:i/>
          <w:noProof/>
        </w:rPr>
        <w:t xml:space="preserve">ChemCatChem </w:t>
      </w:r>
      <w:r w:rsidRPr="00B55191">
        <w:rPr>
          <w:b/>
          <w:noProof/>
        </w:rPr>
        <w:t>2011</w:t>
      </w:r>
      <w:r w:rsidRPr="00B55191">
        <w:rPr>
          <w:noProof/>
        </w:rPr>
        <w:t xml:space="preserve">, </w:t>
      </w:r>
      <w:r w:rsidRPr="00B55191">
        <w:rPr>
          <w:i/>
          <w:noProof/>
        </w:rPr>
        <w:t>3</w:t>
      </w:r>
      <w:r w:rsidRPr="00B55191">
        <w:rPr>
          <w:noProof/>
        </w:rPr>
        <w:t>, 1607-1611.</w:t>
      </w:r>
    </w:p>
    <w:p w14:paraId="5ECB8BB1" w14:textId="77777777" w:rsidR="00B55191" w:rsidRPr="00B55191" w:rsidRDefault="00B55191" w:rsidP="00B55191">
      <w:pPr>
        <w:pStyle w:val="EndNoteBibliography"/>
        <w:rPr>
          <w:noProof/>
        </w:rPr>
      </w:pPr>
      <w:r w:rsidRPr="00B55191">
        <w:rPr>
          <w:noProof/>
        </w:rPr>
        <w:lastRenderedPageBreak/>
        <w:t xml:space="preserve">(237) Craig, M. J.; Coulter, G.; Dolan, E.; Soriano-López, J.; Mates-Torres, E.; Schmitt, W.; García-Melchor, M. Universal Scaling Relations for the Rational Design of Molecular Water Oxidation Catalysts with near-Zero Overpotential. </w:t>
      </w:r>
      <w:r w:rsidRPr="00B55191">
        <w:rPr>
          <w:i/>
          <w:noProof/>
        </w:rPr>
        <w:t xml:space="preserve">Nat. Commun. </w:t>
      </w:r>
      <w:r w:rsidRPr="00B55191">
        <w:rPr>
          <w:b/>
          <w:noProof/>
        </w:rPr>
        <w:t>2019</w:t>
      </w:r>
      <w:r w:rsidRPr="00B55191">
        <w:rPr>
          <w:noProof/>
        </w:rPr>
        <w:t xml:space="preserve">, </w:t>
      </w:r>
      <w:r w:rsidRPr="00B55191">
        <w:rPr>
          <w:i/>
          <w:noProof/>
        </w:rPr>
        <w:t>10</w:t>
      </w:r>
      <w:r w:rsidRPr="00B55191">
        <w:rPr>
          <w:noProof/>
        </w:rPr>
        <w:t>, 4993.</w:t>
      </w:r>
    </w:p>
    <w:p w14:paraId="3B0C02DC" w14:textId="77777777" w:rsidR="00B55191" w:rsidRPr="00B55191" w:rsidRDefault="00B55191" w:rsidP="00B55191">
      <w:pPr>
        <w:pStyle w:val="EndNoteBibliography"/>
        <w:rPr>
          <w:noProof/>
        </w:rPr>
      </w:pPr>
      <w:r w:rsidRPr="00B55191">
        <w:rPr>
          <w:noProof/>
        </w:rPr>
        <w:t xml:space="preserve">(238) Zhang, W.; Banerjee-Ghosh, K.; Tassinari, F.; Naaman, R. Enhanced Electrochemical Water Splitting with Chiral Molecule-Coated Fe3o4 Nanoparticles. </w:t>
      </w:r>
      <w:r w:rsidRPr="00B55191">
        <w:rPr>
          <w:i/>
          <w:noProof/>
        </w:rPr>
        <w:t xml:space="preserve">ACS Energy Lett. </w:t>
      </w:r>
      <w:r w:rsidRPr="00B55191">
        <w:rPr>
          <w:b/>
          <w:noProof/>
        </w:rPr>
        <w:t>2018</w:t>
      </w:r>
      <w:r w:rsidRPr="00B55191">
        <w:rPr>
          <w:noProof/>
        </w:rPr>
        <w:t xml:space="preserve">, </w:t>
      </w:r>
      <w:r w:rsidRPr="00B55191">
        <w:rPr>
          <w:i/>
          <w:noProof/>
        </w:rPr>
        <w:t>3</w:t>
      </w:r>
      <w:r w:rsidRPr="00B55191">
        <w:rPr>
          <w:noProof/>
        </w:rPr>
        <w:t>, 2308-2313.</w:t>
      </w:r>
    </w:p>
    <w:p w14:paraId="6560DF66" w14:textId="77777777" w:rsidR="00B55191" w:rsidRPr="00B55191" w:rsidRDefault="00B55191" w:rsidP="00B55191">
      <w:pPr>
        <w:pStyle w:val="EndNoteBibliography"/>
        <w:rPr>
          <w:noProof/>
        </w:rPr>
      </w:pPr>
      <w:r w:rsidRPr="00B55191">
        <w:rPr>
          <w:noProof/>
        </w:rPr>
        <w:t xml:space="preserve">(239) Garcés-Pineda, F. A.; Blasco-Ahicart, M.; Nieto-Castro, D.; López, N.; Galán-Mascarós, J. R. Direct Magnetic Enhancement of Electrocatalytic Water Oxidation in Alkaline Media. </w:t>
      </w:r>
      <w:r w:rsidRPr="00B55191">
        <w:rPr>
          <w:i/>
          <w:noProof/>
        </w:rPr>
        <w:t xml:space="preserve">Nat. Energy </w:t>
      </w:r>
      <w:r w:rsidRPr="00B55191">
        <w:rPr>
          <w:b/>
          <w:noProof/>
        </w:rPr>
        <w:t>2019</w:t>
      </w:r>
      <w:r w:rsidRPr="00B55191">
        <w:rPr>
          <w:noProof/>
        </w:rPr>
        <w:t xml:space="preserve">, </w:t>
      </w:r>
      <w:r w:rsidRPr="00B55191">
        <w:rPr>
          <w:i/>
          <w:noProof/>
        </w:rPr>
        <w:t>4</w:t>
      </w:r>
      <w:r w:rsidRPr="00B55191">
        <w:rPr>
          <w:noProof/>
        </w:rPr>
        <w:t>, 519-525.</w:t>
      </w:r>
    </w:p>
    <w:p w14:paraId="24F726C0" w14:textId="77777777" w:rsidR="00B55191" w:rsidRPr="00B55191" w:rsidRDefault="00B55191" w:rsidP="00B55191">
      <w:pPr>
        <w:pStyle w:val="EndNoteBibliography"/>
        <w:rPr>
          <w:noProof/>
        </w:rPr>
      </w:pPr>
      <w:r w:rsidRPr="00B55191">
        <w:rPr>
          <w:noProof/>
        </w:rPr>
        <w:t xml:space="preserve">(240) Halck, N. B.; Petrykin, V.; Krtil, P.; Rossmeisl, J. Beyond the Volcano Limitations in Electrocatalysis – Oxygen Evolution Reaction. </w:t>
      </w:r>
      <w:r w:rsidRPr="00B55191">
        <w:rPr>
          <w:i/>
          <w:noProof/>
        </w:rPr>
        <w:t xml:space="preserve">Phys. Chem. Chem. Phys. </w:t>
      </w:r>
      <w:r w:rsidRPr="00B55191">
        <w:rPr>
          <w:b/>
          <w:noProof/>
        </w:rPr>
        <w:t>2014</w:t>
      </w:r>
      <w:r w:rsidRPr="00B55191">
        <w:rPr>
          <w:noProof/>
        </w:rPr>
        <w:t xml:space="preserve">, </w:t>
      </w:r>
      <w:r w:rsidRPr="00B55191">
        <w:rPr>
          <w:i/>
          <w:noProof/>
        </w:rPr>
        <w:t>16</w:t>
      </w:r>
      <w:r w:rsidRPr="00B55191">
        <w:rPr>
          <w:noProof/>
        </w:rPr>
        <w:t>, 13682-13688.</w:t>
      </w:r>
    </w:p>
    <w:p w14:paraId="07F886B1" w14:textId="77777777" w:rsidR="00B55191" w:rsidRPr="00B55191" w:rsidRDefault="00B55191" w:rsidP="00B55191">
      <w:pPr>
        <w:pStyle w:val="EndNoteBibliography"/>
        <w:rPr>
          <w:noProof/>
        </w:rPr>
      </w:pPr>
      <w:r w:rsidRPr="00B55191">
        <w:rPr>
          <w:noProof/>
        </w:rPr>
        <w:t xml:space="preserve">(241) Kuo, D.-Y.; Eom, C. J.; Kawasaki, J. K.; Petretto, G.; Nelson, J. N.; Hautier, G.; Crumlin, E. J.; Shen, K. M.; Schlom, D. G.; Suntivich, J. Influence of Strain on the Surface–Oxygen Interaction and the Oxygen Evolution Reaction of Sriro3. </w:t>
      </w:r>
      <w:r w:rsidRPr="00B55191">
        <w:rPr>
          <w:i/>
          <w:noProof/>
        </w:rPr>
        <w:t xml:space="preserve">J. Phys. Chem. C </w:t>
      </w:r>
      <w:r w:rsidRPr="00B55191">
        <w:rPr>
          <w:b/>
          <w:noProof/>
        </w:rPr>
        <w:t>2018</w:t>
      </w:r>
      <w:r w:rsidRPr="00B55191">
        <w:rPr>
          <w:noProof/>
        </w:rPr>
        <w:t xml:space="preserve">, </w:t>
      </w:r>
      <w:r w:rsidRPr="00B55191">
        <w:rPr>
          <w:i/>
          <w:noProof/>
        </w:rPr>
        <w:t>122</w:t>
      </w:r>
      <w:r w:rsidRPr="00B55191">
        <w:rPr>
          <w:noProof/>
        </w:rPr>
        <w:t>, 4359-4364.</w:t>
      </w:r>
    </w:p>
    <w:p w14:paraId="3875EE69" w14:textId="77777777" w:rsidR="00B55191" w:rsidRPr="00B55191" w:rsidRDefault="00B55191" w:rsidP="00B55191">
      <w:pPr>
        <w:pStyle w:val="EndNoteBibliography"/>
        <w:rPr>
          <w:noProof/>
        </w:rPr>
      </w:pPr>
      <w:r w:rsidRPr="00B55191">
        <w:rPr>
          <w:noProof/>
        </w:rPr>
        <w:t xml:space="preserve">(242) Hwang, J.; Feng, Z.; Charles, N.; Wang, X. R.; Lee, D.; Stoerzinger, K. A.; Muy, S.; Rao, R. R.; Lee, D.; Jacobs, R.; et al. Tuning Perovskite Oxides by Strain: Electronic Structure, Properties, and Functions in (Electro)Catalysis and Ferroelectricity. </w:t>
      </w:r>
      <w:r w:rsidRPr="00B55191">
        <w:rPr>
          <w:i/>
          <w:noProof/>
        </w:rPr>
        <w:t xml:space="preserve">Mater. Today </w:t>
      </w:r>
      <w:r w:rsidRPr="00B55191">
        <w:rPr>
          <w:b/>
          <w:noProof/>
        </w:rPr>
        <w:t>2019</w:t>
      </w:r>
      <w:r w:rsidRPr="00B55191">
        <w:rPr>
          <w:noProof/>
        </w:rPr>
        <w:t xml:space="preserve">, </w:t>
      </w:r>
      <w:r w:rsidRPr="00B55191">
        <w:rPr>
          <w:i/>
          <w:noProof/>
        </w:rPr>
        <w:t>31</w:t>
      </w:r>
      <w:r w:rsidRPr="00B55191">
        <w:rPr>
          <w:noProof/>
        </w:rPr>
        <w:t>, 100-118.</w:t>
      </w:r>
    </w:p>
    <w:p w14:paraId="57C8BD17" w14:textId="77777777" w:rsidR="00B55191" w:rsidRPr="00B55191" w:rsidRDefault="00B55191" w:rsidP="00B55191">
      <w:pPr>
        <w:pStyle w:val="EndNoteBibliography"/>
        <w:rPr>
          <w:noProof/>
        </w:rPr>
      </w:pPr>
      <w:r w:rsidRPr="00B55191">
        <w:rPr>
          <w:noProof/>
        </w:rPr>
        <w:t xml:space="preserve">(243) Zang, Y.; Niu, S.; Wu, Y.; Zheng, X.; Cai, J.; Ye, J.; Xie, Y.; Liu, Y.; Zhou, J.; Zhu, J.; et al. Tuning Orbital Orientation Endows Molybdenum Disulfide with Exceptional Alkaline Hydrogen Evolution Capability. </w:t>
      </w:r>
      <w:r w:rsidRPr="00B55191">
        <w:rPr>
          <w:i/>
          <w:noProof/>
        </w:rPr>
        <w:t xml:space="preserve">Nat. Commun. </w:t>
      </w:r>
      <w:r w:rsidRPr="00B55191">
        <w:rPr>
          <w:b/>
          <w:noProof/>
        </w:rPr>
        <w:t>2019</w:t>
      </w:r>
      <w:r w:rsidRPr="00B55191">
        <w:rPr>
          <w:noProof/>
        </w:rPr>
        <w:t xml:space="preserve">, </w:t>
      </w:r>
      <w:r w:rsidRPr="00B55191">
        <w:rPr>
          <w:i/>
          <w:noProof/>
        </w:rPr>
        <w:t>10</w:t>
      </w:r>
      <w:r w:rsidRPr="00B55191">
        <w:rPr>
          <w:noProof/>
        </w:rPr>
        <w:t>, 1217.</w:t>
      </w:r>
    </w:p>
    <w:p w14:paraId="01914EE4" w14:textId="77777777" w:rsidR="00B55191" w:rsidRPr="00B55191" w:rsidRDefault="00B55191" w:rsidP="00B55191">
      <w:pPr>
        <w:pStyle w:val="EndNoteBibliography"/>
        <w:rPr>
          <w:noProof/>
        </w:rPr>
      </w:pPr>
      <w:r w:rsidRPr="00B55191">
        <w:rPr>
          <w:noProof/>
        </w:rPr>
        <w:t xml:space="preserve">(244) Wang, L.; Zeng, Z.; Gao, W.; Maxson, T.; Raciti, D.; Giroux, M.; Pan, X.; Wang, C.; Greeley, J. Tunable Intrinsic Strain in Two-Dimensional Transition Metal Electrocatalysts. </w:t>
      </w:r>
      <w:r w:rsidRPr="00B55191">
        <w:rPr>
          <w:i/>
          <w:noProof/>
        </w:rPr>
        <w:t xml:space="preserve">Science </w:t>
      </w:r>
      <w:r w:rsidRPr="00B55191">
        <w:rPr>
          <w:b/>
          <w:noProof/>
        </w:rPr>
        <w:t>2019</w:t>
      </w:r>
      <w:r w:rsidRPr="00B55191">
        <w:rPr>
          <w:noProof/>
        </w:rPr>
        <w:t xml:space="preserve">, </w:t>
      </w:r>
      <w:r w:rsidRPr="00B55191">
        <w:rPr>
          <w:i/>
          <w:noProof/>
        </w:rPr>
        <w:t>363</w:t>
      </w:r>
      <w:r w:rsidRPr="00B55191">
        <w:rPr>
          <w:noProof/>
        </w:rPr>
        <w:t>, 870-874.</w:t>
      </w:r>
    </w:p>
    <w:p w14:paraId="5791672B" w14:textId="77777777" w:rsidR="00B55191" w:rsidRPr="00B55191" w:rsidRDefault="00B55191" w:rsidP="00B55191">
      <w:pPr>
        <w:pStyle w:val="EndNoteBibliography"/>
        <w:rPr>
          <w:noProof/>
        </w:rPr>
      </w:pPr>
      <w:r w:rsidRPr="00B55191">
        <w:rPr>
          <w:noProof/>
        </w:rPr>
        <w:t xml:space="preserve">(245) Petrie, J. R.; Cooper, V. R.; Freeland, J. W.; Meyer, T. L.; Zhang, Z.; Lutterman, D. A.; Lee, H. N. Enhanced Bifunctional Oxygen Catalysis in Strained Lanio3 Perovskites. </w:t>
      </w:r>
      <w:r w:rsidRPr="00B55191">
        <w:rPr>
          <w:i/>
          <w:noProof/>
        </w:rPr>
        <w:t xml:space="preserve">J. Am. Chem. Soc. </w:t>
      </w:r>
      <w:r w:rsidRPr="00B55191">
        <w:rPr>
          <w:b/>
          <w:noProof/>
        </w:rPr>
        <w:t>2016</w:t>
      </w:r>
      <w:r w:rsidRPr="00B55191">
        <w:rPr>
          <w:noProof/>
        </w:rPr>
        <w:t xml:space="preserve">, </w:t>
      </w:r>
      <w:r w:rsidRPr="00B55191">
        <w:rPr>
          <w:i/>
          <w:noProof/>
        </w:rPr>
        <w:t>138</w:t>
      </w:r>
      <w:r w:rsidRPr="00B55191">
        <w:rPr>
          <w:noProof/>
        </w:rPr>
        <w:t>, 2488-2491.</w:t>
      </w:r>
    </w:p>
    <w:p w14:paraId="44128089" w14:textId="77777777" w:rsidR="00B55191" w:rsidRPr="00B55191" w:rsidRDefault="00B55191" w:rsidP="00B55191">
      <w:pPr>
        <w:pStyle w:val="EndNoteBibliography"/>
        <w:rPr>
          <w:noProof/>
        </w:rPr>
      </w:pPr>
      <w:r w:rsidRPr="00B55191">
        <w:rPr>
          <w:noProof/>
        </w:rPr>
        <w:t xml:space="preserve">(246) Rondinelli, J. M.; Spaldin, N. A. Structural Effects on the Spin-State Transition in Epitaxially Strained Lacoo3 Films. </w:t>
      </w:r>
      <w:r w:rsidRPr="00B55191">
        <w:rPr>
          <w:i/>
          <w:noProof/>
        </w:rPr>
        <w:t xml:space="preserve">Phys. Rev. B </w:t>
      </w:r>
      <w:r w:rsidRPr="00B55191">
        <w:rPr>
          <w:b/>
          <w:noProof/>
        </w:rPr>
        <w:t>2009</w:t>
      </w:r>
      <w:r w:rsidRPr="00B55191">
        <w:rPr>
          <w:noProof/>
        </w:rPr>
        <w:t xml:space="preserve">, </w:t>
      </w:r>
      <w:r w:rsidRPr="00B55191">
        <w:rPr>
          <w:i/>
          <w:noProof/>
        </w:rPr>
        <w:t>79</w:t>
      </w:r>
      <w:r w:rsidRPr="00B55191">
        <w:rPr>
          <w:noProof/>
        </w:rPr>
        <w:t>, 054409.</w:t>
      </w:r>
    </w:p>
    <w:p w14:paraId="175CD3D0" w14:textId="77777777" w:rsidR="00B55191" w:rsidRPr="00B55191" w:rsidRDefault="00B55191" w:rsidP="00B55191">
      <w:pPr>
        <w:pStyle w:val="EndNoteBibliography"/>
        <w:rPr>
          <w:noProof/>
        </w:rPr>
      </w:pPr>
      <w:r w:rsidRPr="00B55191">
        <w:rPr>
          <w:noProof/>
        </w:rPr>
        <w:t xml:space="preserve">(247) Stoerzinger, K. A.; Choi, W. S.; Jeen, H.; Lee, H. N.; Shao-Horn, Y. Role of Strain and Conductivity in Oxygen Electrocatalysis on Lacoo3 Thin Films. </w:t>
      </w:r>
      <w:r w:rsidRPr="00B55191">
        <w:rPr>
          <w:i/>
          <w:noProof/>
        </w:rPr>
        <w:t xml:space="preserve">J. Phys. Chem. Lett. </w:t>
      </w:r>
      <w:r w:rsidRPr="00B55191">
        <w:rPr>
          <w:b/>
          <w:noProof/>
        </w:rPr>
        <w:t>2015</w:t>
      </w:r>
      <w:r w:rsidRPr="00B55191">
        <w:rPr>
          <w:noProof/>
        </w:rPr>
        <w:t xml:space="preserve">, </w:t>
      </w:r>
      <w:r w:rsidRPr="00B55191">
        <w:rPr>
          <w:i/>
          <w:noProof/>
        </w:rPr>
        <w:t>6</w:t>
      </w:r>
      <w:r w:rsidRPr="00B55191">
        <w:rPr>
          <w:noProof/>
        </w:rPr>
        <w:t>, 487-492.</w:t>
      </w:r>
    </w:p>
    <w:p w14:paraId="36FECC18" w14:textId="77777777" w:rsidR="00B55191" w:rsidRPr="00B55191" w:rsidRDefault="00B55191" w:rsidP="00B55191">
      <w:pPr>
        <w:pStyle w:val="EndNoteBibliography"/>
        <w:rPr>
          <w:noProof/>
        </w:rPr>
      </w:pPr>
      <w:r w:rsidRPr="00B55191">
        <w:rPr>
          <w:noProof/>
        </w:rPr>
        <w:t xml:space="preserve">(248) Hamal, E. K.; Toroker, M. C. Strain Controlling Catalytic Efficiency of Water Oxidation for Ni1−Xfexooh Alloy. In </w:t>
      </w:r>
      <w:r w:rsidRPr="00B55191">
        <w:rPr>
          <w:i/>
          <w:noProof/>
        </w:rPr>
        <w:t>Foundations of Molecular Modeling and Simulation</w:t>
      </w:r>
      <w:r w:rsidRPr="00B55191">
        <w:rPr>
          <w:noProof/>
        </w:rPr>
        <w:t>,  Springer, Singapore, 2021.</w:t>
      </w:r>
    </w:p>
    <w:p w14:paraId="3CC17DE5" w14:textId="77777777" w:rsidR="00B55191" w:rsidRPr="00B55191" w:rsidRDefault="00B55191" w:rsidP="00B55191">
      <w:pPr>
        <w:pStyle w:val="EndNoteBibliography"/>
        <w:rPr>
          <w:noProof/>
        </w:rPr>
      </w:pPr>
      <w:r w:rsidRPr="00B55191">
        <w:rPr>
          <w:noProof/>
        </w:rPr>
        <w:t xml:space="preserve">(249) Obodo, K. O.; Ouma, C. N. M.; Bessarabov, D. First Principles Evaluation of the Oer Properties of Tm−X (Tm = Cr, Mn, Fe, Mo, Ru, W and Os, and X = F and S) Doped Iro2(110) Surface. </w:t>
      </w:r>
      <w:r w:rsidRPr="00B55191">
        <w:rPr>
          <w:i/>
          <w:noProof/>
        </w:rPr>
        <w:t xml:space="preserve">Electrochim. Acta </w:t>
      </w:r>
      <w:r w:rsidRPr="00B55191">
        <w:rPr>
          <w:b/>
          <w:noProof/>
        </w:rPr>
        <w:t>2022</w:t>
      </w:r>
      <w:r w:rsidRPr="00B55191">
        <w:rPr>
          <w:noProof/>
        </w:rPr>
        <w:t xml:space="preserve">, </w:t>
      </w:r>
      <w:r w:rsidRPr="00B55191">
        <w:rPr>
          <w:i/>
          <w:noProof/>
        </w:rPr>
        <w:t>403</w:t>
      </w:r>
      <w:r w:rsidRPr="00B55191">
        <w:rPr>
          <w:noProof/>
        </w:rPr>
        <w:t>, 139562.</w:t>
      </w:r>
    </w:p>
    <w:p w14:paraId="4D73154F" w14:textId="77777777" w:rsidR="00B55191" w:rsidRPr="00B55191" w:rsidRDefault="00B55191" w:rsidP="00B55191">
      <w:pPr>
        <w:pStyle w:val="EndNoteBibliography"/>
        <w:rPr>
          <w:noProof/>
        </w:rPr>
      </w:pPr>
      <w:r w:rsidRPr="00B55191">
        <w:rPr>
          <w:noProof/>
        </w:rPr>
        <w:t xml:space="preserve">(250) Huang, Z.-F.; Song, J.; Dou, S.; Li, X.; Wang, J.; Wang, X. Strategies to Break the Scaling Relation toward Enhanced Oxygen Electrocatalysis. </w:t>
      </w:r>
      <w:r w:rsidRPr="00B55191">
        <w:rPr>
          <w:i/>
          <w:noProof/>
        </w:rPr>
        <w:t xml:space="preserve">Matter </w:t>
      </w:r>
      <w:r w:rsidRPr="00B55191">
        <w:rPr>
          <w:b/>
          <w:noProof/>
        </w:rPr>
        <w:t>2019</w:t>
      </w:r>
      <w:r w:rsidRPr="00B55191">
        <w:rPr>
          <w:noProof/>
        </w:rPr>
        <w:t xml:space="preserve">, </w:t>
      </w:r>
      <w:r w:rsidRPr="00B55191">
        <w:rPr>
          <w:i/>
          <w:noProof/>
        </w:rPr>
        <w:t>1</w:t>
      </w:r>
      <w:r w:rsidRPr="00B55191">
        <w:rPr>
          <w:noProof/>
        </w:rPr>
        <w:t>, 1494-1518.</w:t>
      </w:r>
    </w:p>
    <w:p w14:paraId="19B0BB36" w14:textId="77777777" w:rsidR="00B55191" w:rsidRPr="00B55191" w:rsidRDefault="00B55191" w:rsidP="00B55191">
      <w:pPr>
        <w:pStyle w:val="EndNoteBibliography"/>
        <w:rPr>
          <w:noProof/>
        </w:rPr>
      </w:pPr>
      <w:r w:rsidRPr="00B55191">
        <w:rPr>
          <w:noProof/>
        </w:rPr>
        <w:t xml:space="preserve">(251) Pérez-Ramírez, J.; López, N. Strategies to Break Linear Scaling Relationships. </w:t>
      </w:r>
      <w:r w:rsidRPr="00B55191">
        <w:rPr>
          <w:i/>
          <w:noProof/>
        </w:rPr>
        <w:t xml:space="preserve">Nat. Catal. </w:t>
      </w:r>
      <w:r w:rsidRPr="00B55191">
        <w:rPr>
          <w:b/>
          <w:noProof/>
        </w:rPr>
        <w:t>2019</w:t>
      </w:r>
      <w:r w:rsidRPr="00B55191">
        <w:rPr>
          <w:noProof/>
        </w:rPr>
        <w:t xml:space="preserve">, </w:t>
      </w:r>
      <w:r w:rsidRPr="00B55191">
        <w:rPr>
          <w:i/>
          <w:noProof/>
        </w:rPr>
        <w:t>2</w:t>
      </w:r>
      <w:r w:rsidRPr="00B55191">
        <w:rPr>
          <w:noProof/>
        </w:rPr>
        <w:t>, 971-976.</w:t>
      </w:r>
    </w:p>
    <w:p w14:paraId="0B5D6F9C" w14:textId="77777777" w:rsidR="00B55191" w:rsidRPr="00B55191" w:rsidRDefault="00B55191" w:rsidP="00B55191">
      <w:pPr>
        <w:pStyle w:val="EndNoteBibliography"/>
        <w:rPr>
          <w:noProof/>
        </w:rPr>
      </w:pPr>
      <w:r w:rsidRPr="00B55191">
        <w:rPr>
          <w:noProof/>
        </w:rPr>
        <w:t xml:space="preserve">(252) Govindarajan, N.; Koper, M. T. M.; Meijer, E. J.; Calle-Vallejo, F. Outlining the Scaling-Based and Scaling-Free Optimization of Electrocatalysts. </w:t>
      </w:r>
      <w:r w:rsidRPr="00B55191">
        <w:rPr>
          <w:i/>
          <w:noProof/>
        </w:rPr>
        <w:t xml:space="preserve">ACS Catal. </w:t>
      </w:r>
      <w:r w:rsidRPr="00B55191">
        <w:rPr>
          <w:b/>
          <w:noProof/>
        </w:rPr>
        <w:t>2019</w:t>
      </w:r>
      <w:r w:rsidRPr="00B55191">
        <w:rPr>
          <w:noProof/>
        </w:rPr>
        <w:t xml:space="preserve">, </w:t>
      </w:r>
      <w:r w:rsidRPr="00B55191">
        <w:rPr>
          <w:i/>
          <w:noProof/>
        </w:rPr>
        <w:t>9</w:t>
      </w:r>
      <w:r w:rsidRPr="00B55191">
        <w:rPr>
          <w:noProof/>
        </w:rPr>
        <w:t>, 4218-4225.</w:t>
      </w:r>
    </w:p>
    <w:p w14:paraId="08FC5F6C" w14:textId="77777777" w:rsidR="00B55191" w:rsidRPr="00B55191" w:rsidRDefault="00B55191" w:rsidP="00B55191">
      <w:pPr>
        <w:pStyle w:val="EndNoteBibliography"/>
        <w:rPr>
          <w:noProof/>
        </w:rPr>
      </w:pPr>
      <w:r w:rsidRPr="00B55191">
        <w:rPr>
          <w:noProof/>
        </w:rPr>
        <w:t xml:space="preserve">(253) Exner, K. S.; Anton, J.; Jacob, T.; Over, H. Ligand Effects and Their Impact on Electrocatalytic Processes Exemplified with the Oxygen Evolution Reaction (Oer) on Ruo2(110). </w:t>
      </w:r>
      <w:r w:rsidRPr="00B55191">
        <w:rPr>
          <w:i/>
          <w:noProof/>
        </w:rPr>
        <w:t xml:space="preserve">ChemElectroChem </w:t>
      </w:r>
      <w:r w:rsidRPr="00B55191">
        <w:rPr>
          <w:b/>
          <w:noProof/>
        </w:rPr>
        <w:t>2015</w:t>
      </w:r>
      <w:r w:rsidRPr="00B55191">
        <w:rPr>
          <w:noProof/>
        </w:rPr>
        <w:t xml:space="preserve">, </w:t>
      </w:r>
      <w:r w:rsidRPr="00B55191">
        <w:rPr>
          <w:i/>
          <w:noProof/>
        </w:rPr>
        <w:t>2</w:t>
      </w:r>
      <w:r w:rsidRPr="00B55191">
        <w:rPr>
          <w:noProof/>
        </w:rPr>
        <w:t>, 707-713.</w:t>
      </w:r>
    </w:p>
    <w:p w14:paraId="25599963" w14:textId="77777777" w:rsidR="00B55191" w:rsidRPr="00B55191" w:rsidRDefault="00B55191" w:rsidP="00B55191">
      <w:pPr>
        <w:pStyle w:val="EndNoteBibliography"/>
        <w:rPr>
          <w:noProof/>
        </w:rPr>
      </w:pPr>
      <w:r w:rsidRPr="00B55191">
        <w:rPr>
          <w:noProof/>
        </w:rPr>
        <w:lastRenderedPageBreak/>
        <w:t xml:space="preserve">(254) Feng, J.; Lv, F.; Zhang, W.; Li, P.; Wang, K.; Yang, C.; Wang, B.; Yang, Y.; Zhou, J.; Lin, F.; et al. Iridium-Based Multimetallic Porous Hollow Nanocrystals for Efficient Overall-Water-Splitting Catalysis. </w:t>
      </w:r>
      <w:r w:rsidRPr="00B55191">
        <w:rPr>
          <w:i/>
          <w:noProof/>
        </w:rPr>
        <w:t xml:space="preserve">Adv. Mater. </w:t>
      </w:r>
      <w:r w:rsidRPr="00B55191">
        <w:rPr>
          <w:b/>
          <w:noProof/>
        </w:rPr>
        <w:t>2017</w:t>
      </w:r>
      <w:r w:rsidRPr="00B55191">
        <w:rPr>
          <w:noProof/>
        </w:rPr>
        <w:t xml:space="preserve">, </w:t>
      </w:r>
      <w:r w:rsidRPr="00B55191">
        <w:rPr>
          <w:i/>
          <w:noProof/>
        </w:rPr>
        <w:t>29</w:t>
      </w:r>
      <w:r w:rsidRPr="00B55191">
        <w:rPr>
          <w:noProof/>
        </w:rPr>
        <w:t>, 1703798.</w:t>
      </w:r>
    </w:p>
    <w:p w14:paraId="0882E09A" w14:textId="77777777" w:rsidR="00B55191" w:rsidRPr="00B55191" w:rsidRDefault="00B55191" w:rsidP="00B55191">
      <w:pPr>
        <w:pStyle w:val="EndNoteBibliography"/>
        <w:rPr>
          <w:noProof/>
        </w:rPr>
      </w:pPr>
      <w:r w:rsidRPr="00B55191">
        <w:rPr>
          <w:noProof/>
        </w:rPr>
        <w:t xml:space="preserve">(255) Liu, J.; Xiao, J.; Luo, B.; Tian, E.; Waterhouse, G. I. N. Central Metal and Ligand Effects on Oxygen Electrocatalysis over 3d Transition Metal Single-Atom Catalysts: A Theoretical Investigation. </w:t>
      </w:r>
      <w:r w:rsidRPr="00B55191">
        <w:rPr>
          <w:i/>
          <w:noProof/>
        </w:rPr>
        <w:t xml:space="preserve">Chem. Eng. J. </w:t>
      </w:r>
      <w:r w:rsidRPr="00B55191">
        <w:rPr>
          <w:b/>
          <w:noProof/>
        </w:rPr>
        <w:t>2022</w:t>
      </w:r>
      <w:r w:rsidRPr="00B55191">
        <w:rPr>
          <w:noProof/>
        </w:rPr>
        <w:t xml:space="preserve">, </w:t>
      </w:r>
      <w:r w:rsidRPr="00B55191">
        <w:rPr>
          <w:i/>
          <w:noProof/>
        </w:rPr>
        <w:t>427</w:t>
      </w:r>
      <w:r w:rsidRPr="00B55191">
        <w:rPr>
          <w:noProof/>
        </w:rPr>
        <w:t>, 132038.</w:t>
      </w:r>
    </w:p>
    <w:p w14:paraId="39A71F9E" w14:textId="77777777" w:rsidR="00B55191" w:rsidRPr="00B55191" w:rsidRDefault="00B55191" w:rsidP="00B55191">
      <w:pPr>
        <w:pStyle w:val="EndNoteBibliography"/>
        <w:rPr>
          <w:noProof/>
        </w:rPr>
      </w:pPr>
      <w:r w:rsidRPr="00B55191">
        <w:rPr>
          <w:noProof/>
        </w:rPr>
        <w:t xml:space="preserve">(256) Huang, W.; Li, J.; Liao, X.; Lu, R.; Ling, C.; Liu, X.; Meng, J.; Qu, L.; Lin, M.; Hong, X.; et al. Ligand Modulation of Active Sites to Promote Electrocatalytic Oxygen Evolution. </w:t>
      </w:r>
      <w:r w:rsidRPr="00B55191">
        <w:rPr>
          <w:i/>
          <w:noProof/>
        </w:rPr>
        <w:t xml:space="preserve">Adv. Mater. </w:t>
      </w:r>
      <w:r w:rsidRPr="00B55191">
        <w:rPr>
          <w:b/>
          <w:noProof/>
        </w:rPr>
        <w:t>2022</w:t>
      </w:r>
      <w:r w:rsidRPr="00B55191">
        <w:rPr>
          <w:noProof/>
        </w:rPr>
        <w:t xml:space="preserve">, </w:t>
      </w:r>
      <w:r w:rsidRPr="00B55191">
        <w:rPr>
          <w:i/>
          <w:noProof/>
        </w:rPr>
        <w:t>34</w:t>
      </w:r>
      <w:r w:rsidRPr="00B55191">
        <w:rPr>
          <w:noProof/>
        </w:rPr>
        <w:t>, 2200270.</w:t>
      </w:r>
    </w:p>
    <w:p w14:paraId="7034417D" w14:textId="77777777" w:rsidR="00B55191" w:rsidRPr="00B55191" w:rsidRDefault="00B55191" w:rsidP="00B55191">
      <w:pPr>
        <w:pStyle w:val="EndNoteBibliography"/>
        <w:rPr>
          <w:noProof/>
        </w:rPr>
      </w:pPr>
      <w:r w:rsidRPr="00B55191">
        <w:rPr>
          <w:noProof/>
        </w:rPr>
        <w:t xml:space="preserve">(257) Zhang, B.; Zheng, X.; Voznyy, O.; Comin, R.; Bajdich, M.; García-Melchor, M.; Han, L.; Xu, J.; Liu, M.; Zheng, L.; et al. Homogeneously Dispersed Multimetal Oxygen-Evolving Catalysts. </w:t>
      </w:r>
      <w:r w:rsidRPr="00B55191">
        <w:rPr>
          <w:i/>
          <w:noProof/>
        </w:rPr>
        <w:t xml:space="preserve">Science </w:t>
      </w:r>
      <w:r w:rsidRPr="00B55191">
        <w:rPr>
          <w:b/>
          <w:noProof/>
        </w:rPr>
        <w:t>2016</w:t>
      </w:r>
      <w:r w:rsidRPr="00B55191">
        <w:rPr>
          <w:noProof/>
        </w:rPr>
        <w:t xml:space="preserve">, </w:t>
      </w:r>
      <w:r w:rsidRPr="00B55191">
        <w:rPr>
          <w:i/>
          <w:noProof/>
        </w:rPr>
        <w:t>352</w:t>
      </w:r>
      <w:r w:rsidRPr="00B55191">
        <w:rPr>
          <w:noProof/>
        </w:rPr>
        <w:t>, 333-337.</w:t>
      </w:r>
    </w:p>
    <w:p w14:paraId="55028CAF" w14:textId="77777777" w:rsidR="00B55191" w:rsidRPr="00B55191" w:rsidRDefault="00B55191" w:rsidP="00B55191">
      <w:pPr>
        <w:pStyle w:val="EndNoteBibliography"/>
        <w:rPr>
          <w:noProof/>
        </w:rPr>
      </w:pPr>
      <w:r w:rsidRPr="00B55191">
        <w:rPr>
          <w:noProof/>
        </w:rPr>
        <w:t xml:space="preserve">(258) Petrykin, V.; Macounová, K.; Okube, M.; Mukerjee, S.; Krtil, P. Local Structure of Co Doped Ruo2 Nanocrystalline Electrocatalytic Materials for Chlorine and Oxygen Evolution. </w:t>
      </w:r>
      <w:r w:rsidRPr="00B55191">
        <w:rPr>
          <w:i/>
          <w:noProof/>
        </w:rPr>
        <w:t xml:space="preserve">Catal. Today </w:t>
      </w:r>
      <w:r w:rsidRPr="00B55191">
        <w:rPr>
          <w:b/>
          <w:noProof/>
        </w:rPr>
        <w:t>2013</w:t>
      </w:r>
      <w:r w:rsidRPr="00B55191">
        <w:rPr>
          <w:noProof/>
        </w:rPr>
        <w:t xml:space="preserve">, </w:t>
      </w:r>
      <w:r w:rsidRPr="00B55191">
        <w:rPr>
          <w:i/>
          <w:noProof/>
        </w:rPr>
        <w:t>202</w:t>
      </w:r>
      <w:r w:rsidRPr="00B55191">
        <w:rPr>
          <w:noProof/>
        </w:rPr>
        <w:t>, 63-69.</w:t>
      </w:r>
    </w:p>
    <w:p w14:paraId="2172CDC9" w14:textId="77777777" w:rsidR="00B55191" w:rsidRPr="00B55191" w:rsidRDefault="00B55191" w:rsidP="00B55191">
      <w:pPr>
        <w:pStyle w:val="EndNoteBibliography"/>
        <w:rPr>
          <w:noProof/>
        </w:rPr>
      </w:pPr>
      <w:r w:rsidRPr="00B55191">
        <w:rPr>
          <w:noProof/>
        </w:rPr>
        <w:t xml:space="preserve">(259) Petrykin, V.; Bastl, Z.; Franc, J.; Macounova, K.; Makarova, M.; Mukerjee, S.; Ramaswamy, N.; Spirovova, I.; Krtil, P. Local Structure of Nanocrystalline Ru1−Xnixo2−Δ Dioxide and Its Implications for Electrocatalytic Behavior—an Xps and Xas Study. </w:t>
      </w:r>
      <w:r w:rsidRPr="00B55191">
        <w:rPr>
          <w:i/>
          <w:noProof/>
        </w:rPr>
        <w:t xml:space="preserve">J. Phys. Chem. C </w:t>
      </w:r>
      <w:r w:rsidRPr="00B55191">
        <w:rPr>
          <w:b/>
          <w:noProof/>
        </w:rPr>
        <w:t>2009</w:t>
      </w:r>
      <w:r w:rsidRPr="00B55191">
        <w:rPr>
          <w:noProof/>
        </w:rPr>
        <w:t xml:space="preserve">, </w:t>
      </w:r>
      <w:r w:rsidRPr="00B55191">
        <w:rPr>
          <w:i/>
          <w:noProof/>
        </w:rPr>
        <w:t>113</w:t>
      </w:r>
      <w:r w:rsidRPr="00B55191">
        <w:rPr>
          <w:noProof/>
        </w:rPr>
        <w:t>, 21657-21666.</w:t>
      </w:r>
    </w:p>
    <w:p w14:paraId="1B8020FE" w14:textId="77777777" w:rsidR="00B55191" w:rsidRPr="00B55191" w:rsidRDefault="00B55191" w:rsidP="00B55191">
      <w:pPr>
        <w:pStyle w:val="EndNoteBibliography"/>
        <w:rPr>
          <w:noProof/>
        </w:rPr>
      </w:pPr>
      <w:r w:rsidRPr="00B55191">
        <w:rPr>
          <w:noProof/>
        </w:rPr>
        <w:t xml:space="preserve">(260) Makarova, M. V.; Jirkovský, J.; Klementová, M.; Jirka, I.; Macounová, K.; Krtil, P. The Electrocatalytic Behavior of Ru0.8co0.2o2-X — the Effect of Particle Shape and Surface Composition. </w:t>
      </w:r>
      <w:r w:rsidRPr="00B55191">
        <w:rPr>
          <w:i/>
          <w:noProof/>
        </w:rPr>
        <w:t xml:space="preserve">Electrochim. Acta </w:t>
      </w:r>
      <w:r w:rsidRPr="00B55191">
        <w:rPr>
          <w:b/>
          <w:noProof/>
        </w:rPr>
        <w:t>2008</w:t>
      </w:r>
      <w:r w:rsidRPr="00B55191">
        <w:rPr>
          <w:noProof/>
        </w:rPr>
        <w:t xml:space="preserve">, </w:t>
      </w:r>
      <w:r w:rsidRPr="00B55191">
        <w:rPr>
          <w:i/>
          <w:noProof/>
        </w:rPr>
        <w:t>53</w:t>
      </w:r>
      <w:r w:rsidRPr="00B55191">
        <w:rPr>
          <w:noProof/>
        </w:rPr>
        <w:t>, 2656-2664.</w:t>
      </w:r>
    </w:p>
    <w:p w14:paraId="0F1FA58B" w14:textId="77777777" w:rsidR="00B55191" w:rsidRPr="00B55191" w:rsidRDefault="00B55191" w:rsidP="00B55191">
      <w:pPr>
        <w:pStyle w:val="EndNoteBibliography"/>
        <w:rPr>
          <w:noProof/>
        </w:rPr>
      </w:pPr>
      <w:r w:rsidRPr="00B55191">
        <w:rPr>
          <w:noProof/>
        </w:rPr>
        <w:t xml:space="preserve">(261) Jirkovský, J.; Makarova, M.; Krtil, P. Particle Size Dependence of Oxygen Evolution Reaction on Nanocrystalline Ruo2 and Ru0.8co0.2o2-X. </w:t>
      </w:r>
      <w:r w:rsidRPr="00B55191">
        <w:rPr>
          <w:i/>
          <w:noProof/>
        </w:rPr>
        <w:t xml:space="preserve">Electrochem. Commun. </w:t>
      </w:r>
      <w:r w:rsidRPr="00B55191">
        <w:rPr>
          <w:b/>
          <w:noProof/>
        </w:rPr>
        <w:t>2006</w:t>
      </w:r>
      <w:r w:rsidRPr="00B55191">
        <w:rPr>
          <w:noProof/>
        </w:rPr>
        <w:t xml:space="preserve">, </w:t>
      </w:r>
      <w:r w:rsidRPr="00B55191">
        <w:rPr>
          <w:i/>
          <w:noProof/>
        </w:rPr>
        <w:t>8</w:t>
      </w:r>
      <w:r w:rsidRPr="00B55191">
        <w:rPr>
          <w:noProof/>
        </w:rPr>
        <w:t>, 1417-1422.</w:t>
      </w:r>
    </w:p>
    <w:p w14:paraId="49C5C69A" w14:textId="77777777" w:rsidR="00B55191" w:rsidRPr="00B55191" w:rsidRDefault="00B55191" w:rsidP="00B55191">
      <w:pPr>
        <w:pStyle w:val="EndNoteBibliography"/>
        <w:rPr>
          <w:noProof/>
        </w:rPr>
      </w:pPr>
      <w:r w:rsidRPr="00B55191">
        <w:rPr>
          <w:noProof/>
        </w:rPr>
        <w:t xml:space="preserve">(262) Macounová, K.; Jirkovský, J.; Makarova, M. V.; Franc, J.; Krtil, P. Oxygen Evolution on Ru1 - Xnixo2 -Y Nanocrystalline Electrodes. </w:t>
      </w:r>
      <w:r w:rsidRPr="00B55191">
        <w:rPr>
          <w:i/>
          <w:noProof/>
        </w:rPr>
        <w:t xml:space="preserve">J. Solid State Electrochem. </w:t>
      </w:r>
      <w:r w:rsidRPr="00B55191">
        <w:rPr>
          <w:b/>
          <w:noProof/>
        </w:rPr>
        <w:t>2009</w:t>
      </w:r>
      <w:r w:rsidRPr="00B55191">
        <w:rPr>
          <w:noProof/>
        </w:rPr>
        <w:t xml:space="preserve">, </w:t>
      </w:r>
      <w:r w:rsidRPr="00B55191">
        <w:rPr>
          <w:i/>
          <w:noProof/>
        </w:rPr>
        <w:t>13</w:t>
      </w:r>
      <w:r w:rsidRPr="00B55191">
        <w:rPr>
          <w:noProof/>
        </w:rPr>
        <w:t>, 959-965.</w:t>
      </w:r>
    </w:p>
    <w:p w14:paraId="646049B3" w14:textId="77777777" w:rsidR="00B55191" w:rsidRPr="00B55191" w:rsidRDefault="00B55191" w:rsidP="00B55191">
      <w:pPr>
        <w:pStyle w:val="EndNoteBibliography"/>
        <w:rPr>
          <w:noProof/>
        </w:rPr>
      </w:pPr>
      <w:r w:rsidRPr="00B55191">
        <w:rPr>
          <w:noProof/>
        </w:rPr>
        <w:t xml:space="preserve">(263) Macounová, K.; Makarova, M.; Jirkovský, J.; Franc, J.; Krtil, P. Parallel Oxygen and Chlorine Evolution on Ru1-Xnixo2-Y Nanostructured Electrodes. </w:t>
      </w:r>
      <w:r w:rsidRPr="00B55191">
        <w:rPr>
          <w:i/>
          <w:noProof/>
        </w:rPr>
        <w:t xml:space="preserve">Electrochim. Acta </w:t>
      </w:r>
      <w:r w:rsidRPr="00B55191">
        <w:rPr>
          <w:b/>
          <w:noProof/>
        </w:rPr>
        <w:t>2008</w:t>
      </w:r>
      <w:r w:rsidRPr="00B55191">
        <w:rPr>
          <w:noProof/>
        </w:rPr>
        <w:t xml:space="preserve">, </w:t>
      </w:r>
      <w:r w:rsidRPr="00B55191">
        <w:rPr>
          <w:i/>
          <w:noProof/>
        </w:rPr>
        <w:t>53</w:t>
      </w:r>
      <w:r w:rsidRPr="00B55191">
        <w:rPr>
          <w:noProof/>
        </w:rPr>
        <w:t>, 6126-6134.</w:t>
      </w:r>
    </w:p>
    <w:p w14:paraId="2383F039" w14:textId="77777777" w:rsidR="00B55191" w:rsidRPr="00B55191" w:rsidRDefault="00B55191" w:rsidP="00B55191">
      <w:pPr>
        <w:pStyle w:val="EndNoteBibliography"/>
        <w:rPr>
          <w:noProof/>
        </w:rPr>
      </w:pPr>
      <w:r w:rsidRPr="00B55191">
        <w:rPr>
          <w:noProof/>
        </w:rPr>
        <w:t xml:space="preserve">(264) Da Silva, L. M.; Boodts, J. F. C.; De Faria, L. A. Oxygen Evolution at Ruo2(X)+Co3o4(1−X) Electrodes from Acid Solution. </w:t>
      </w:r>
      <w:r w:rsidRPr="00B55191">
        <w:rPr>
          <w:i/>
          <w:noProof/>
        </w:rPr>
        <w:t xml:space="preserve">Electrochim. Acta </w:t>
      </w:r>
      <w:r w:rsidRPr="00B55191">
        <w:rPr>
          <w:b/>
          <w:noProof/>
        </w:rPr>
        <w:t>2001</w:t>
      </w:r>
      <w:r w:rsidRPr="00B55191">
        <w:rPr>
          <w:noProof/>
        </w:rPr>
        <w:t xml:space="preserve">, </w:t>
      </w:r>
      <w:r w:rsidRPr="00B55191">
        <w:rPr>
          <w:i/>
          <w:noProof/>
        </w:rPr>
        <w:t>46</w:t>
      </w:r>
      <w:r w:rsidRPr="00B55191">
        <w:rPr>
          <w:noProof/>
        </w:rPr>
        <w:t>, 1369-1375.</w:t>
      </w:r>
    </w:p>
    <w:p w14:paraId="7418C3E4" w14:textId="77777777" w:rsidR="00B55191" w:rsidRPr="00B55191" w:rsidRDefault="00B55191" w:rsidP="00B55191">
      <w:pPr>
        <w:pStyle w:val="EndNoteBibliography"/>
        <w:rPr>
          <w:noProof/>
        </w:rPr>
      </w:pPr>
      <w:r w:rsidRPr="00B55191">
        <w:rPr>
          <w:noProof/>
        </w:rPr>
        <w:t xml:space="preserve">(265) Ping, Y.; Nielsen, R. J.; Goddard, W. A., III. The Reaction Mechanism with Free Energy Barriers at Constant Potentials for the Oxygen Evolution Reaction at the Iro2 (110) Surface. </w:t>
      </w:r>
      <w:r w:rsidRPr="00B55191">
        <w:rPr>
          <w:i/>
          <w:noProof/>
        </w:rPr>
        <w:t xml:space="preserve">J. Am. Chem. Soc. </w:t>
      </w:r>
      <w:r w:rsidRPr="00B55191">
        <w:rPr>
          <w:b/>
          <w:noProof/>
        </w:rPr>
        <w:t>2017</w:t>
      </w:r>
      <w:r w:rsidRPr="00B55191">
        <w:rPr>
          <w:noProof/>
        </w:rPr>
        <w:t xml:space="preserve">, </w:t>
      </w:r>
      <w:r w:rsidRPr="00B55191">
        <w:rPr>
          <w:i/>
          <w:noProof/>
        </w:rPr>
        <w:t>139</w:t>
      </w:r>
      <w:r w:rsidRPr="00B55191">
        <w:rPr>
          <w:noProof/>
        </w:rPr>
        <w:t>, 149-155.</w:t>
      </w:r>
    </w:p>
    <w:p w14:paraId="6576DB9F" w14:textId="77777777" w:rsidR="00B55191" w:rsidRPr="00B55191" w:rsidRDefault="00B55191" w:rsidP="00B55191">
      <w:pPr>
        <w:pStyle w:val="EndNoteBibliography"/>
        <w:rPr>
          <w:noProof/>
        </w:rPr>
      </w:pPr>
      <w:r w:rsidRPr="00B55191">
        <w:rPr>
          <w:noProof/>
        </w:rPr>
        <w:t xml:space="preserve">(266) Busch, M. Water Oxidation: From Mechanisms to Limitations. </w:t>
      </w:r>
      <w:r w:rsidRPr="00B55191">
        <w:rPr>
          <w:i/>
          <w:noProof/>
        </w:rPr>
        <w:t xml:space="preserve">Curr. Opin. Electrochem. </w:t>
      </w:r>
      <w:r w:rsidRPr="00B55191">
        <w:rPr>
          <w:b/>
          <w:noProof/>
        </w:rPr>
        <w:t>2018</w:t>
      </w:r>
      <w:r w:rsidRPr="00B55191">
        <w:rPr>
          <w:noProof/>
        </w:rPr>
        <w:t xml:space="preserve">, </w:t>
      </w:r>
      <w:r w:rsidRPr="00B55191">
        <w:rPr>
          <w:i/>
          <w:noProof/>
        </w:rPr>
        <w:t>9</w:t>
      </w:r>
      <w:r w:rsidRPr="00B55191">
        <w:rPr>
          <w:noProof/>
        </w:rPr>
        <w:t>, 278-284.</w:t>
      </w:r>
    </w:p>
    <w:p w14:paraId="4A1D76AB" w14:textId="77777777" w:rsidR="00B55191" w:rsidRPr="00B55191" w:rsidRDefault="00B55191" w:rsidP="00B55191">
      <w:pPr>
        <w:pStyle w:val="EndNoteBibliography"/>
        <w:rPr>
          <w:noProof/>
        </w:rPr>
      </w:pPr>
      <w:r w:rsidRPr="00B55191">
        <w:rPr>
          <w:noProof/>
        </w:rPr>
        <w:t xml:space="preserve">(267) Reier, T.; Pawolek, Z.; Cherevko, S.; Bruns, M.; Jones, T.; Teschner, D.; Selve, S.; Bergmann, A.; Nong, H. N.; Schlögl, R.; et al. Molecular Insight in Structure and Activity of Highly Efficient, Low-Ir Ir–Ni Oxide Catalysts for Electrochemical Water Splitting (Oer). </w:t>
      </w:r>
      <w:r w:rsidRPr="00B55191">
        <w:rPr>
          <w:i/>
          <w:noProof/>
        </w:rPr>
        <w:t xml:space="preserve">J. Am. Chem. Soc. </w:t>
      </w:r>
      <w:r w:rsidRPr="00B55191">
        <w:rPr>
          <w:b/>
          <w:noProof/>
        </w:rPr>
        <w:t>2015</w:t>
      </w:r>
      <w:r w:rsidRPr="00B55191">
        <w:rPr>
          <w:noProof/>
        </w:rPr>
        <w:t xml:space="preserve">, </w:t>
      </w:r>
      <w:r w:rsidRPr="00B55191">
        <w:rPr>
          <w:i/>
          <w:noProof/>
        </w:rPr>
        <w:t>137</w:t>
      </w:r>
      <w:r w:rsidRPr="00B55191">
        <w:rPr>
          <w:noProof/>
        </w:rPr>
        <w:t>, 13031-13040.</w:t>
      </w:r>
    </w:p>
    <w:p w14:paraId="37F48459" w14:textId="77777777" w:rsidR="00B55191" w:rsidRPr="00B55191" w:rsidRDefault="00B55191" w:rsidP="00B55191">
      <w:pPr>
        <w:pStyle w:val="EndNoteBibliography"/>
        <w:rPr>
          <w:noProof/>
        </w:rPr>
      </w:pPr>
      <w:r w:rsidRPr="00B55191">
        <w:rPr>
          <w:noProof/>
        </w:rPr>
        <w:t xml:space="preserve">(268) Nong, H. N.; Reier, T.; Oh, H.-S.; Gliech, M.; Paciok, P.; Vu, T. H. T.; Teschner, D.; Heggen, M.; Petkov, V.; Schlögl, R.; et al. A Unique Oxygen Ligand Environment Facilitates Water Oxidation in Hole-Doped Irniox Core–Shell Electrocatalysts. </w:t>
      </w:r>
      <w:r w:rsidRPr="00B55191">
        <w:rPr>
          <w:i/>
          <w:noProof/>
        </w:rPr>
        <w:t xml:space="preserve">Nat. Catal. </w:t>
      </w:r>
      <w:r w:rsidRPr="00B55191">
        <w:rPr>
          <w:b/>
          <w:noProof/>
        </w:rPr>
        <w:t>2018</w:t>
      </w:r>
      <w:r w:rsidRPr="00B55191">
        <w:rPr>
          <w:noProof/>
        </w:rPr>
        <w:t xml:space="preserve">, </w:t>
      </w:r>
      <w:r w:rsidRPr="00B55191">
        <w:rPr>
          <w:i/>
          <w:noProof/>
        </w:rPr>
        <w:t>1</w:t>
      </w:r>
      <w:r w:rsidRPr="00B55191">
        <w:rPr>
          <w:noProof/>
        </w:rPr>
        <w:t>, 841-851.</w:t>
      </w:r>
    </w:p>
    <w:p w14:paraId="6FE134EB" w14:textId="77777777" w:rsidR="00B55191" w:rsidRPr="00B55191" w:rsidRDefault="00B55191" w:rsidP="00B55191">
      <w:pPr>
        <w:pStyle w:val="EndNoteBibliography"/>
        <w:rPr>
          <w:noProof/>
        </w:rPr>
      </w:pPr>
      <w:r w:rsidRPr="00B55191">
        <w:rPr>
          <w:noProof/>
        </w:rPr>
        <w:t xml:space="preserve">(269) Seitz, L. C.; Dickens, C. F.; Nishio, K.; Hikita, Y.; Montoya, J.; Doyle, A.; Kirk, C.; Vojvodic, A.; Hwang, H. Y.; Norskov, J. K.; Jaramillo, T. F. A Highly Active and Stable Irox/Sriro3 Catalyst for the Oxygen Evolution Reaction. </w:t>
      </w:r>
      <w:r w:rsidRPr="00B55191">
        <w:rPr>
          <w:i/>
          <w:noProof/>
        </w:rPr>
        <w:t xml:space="preserve">Science </w:t>
      </w:r>
      <w:r w:rsidRPr="00B55191">
        <w:rPr>
          <w:b/>
          <w:noProof/>
        </w:rPr>
        <w:t>2016</w:t>
      </w:r>
      <w:r w:rsidRPr="00B55191">
        <w:rPr>
          <w:noProof/>
        </w:rPr>
        <w:t xml:space="preserve">, </w:t>
      </w:r>
      <w:r w:rsidRPr="00B55191">
        <w:rPr>
          <w:i/>
          <w:noProof/>
        </w:rPr>
        <w:t>353</w:t>
      </w:r>
      <w:r w:rsidRPr="00B55191">
        <w:rPr>
          <w:noProof/>
        </w:rPr>
        <w:t>, 1011-1014.</w:t>
      </w:r>
    </w:p>
    <w:p w14:paraId="08CD81C2" w14:textId="77777777" w:rsidR="00B55191" w:rsidRPr="00B55191" w:rsidRDefault="00B55191" w:rsidP="00B55191">
      <w:pPr>
        <w:pStyle w:val="EndNoteBibliography"/>
        <w:rPr>
          <w:noProof/>
        </w:rPr>
      </w:pPr>
      <w:r w:rsidRPr="00B55191">
        <w:rPr>
          <w:noProof/>
        </w:rPr>
        <w:lastRenderedPageBreak/>
        <w:t xml:space="preserve">(270) Lee, K.; Osada, M.; Hwang, H. Y.; Hikita, Y. Oxygen Evolution Reaction Activity in Irox/Sriro3 Catalysts: Correlations between Structural Parameters and the Catalytic Activity. </w:t>
      </w:r>
      <w:r w:rsidRPr="00B55191">
        <w:rPr>
          <w:i/>
          <w:noProof/>
        </w:rPr>
        <w:t xml:space="preserve">J. Phys. Chem. Lett. </w:t>
      </w:r>
      <w:r w:rsidRPr="00B55191">
        <w:rPr>
          <w:b/>
          <w:noProof/>
        </w:rPr>
        <w:t>2019</w:t>
      </w:r>
      <w:r w:rsidRPr="00B55191">
        <w:rPr>
          <w:noProof/>
        </w:rPr>
        <w:t xml:space="preserve">, </w:t>
      </w:r>
      <w:r w:rsidRPr="00B55191">
        <w:rPr>
          <w:i/>
          <w:noProof/>
        </w:rPr>
        <w:t>10</w:t>
      </w:r>
      <w:r w:rsidRPr="00B55191">
        <w:rPr>
          <w:noProof/>
        </w:rPr>
        <w:t>, 1516-1522.</w:t>
      </w:r>
    </w:p>
    <w:p w14:paraId="6D80B3D9" w14:textId="77777777" w:rsidR="00B55191" w:rsidRPr="00B55191" w:rsidRDefault="00B55191" w:rsidP="00B55191">
      <w:pPr>
        <w:pStyle w:val="EndNoteBibliography"/>
        <w:rPr>
          <w:noProof/>
        </w:rPr>
      </w:pPr>
      <w:r w:rsidRPr="00B55191">
        <w:rPr>
          <w:noProof/>
        </w:rPr>
        <w:t xml:space="preserve">(271) Akbashev, A. R.; Roddatis, V.; Baeumer, C.; Liu, T.; Mefford, J. T.; Chueh, W. C. Probing the Stability of Sriro3 During Active Water Electrolysis Via Operando Atomic Force Microscopy. </w:t>
      </w:r>
      <w:r w:rsidRPr="00B55191">
        <w:rPr>
          <w:i/>
          <w:noProof/>
        </w:rPr>
        <w:t xml:space="preserve">Energy Environ. Sci. </w:t>
      </w:r>
      <w:r w:rsidRPr="00B55191">
        <w:rPr>
          <w:b/>
          <w:noProof/>
        </w:rPr>
        <w:t>2023</w:t>
      </w:r>
      <w:r w:rsidRPr="00B55191">
        <w:rPr>
          <w:noProof/>
        </w:rPr>
        <w:t xml:space="preserve">, </w:t>
      </w:r>
      <w:r w:rsidRPr="00B55191">
        <w:rPr>
          <w:i/>
          <w:noProof/>
        </w:rPr>
        <w:t>16</w:t>
      </w:r>
      <w:r w:rsidRPr="00B55191">
        <w:rPr>
          <w:noProof/>
        </w:rPr>
        <w:t>, 513-522.</w:t>
      </w:r>
    </w:p>
    <w:p w14:paraId="2C04AECB" w14:textId="77777777" w:rsidR="00B55191" w:rsidRPr="00B55191" w:rsidRDefault="00B55191" w:rsidP="00B55191">
      <w:pPr>
        <w:pStyle w:val="EndNoteBibliography"/>
        <w:rPr>
          <w:noProof/>
        </w:rPr>
      </w:pPr>
      <w:r w:rsidRPr="00B55191">
        <w:rPr>
          <w:noProof/>
        </w:rPr>
        <w:t xml:space="preserve">(272) Kuznetsova, E.; Petrykin, V.; Sunde, S.; Krtil, P. Selectivity of Nanocrystalline Iro2-Based Catalysts in Parallel Chlorine and Oxygen Evolution. </w:t>
      </w:r>
      <w:r w:rsidRPr="00B55191">
        <w:rPr>
          <w:i/>
          <w:noProof/>
        </w:rPr>
        <w:t xml:space="preserve">Electrocatalysis </w:t>
      </w:r>
      <w:r w:rsidRPr="00B55191">
        <w:rPr>
          <w:b/>
          <w:noProof/>
        </w:rPr>
        <w:t>2015</w:t>
      </w:r>
      <w:r w:rsidRPr="00B55191">
        <w:rPr>
          <w:noProof/>
        </w:rPr>
        <w:t xml:space="preserve">, </w:t>
      </w:r>
      <w:r w:rsidRPr="00B55191">
        <w:rPr>
          <w:i/>
          <w:noProof/>
        </w:rPr>
        <w:t>6</w:t>
      </w:r>
      <w:r w:rsidRPr="00B55191">
        <w:rPr>
          <w:noProof/>
        </w:rPr>
        <w:t>, 198-210.</w:t>
      </w:r>
    </w:p>
    <w:p w14:paraId="2FAD3FF6" w14:textId="77777777" w:rsidR="00B55191" w:rsidRPr="00B55191" w:rsidRDefault="00B55191" w:rsidP="00B55191">
      <w:pPr>
        <w:pStyle w:val="EndNoteBibliography"/>
        <w:rPr>
          <w:noProof/>
        </w:rPr>
      </w:pPr>
      <w:r w:rsidRPr="00B55191">
        <w:rPr>
          <w:noProof/>
        </w:rPr>
        <w:t xml:space="preserve">(273) Jirkovský, J. S.; Busch, M.; Ahlberg, E.; Panas, I.; Krtil, P. Switching on the Electrocatalytic Ethene Epoxidation on Nanocrystalline Ruo2. </w:t>
      </w:r>
      <w:r w:rsidRPr="00B55191">
        <w:rPr>
          <w:i/>
          <w:noProof/>
        </w:rPr>
        <w:t xml:space="preserve">J. Am. Chem. Soc. </w:t>
      </w:r>
      <w:r w:rsidRPr="00B55191">
        <w:rPr>
          <w:b/>
          <w:noProof/>
        </w:rPr>
        <w:t>2011</w:t>
      </w:r>
      <w:r w:rsidRPr="00B55191">
        <w:rPr>
          <w:noProof/>
        </w:rPr>
        <w:t xml:space="preserve">, </w:t>
      </w:r>
      <w:r w:rsidRPr="00B55191">
        <w:rPr>
          <w:i/>
          <w:noProof/>
        </w:rPr>
        <w:t>133</w:t>
      </w:r>
      <w:r w:rsidRPr="00B55191">
        <w:rPr>
          <w:noProof/>
        </w:rPr>
        <w:t>, 5882-5892.</w:t>
      </w:r>
    </w:p>
    <w:p w14:paraId="3AB76214" w14:textId="77777777" w:rsidR="00B55191" w:rsidRPr="00B55191" w:rsidRDefault="00B55191" w:rsidP="00B55191">
      <w:pPr>
        <w:pStyle w:val="EndNoteBibliography"/>
        <w:rPr>
          <w:noProof/>
        </w:rPr>
      </w:pPr>
      <w:r w:rsidRPr="00B55191">
        <w:rPr>
          <w:noProof/>
        </w:rPr>
        <w:t xml:space="preserve">(274) Liao, P.; Keith, J. A.; Carter, E. A. Water Oxidation on Pure and Doped Hematite (0001) Surfaces: Prediction of Co and Ni as Effective Dopants for Electrocatalysis. </w:t>
      </w:r>
      <w:r w:rsidRPr="00B55191">
        <w:rPr>
          <w:i/>
          <w:noProof/>
        </w:rPr>
        <w:t xml:space="preserve">J. Am. Chem. Soc. </w:t>
      </w:r>
      <w:r w:rsidRPr="00B55191">
        <w:rPr>
          <w:b/>
          <w:noProof/>
        </w:rPr>
        <w:t>2012</w:t>
      </w:r>
      <w:r w:rsidRPr="00B55191">
        <w:rPr>
          <w:noProof/>
        </w:rPr>
        <w:t xml:space="preserve">, </w:t>
      </w:r>
      <w:r w:rsidRPr="00B55191">
        <w:rPr>
          <w:i/>
          <w:noProof/>
        </w:rPr>
        <w:t>134</w:t>
      </w:r>
      <w:r w:rsidRPr="00B55191">
        <w:rPr>
          <w:noProof/>
        </w:rPr>
        <w:t>, 13296-13309.</w:t>
      </w:r>
    </w:p>
    <w:p w14:paraId="4D47AA00" w14:textId="77777777" w:rsidR="00B55191" w:rsidRPr="00B55191" w:rsidRDefault="00B55191" w:rsidP="00B55191">
      <w:pPr>
        <w:pStyle w:val="EndNoteBibliography"/>
        <w:rPr>
          <w:noProof/>
        </w:rPr>
      </w:pPr>
      <w:r w:rsidRPr="00B55191">
        <w:rPr>
          <w:noProof/>
        </w:rPr>
        <w:t xml:space="preserve">(275) Fan, K.; Chen, H.; Ji, Y.; Huang, H.; Claesson, P. M.; Daniel, Q.; Philippe, B.; Rensmo, H.; Li, F.; Luo, Y.; Sun, L. Nickel–Vanadium Monolayer Double Hydroxide for Efficient Electrochemical Water Oxidation. </w:t>
      </w:r>
      <w:r w:rsidRPr="00B55191">
        <w:rPr>
          <w:i/>
          <w:noProof/>
        </w:rPr>
        <w:t xml:space="preserve">Nat. Commun. </w:t>
      </w:r>
      <w:r w:rsidRPr="00B55191">
        <w:rPr>
          <w:b/>
          <w:noProof/>
        </w:rPr>
        <w:t>2016</w:t>
      </w:r>
      <w:r w:rsidRPr="00B55191">
        <w:rPr>
          <w:noProof/>
        </w:rPr>
        <w:t xml:space="preserve">, </w:t>
      </w:r>
      <w:r w:rsidRPr="00B55191">
        <w:rPr>
          <w:i/>
          <w:noProof/>
        </w:rPr>
        <w:t>7</w:t>
      </w:r>
      <w:r w:rsidRPr="00B55191">
        <w:rPr>
          <w:noProof/>
        </w:rPr>
        <w:t>, 11981.</w:t>
      </w:r>
    </w:p>
    <w:p w14:paraId="4397CFFC" w14:textId="77777777" w:rsidR="00B55191" w:rsidRPr="00B55191" w:rsidRDefault="00B55191" w:rsidP="00B55191">
      <w:pPr>
        <w:pStyle w:val="EndNoteBibliography"/>
        <w:rPr>
          <w:noProof/>
        </w:rPr>
      </w:pPr>
      <w:r w:rsidRPr="00B55191">
        <w:rPr>
          <w:noProof/>
        </w:rPr>
        <w:t xml:space="preserve">(276) Ye, S.-H.; Shi, Z.-X.; Feng, J.-X.; Tong, Y.-X.; Li, G.-R. Activating Coooh Porous Nanosheet Arrays by Partial Iron Substitution for Efficient Oxygen Evolution Reaction. </w:t>
      </w:r>
      <w:r w:rsidRPr="00B55191">
        <w:rPr>
          <w:i/>
          <w:noProof/>
        </w:rPr>
        <w:t xml:space="preserve">Angew. Chem. Int. Ed. </w:t>
      </w:r>
      <w:r w:rsidRPr="00B55191">
        <w:rPr>
          <w:b/>
          <w:noProof/>
        </w:rPr>
        <w:t>2018</w:t>
      </w:r>
      <w:r w:rsidRPr="00B55191">
        <w:rPr>
          <w:noProof/>
        </w:rPr>
        <w:t xml:space="preserve">, </w:t>
      </w:r>
      <w:r w:rsidRPr="00B55191">
        <w:rPr>
          <w:i/>
          <w:noProof/>
        </w:rPr>
        <w:t>57</w:t>
      </w:r>
      <w:r w:rsidRPr="00B55191">
        <w:rPr>
          <w:noProof/>
        </w:rPr>
        <w:t>, 2672-2676.</w:t>
      </w:r>
    </w:p>
    <w:p w14:paraId="2AC13F52" w14:textId="77777777" w:rsidR="00B55191" w:rsidRPr="00B55191" w:rsidRDefault="00B55191" w:rsidP="00B55191">
      <w:pPr>
        <w:pStyle w:val="EndNoteBibliography"/>
        <w:rPr>
          <w:noProof/>
        </w:rPr>
      </w:pPr>
      <w:r w:rsidRPr="00B55191">
        <w:rPr>
          <w:noProof/>
        </w:rPr>
        <w:t xml:space="preserve">(277) Jiang, J.; Sun, F.; Zhou, S.; Hu, W.; Zhang, H.; Dong, J.; Jiang, Z.; Zhao, J.; Li, J.; Yan, W.; Wang, M. Atomic-Level Insight into Super-Efficient Electrocatalytic Oxygen Evolution on Iron and Vanadium Co-Doped Nickel (Oxy)Hydroxide. </w:t>
      </w:r>
      <w:r w:rsidRPr="00B55191">
        <w:rPr>
          <w:i/>
          <w:noProof/>
        </w:rPr>
        <w:t xml:space="preserve">Nat. Commun. </w:t>
      </w:r>
      <w:r w:rsidRPr="00B55191">
        <w:rPr>
          <w:b/>
          <w:noProof/>
        </w:rPr>
        <w:t>2018</w:t>
      </w:r>
      <w:r w:rsidRPr="00B55191">
        <w:rPr>
          <w:noProof/>
        </w:rPr>
        <w:t xml:space="preserve">, </w:t>
      </w:r>
      <w:r w:rsidRPr="00B55191">
        <w:rPr>
          <w:i/>
          <w:noProof/>
        </w:rPr>
        <w:t>9</w:t>
      </w:r>
      <w:r w:rsidRPr="00B55191">
        <w:rPr>
          <w:noProof/>
        </w:rPr>
        <w:t>, 2885.</w:t>
      </w:r>
    </w:p>
    <w:p w14:paraId="7F633DCF" w14:textId="77777777" w:rsidR="00B55191" w:rsidRPr="00B55191" w:rsidRDefault="00B55191" w:rsidP="00B55191">
      <w:pPr>
        <w:pStyle w:val="EndNoteBibliography"/>
        <w:rPr>
          <w:noProof/>
        </w:rPr>
      </w:pPr>
      <w:r w:rsidRPr="00B55191">
        <w:rPr>
          <w:noProof/>
        </w:rPr>
        <w:t xml:space="preserve">(278) Liu, J.; Ji, Y.; Nai, J.; Niu, X.; Luo, Y.; Guo, L.; Yang, S. Ultrathin Amorphous Cobalt–Vanadium Hydr(Oxy)Oxide Catalysts for the Oxygen Evolution Reaction. </w:t>
      </w:r>
      <w:r w:rsidRPr="00B55191">
        <w:rPr>
          <w:i/>
          <w:noProof/>
        </w:rPr>
        <w:t xml:space="preserve">Energy Environ. Sci. </w:t>
      </w:r>
      <w:r w:rsidRPr="00B55191">
        <w:rPr>
          <w:b/>
          <w:noProof/>
        </w:rPr>
        <w:t>2018</w:t>
      </w:r>
      <w:r w:rsidRPr="00B55191">
        <w:rPr>
          <w:noProof/>
        </w:rPr>
        <w:t xml:space="preserve">, </w:t>
      </w:r>
      <w:r w:rsidRPr="00B55191">
        <w:rPr>
          <w:i/>
          <w:noProof/>
        </w:rPr>
        <w:t>11</w:t>
      </w:r>
      <w:r w:rsidRPr="00B55191">
        <w:rPr>
          <w:noProof/>
        </w:rPr>
        <w:t>, 1736-1741.</w:t>
      </w:r>
    </w:p>
    <w:p w14:paraId="5057CF4F" w14:textId="77777777" w:rsidR="00B55191" w:rsidRPr="00B55191" w:rsidRDefault="00B55191" w:rsidP="00B55191">
      <w:pPr>
        <w:pStyle w:val="EndNoteBibliography"/>
        <w:rPr>
          <w:noProof/>
        </w:rPr>
      </w:pPr>
      <w:r w:rsidRPr="00B55191">
        <w:rPr>
          <w:noProof/>
        </w:rPr>
        <w:t xml:space="preserve">(279) Zhai, Y.; Ren, X.; Sun, Y.; Li, D.; Wang, B.; Liu, S. Synergistic Effect of Multiple Vacancies to Induce Lattice Oxygen Redox in Nife-Layered Double Hydroxide Oer Catalysts. </w:t>
      </w:r>
      <w:r w:rsidRPr="00B55191">
        <w:rPr>
          <w:i/>
          <w:noProof/>
        </w:rPr>
        <w:t xml:space="preserve">Appl. Catal., B </w:t>
      </w:r>
      <w:r w:rsidRPr="00B55191">
        <w:rPr>
          <w:b/>
          <w:noProof/>
        </w:rPr>
        <w:t>2023</w:t>
      </w:r>
      <w:r w:rsidRPr="00B55191">
        <w:rPr>
          <w:noProof/>
        </w:rPr>
        <w:t xml:space="preserve">, </w:t>
      </w:r>
      <w:r w:rsidRPr="00B55191">
        <w:rPr>
          <w:i/>
          <w:noProof/>
        </w:rPr>
        <w:t>323</w:t>
      </w:r>
      <w:r w:rsidRPr="00B55191">
        <w:rPr>
          <w:noProof/>
        </w:rPr>
        <w:t>, 122091.</w:t>
      </w:r>
    </w:p>
    <w:p w14:paraId="0DE4FCA2" w14:textId="77777777" w:rsidR="00B55191" w:rsidRPr="00B55191" w:rsidRDefault="00B55191" w:rsidP="00B55191">
      <w:pPr>
        <w:pStyle w:val="EndNoteBibliography"/>
        <w:rPr>
          <w:noProof/>
        </w:rPr>
      </w:pPr>
      <w:r w:rsidRPr="00B55191">
        <w:rPr>
          <w:noProof/>
        </w:rPr>
        <w:t xml:space="preserve">(280) Xiang, R.; Peng, L.; Wei, Z. Tuning Interfacial Structures for Better Catalysis of Water Electrolysis. </w:t>
      </w:r>
      <w:r w:rsidRPr="00B55191">
        <w:rPr>
          <w:i/>
          <w:noProof/>
        </w:rPr>
        <w:t xml:space="preserve">Chem. - Eur. J. </w:t>
      </w:r>
      <w:r w:rsidRPr="00B55191">
        <w:rPr>
          <w:b/>
          <w:noProof/>
        </w:rPr>
        <w:t>2019</w:t>
      </w:r>
      <w:r w:rsidRPr="00B55191">
        <w:rPr>
          <w:noProof/>
        </w:rPr>
        <w:t xml:space="preserve">, </w:t>
      </w:r>
      <w:r w:rsidRPr="00B55191">
        <w:rPr>
          <w:i/>
          <w:noProof/>
        </w:rPr>
        <w:t>25</w:t>
      </w:r>
      <w:r w:rsidRPr="00B55191">
        <w:rPr>
          <w:noProof/>
        </w:rPr>
        <w:t>, 9799-9815.</w:t>
      </w:r>
    </w:p>
    <w:p w14:paraId="0DE89DB7" w14:textId="77777777" w:rsidR="00B55191" w:rsidRPr="00B55191" w:rsidRDefault="00B55191" w:rsidP="00B55191">
      <w:pPr>
        <w:pStyle w:val="EndNoteBibliography"/>
        <w:rPr>
          <w:noProof/>
        </w:rPr>
      </w:pPr>
      <w:r w:rsidRPr="00B55191">
        <w:rPr>
          <w:noProof/>
        </w:rPr>
        <w:t xml:space="preserve">(281) Bao, J.; Zhang, X.; Fan, B.; Zhang, J.; Zhou, M.; Yang, W.; Hu, X.; Wang, H.; Pan, B.; Xie, Y. Ultrathin Spinel-Structured Nanosheets Rich in Oxygen Deficiencies for Enhanced Electrocatalytic Water Oxidation. </w:t>
      </w:r>
      <w:r w:rsidRPr="00B55191">
        <w:rPr>
          <w:i/>
          <w:noProof/>
        </w:rPr>
        <w:t xml:space="preserve">Angew. Chem. Int. Ed. </w:t>
      </w:r>
      <w:r w:rsidRPr="00B55191">
        <w:rPr>
          <w:b/>
          <w:noProof/>
        </w:rPr>
        <w:t>2015</w:t>
      </w:r>
      <w:r w:rsidRPr="00B55191">
        <w:rPr>
          <w:noProof/>
        </w:rPr>
        <w:t xml:space="preserve">, </w:t>
      </w:r>
      <w:r w:rsidRPr="00B55191">
        <w:rPr>
          <w:i/>
          <w:noProof/>
        </w:rPr>
        <w:t>54</w:t>
      </w:r>
      <w:r w:rsidRPr="00B55191">
        <w:rPr>
          <w:noProof/>
        </w:rPr>
        <w:t>, 7399-7404.</w:t>
      </w:r>
    </w:p>
    <w:p w14:paraId="04F93B76" w14:textId="77777777" w:rsidR="00B55191" w:rsidRPr="00B55191" w:rsidRDefault="00B55191" w:rsidP="00B55191">
      <w:pPr>
        <w:pStyle w:val="EndNoteBibliography"/>
        <w:rPr>
          <w:noProof/>
        </w:rPr>
      </w:pPr>
      <w:r w:rsidRPr="00B55191">
        <w:rPr>
          <w:noProof/>
        </w:rPr>
        <w:t xml:space="preserve">(282) Chen, D.; Qiao, M.; Lu, Y.-R.; Hao, L.; Liu, D.; Dong, C.-L.; Li, Y.; Wang, S. Preferential Cation Vacancies in Perovskite Hydroxide for the Oxygen Evolution Reaction. </w:t>
      </w:r>
      <w:r w:rsidRPr="00B55191">
        <w:rPr>
          <w:i/>
          <w:noProof/>
        </w:rPr>
        <w:t xml:space="preserve">Angew. Chem. Int. Ed. </w:t>
      </w:r>
      <w:r w:rsidRPr="00B55191">
        <w:rPr>
          <w:b/>
          <w:noProof/>
        </w:rPr>
        <w:t>2018</w:t>
      </w:r>
      <w:r w:rsidRPr="00B55191">
        <w:rPr>
          <w:noProof/>
        </w:rPr>
        <w:t xml:space="preserve">, </w:t>
      </w:r>
      <w:r w:rsidRPr="00B55191">
        <w:rPr>
          <w:i/>
          <w:noProof/>
        </w:rPr>
        <w:t>57</w:t>
      </w:r>
      <w:r w:rsidRPr="00B55191">
        <w:rPr>
          <w:noProof/>
        </w:rPr>
        <w:t>, 8691-8696.</w:t>
      </w:r>
    </w:p>
    <w:p w14:paraId="5B8B0005" w14:textId="77777777" w:rsidR="00B55191" w:rsidRPr="00B55191" w:rsidRDefault="00B55191" w:rsidP="00B55191">
      <w:pPr>
        <w:pStyle w:val="EndNoteBibliography"/>
        <w:rPr>
          <w:noProof/>
        </w:rPr>
      </w:pPr>
      <w:r w:rsidRPr="00B55191">
        <w:rPr>
          <w:noProof/>
        </w:rPr>
        <w:t xml:space="preserve">(283) Ling, T.; Yan, D.-Y.; Jiao, Y.; Wang, H.; Zheng, Y.; Zheng, X.; Mao, J.; Du, X.-W.; Hu, Z.; Jaroniec, M.; Qiao, S.-Z. Engineering Surface Atomic Structure of Single-Crystal Cobalt (Ii) Oxide Nanorods for Superior Electrocatalysis. </w:t>
      </w:r>
      <w:r w:rsidRPr="00B55191">
        <w:rPr>
          <w:i/>
          <w:noProof/>
        </w:rPr>
        <w:t xml:space="preserve">Nat. Commun. </w:t>
      </w:r>
      <w:r w:rsidRPr="00B55191">
        <w:rPr>
          <w:b/>
          <w:noProof/>
        </w:rPr>
        <w:t>2016</w:t>
      </w:r>
      <w:r w:rsidRPr="00B55191">
        <w:rPr>
          <w:noProof/>
        </w:rPr>
        <w:t xml:space="preserve">, </w:t>
      </w:r>
      <w:r w:rsidRPr="00B55191">
        <w:rPr>
          <w:i/>
          <w:noProof/>
        </w:rPr>
        <w:t>7</w:t>
      </w:r>
      <w:r w:rsidRPr="00B55191">
        <w:rPr>
          <w:noProof/>
        </w:rPr>
        <w:t>, 12876.</w:t>
      </w:r>
    </w:p>
    <w:p w14:paraId="742605BC" w14:textId="77777777" w:rsidR="00B55191" w:rsidRPr="00B55191" w:rsidRDefault="00B55191" w:rsidP="00B55191">
      <w:pPr>
        <w:pStyle w:val="EndNoteBibliography"/>
        <w:rPr>
          <w:noProof/>
        </w:rPr>
      </w:pPr>
      <w:r w:rsidRPr="00B55191">
        <w:rPr>
          <w:noProof/>
        </w:rPr>
        <w:t xml:space="preserve">(284) Nguyen, M.-T.; Piccinin, S.; Seriani, N.; Gebauer, R. Photo-Oxidation of Water on Defective Hematite(0001). </w:t>
      </w:r>
      <w:r w:rsidRPr="00B55191">
        <w:rPr>
          <w:i/>
          <w:noProof/>
        </w:rPr>
        <w:t xml:space="preserve">ACS Catal. </w:t>
      </w:r>
      <w:r w:rsidRPr="00B55191">
        <w:rPr>
          <w:b/>
          <w:noProof/>
        </w:rPr>
        <w:t>2015</w:t>
      </w:r>
      <w:r w:rsidRPr="00B55191">
        <w:rPr>
          <w:noProof/>
        </w:rPr>
        <w:t xml:space="preserve">, </w:t>
      </w:r>
      <w:r w:rsidRPr="00B55191">
        <w:rPr>
          <w:i/>
          <w:noProof/>
        </w:rPr>
        <w:t>5</w:t>
      </w:r>
      <w:r w:rsidRPr="00B55191">
        <w:rPr>
          <w:noProof/>
        </w:rPr>
        <w:t>, 715-721.</w:t>
      </w:r>
    </w:p>
    <w:p w14:paraId="17CE14A7" w14:textId="77777777" w:rsidR="00B55191" w:rsidRPr="00B55191" w:rsidRDefault="00B55191" w:rsidP="00B55191">
      <w:pPr>
        <w:pStyle w:val="EndNoteBibliography"/>
        <w:rPr>
          <w:noProof/>
        </w:rPr>
      </w:pPr>
      <w:r w:rsidRPr="00B55191">
        <w:rPr>
          <w:noProof/>
        </w:rPr>
        <w:t xml:space="preserve">(285) Kang, W.; Wei, R.; Yin, H.; Li, D.; Chen, Z.; Huang, Q.; Zhang, P.; Jing, H.; Wang, X.; Li, C. Unraveling Sequential Oxidation Kinetics and Determining Roles of Multi-Cobalt Active Sites on Co3o4 Catalyst for Water Oxidation. </w:t>
      </w:r>
      <w:r w:rsidRPr="00B55191">
        <w:rPr>
          <w:i/>
          <w:noProof/>
        </w:rPr>
        <w:t xml:space="preserve">J. Am. Chem. Soc. </w:t>
      </w:r>
      <w:r w:rsidRPr="00B55191">
        <w:rPr>
          <w:b/>
          <w:noProof/>
        </w:rPr>
        <w:t>2023</w:t>
      </w:r>
      <w:r w:rsidRPr="00B55191">
        <w:rPr>
          <w:noProof/>
        </w:rPr>
        <w:t xml:space="preserve">, </w:t>
      </w:r>
      <w:r w:rsidRPr="00B55191">
        <w:rPr>
          <w:i/>
          <w:noProof/>
        </w:rPr>
        <w:t>145</w:t>
      </w:r>
      <w:r w:rsidRPr="00B55191">
        <w:rPr>
          <w:noProof/>
        </w:rPr>
        <w:t>, 3470-3477.</w:t>
      </w:r>
    </w:p>
    <w:p w14:paraId="0F6DBB75" w14:textId="77777777" w:rsidR="00B55191" w:rsidRPr="00B55191" w:rsidRDefault="00B55191" w:rsidP="00B55191">
      <w:pPr>
        <w:pStyle w:val="EndNoteBibliography"/>
        <w:rPr>
          <w:noProof/>
        </w:rPr>
      </w:pPr>
      <w:r w:rsidRPr="00B55191">
        <w:rPr>
          <w:noProof/>
        </w:rPr>
        <w:lastRenderedPageBreak/>
        <w:t xml:space="preserve">(286) Sun, W.; Song, Y.; Gong, X.-Q.; Cao, L.-m.; Yang, J. An Efficiently Tuned D-Orbital Occupation of Iro2 by Doping with Cu for Enhancing the Oxygen Evolution Reaction Activity. </w:t>
      </w:r>
      <w:r w:rsidRPr="00B55191">
        <w:rPr>
          <w:i/>
          <w:noProof/>
        </w:rPr>
        <w:t xml:space="preserve">Chem. Sci. </w:t>
      </w:r>
      <w:r w:rsidRPr="00B55191">
        <w:rPr>
          <w:b/>
          <w:noProof/>
        </w:rPr>
        <w:t>2015</w:t>
      </w:r>
      <w:r w:rsidRPr="00B55191">
        <w:rPr>
          <w:noProof/>
        </w:rPr>
        <w:t xml:space="preserve">, </w:t>
      </w:r>
      <w:r w:rsidRPr="00B55191">
        <w:rPr>
          <w:i/>
          <w:noProof/>
        </w:rPr>
        <w:t>6</w:t>
      </w:r>
      <w:r w:rsidRPr="00B55191">
        <w:rPr>
          <w:noProof/>
        </w:rPr>
        <w:t>, 4993-4999.</w:t>
      </w:r>
    </w:p>
    <w:p w14:paraId="5DB6C27B" w14:textId="77777777" w:rsidR="00B55191" w:rsidRPr="00B55191" w:rsidRDefault="00B55191" w:rsidP="00B55191">
      <w:pPr>
        <w:pStyle w:val="EndNoteBibliography"/>
        <w:rPr>
          <w:noProof/>
        </w:rPr>
      </w:pPr>
      <w:r w:rsidRPr="00B55191">
        <w:rPr>
          <w:noProof/>
        </w:rPr>
        <w:t xml:space="preserve">(287) Suryanto, B. H. R.; Wang, Y.; Hocking, R. K.; Adamson, W.; Zhao, C. Overall Electrochemical Splitting of Water at the Heterogeneous Interface of Nickel and Iron Oxide. </w:t>
      </w:r>
      <w:r w:rsidRPr="00B55191">
        <w:rPr>
          <w:i/>
          <w:noProof/>
        </w:rPr>
        <w:t xml:space="preserve">Nat. Commun. </w:t>
      </w:r>
      <w:r w:rsidRPr="00B55191">
        <w:rPr>
          <w:b/>
          <w:noProof/>
        </w:rPr>
        <w:t>2019</w:t>
      </w:r>
      <w:r w:rsidRPr="00B55191">
        <w:rPr>
          <w:noProof/>
        </w:rPr>
        <w:t xml:space="preserve">, </w:t>
      </w:r>
      <w:r w:rsidRPr="00B55191">
        <w:rPr>
          <w:i/>
          <w:noProof/>
        </w:rPr>
        <w:t>10</w:t>
      </w:r>
      <w:r w:rsidRPr="00B55191">
        <w:rPr>
          <w:noProof/>
        </w:rPr>
        <w:t>, 5599.</w:t>
      </w:r>
    </w:p>
    <w:p w14:paraId="3A30DEB6" w14:textId="77777777" w:rsidR="00B55191" w:rsidRPr="00B55191" w:rsidRDefault="00B55191" w:rsidP="00B55191">
      <w:pPr>
        <w:pStyle w:val="EndNoteBibliography"/>
        <w:rPr>
          <w:noProof/>
        </w:rPr>
      </w:pPr>
      <w:r w:rsidRPr="00B55191">
        <w:rPr>
          <w:noProof/>
        </w:rPr>
        <w:t xml:space="preserve">(288) Ng, J. W. D.; García-Melchor, M.; Bajdich, M.; Chakthranont, P.; Kirk, C.; Vojvodic, A.; Jaramillo, T. F. Gold-Supported Cerium-Doped Niox Catalysts for Water Oxidation. </w:t>
      </w:r>
      <w:r w:rsidRPr="00B55191">
        <w:rPr>
          <w:i/>
          <w:noProof/>
        </w:rPr>
        <w:t xml:space="preserve">Nat. Energy </w:t>
      </w:r>
      <w:r w:rsidRPr="00B55191">
        <w:rPr>
          <w:b/>
          <w:noProof/>
        </w:rPr>
        <w:t>2016</w:t>
      </w:r>
      <w:r w:rsidRPr="00B55191">
        <w:rPr>
          <w:noProof/>
        </w:rPr>
        <w:t xml:space="preserve">, </w:t>
      </w:r>
      <w:r w:rsidRPr="00B55191">
        <w:rPr>
          <w:i/>
          <w:noProof/>
        </w:rPr>
        <w:t>1</w:t>
      </w:r>
      <w:r w:rsidRPr="00B55191">
        <w:rPr>
          <w:noProof/>
        </w:rPr>
        <w:t>, 16053.</w:t>
      </w:r>
    </w:p>
    <w:p w14:paraId="52332A3B" w14:textId="77777777" w:rsidR="00B55191" w:rsidRPr="00B55191" w:rsidRDefault="00B55191" w:rsidP="00B55191">
      <w:pPr>
        <w:pStyle w:val="EndNoteBibliography"/>
        <w:rPr>
          <w:noProof/>
        </w:rPr>
      </w:pPr>
      <w:r w:rsidRPr="00B55191">
        <w:rPr>
          <w:noProof/>
        </w:rPr>
        <w:t xml:space="preserve">(289) Sun, W.; Song, Y.; Gong, X.-Q.; Cao, L.-m.; Yang, J. Hollandite Structure Kx≈0.25iro2 Catalyst with Highly Efficient Oxygen Evolution Reaction. </w:t>
      </w:r>
      <w:r w:rsidRPr="00B55191">
        <w:rPr>
          <w:i/>
          <w:noProof/>
        </w:rPr>
        <w:t xml:space="preserve">ACS Appl. Mater. Interfaces </w:t>
      </w:r>
      <w:r w:rsidRPr="00B55191">
        <w:rPr>
          <w:b/>
          <w:noProof/>
        </w:rPr>
        <w:t>2016</w:t>
      </w:r>
      <w:r w:rsidRPr="00B55191">
        <w:rPr>
          <w:noProof/>
        </w:rPr>
        <w:t xml:space="preserve">, </w:t>
      </w:r>
      <w:r w:rsidRPr="00B55191">
        <w:rPr>
          <w:i/>
          <w:noProof/>
        </w:rPr>
        <w:t>8</w:t>
      </w:r>
      <w:r w:rsidRPr="00B55191">
        <w:rPr>
          <w:noProof/>
        </w:rPr>
        <w:t>, 820-826.</w:t>
      </w:r>
    </w:p>
    <w:p w14:paraId="37EBCF7D" w14:textId="77777777" w:rsidR="00B55191" w:rsidRPr="00B55191" w:rsidRDefault="00B55191" w:rsidP="00B55191">
      <w:pPr>
        <w:pStyle w:val="EndNoteBibliography"/>
        <w:rPr>
          <w:noProof/>
        </w:rPr>
      </w:pPr>
      <w:r w:rsidRPr="00B55191">
        <w:rPr>
          <w:noProof/>
        </w:rPr>
        <w:t xml:space="preserve">(290) Meng, G.; Sun, W.; Mon, A. A.; Wu, X.; Xia, L.; Han, A.; Wang, Y.; Zhuang, Z.; Liu, J.; Wang, D.; Li, Y. Strain Regulation to Optimize the Acidic Water Oxidation Performance of Atomic-Layer Irox. </w:t>
      </w:r>
      <w:r w:rsidRPr="00B55191">
        <w:rPr>
          <w:i/>
          <w:noProof/>
        </w:rPr>
        <w:t xml:space="preserve">Adv. Mater. </w:t>
      </w:r>
      <w:r w:rsidRPr="00B55191">
        <w:rPr>
          <w:b/>
          <w:noProof/>
        </w:rPr>
        <w:t>2019</w:t>
      </w:r>
      <w:r w:rsidRPr="00B55191">
        <w:rPr>
          <w:noProof/>
        </w:rPr>
        <w:t xml:space="preserve">, </w:t>
      </w:r>
      <w:r w:rsidRPr="00B55191">
        <w:rPr>
          <w:i/>
          <w:noProof/>
        </w:rPr>
        <w:t>31</w:t>
      </w:r>
      <w:r w:rsidRPr="00B55191">
        <w:rPr>
          <w:noProof/>
        </w:rPr>
        <w:t>, 1903616.</w:t>
      </w:r>
    </w:p>
    <w:p w14:paraId="27CC8F6C" w14:textId="77777777" w:rsidR="00B55191" w:rsidRPr="00B55191" w:rsidRDefault="00B55191" w:rsidP="00B55191">
      <w:pPr>
        <w:pStyle w:val="EndNoteBibliography"/>
        <w:rPr>
          <w:noProof/>
        </w:rPr>
      </w:pPr>
      <w:r w:rsidRPr="00B55191">
        <w:rPr>
          <w:noProof/>
        </w:rPr>
        <w:t xml:space="preserve">(291) Chaudhary, P.; Zagalskaya, A.; Over, H.; Alexandrov, V. Strain-Dependent Activity-Stability Relations in Ruo2 and Iro2 Oxygen Evolution Catalysts. </w:t>
      </w:r>
      <w:r w:rsidRPr="00B55191">
        <w:rPr>
          <w:i/>
          <w:noProof/>
        </w:rPr>
        <w:t xml:space="preserve">ChemElectroChem </w:t>
      </w:r>
      <w:r w:rsidRPr="00B55191">
        <w:rPr>
          <w:b/>
          <w:noProof/>
        </w:rPr>
        <w:t>2024</w:t>
      </w:r>
      <w:r w:rsidRPr="00B55191">
        <w:rPr>
          <w:noProof/>
        </w:rPr>
        <w:t xml:space="preserve">, </w:t>
      </w:r>
      <w:r w:rsidRPr="00B55191">
        <w:rPr>
          <w:i/>
          <w:noProof/>
        </w:rPr>
        <w:t>11</w:t>
      </w:r>
      <w:r w:rsidRPr="00B55191">
        <w:rPr>
          <w:noProof/>
        </w:rPr>
        <w:t>, e202300659.</w:t>
      </w:r>
    </w:p>
    <w:p w14:paraId="742FDAD0" w14:textId="77777777" w:rsidR="00B55191" w:rsidRPr="00B55191" w:rsidRDefault="00B55191" w:rsidP="00B55191">
      <w:pPr>
        <w:pStyle w:val="EndNoteBibliography"/>
        <w:rPr>
          <w:noProof/>
        </w:rPr>
      </w:pPr>
      <w:r w:rsidRPr="00B55191">
        <w:rPr>
          <w:noProof/>
        </w:rPr>
        <w:t xml:space="preserve">(292) Suntivich, J.; May, K. J.; Gasteiger, H. A.; Goodenough, J. B.; Shao-Horn, Y. A Perovskite Oxide Optimized for Oxygen Evolution Catalysis from Molecular Orbital Principles. </w:t>
      </w:r>
      <w:r w:rsidRPr="00B55191">
        <w:rPr>
          <w:i/>
          <w:noProof/>
        </w:rPr>
        <w:t xml:space="preserve">Science </w:t>
      </w:r>
      <w:r w:rsidRPr="00B55191">
        <w:rPr>
          <w:b/>
          <w:noProof/>
        </w:rPr>
        <w:t>2011</w:t>
      </w:r>
      <w:r w:rsidRPr="00B55191">
        <w:rPr>
          <w:noProof/>
        </w:rPr>
        <w:t xml:space="preserve">, </w:t>
      </w:r>
      <w:r w:rsidRPr="00B55191">
        <w:rPr>
          <w:i/>
          <w:noProof/>
        </w:rPr>
        <w:t>334</w:t>
      </w:r>
      <w:r w:rsidRPr="00B55191">
        <w:rPr>
          <w:noProof/>
        </w:rPr>
        <w:t>, 1383-1385.</w:t>
      </w:r>
    </w:p>
    <w:p w14:paraId="70EDCE62" w14:textId="77777777" w:rsidR="00B55191" w:rsidRPr="00B55191" w:rsidRDefault="00B55191" w:rsidP="00B55191">
      <w:pPr>
        <w:pStyle w:val="EndNoteBibliography"/>
        <w:rPr>
          <w:noProof/>
        </w:rPr>
      </w:pPr>
      <w:r w:rsidRPr="00B55191">
        <w:rPr>
          <w:noProof/>
        </w:rPr>
        <w:t xml:space="preserve">(293) Hong, W. T.; Risch, M.; Stoerzinger, K. A.; Grimaud, A.; Suntivich, J.; Shao-Horn, Y. Toward the Rational Design of Non-Precious Transition Metal Oxides for Oxygen Electrocatalysis. </w:t>
      </w:r>
      <w:r w:rsidRPr="00B55191">
        <w:rPr>
          <w:i/>
          <w:noProof/>
        </w:rPr>
        <w:t xml:space="preserve">Energy Environ. Sci. </w:t>
      </w:r>
      <w:r w:rsidRPr="00B55191">
        <w:rPr>
          <w:b/>
          <w:noProof/>
        </w:rPr>
        <w:t>2015</w:t>
      </w:r>
      <w:r w:rsidRPr="00B55191">
        <w:rPr>
          <w:noProof/>
        </w:rPr>
        <w:t xml:space="preserve">, </w:t>
      </w:r>
      <w:r w:rsidRPr="00B55191">
        <w:rPr>
          <w:i/>
          <w:noProof/>
        </w:rPr>
        <w:t>8</w:t>
      </w:r>
      <w:r w:rsidRPr="00B55191">
        <w:rPr>
          <w:noProof/>
        </w:rPr>
        <w:t>, 1404-1427.</w:t>
      </w:r>
    </w:p>
    <w:p w14:paraId="7D06ECC1" w14:textId="77777777" w:rsidR="00B55191" w:rsidRPr="00B55191" w:rsidRDefault="00B55191" w:rsidP="00B55191">
      <w:pPr>
        <w:pStyle w:val="EndNoteBibliography"/>
        <w:rPr>
          <w:noProof/>
        </w:rPr>
      </w:pPr>
      <w:r w:rsidRPr="00B55191">
        <w:rPr>
          <w:noProof/>
        </w:rPr>
        <w:t xml:space="preserve">(294) Zaffran, J.; Toroker, M. C. Metal–Oxygen Bond Ionicity as an Efficient Descriptor for Doped Niooh Photocatalytic Activity. </w:t>
      </w:r>
      <w:r w:rsidRPr="00B55191">
        <w:rPr>
          <w:i/>
          <w:noProof/>
        </w:rPr>
        <w:t xml:space="preserve">ChemPhysChem </w:t>
      </w:r>
      <w:r w:rsidRPr="00B55191">
        <w:rPr>
          <w:b/>
          <w:noProof/>
        </w:rPr>
        <w:t>2016</w:t>
      </w:r>
      <w:r w:rsidRPr="00B55191">
        <w:rPr>
          <w:noProof/>
        </w:rPr>
        <w:t xml:space="preserve">, </w:t>
      </w:r>
      <w:r w:rsidRPr="00B55191">
        <w:rPr>
          <w:i/>
          <w:noProof/>
        </w:rPr>
        <w:t>17</w:t>
      </w:r>
      <w:r w:rsidRPr="00B55191">
        <w:rPr>
          <w:noProof/>
        </w:rPr>
        <w:t>, 1630-1636.</w:t>
      </w:r>
    </w:p>
    <w:p w14:paraId="328819F3" w14:textId="77777777" w:rsidR="00B55191" w:rsidRPr="00B55191" w:rsidRDefault="00B55191" w:rsidP="00B55191">
      <w:pPr>
        <w:pStyle w:val="EndNoteBibliography"/>
        <w:rPr>
          <w:noProof/>
        </w:rPr>
      </w:pPr>
      <w:r w:rsidRPr="00B55191">
        <w:rPr>
          <w:noProof/>
        </w:rPr>
        <w:t xml:space="preserve">(295) Hong, W. T.; Stoerzinger, K. A.; Lee, Y.-L.; Giordano, L.; Grimaud, A.; Johnson, A. M.; Hwang, J.; Crumlin, E. J.; Yang, W.; Shao-Horn, Y. Charge-Transfer-Energy-Dependent Oxygen Evolution Reaction Mechanisms for Perovskite Oxides. </w:t>
      </w:r>
      <w:r w:rsidRPr="00B55191">
        <w:rPr>
          <w:i/>
          <w:noProof/>
        </w:rPr>
        <w:t xml:space="preserve">Energy Environ. Sci. </w:t>
      </w:r>
      <w:r w:rsidRPr="00B55191">
        <w:rPr>
          <w:b/>
          <w:noProof/>
        </w:rPr>
        <w:t>2017</w:t>
      </w:r>
      <w:r w:rsidRPr="00B55191">
        <w:rPr>
          <w:noProof/>
        </w:rPr>
        <w:t xml:space="preserve">, </w:t>
      </w:r>
      <w:r w:rsidRPr="00B55191">
        <w:rPr>
          <w:i/>
          <w:noProof/>
        </w:rPr>
        <w:t>10</w:t>
      </w:r>
      <w:r w:rsidRPr="00B55191">
        <w:rPr>
          <w:noProof/>
        </w:rPr>
        <w:t>, 2190-2200.</w:t>
      </w:r>
    </w:p>
    <w:p w14:paraId="198AEF25" w14:textId="77777777" w:rsidR="00B55191" w:rsidRPr="00B55191" w:rsidRDefault="00B55191" w:rsidP="00B55191">
      <w:pPr>
        <w:pStyle w:val="EndNoteBibliography"/>
        <w:rPr>
          <w:noProof/>
        </w:rPr>
      </w:pPr>
      <w:r w:rsidRPr="00B55191">
        <w:rPr>
          <w:noProof/>
        </w:rPr>
        <w:t xml:space="preserve">(296) Simböck, J.; Ghiasi, M.; Schönebaum, S.; Simon, U.; de Groot, F. M. F.; Palkovits, R. Electronic Parameters in Cobalt-Based Perovskite-Type Oxides as Descriptors for Chemocatalytic Reactions. </w:t>
      </w:r>
      <w:r w:rsidRPr="00B55191">
        <w:rPr>
          <w:i/>
          <w:noProof/>
        </w:rPr>
        <w:t xml:space="preserve">Nat. Commun. </w:t>
      </w:r>
      <w:r w:rsidRPr="00B55191">
        <w:rPr>
          <w:b/>
          <w:noProof/>
        </w:rPr>
        <w:t>2020</w:t>
      </w:r>
      <w:r w:rsidRPr="00B55191">
        <w:rPr>
          <w:noProof/>
        </w:rPr>
        <w:t xml:space="preserve">, </w:t>
      </w:r>
      <w:r w:rsidRPr="00B55191">
        <w:rPr>
          <w:i/>
          <w:noProof/>
        </w:rPr>
        <w:t>11</w:t>
      </w:r>
      <w:r w:rsidRPr="00B55191">
        <w:rPr>
          <w:noProof/>
        </w:rPr>
        <w:t>, 652.</w:t>
      </w:r>
    </w:p>
    <w:p w14:paraId="5691E0E3" w14:textId="77777777" w:rsidR="00B55191" w:rsidRPr="00B55191" w:rsidRDefault="00B55191" w:rsidP="00B55191">
      <w:pPr>
        <w:pStyle w:val="EndNoteBibliography"/>
        <w:rPr>
          <w:noProof/>
        </w:rPr>
      </w:pPr>
      <w:r w:rsidRPr="00B55191">
        <w:rPr>
          <w:noProof/>
        </w:rPr>
        <w:t xml:space="preserve">(297) Calle-Vallejo, F.; Díaz-Morales, O. A.; Kolb, M. J.; Koper, M. T. M. Why Is Bulk Thermochemistry a Good Descriptor for the Electrocatalytic Activity of Transition Metal Oxides? </w:t>
      </w:r>
      <w:r w:rsidRPr="00B55191">
        <w:rPr>
          <w:i/>
          <w:noProof/>
        </w:rPr>
        <w:t xml:space="preserve">ACS Catal. </w:t>
      </w:r>
      <w:r w:rsidRPr="00B55191">
        <w:rPr>
          <w:b/>
          <w:noProof/>
        </w:rPr>
        <w:t>2015</w:t>
      </w:r>
      <w:r w:rsidRPr="00B55191">
        <w:rPr>
          <w:noProof/>
        </w:rPr>
        <w:t xml:space="preserve">, </w:t>
      </w:r>
      <w:r w:rsidRPr="00B55191">
        <w:rPr>
          <w:i/>
          <w:noProof/>
        </w:rPr>
        <w:t>5</w:t>
      </w:r>
      <w:r w:rsidRPr="00B55191">
        <w:rPr>
          <w:noProof/>
        </w:rPr>
        <w:t>, 869-873.</w:t>
      </w:r>
    </w:p>
    <w:p w14:paraId="7F98BEFD" w14:textId="77777777" w:rsidR="00B55191" w:rsidRPr="00B55191" w:rsidRDefault="00B55191" w:rsidP="00B55191">
      <w:pPr>
        <w:pStyle w:val="EndNoteBibliography"/>
        <w:rPr>
          <w:noProof/>
        </w:rPr>
      </w:pPr>
      <w:r w:rsidRPr="00B55191">
        <w:rPr>
          <w:noProof/>
        </w:rPr>
        <w:t xml:space="preserve">(298) Trasatti, S. Electrocatalysis by Oxides — Attempt at a Unifying Approach. </w:t>
      </w:r>
      <w:r w:rsidRPr="00B55191">
        <w:rPr>
          <w:i/>
          <w:noProof/>
        </w:rPr>
        <w:t xml:space="preserve">J. Electroanal. Chem. Interfacial Electrochem. </w:t>
      </w:r>
      <w:r w:rsidRPr="00B55191">
        <w:rPr>
          <w:b/>
          <w:noProof/>
        </w:rPr>
        <w:t>1980</w:t>
      </w:r>
      <w:r w:rsidRPr="00B55191">
        <w:rPr>
          <w:noProof/>
        </w:rPr>
        <w:t xml:space="preserve">, </w:t>
      </w:r>
      <w:r w:rsidRPr="00B55191">
        <w:rPr>
          <w:i/>
          <w:noProof/>
        </w:rPr>
        <w:t>111</w:t>
      </w:r>
      <w:r w:rsidRPr="00B55191">
        <w:rPr>
          <w:noProof/>
        </w:rPr>
        <w:t>, 125-131.</w:t>
      </w:r>
    </w:p>
    <w:p w14:paraId="7111D3F6" w14:textId="77777777" w:rsidR="00B55191" w:rsidRPr="00B55191" w:rsidRDefault="00B55191" w:rsidP="00B55191">
      <w:pPr>
        <w:pStyle w:val="EndNoteBibliography"/>
        <w:rPr>
          <w:noProof/>
        </w:rPr>
      </w:pPr>
      <w:r w:rsidRPr="00B55191">
        <w:rPr>
          <w:noProof/>
        </w:rPr>
        <w:t xml:space="preserve">(299) Wu, Q.; Wang, Y.; Zhang, K.; Xie, Z.; Sun, K.; An, W.; Liang, X.; Zou, X. Advances and Status of Anode Catalysts for Proton Exchange Membrane Water Electrolysis Technology. </w:t>
      </w:r>
      <w:r w:rsidRPr="00B55191">
        <w:rPr>
          <w:i/>
          <w:noProof/>
        </w:rPr>
        <w:t xml:space="preserve">Mater. Chem. Front. </w:t>
      </w:r>
      <w:r w:rsidRPr="00B55191">
        <w:rPr>
          <w:b/>
          <w:noProof/>
        </w:rPr>
        <w:t>2023</w:t>
      </w:r>
      <w:r w:rsidRPr="00B55191">
        <w:rPr>
          <w:noProof/>
        </w:rPr>
        <w:t xml:space="preserve">, </w:t>
      </w:r>
      <w:r w:rsidRPr="00B55191">
        <w:rPr>
          <w:i/>
          <w:noProof/>
        </w:rPr>
        <w:t>7</w:t>
      </w:r>
      <w:r w:rsidRPr="00B55191">
        <w:rPr>
          <w:noProof/>
        </w:rPr>
        <w:t>, 1025-1045.</w:t>
      </w:r>
    </w:p>
    <w:p w14:paraId="3EA2F47F" w14:textId="77777777" w:rsidR="00B55191" w:rsidRPr="00B55191" w:rsidRDefault="00B55191" w:rsidP="00B55191">
      <w:pPr>
        <w:pStyle w:val="EndNoteBibliography"/>
        <w:rPr>
          <w:noProof/>
        </w:rPr>
      </w:pPr>
      <w:r w:rsidRPr="00B55191">
        <w:rPr>
          <w:noProof/>
        </w:rPr>
        <w:t xml:space="preserve">(300) Liang, Q.; Bieberle-Hütter, A.; Brocks, G. Anti-Ferromagnetic Ruo2: A Stable and Robust Oer Catalyst over a Large Range of Surface Terminations. </w:t>
      </w:r>
      <w:r w:rsidRPr="00B55191">
        <w:rPr>
          <w:i/>
          <w:noProof/>
        </w:rPr>
        <w:t xml:space="preserve">J. Phys. Chem. C </w:t>
      </w:r>
      <w:r w:rsidRPr="00B55191">
        <w:rPr>
          <w:b/>
          <w:noProof/>
        </w:rPr>
        <w:t>2022</w:t>
      </w:r>
      <w:r w:rsidRPr="00B55191">
        <w:rPr>
          <w:noProof/>
        </w:rPr>
        <w:t xml:space="preserve">, </w:t>
      </w:r>
      <w:r w:rsidRPr="00B55191">
        <w:rPr>
          <w:i/>
          <w:noProof/>
        </w:rPr>
        <w:t>126</w:t>
      </w:r>
      <w:r w:rsidRPr="00B55191">
        <w:rPr>
          <w:noProof/>
        </w:rPr>
        <w:t>, 1337-1345.</w:t>
      </w:r>
    </w:p>
    <w:p w14:paraId="02976AFD" w14:textId="77777777" w:rsidR="00B55191" w:rsidRPr="00B55191" w:rsidRDefault="00B55191" w:rsidP="00B55191">
      <w:pPr>
        <w:pStyle w:val="EndNoteBibliography"/>
        <w:rPr>
          <w:noProof/>
        </w:rPr>
      </w:pPr>
      <w:r w:rsidRPr="00B55191">
        <w:rPr>
          <w:noProof/>
        </w:rPr>
        <w:t xml:space="preserve">(301) Dickens, C. F.; Nørskov, J. K. A Theoretical Investigation into the Role of Surface Defects for Oxygen Evolution on Ruo2. </w:t>
      </w:r>
      <w:r w:rsidRPr="00B55191">
        <w:rPr>
          <w:i/>
          <w:noProof/>
        </w:rPr>
        <w:t xml:space="preserve">J. Phys. Chem. C </w:t>
      </w:r>
      <w:r w:rsidRPr="00B55191">
        <w:rPr>
          <w:b/>
          <w:noProof/>
        </w:rPr>
        <w:t>2017</w:t>
      </w:r>
      <w:r w:rsidRPr="00B55191">
        <w:rPr>
          <w:noProof/>
        </w:rPr>
        <w:t xml:space="preserve">, </w:t>
      </w:r>
      <w:r w:rsidRPr="00B55191">
        <w:rPr>
          <w:i/>
          <w:noProof/>
        </w:rPr>
        <w:t>121</w:t>
      </w:r>
      <w:r w:rsidRPr="00B55191">
        <w:rPr>
          <w:noProof/>
        </w:rPr>
        <w:t>, 18516-18524.</w:t>
      </w:r>
    </w:p>
    <w:p w14:paraId="0B3C58B1" w14:textId="77777777" w:rsidR="00B55191" w:rsidRPr="00B55191" w:rsidRDefault="00B55191" w:rsidP="00B55191">
      <w:pPr>
        <w:pStyle w:val="EndNoteBibliography"/>
        <w:rPr>
          <w:noProof/>
        </w:rPr>
      </w:pPr>
      <w:r w:rsidRPr="00B55191">
        <w:rPr>
          <w:noProof/>
        </w:rPr>
        <w:t xml:space="preserve">(302) Stoerzinger, K. A.; Diaz-Morales, O.; Kolb, M.; Rao, R. R.; Frydendal, R.; Qiao, L.; Wang, X. R.; Halck, N. B.; Rossmeisl, J.; Hansen, H. A.; et al. Orientation-Dependent Oxygen Evolution on Ruo2 without Lattice Exchange. </w:t>
      </w:r>
      <w:r w:rsidRPr="00B55191">
        <w:rPr>
          <w:i/>
          <w:noProof/>
        </w:rPr>
        <w:t xml:space="preserve">ACS Energy Lett. </w:t>
      </w:r>
      <w:r w:rsidRPr="00B55191">
        <w:rPr>
          <w:b/>
          <w:noProof/>
        </w:rPr>
        <w:t>2017</w:t>
      </w:r>
      <w:r w:rsidRPr="00B55191">
        <w:rPr>
          <w:noProof/>
        </w:rPr>
        <w:t xml:space="preserve">, </w:t>
      </w:r>
      <w:r w:rsidRPr="00B55191">
        <w:rPr>
          <w:i/>
          <w:noProof/>
        </w:rPr>
        <w:t>2</w:t>
      </w:r>
      <w:r w:rsidRPr="00B55191">
        <w:rPr>
          <w:noProof/>
        </w:rPr>
        <w:t>, 876-881.</w:t>
      </w:r>
    </w:p>
    <w:p w14:paraId="696067EC" w14:textId="77777777" w:rsidR="00B55191" w:rsidRPr="00B55191" w:rsidRDefault="00B55191" w:rsidP="00B55191">
      <w:pPr>
        <w:pStyle w:val="EndNoteBibliography"/>
        <w:rPr>
          <w:noProof/>
        </w:rPr>
      </w:pPr>
      <w:r w:rsidRPr="00B55191">
        <w:rPr>
          <w:noProof/>
        </w:rPr>
        <w:lastRenderedPageBreak/>
        <w:t xml:space="preserve">(303) Klyukin, K.; Zagalskaya, A.; Alexandrov, V. Role of Dissolution Intermediates in Promoting Oxygen Evolution Reaction at Ruo2(110) Surface. </w:t>
      </w:r>
      <w:r w:rsidRPr="00B55191">
        <w:rPr>
          <w:i/>
          <w:noProof/>
        </w:rPr>
        <w:t xml:space="preserve">J. Phys. Chem. C </w:t>
      </w:r>
      <w:r w:rsidRPr="00B55191">
        <w:rPr>
          <w:b/>
          <w:noProof/>
        </w:rPr>
        <w:t>2019</w:t>
      </w:r>
      <w:r w:rsidRPr="00B55191">
        <w:rPr>
          <w:noProof/>
        </w:rPr>
        <w:t xml:space="preserve">, </w:t>
      </w:r>
      <w:r w:rsidRPr="00B55191">
        <w:rPr>
          <w:i/>
          <w:noProof/>
        </w:rPr>
        <w:t>123</w:t>
      </w:r>
      <w:r w:rsidRPr="00B55191">
        <w:rPr>
          <w:noProof/>
        </w:rPr>
        <w:t>, 22151-22157.</w:t>
      </w:r>
    </w:p>
    <w:p w14:paraId="4F0C3A54" w14:textId="77777777" w:rsidR="00B55191" w:rsidRPr="00B55191" w:rsidRDefault="00B55191" w:rsidP="00B55191">
      <w:pPr>
        <w:pStyle w:val="EndNoteBibliography"/>
        <w:rPr>
          <w:noProof/>
        </w:rPr>
      </w:pPr>
      <w:r w:rsidRPr="00B55191">
        <w:rPr>
          <w:noProof/>
        </w:rPr>
        <w:t xml:space="preserve">(304) Yamada, I.; Takamatsu, A.; Asai, K.; Shirakawa, T.; Ohzuku, H.; Seno, A.; Uchimura, T.; Fujii, H.; Kawaguchi, S.; Wada, K.; et al. Systematic Study of Descriptors for Oxygen Evolution Reaction Catalysis in Perovskite Oxides. </w:t>
      </w:r>
      <w:r w:rsidRPr="00B55191">
        <w:rPr>
          <w:i/>
          <w:noProof/>
        </w:rPr>
        <w:t xml:space="preserve">J. Phys. Chem. C </w:t>
      </w:r>
      <w:r w:rsidRPr="00B55191">
        <w:rPr>
          <w:b/>
          <w:noProof/>
        </w:rPr>
        <w:t>2018</w:t>
      </w:r>
      <w:r w:rsidRPr="00B55191">
        <w:rPr>
          <w:noProof/>
        </w:rPr>
        <w:t xml:space="preserve">, </w:t>
      </w:r>
      <w:r w:rsidRPr="00B55191">
        <w:rPr>
          <w:i/>
          <w:noProof/>
        </w:rPr>
        <w:t>122</w:t>
      </w:r>
      <w:r w:rsidRPr="00B55191">
        <w:rPr>
          <w:noProof/>
        </w:rPr>
        <w:t>, 27885-27892.</w:t>
      </w:r>
    </w:p>
    <w:p w14:paraId="03F1955B" w14:textId="77777777" w:rsidR="00B55191" w:rsidRPr="00B55191" w:rsidRDefault="00B55191" w:rsidP="00B55191">
      <w:pPr>
        <w:pStyle w:val="EndNoteBibliography"/>
        <w:rPr>
          <w:noProof/>
        </w:rPr>
      </w:pPr>
      <w:r w:rsidRPr="00B55191">
        <w:rPr>
          <w:noProof/>
        </w:rPr>
        <w:t xml:space="preserve">(305) Matienzo, D. D.; Kutlusoy, T.; Divanis, S.; Bari, C.; Instuli, E. Benchmarking Perovskite Electrocatalysts’ Oer Activity as Candidate Materials for Industrial Alkaline Water Electrolysis. </w:t>
      </w:r>
      <w:r w:rsidRPr="00B55191">
        <w:rPr>
          <w:i/>
          <w:noProof/>
        </w:rPr>
        <w:t xml:space="preserve">Catalysts </w:t>
      </w:r>
      <w:r w:rsidRPr="00B55191">
        <w:rPr>
          <w:b/>
          <w:noProof/>
        </w:rPr>
        <w:t>2020</w:t>
      </w:r>
      <w:r w:rsidRPr="00B55191">
        <w:rPr>
          <w:noProof/>
        </w:rPr>
        <w:t xml:space="preserve">, </w:t>
      </w:r>
      <w:r w:rsidRPr="00B55191">
        <w:rPr>
          <w:i/>
          <w:noProof/>
        </w:rPr>
        <w:t>10(12)</w:t>
      </w:r>
      <w:r w:rsidRPr="00B55191">
        <w:rPr>
          <w:noProof/>
        </w:rPr>
        <w:t>, 1387.</w:t>
      </w:r>
    </w:p>
    <w:p w14:paraId="48A6B78B" w14:textId="77777777" w:rsidR="00B55191" w:rsidRPr="00B55191" w:rsidRDefault="00B55191" w:rsidP="00B55191">
      <w:pPr>
        <w:pStyle w:val="EndNoteBibliography"/>
        <w:rPr>
          <w:noProof/>
        </w:rPr>
      </w:pPr>
      <w:r w:rsidRPr="00B55191">
        <w:rPr>
          <w:noProof/>
        </w:rPr>
        <w:t xml:space="preserve">(306) Gao, X.; Sun, Z.; Ran, J.; Li, J.; Zhang, J.; Gao, D. High Efficiency Electrocatalyst of Lacr0.5fe0.5o3 Nanoparticles on Oxygen-Evolution Reaction. </w:t>
      </w:r>
      <w:r w:rsidRPr="00B55191">
        <w:rPr>
          <w:i/>
          <w:noProof/>
        </w:rPr>
        <w:t xml:space="preserve">Sci. Rep. </w:t>
      </w:r>
      <w:r w:rsidRPr="00B55191">
        <w:rPr>
          <w:b/>
          <w:noProof/>
        </w:rPr>
        <w:t>2020</w:t>
      </w:r>
      <w:r w:rsidRPr="00B55191">
        <w:rPr>
          <w:noProof/>
        </w:rPr>
        <w:t xml:space="preserve">, </w:t>
      </w:r>
      <w:r w:rsidRPr="00B55191">
        <w:rPr>
          <w:i/>
          <w:noProof/>
        </w:rPr>
        <w:t>10</w:t>
      </w:r>
      <w:r w:rsidRPr="00B55191">
        <w:rPr>
          <w:noProof/>
        </w:rPr>
        <w:t>, 13395.</w:t>
      </w:r>
    </w:p>
    <w:p w14:paraId="65F7C9E4" w14:textId="77777777" w:rsidR="00B55191" w:rsidRPr="00B55191" w:rsidRDefault="00B55191" w:rsidP="00B55191">
      <w:pPr>
        <w:pStyle w:val="EndNoteBibliography"/>
        <w:rPr>
          <w:noProof/>
        </w:rPr>
      </w:pPr>
      <w:r w:rsidRPr="00B55191">
        <w:rPr>
          <w:noProof/>
        </w:rPr>
        <w:t xml:space="preserve">(307) Rao, R. R.; Kolb, M. J.; Hwang, J.; Pedersen, A. F.; Mehta, A.; You, H.; Stoerzinger, K. A.; Feng, Z.; Zhou, H.; Bluhm, H.; et al. Surface Orientation Dependent Water Dissociation on Rutile Ruthenium Dioxide. </w:t>
      </w:r>
      <w:r w:rsidRPr="00B55191">
        <w:rPr>
          <w:i/>
          <w:noProof/>
        </w:rPr>
        <w:t xml:space="preserve">J. Phys. Chem. C </w:t>
      </w:r>
      <w:r w:rsidRPr="00B55191">
        <w:rPr>
          <w:b/>
          <w:noProof/>
        </w:rPr>
        <w:t>2018</w:t>
      </w:r>
      <w:r w:rsidRPr="00B55191">
        <w:rPr>
          <w:noProof/>
        </w:rPr>
        <w:t xml:space="preserve">, </w:t>
      </w:r>
      <w:r w:rsidRPr="00B55191">
        <w:rPr>
          <w:i/>
          <w:noProof/>
        </w:rPr>
        <w:t>122</w:t>
      </w:r>
      <w:r w:rsidRPr="00B55191">
        <w:rPr>
          <w:noProof/>
        </w:rPr>
        <w:t>, 17802-17811.</w:t>
      </w:r>
    </w:p>
    <w:p w14:paraId="7022E47C" w14:textId="77777777" w:rsidR="00B55191" w:rsidRPr="00B55191" w:rsidRDefault="00B55191" w:rsidP="00B55191">
      <w:pPr>
        <w:pStyle w:val="EndNoteBibliography"/>
        <w:rPr>
          <w:noProof/>
        </w:rPr>
      </w:pPr>
      <w:r w:rsidRPr="00B55191">
        <w:rPr>
          <w:noProof/>
        </w:rPr>
        <w:t xml:space="preserve">(308) Stoerzinger, K. A.; Rao, R. R.; Wang, X. R.; Hong, W. T.; Rouleau, C. M.; Shao-Horn, Y. The Role of Ru Redox in Ph-Dependent Oxygen Evolution on Rutile Ruthenium Dioxide Surfaces. </w:t>
      </w:r>
      <w:r w:rsidRPr="00B55191">
        <w:rPr>
          <w:i/>
          <w:noProof/>
        </w:rPr>
        <w:t xml:space="preserve">Chem </w:t>
      </w:r>
      <w:r w:rsidRPr="00B55191">
        <w:rPr>
          <w:b/>
          <w:noProof/>
        </w:rPr>
        <w:t>2017</w:t>
      </w:r>
      <w:r w:rsidRPr="00B55191">
        <w:rPr>
          <w:noProof/>
        </w:rPr>
        <w:t xml:space="preserve">, </w:t>
      </w:r>
      <w:r w:rsidRPr="00B55191">
        <w:rPr>
          <w:i/>
          <w:noProof/>
        </w:rPr>
        <w:t>2</w:t>
      </w:r>
      <w:r w:rsidRPr="00B55191">
        <w:rPr>
          <w:noProof/>
        </w:rPr>
        <w:t>, 668-675.</w:t>
      </w:r>
    </w:p>
    <w:p w14:paraId="2C298C9B" w14:textId="77777777" w:rsidR="00B55191" w:rsidRPr="00B55191" w:rsidRDefault="00B55191" w:rsidP="00B55191">
      <w:pPr>
        <w:pStyle w:val="EndNoteBibliography"/>
        <w:rPr>
          <w:noProof/>
        </w:rPr>
      </w:pPr>
      <w:r w:rsidRPr="00B55191">
        <w:rPr>
          <w:noProof/>
        </w:rPr>
        <w:t xml:space="preserve">(309) Bergmann, A.; Martinez-Moreno, E.; Teschner, D.; Chernev, P.; Gliech, M.; De Araújo, J. F.; Reier, T.; Dau, H.; Strasser, P. Reversible Amorphization and the Catalytically Active State of Crystalline Co3o4 During Oxygen Evolution. </w:t>
      </w:r>
      <w:r w:rsidRPr="00B55191">
        <w:rPr>
          <w:i/>
          <w:noProof/>
        </w:rPr>
        <w:t xml:space="preserve">Nat. Commun. </w:t>
      </w:r>
      <w:r w:rsidRPr="00B55191">
        <w:rPr>
          <w:b/>
          <w:noProof/>
        </w:rPr>
        <w:t>2015</w:t>
      </w:r>
      <w:r w:rsidRPr="00B55191">
        <w:rPr>
          <w:noProof/>
        </w:rPr>
        <w:t xml:space="preserve">, </w:t>
      </w:r>
      <w:r w:rsidRPr="00B55191">
        <w:rPr>
          <w:i/>
          <w:noProof/>
        </w:rPr>
        <w:t>6</w:t>
      </w:r>
      <w:r w:rsidRPr="00B55191">
        <w:rPr>
          <w:noProof/>
        </w:rPr>
        <w:t>, 8625.</w:t>
      </w:r>
    </w:p>
    <w:p w14:paraId="41029ACC" w14:textId="77777777" w:rsidR="00B55191" w:rsidRPr="00B55191" w:rsidRDefault="00B55191" w:rsidP="00B55191">
      <w:pPr>
        <w:pStyle w:val="EndNoteBibliography"/>
        <w:rPr>
          <w:noProof/>
        </w:rPr>
      </w:pPr>
      <w:r w:rsidRPr="00B55191">
        <w:rPr>
          <w:noProof/>
        </w:rPr>
        <w:t xml:space="preserve">(310) Chung, D. Y.; Lopes, P. P.; Farinazzo Bergamo Dias Martins, P.; He, H.; Kawaguchi, T.; Zapol, P.; You, H.; Tripkovic, D.; Strmcnik, D.; Zhu, Y.; et al. Dynamic Stability of Active Sites in Hydr(Oxy)Oxides for the Oxygen Evolution Reaction. </w:t>
      </w:r>
      <w:r w:rsidRPr="00B55191">
        <w:rPr>
          <w:i/>
          <w:noProof/>
        </w:rPr>
        <w:t xml:space="preserve">Nat. Energy </w:t>
      </w:r>
      <w:r w:rsidRPr="00B55191">
        <w:rPr>
          <w:b/>
          <w:noProof/>
        </w:rPr>
        <w:t>2020</w:t>
      </w:r>
      <w:r w:rsidRPr="00B55191">
        <w:rPr>
          <w:noProof/>
        </w:rPr>
        <w:t xml:space="preserve">, </w:t>
      </w:r>
      <w:r w:rsidRPr="00B55191">
        <w:rPr>
          <w:i/>
          <w:noProof/>
        </w:rPr>
        <w:t>5</w:t>
      </w:r>
      <w:r w:rsidRPr="00B55191">
        <w:rPr>
          <w:noProof/>
        </w:rPr>
        <w:t>, 222-230.</w:t>
      </w:r>
    </w:p>
    <w:p w14:paraId="01806516" w14:textId="77777777" w:rsidR="00B55191" w:rsidRPr="00B55191" w:rsidRDefault="00B55191" w:rsidP="00B55191">
      <w:pPr>
        <w:pStyle w:val="EndNoteBibliography"/>
        <w:rPr>
          <w:noProof/>
        </w:rPr>
      </w:pPr>
      <w:r w:rsidRPr="00B55191">
        <w:rPr>
          <w:noProof/>
        </w:rPr>
        <w:t xml:space="preserve">(311) May, K. J.; Carlton, C. E.; Stoerzinger, K. A.; Risch, M.; Suntivich, J.; Lee, Y.-L.; Grimaud, A.; Shao-Horn, Y. Influence of Oxygen Evolution During Water Oxidation on the Surface of Perovskite Oxide Catalysts. </w:t>
      </w:r>
      <w:r w:rsidRPr="00B55191">
        <w:rPr>
          <w:i/>
          <w:noProof/>
        </w:rPr>
        <w:t xml:space="preserve">J. Phys. Chem. Lett. </w:t>
      </w:r>
      <w:r w:rsidRPr="00B55191">
        <w:rPr>
          <w:b/>
          <w:noProof/>
        </w:rPr>
        <w:t>2012</w:t>
      </w:r>
      <w:r w:rsidRPr="00B55191">
        <w:rPr>
          <w:noProof/>
        </w:rPr>
        <w:t xml:space="preserve">, </w:t>
      </w:r>
      <w:r w:rsidRPr="00B55191">
        <w:rPr>
          <w:i/>
          <w:noProof/>
        </w:rPr>
        <w:t>3</w:t>
      </w:r>
      <w:r w:rsidRPr="00B55191">
        <w:rPr>
          <w:noProof/>
        </w:rPr>
        <w:t>, 3264-3270.</w:t>
      </w:r>
    </w:p>
    <w:p w14:paraId="120D94A1" w14:textId="77777777" w:rsidR="00B55191" w:rsidRPr="00B55191" w:rsidRDefault="00B55191" w:rsidP="00B55191">
      <w:pPr>
        <w:pStyle w:val="EndNoteBibliography"/>
        <w:rPr>
          <w:noProof/>
        </w:rPr>
      </w:pPr>
      <w:r w:rsidRPr="00B55191">
        <w:rPr>
          <w:noProof/>
        </w:rPr>
        <w:t xml:space="preserve">(312) Risch, M.; Grimaud, A.; May, K. J.; Stoerzinger, K. A.; Chen, T. J.; Mansour, A. N.; Shao-Horn, Y. Structural Changes of Cobalt-Based Perovskites Upon Water Oxidation Investigated by Exafs. </w:t>
      </w:r>
      <w:r w:rsidRPr="00B55191">
        <w:rPr>
          <w:i/>
          <w:noProof/>
        </w:rPr>
        <w:t xml:space="preserve">J. Phys. Chem. C </w:t>
      </w:r>
      <w:r w:rsidRPr="00B55191">
        <w:rPr>
          <w:b/>
          <w:noProof/>
        </w:rPr>
        <w:t>2013</w:t>
      </w:r>
      <w:r w:rsidRPr="00B55191">
        <w:rPr>
          <w:noProof/>
        </w:rPr>
        <w:t xml:space="preserve">, </w:t>
      </w:r>
      <w:r w:rsidRPr="00B55191">
        <w:rPr>
          <w:i/>
          <w:noProof/>
        </w:rPr>
        <w:t>117</w:t>
      </w:r>
      <w:r w:rsidRPr="00B55191">
        <w:rPr>
          <w:noProof/>
        </w:rPr>
        <w:t>, 8628-8635.</w:t>
      </w:r>
    </w:p>
    <w:p w14:paraId="376B94C1" w14:textId="77777777" w:rsidR="00B55191" w:rsidRPr="00B55191" w:rsidRDefault="00B55191" w:rsidP="00B55191">
      <w:pPr>
        <w:pStyle w:val="EndNoteBibliography"/>
        <w:rPr>
          <w:noProof/>
        </w:rPr>
      </w:pPr>
      <w:r w:rsidRPr="00B55191">
        <w:rPr>
          <w:noProof/>
        </w:rPr>
        <w:t xml:space="preserve">(313) Fabbri, E.; Nachtegaal, M.; Binninger, T.; Cheng, X.; Kim, B.-J.; Durst, J.; Bozza, F.; Graule, T.; Schäublin, R.; Wiles, L.; et al. Dynamic Surface Self-Reconstruction Is the Key of Highly Active Perovskite Nano-Electrocatalysts for Water Splitting. </w:t>
      </w:r>
      <w:r w:rsidRPr="00B55191">
        <w:rPr>
          <w:i/>
          <w:noProof/>
        </w:rPr>
        <w:t xml:space="preserve">Nat. Mater. </w:t>
      </w:r>
      <w:r w:rsidRPr="00B55191">
        <w:rPr>
          <w:b/>
          <w:noProof/>
        </w:rPr>
        <w:t>2017</w:t>
      </w:r>
      <w:r w:rsidRPr="00B55191">
        <w:rPr>
          <w:noProof/>
        </w:rPr>
        <w:t xml:space="preserve">, </w:t>
      </w:r>
      <w:r w:rsidRPr="00B55191">
        <w:rPr>
          <w:i/>
          <w:noProof/>
        </w:rPr>
        <w:t>16</w:t>
      </w:r>
      <w:r w:rsidRPr="00B55191">
        <w:rPr>
          <w:noProof/>
        </w:rPr>
        <w:t>, 925-931.</w:t>
      </w:r>
    </w:p>
    <w:p w14:paraId="7B7B1678" w14:textId="77777777" w:rsidR="00B55191" w:rsidRPr="00B55191" w:rsidRDefault="00B55191" w:rsidP="00B55191">
      <w:pPr>
        <w:pStyle w:val="EndNoteBibliography"/>
        <w:rPr>
          <w:noProof/>
        </w:rPr>
      </w:pPr>
      <w:r w:rsidRPr="00B55191">
        <w:rPr>
          <w:noProof/>
        </w:rPr>
        <w:t xml:space="preserve">(314) Lopes, P. P.; Chung, D. Y.; Rui, X.; Zheng, H.; He, H.; Farinazzo Bergamo Dias Martins, P.; Strmcnik, D.; Stamenkovic, V. R.; Zapol, P.; Mitchell, J. F.; et al. Dynamically Stable Active Sites from Surface Evolution of Perovskite Materials During the Oxygen Evolution Reaction. </w:t>
      </w:r>
      <w:r w:rsidRPr="00B55191">
        <w:rPr>
          <w:i/>
          <w:noProof/>
        </w:rPr>
        <w:t xml:space="preserve">J. Am. Chem. Soc. </w:t>
      </w:r>
      <w:r w:rsidRPr="00B55191">
        <w:rPr>
          <w:b/>
          <w:noProof/>
        </w:rPr>
        <w:t>2021</w:t>
      </w:r>
      <w:r w:rsidRPr="00B55191">
        <w:rPr>
          <w:noProof/>
        </w:rPr>
        <w:t xml:space="preserve">, </w:t>
      </w:r>
      <w:r w:rsidRPr="00B55191">
        <w:rPr>
          <w:i/>
          <w:noProof/>
        </w:rPr>
        <w:t>143</w:t>
      </w:r>
      <w:r w:rsidRPr="00B55191">
        <w:rPr>
          <w:noProof/>
        </w:rPr>
        <w:t>, 2741-2750.</w:t>
      </w:r>
    </w:p>
    <w:p w14:paraId="7D5DEE26" w14:textId="77777777" w:rsidR="00B55191" w:rsidRPr="00B55191" w:rsidRDefault="00B55191" w:rsidP="00B55191">
      <w:pPr>
        <w:pStyle w:val="EndNoteBibliography"/>
        <w:rPr>
          <w:noProof/>
        </w:rPr>
      </w:pPr>
      <w:r w:rsidRPr="00B55191">
        <w:rPr>
          <w:noProof/>
        </w:rPr>
        <w:t xml:space="preserve">(315) Liu, J.; Jia, E.; Stoerzinger, K. A.; Wang, L.; Wang, Y.; Yang, Z.; Shen, D.; Engelhard, M. H.; Bowden, M. E.; Zhu, Z.; et al. Dynamic Lattice Oxygen Participation on Perovskite Lanio3 During Oxygen Evolution Reaction. </w:t>
      </w:r>
      <w:r w:rsidRPr="00B55191">
        <w:rPr>
          <w:i/>
          <w:noProof/>
        </w:rPr>
        <w:t xml:space="preserve">J. Phys. Chem. C </w:t>
      </w:r>
      <w:r w:rsidRPr="00B55191">
        <w:rPr>
          <w:b/>
          <w:noProof/>
        </w:rPr>
        <w:t>2020</w:t>
      </w:r>
      <w:r w:rsidRPr="00B55191">
        <w:rPr>
          <w:noProof/>
        </w:rPr>
        <w:t xml:space="preserve">, </w:t>
      </w:r>
      <w:r w:rsidRPr="00B55191">
        <w:rPr>
          <w:i/>
          <w:noProof/>
        </w:rPr>
        <w:t>124</w:t>
      </w:r>
      <w:r w:rsidRPr="00B55191">
        <w:rPr>
          <w:noProof/>
        </w:rPr>
        <w:t>, 15386-15390.</w:t>
      </w:r>
    </w:p>
    <w:p w14:paraId="2DFD2FCE" w14:textId="77777777" w:rsidR="00B55191" w:rsidRPr="00B55191" w:rsidRDefault="00B55191" w:rsidP="00B55191">
      <w:pPr>
        <w:pStyle w:val="EndNoteBibliography"/>
        <w:rPr>
          <w:noProof/>
        </w:rPr>
      </w:pPr>
      <w:r w:rsidRPr="00B55191">
        <w:rPr>
          <w:noProof/>
        </w:rPr>
        <w:t xml:space="preserve">(316) Sun, Y.; Wu, C.-R.; Ding, T.-Y.; Gu, J.; Yan, J.-W.; Cheng, J.; Zhang, K. H. L. Direct Observation of the Dynamic Reconstructed Active Phase of Perovskite Lanio3 for the Oxygen-Evolution Reaction. </w:t>
      </w:r>
      <w:r w:rsidRPr="00B55191">
        <w:rPr>
          <w:i/>
          <w:noProof/>
        </w:rPr>
        <w:t xml:space="preserve">Chem. Sci. </w:t>
      </w:r>
      <w:r w:rsidRPr="00B55191">
        <w:rPr>
          <w:b/>
          <w:noProof/>
        </w:rPr>
        <w:t>2023</w:t>
      </w:r>
      <w:r w:rsidRPr="00B55191">
        <w:rPr>
          <w:noProof/>
        </w:rPr>
        <w:t xml:space="preserve">, </w:t>
      </w:r>
      <w:r w:rsidRPr="00B55191">
        <w:rPr>
          <w:i/>
          <w:noProof/>
        </w:rPr>
        <w:t>14</w:t>
      </w:r>
      <w:r w:rsidRPr="00B55191">
        <w:rPr>
          <w:noProof/>
        </w:rPr>
        <w:t>, 5906-5911.</w:t>
      </w:r>
    </w:p>
    <w:p w14:paraId="70E2092B" w14:textId="77777777" w:rsidR="00B55191" w:rsidRPr="00A41B5A" w:rsidRDefault="00B55191" w:rsidP="00B55191">
      <w:pPr>
        <w:pStyle w:val="EndNoteBibliography"/>
        <w:rPr>
          <w:noProof/>
          <w:lang w:val="it-IT"/>
        </w:rPr>
      </w:pPr>
      <w:r w:rsidRPr="00B55191">
        <w:rPr>
          <w:noProof/>
        </w:rPr>
        <w:t xml:space="preserve">(317) Li, Z.; Xie, Y.; Huang, Z.; Su, Y.; Sun, C.; Fu, J.; Wei, H.; Wu, F.; Ou, G. Amorphization of Lacoo3 Perovskite Nanostructures for Efficient Oxygen Evolution. </w:t>
      </w:r>
      <w:r w:rsidRPr="00A41B5A">
        <w:rPr>
          <w:i/>
          <w:noProof/>
          <w:lang w:val="it-IT"/>
        </w:rPr>
        <w:t xml:space="preserve">ACS Appl. Nano Mater. </w:t>
      </w:r>
      <w:r w:rsidRPr="00A41B5A">
        <w:rPr>
          <w:b/>
          <w:noProof/>
          <w:lang w:val="it-IT"/>
        </w:rPr>
        <w:t>2022</w:t>
      </w:r>
      <w:r w:rsidRPr="00A41B5A">
        <w:rPr>
          <w:noProof/>
          <w:lang w:val="it-IT"/>
        </w:rPr>
        <w:t xml:space="preserve">, </w:t>
      </w:r>
      <w:r w:rsidRPr="00A41B5A">
        <w:rPr>
          <w:i/>
          <w:noProof/>
          <w:lang w:val="it-IT"/>
        </w:rPr>
        <w:t>5</w:t>
      </w:r>
      <w:r w:rsidRPr="00A41B5A">
        <w:rPr>
          <w:noProof/>
          <w:lang w:val="it-IT"/>
        </w:rPr>
        <w:t>, 14209-14215.</w:t>
      </w:r>
    </w:p>
    <w:p w14:paraId="746AC4D4" w14:textId="77777777" w:rsidR="00B55191" w:rsidRPr="00B55191" w:rsidRDefault="00B55191" w:rsidP="00B55191">
      <w:pPr>
        <w:pStyle w:val="EndNoteBibliography"/>
        <w:rPr>
          <w:noProof/>
        </w:rPr>
      </w:pPr>
      <w:r w:rsidRPr="00A41B5A">
        <w:rPr>
          <w:noProof/>
          <w:lang w:val="it-IT"/>
        </w:rPr>
        <w:t xml:space="preserve">(318) Kim, B.-J.; Abbott, D. F.; Cheng, X.; Fabbri, E.; Nachtegaal, M.; Bozza, F.; Castelli, I. E.; Lebedev, D.; Schäublin, R.; Copéret, C.; et al. </w:t>
      </w:r>
      <w:r w:rsidRPr="00B55191">
        <w:rPr>
          <w:noProof/>
        </w:rPr>
        <w:t xml:space="preserve">Unraveling Thermodynamics, Stability, </w:t>
      </w:r>
      <w:r w:rsidRPr="00B55191">
        <w:rPr>
          <w:noProof/>
        </w:rPr>
        <w:lastRenderedPageBreak/>
        <w:t xml:space="preserve">and Oxygen Evolution Activity of Strontium Ruthenium Perovskite Oxide. </w:t>
      </w:r>
      <w:r w:rsidRPr="00B55191">
        <w:rPr>
          <w:i/>
          <w:noProof/>
        </w:rPr>
        <w:t xml:space="preserve">ACS Catal. </w:t>
      </w:r>
      <w:r w:rsidRPr="00B55191">
        <w:rPr>
          <w:b/>
          <w:noProof/>
        </w:rPr>
        <w:t>2017</w:t>
      </w:r>
      <w:r w:rsidRPr="00B55191">
        <w:rPr>
          <w:noProof/>
        </w:rPr>
        <w:t xml:space="preserve">, </w:t>
      </w:r>
      <w:r w:rsidRPr="00B55191">
        <w:rPr>
          <w:i/>
          <w:noProof/>
        </w:rPr>
        <w:t>7</w:t>
      </w:r>
      <w:r w:rsidRPr="00B55191">
        <w:rPr>
          <w:noProof/>
        </w:rPr>
        <w:t>, 3245-3256.</w:t>
      </w:r>
    </w:p>
    <w:p w14:paraId="43AD5F25" w14:textId="77777777" w:rsidR="00B55191" w:rsidRPr="00B55191" w:rsidRDefault="00B55191" w:rsidP="00B55191">
      <w:pPr>
        <w:pStyle w:val="EndNoteBibliography"/>
        <w:rPr>
          <w:noProof/>
        </w:rPr>
      </w:pPr>
      <w:r w:rsidRPr="00B55191">
        <w:rPr>
          <w:noProof/>
        </w:rPr>
        <w:t xml:space="preserve">(319) Wan, G.; Freeland, J. W.; Kloppenburg, J.; Petretto, G.; Nelson, J. N.; Kuo, D.-Y.; Sun, C.-J.; Wen, J.; Diulus, J. T.; Herman, G. S.; et al. Amorphization Mechanism of Sriro3 Electrocatalyst: How Oxygen Redox Initiates Ionic Diffusion and Structural Reorganization. </w:t>
      </w:r>
      <w:r w:rsidRPr="00B55191">
        <w:rPr>
          <w:i/>
          <w:noProof/>
        </w:rPr>
        <w:t xml:space="preserve">Sci. Adv. </w:t>
      </w:r>
      <w:r w:rsidRPr="00B55191">
        <w:rPr>
          <w:b/>
          <w:noProof/>
        </w:rPr>
        <w:t>2021</w:t>
      </w:r>
      <w:r w:rsidRPr="00B55191">
        <w:rPr>
          <w:noProof/>
        </w:rPr>
        <w:t xml:space="preserve">, </w:t>
      </w:r>
      <w:r w:rsidRPr="00B55191">
        <w:rPr>
          <w:i/>
          <w:noProof/>
        </w:rPr>
        <w:t>7</w:t>
      </w:r>
      <w:r w:rsidRPr="00B55191">
        <w:rPr>
          <w:noProof/>
        </w:rPr>
        <w:t>, eabc7323.</w:t>
      </w:r>
    </w:p>
    <w:p w14:paraId="34B66B8E" w14:textId="77777777" w:rsidR="00B55191" w:rsidRPr="00B55191" w:rsidRDefault="00B55191" w:rsidP="00B55191">
      <w:pPr>
        <w:pStyle w:val="EndNoteBibliography"/>
        <w:rPr>
          <w:noProof/>
        </w:rPr>
      </w:pPr>
      <w:r w:rsidRPr="00B55191">
        <w:rPr>
          <w:noProof/>
        </w:rPr>
        <w:t xml:space="preserve">(320) Diaz-Morales, O.; Raaijman, S.; Kortlever, R.; Kooyman, P. J.; Wezendonk, T.; Gascon, J.; Fu, W. T.; Koper, M. T. M. Iridium-Based Double Perovskites for Efficient Water Oxidation in Acid Media. </w:t>
      </w:r>
      <w:r w:rsidRPr="00B55191">
        <w:rPr>
          <w:i/>
          <w:noProof/>
        </w:rPr>
        <w:t xml:space="preserve">Nat. Commun. </w:t>
      </w:r>
      <w:r w:rsidRPr="00B55191">
        <w:rPr>
          <w:b/>
          <w:noProof/>
        </w:rPr>
        <w:t>2016</w:t>
      </w:r>
      <w:r w:rsidRPr="00B55191">
        <w:rPr>
          <w:noProof/>
        </w:rPr>
        <w:t xml:space="preserve">, </w:t>
      </w:r>
      <w:r w:rsidRPr="00B55191">
        <w:rPr>
          <w:i/>
          <w:noProof/>
        </w:rPr>
        <w:t>7</w:t>
      </w:r>
      <w:r w:rsidRPr="00B55191">
        <w:rPr>
          <w:noProof/>
        </w:rPr>
        <w:t>, 12363.</w:t>
      </w:r>
    </w:p>
    <w:p w14:paraId="70837D30" w14:textId="77777777" w:rsidR="00B55191" w:rsidRPr="00B55191" w:rsidRDefault="00B55191" w:rsidP="00B55191">
      <w:pPr>
        <w:pStyle w:val="EndNoteBibliography"/>
        <w:rPr>
          <w:noProof/>
        </w:rPr>
      </w:pPr>
      <w:r w:rsidRPr="00B55191">
        <w:rPr>
          <w:noProof/>
        </w:rPr>
        <w:t xml:space="preserve">(321) Geiger, S.; Kasian, O.; Ledendecker, M.; Pizzutilo, E.; Mingers, A. M.; Fu, W. T.; Diaz-Morales, O.; Li, Z.; Oellers, T.; Fruchter, L.; et al. The Stability Number as a Metric for Electrocatalyst Stability Benchmarking. </w:t>
      </w:r>
      <w:r w:rsidRPr="00B55191">
        <w:rPr>
          <w:i/>
          <w:noProof/>
        </w:rPr>
        <w:t xml:space="preserve">Nat. Catal. </w:t>
      </w:r>
      <w:r w:rsidRPr="00B55191">
        <w:rPr>
          <w:b/>
          <w:noProof/>
        </w:rPr>
        <w:t>2018</w:t>
      </w:r>
      <w:r w:rsidRPr="00B55191">
        <w:rPr>
          <w:noProof/>
        </w:rPr>
        <w:t xml:space="preserve">, </w:t>
      </w:r>
      <w:r w:rsidRPr="00B55191">
        <w:rPr>
          <w:i/>
          <w:noProof/>
        </w:rPr>
        <w:t>1</w:t>
      </w:r>
      <w:r w:rsidRPr="00B55191">
        <w:rPr>
          <w:noProof/>
        </w:rPr>
        <w:t>, 508-515.</w:t>
      </w:r>
    </w:p>
    <w:p w14:paraId="1EBA5227" w14:textId="77777777" w:rsidR="00B55191" w:rsidRPr="00B55191" w:rsidRDefault="00B55191" w:rsidP="00B55191">
      <w:pPr>
        <w:pStyle w:val="EndNoteBibliography"/>
        <w:rPr>
          <w:noProof/>
        </w:rPr>
      </w:pPr>
      <w:r w:rsidRPr="00B55191">
        <w:rPr>
          <w:noProof/>
        </w:rPr>
        <w:t xml:space="preserve">(322) Schlögl, R. Heterogeneous Catalysis. </w:t>
      </w:r>
      <w:r w:rsidRPr="00B55191">
        <w:rPr>
          <w:i/>
          <w:noProof/>
        </w:rPr>
        <w:t xml:space="preserve">Angew. Chem. Int. Ed. </w:t>
      </w:r>
      <w:r w:rsidRPr="00B55191">
        <w:rPr>
          <w:b/>
          <w:noProof/>
        </w:rPr>
        <w:t>2015</w:t>
      </w:r>
      <w:r w:rsidRPr="00B55191">
        <w:rPr>
          <w:noProof/>
        </w:rPr>
        <w:t xml:space="preserve">, </w:t>
      </w:r>
      <w:r w:rsidRPr="00B55191">
        <w:rPr>
          <w:i/>
          <w:noProof/>
        </w:rPr>
        <w:t>54</w:t>
      </w:r>
      <w:r w:rsidRPr="00B55191">
        <w:rPr>
          <w:noProof/>
        </w:rPr>
        <w:t>, 3465-3520.</w:t>
      </w:r>
    </w:p>
    <w:p w14:paraId="6C84EB70" w14:textId="77777777" w:rsidR="00B55191" w:rsidRPr="00B55191" w:rsidRDefault="00B55191" w:rsidP="00B55191">
      <w:pPr>
        <w:pStyle w:val="EndNoteBibliography"/>
        <w:rPr>
          <w:noProof/>
        </w:rPr>
      </w:pPr>
      <w:r w:rsidRPr="00B55191">
        <w:rPr>
          <w:noProof/>
        </w:rPr>
        <w:t xml:space="preserve">(323) Damjanovic, A.; Jovanovic, B. Anodic Oxide Films as Barriers to Charge Transfer in  O 2 Evolution at Pt in Acid Solutions. </w:t>
      </w:r>
      <w:r w:rsidRPr="00B55191">
        <w:rPr>
          <w:i/>
          <w:noProof/>
        </w:rPr>
        <w:t xml:space="preserve">J. Electrochem. Soc. </w:t>
      </w:r>
      <w:r w:rsidRPr="00B55191">
        <w:rPr>
          <w:b/>
          <w:noProof/>
        </w:rPr>
        <w:t>1976</w:t>
      </w:r>
      <w:r w:rsidRPr="00B55191">
        <w:rPr>
          <w:noProof/>
        </w:rPr>
        <w:t xml:space="preserve">, </w:t>
      </w:r>
      <w:r w:rsidRPr="00B55191">
        <w:rPr>
          <w:i/>
          <w:noProof/>
        </w:rPr>
        <w:t>123</w:t>
      </w:r>
      <w:r w:rsidRPr="00B55191">
        <w:rPr>
          <w:noProof/>
        </w:rPr>
        <w:t>, 374.</w:t>
      </w:r>
    </w:p>
    <w:p w14:paraId="0B0180D9" w14:textId="77777777" w:rsidR="00B55191" w:rsidRPr="00B55191" w:rsidRDefault="00B55191" w:rsidP="00B55191">
      <w:pPr>
        <w:pStyle w:val="EndNoteBibliography"/>
        <w:rPr>
          <w:noProof/>
        </w:rPr>
      </w:pPr>
      <w:r w:rsidRPr="00B55191">
        <w:rPr>
          <w:noProof/>
        </w:rPr>
        <w:t xml:space="preserve">(324) Rong, X.; Parolin, J.; Kolpak, A. M. A Fundamental Relationship between Reaction Mechanism and Stability in Metal Oxide Catalysts for Oxygen Evolution. </w:t>
      </w:r>
      <w:r w:rsidRPr="00B55191">
        <w:rPr>
          <w:i/>
          <w:noProof/>
        </w:rPr>
        <w:t xml:space="preserve">ACS Catal. </w:t>
      </w:r>
      <w:r w:rsidRPr="00B55191">
        <w:rPr>
          <w:b/>
          <w:noProof/>
        </w:rPr>
        <w:t>2016</w:t>
      </w:r>
      <w:r w:rsidRPr="00B55191">
        <w:rPr>
          <w:noProof/>
        </w:rPr>
        <w:t xml:space="preserve">, </w:t>
      </w:r>
      <w:r w:rsidRPr="00B55191">
        <w:rPr>
          <w:i/>
          <w:noProof/>
        </w:rPr>
        <w:t>6</w:t>
      </w:r>
      <w:r w:rsidRPr="00B55191">
        <w:rPr>
          <w:noProof/>
        </w:rPr>
        <w:t>, 1153-1158.</w:t>
      </w:r>
    </w:p>
    <w:p w14:paraId="6C20FE9E" w14:textId="77777777" w:rsidR="00B55191" w:rsidRPr="00B55191" w:rsidRDefault="00B55191" w:rsidP="00B55191">
      <w:pPr>
        <w:pStyle w:val="EndNoteBibliography"/>
        <w:rPr>
          <w:noProof/>
        </w:rPr>
      </w:pPr>
      <w:r w:rsidRPr="00B55191">
        <w:rPr>
          <w:noProof/>
        </w:rPr>
        <w:t xml:space="preserve">(325) Hardin, W. G.; Mefford, J. T.; Slanac, D. A.; Patel, B. B.; Wang, X.; Dai, S.; Zhao, X.; Ruoff, R. S.; Johnston, K. P.; Stevenson, K. J. Tuning the Electrocatalytic Activity of Perovskites through Active Site Variation and Support Interactions. </w:t>
      </w:r>
      <w:r w:rsidRPr="00B55191">
        <w:rPr>
          <w:i/>
          <w:noProof/>
        </w:rPr>
        <w:t xml:space="preserve">Chem. Mater. </w:t>
      </w:r>
      <w:r w:rsidRPr="00B55191">
        <w:rPr>
          <w:b/>
          <w:noProof/>
        </w:rPr>
        <w:t>2014</w:t>
      </w:r>
      <w:r w:rsidRPr="00B55191">
        <w:rPr>
          <w:noProof/>
        </w:rPr>
        <w:t xml:space="preserve">, </w:t>
      </w:r>
      <w:r w:rsidRPr="00B55191">
        <w:rPr>
          <w:i/>
          <w:noProof/>
        </w:rPr>
        <w:t>26</w:t>
      </w:r>
      <w:r w:rsidRPr="00B55191">
        <w:rPr>
          <w:noProof/>
        </w:rPr>
        <w:t>, 3368-3376.</w:t>
      </w:r>
    </w:p>
    <w:p w14:paraId="45AFBB19" w14:textId="77777777" w:rsidR="00B55191" w:rsidRPr="00B55191" w:rsidRDefault="00B55191" w:rsidP="00B55191">
      <w:pPr>
        <w:pStyle w:val="EndNoteBibliography"/>
        <w:rPr>
          <w:noProof/>
        </w:rPr>
      </w:pPr>
      <w:r w:rsidRPr="00B55191">
        <w:rPr>
          <w:noProof/>
        </w:rPr>
        <w:t xml:space="preserve">(326) Hardin, W. G.; Slanac, D. A.; Wang, X.; Dai, S.; Johnston, K. P.; Stevenson, K. J. Highly Active, Nonprecious Metal Perovskite Electrocatalysts for Bifunctional Metal–Air Battery Electrodes. </w:t>
      </w:r>
      <w:r w:rsidRPr="00B55191">
        <w:rPr>
          <w:i/>
          <w:noProof/>
        </w:rPr>
        <w:t xml:space="preserve">J. Phys. Chem. Lett. </w:t>
      </w:r>
      <w:r w:rsidRPr="00B55191">
        <w:rPr>
          <w:b/>
          <w:noProof/>
        </w:rPr>
        <w:t>2013</w:t>
      </w:r>
      <w:r w:rsidRPr="00B55191">
        <w:rPr>
          <w:noProof/>
        </w:rPr>
        <w:t xml:space="preserve">, </w:t>
      </w:r>
      <w:r w:rsidRPr="00B55191">
        <w:rPr>
          <w:i/>
          <w:noProof/>
        </w:rPr>
        <w:t>4</w:t>
      </w:r>
      <w:r w:rsidRPr="00B55191">
        <w:rPr>
          <w:noProof/>
        </w:rPr>
        <w:t>, 1254-1259.</w:t>
      </w:r>
    </w:p>
    <w:p w14:paraId="5D3B1826" w14:textId="77777777" w:rsidR="00B55191" w:rsidRPr="00B55191" w:rsidRDefault="00B55191" w:rsidP="00B55191">
      <w:pPr>
        <w:pStyle w:val="EndNoteBibliography"/>
        <w:rPr>
          <w:noProof/>
        </w:rPr>
      </w:pPr>
      <w:r w:rsidRPr="00B55191">
        <w:rPr>
          <w:noProof/>
        </w:rPr>
        <w:t xml:space="preserve">(327) Mefford, J. T.; Rong, X.; Abakumov, A. M.; Hardin, W. G.; Dai, S.; Kolpak, A. M.; Johnston, K. P.; Stevenson, K. J. Water Electrolysis on La1−Xsrxcoo3−Δ Perovskite Electrocatalysts. </w:t>
      </w:r>
      <w:r w:rsidRPr="00B55191">
        <w:rPr>
          <w:i/>
          <w:noProof/>
        </w:rPr>
        <w:t xml:space="preserve">Nat. Commun. </w:t>
      </w:r>
      <w:r w:rsidRPr="00B55191">
        <w:rPr>
          <w:b/>
          <w:noProof/>
        </w:rPr>
        <w:t>2016</w:t>
      </w:r>
      <w:r w:rsidRPr="00B55191">
        <w:rPr>
          <w:noProof/>
        </w:rPr>
        <w:t xml:space="preserve">, </w:t>
      </w:r>
      <w:r w:rsidRPr="00B55191">
        <w:rPr>
          <w:i/>
          <w:noProof/>
        </w:rPr>
        <w:t>7</w:t>
      </w:r>
      <w:r w:rsidRPr="00B55191">
        <w:rPr>
          <w:noProof/>
        </w:rPr>
        <w:t>, 11053.</w:t>
      </w:r>
    </w:p>
    <w:p w14:paraId="522287B7" w14:textId="77777777" w:rsidR="00B55191" w:rsidRPr="00B55191" w:rsidRDefault="00B55191" w:rsidP="00B55191">
      <w:pPr>
        <w:pStyle w:val="EndNoteBibliography"/>
        <w:rPr>
          <w:noProof/>
        </w:rPr>
      </w:pPr>
      <w:r w:rsidRPr="00B55191">
        <w:rPr>
          <w:noProof/>
        </w:rPr>
        <w:t xml:space="preserve">(328) Willsau, J.; Wolter, O.; Heitbaum, J. Does the Oxide Layer Take Part in the Oxygen Evolution Reaction on Platinum?: A Dems Study. </w:t>
      </w:r>
      <w:r w:rsidRPr="00B55191">
        <w:rPr>
          <w:i/>
          <w:noProof/>
        </w:rPr>
        <w:t xml:space="preserve">J. Electroanal. Chem. Interfacial Electrochem. </w:t>
      </w:r>
      <w:r w:rsidRPr="00B55191">
        <w:rPr>
          <w:b/>
          <w:noProof/>
        </w:rPr>
        <w:t>1985</w:t>
      </w:r>
      <w:r w:rsidRPr="00B55191">
        <w:rPr>
          <w:noProof/>
        </w:rPr>
        <w:t xml:space="preserve">, </w:t>
      </w:r>
      <w:r w:rsidRPr="00B55191">
        <w:rPr>
          <w:i/>
          <w:noProof/>
        </w:rPr>
        <w:t>195</w:t>
      </w:r>
      <w:r w:rsidRPr="00B55191">
        <w:rPr>
          <w:noProof/>
        </w:rPr>
        <w:t>, 299-306.</w:t>
      </w:r>
    </w:p>
    <w:p w14:paraId="15D582E9" w14:textId="77777777" w:rsidR="00B55191" w:rsidRPr="00B55191" w:rsidRDefault="00B55191" w:rsidP="00B55191">
      <w:pPr>
        <w:pStyle w:val="EndNoteBibliography"/>
        <w:rPr>
          <w:noProof/>
        </w:rPr>
      </w:pPr>
      <w:r w:rsidRPr="00B55191">
        <w:rPr>
          <w:noProof/>
        </w:rPr>
        <w:t xml:space="preserve">(329) Grimaud, A.; Diaz-Morales, O.; Han, B.; Hong, W. T.; Lee, Y.-L.; Giordano, L.; Stoerzinger, K. A.; Koper, M. T. M.; Shao-Horn, Y. Activating Lattice Oxygen Redox Reactions in Metal Oxides to Catalyse Oxygen Evolution. </w:t>
      </w:r>
      <w:r w:rsidRPr="00B55191">
        <w:rPr>
          <w:i/>
          <w:noProof/>
        </w:rPr>
        <w:t xml:space="preserve">Nat. Chem. </w:t>
      </w:r>
      <w:r w:rsidRPr="00B55191">
        <w:rPr>
          <w:b/>
          <w:noProof/>
        </w:rPr>
        <w:t>2017</w:t>
      </w:r>
      <w:r w:rsidRPr="00B55191">
        <w:rPr>
          <w:noProof/>
        </w:rPr>
        <w:t xml:space="preserve">, </w:t>
      </w:r>
      <w:r w:rsidRPr="00B55191">
        <w:rPr>
          <w:i/>
          <w:noProof/>
        </w:rPr>
        <w:t>9</w:t>
      </w:r>
      <w:r w:rsidRPr="00B55191">
        <w:rPr>
          <w:noProof/>
        </w:rPr>
        <w:t>, 457-465.</w:t>
      </w:r>
    </w:p>
    <w:p w14:paraId="038D7076" w14:textId="77777777" w:rsidR="00B55191" w:rsidRPr="00B55191" w:rsidRDefault="00B55191" w:rsidP="00B55191">
      <w:pPr>
        <w:pStyle w:val="EndNoteBibliography"/>
        <w:rPr>
          <w:noProof/>
        </w:rPr>
      </w:pPr>
      <w:r w:rsidRPr="00B55191">
        <w:rPr>
          <w:noProof/>
        </w:rPr>
        <w:t xml:space="preserve">(330) Kasian, O.; Geiger, S.; Li, T.; Grote, J.-P.; Schweinar, K.; Zhang, S.; Scheu, C.; Raabe, D.; Cherevko, S.; Gault, B.; Mayrhofer, K. J. J. Degradation of Iridium Oxides Via Oxygen Evolution from the Lattice: Correlating Atomic Scale Structure with Reaction Mechanisms. </w:t>
      </w:r>
      <w:r w:rsidRPr="00B55191">
        <w:rPr>
          <w:i/>
          <w:noProof/>
        </w:rPr>
        <w:t xml:space="preserve">Energy Environ. Sci. </w:t>
      </w:r>
      <w:r w:rsidRPr="00B55191">
        <w:rPr>
          <w:b/>
          <w:noProof/>
        </w:rPr>
        <w:t>2019</w:t>
      </w:r>
      <w:r w:rsidRPr="00B55191">
        <w:rPr>
          <w:noProof/>
        </w:rPr>
        <w:t xml:space="preserve">, </w:t>
      </w:r>
      <w:r w:rsidRPr="00B55191">
        <w:rPr>
          <w:i/>
          <w:noProof/>
        </w:rPr>
        <w:t>12</w:t>
      </w:r>
      <w:r w:rsidRPr="00B55191">
        <w:rPr>
          <w:noProof/>
        </w:rPr>
        <w:t>, 3548-3555.</w:t>
      </w:r>
    </w:p>
    <w:p w14:paraId="4599D016" w14:textId="77777777" w:rsidR="00B55191" w:rsidRPr="00B55191" w:rsidRDefault="00B55191" w:rsidP="00B55191">
      <w:pPr>
        <w:pStyle w:val="EndNoteBibliography"/>
        <w:rPr>
          <w:noProof/>
        </w:rPr>
      </w:pPr>
      <w:r w:rsidRPr="00B55191">
        <w:rPr>
          <w:noProof/>
        </w:rPr>
        <w:t xml:space="preserve">(331) Schweinar, K.; Gault, B.; Mouton, I.; Kasian, O. Lattice Oxygen Exchange in Rutile Iro2 During the Oxygen Evolution Reaction. </w:t>
      </w:r>
      <w:r w:rsidRPr="00B55191">
        <w:rPr>
          <w:i/>
          <w:noProof/>
        </w:rPr>
        <w:t xml:space="preserve">J. Phys. Chem. Lett. </w:t>
      </w:r>
      <w:r w:rsidRPr="00B55191">
        <w:rPr>
          <w:b/>
          <w:noProof/>
        </w:rPr>
        <w:t>2020</w:t>
      </w:r>
      <w:r w:rsidRPr="00B55191">
        <w:rPr>
          <w:noProof/>
        </w:rPr>
        <w:t xml:space="preserve">, </w:t>
      </w:r>
      <w:r w:rsidRPr="00B55191">
        <w:rPr>
          <w:i/>
          <w:noProof/>
        </w:rPr>
        <w:t>11</w:t>
      </w:r>
      <w:r w:rsidRPr="00B55191">
        <w:rPr>
          <w:noProof/>
        </w:rPr>
        <w:t>, 5008-5014.</w:t>
      </w:r>
    </w:p>
    <w:p w14:paraId="62D579B0" w14:textId="77777777" w:rsidR="00B55191" w:rsidRPr="00B55191" w:rsidRDefault="00B55191" w:rsidP="00B55191">
      <w:pPr>
        <w:pStyle w:val="EndNoteBibliography"/>
        <w:rPr>
          <w:noProof/>
        </w:rPr>
      </w:pPr>
      <w:r w:rsidRPr="00B55191">
        <w:rPr>
          <w:noProof/>
        </w:rPr>
        <w:t xml:space="preserve">(332) Lin, C.; Li, J.-L.; Li, X.; Yang, S.; Luo, W.; Zhang, Y.; Kim, S.-H.; Kim, D.-H.; Shinde, S. S.; Li, Y.-F.; et al. In-Situ Reconstructed Ru Atom Array on Α-Mno2 with Enhanced Performance for Acidic Water Oxidation. </w:t>
      </w:r>
      <w:r w:rsidRPr="00B55191">
        <w:rPr>
          <w:i/>
          <w:noProof/>
        </w:rPr>
        <w:t xml:space="preserve">Nat. Catal. </w:t>
      </w:r>
      <w:r w:rsidRPr="00B55191">
        <w:rPr>
          <w:b/>
          <w:noProof/>
        </w:rPr>
        <w:t>2021</w:t>
      </w:r>
      <w:r w:rsidRPr="00B55191">
        <w:rPr>
          <w:noProof/>
        </w:rPr>
        <w:t xml:space="preserve">, </w:t>
      </w:r>
      <w:r w:rsidRPr="00B55191">
        <w:rPr>
          <w:i/>
          <w:noProof/>
        </w:rPr>
        <w:t>4</w:t>
      </w:r>
      <w:r w:rsidRPr="00B55191">
        <w:rPr>
          <w:noProof/>
        </w:rPr>
        <w:t>, 1012-1023.</w:t>
      </w:r>
    </w:p>
    <w:p w14:paraId="7B8362F7" w14:textId="77777777" w:rsidR="00B55191" w:rsidRPr="00B55191" w:rsidRDefault="00B55191" w:rsidP="00B55191">
      <w:pPr>
        <w:pStyle w:val="EndNoteBibliography"/>
        <w:rPr>
          <w:noProof/>
        </w:rPr>
      </w:pPr>
      <w:r w:rsidRPr="00B55191">
        <w:rPr>
          <w:noProof/>
        </w:rPr>
        <w:t xml:space="preserve">(333) Zhang, L.; Wang, L.; Wen, Y.; Ni, F.; Zhang, B.; Peng, H. Boosting Neutral Water Oxidation through Surface Oxygen Modulation. </w:t>
      </w:r>
      <w:r w:rsidRPr="00B55191">
        <w:rPr>
          <w:i/>
          <w:noProof/>
        </w:rPr>
        <w:t xml:space="preserve">Adv. Mater. </w:t>
      </w:r>
      <w:r w:rsidRPr="00B55191">
        <w:rPr>
          <w:b/>
          <w:noProof/>
        </w:rPr>
        <w:t>2020</w:t>
      </w:r>
      <w:r w:rsidRPr="00B55191">
        <w:rPr>
          <w:noProof/>
        </w:rPr>
        <w:t xml:space="preserve">, </w:t>
      </w:r>
      <w:r w:rsidRPr="00B55191">
        <w:rPr>
          <w:i/>
          <w:noProof/>
        </w:rPr>
        <w:t>32</w:t>
      </w:r>
      <w:r w:rsidRPr="00B55191">
        <w:rPr>
          <w:noProof/>
        </w:rPr>
        <w:t>, 2002297.</w:t>
      </w:r>
    </w:p>
    <w:p w14:paraId="6A440FC4" w14:textId="77777777" w:rsidR="00B55191" w:rsidRPr="00B55191" w:rsidRDefault="00B55191" w:rsidP="00B55191">
      <w:pPr>
        <w:pStyle w:val="EndNoteBibliography"/>
        <w:rPr>
          <w:noProof/>
        </w:rPr>
      </w:pPr>
      <w:r w:rsidRPr="00B55191">
        <w:rPr>
          <w:noProof/>
        </w:rPr>
        <w:t xml:space="preserve">(334) Lee, S.; Banjac, K.; Lingenfelder, M.; Hu, X. Oxygen Isotope Labeling Experiments Reveal Different Reaction Sites for the Oxygen Evolution Reaction on Nickel and Nickel Iron Oxides. </w:t>
      </w:r>
      <w:r w:rsidRPr="00B55191">
        <w:rPr>
          <w:i/>
          <w:noProof/>
        </w:rPr>
        <w:t xml:space="preserve">Angew. Chem. Int. Ed. </w:t>
      </w:r>
      <w:r w:rsidRPr="00B55191">
        <w:rPr>
          <w:b/>
          <w:noProof/>
        </w:rPr>
        <w:t>2019</w:t>
      </w:r>
      <w:r w:rsidRPr="00B55191">
        <w:rPr>
          <w:noProof/>
        </w:rPr>
        <w:t xml:space="preserve">, </w:t>
      </w:r>
      <w:r w:rsidRPr="00B55191">
        <w:rPr>
          <w:i/>
          <w:noProof/>
        </w:rPr>
        <w:t>58</w:t>
      </w:r>
      <w:r w:rsidRPr="00B55191">
        <w:rPr>
          <w:noProof/>
        </w:rPr>
        <w:t>, 10295-10299.</w:t>
      </w:r>
    </w:p>
    <w:p w14:paraId="1F5D9CA6" w14:textId="77777777" w:rsidR="00B55191" w:rsidRPr="00B55191" w:rsidRDefault="00B55191" w:rsidP="00B55191">
      <w:pPr>
        <w:pStyle w:val="EndNoteBibliography"/>
        <w:rPr>
          <w:noProof/>
        </w:rPr>
      </w:pPr>
      <w:r w:rsidRPr="00B55191">
        <w:rPr>
          <w:noProof/>
        </w:rPr>
        <w:t xml:space="preserve">(335) Grimaud, A.; Hong, W. T.; Shao-Horn, Y.; Tarascon, J. M. Anionic Redox Processes for Electrochemical Devices. </w:t>
      </w:r>
      <w:r w:rsidRPr="00B55191">
        <w:rPr>
          <w:i/>
          <w:noProof/>
        </w:rPr>
        <w:t xml:space="preserve">Nat. Mater. </w:t>
      </w:r>
      <w:r w:rsidRPr="00B55191">
        <w:rPr>
          <w:b/>
          <w:noProof/>
        </w:rPr>
        <w:t>2016</w:t>
      </w:r>
      <w:r w:rsidRPr="00B55191">
        <w:rPr>
          <w:noProof/>
        </w:rPr>
        <w:t xml:space="preserve">, </w:t>
      </w:r>
      <w:r w:rsidRPr="00B55191">
        <w:rPr>
          <w:i/>
          <w:noProof/>
        </w:rPr>
        <w:t>15</w:t>
      </w:r>
      <w:r w:rsidRPr="00B55191">
        <w:rPr>
          <w:noProof/>
        </w:rPr>
        <w:t>, 121-126.</w:t>
      </w:r>
    </w:p>
    <w:p w14:paraId="237BF05D" w14:textId="77777777" w:rsidR="00B55191" w:rsidRPr="00B55191" w:rsidRDefault="00B55191" w:rsidP="00B55191">
      <w:pPr>
        <w:pStyle w:val="EndNoteBibliography"/>
        <w:rPr>
          <w:noProof/>
        </w:rPr>
      </w:pPr>
      <w:r w:rsidRPr="00B55191">
        <w:rPr>
          <w:noProof/>
        </w:rPr>
        <w:lastRenderedPageBreak/>
        <w:t xml:space="preserve">(336) Grimaud, A.; May, K. J.; Carlton, C. E.; Lee, Y.-L.; Risch, M.; Hong, W. T.; Zhou, J.; Shao-Horn, Y. Double Perovskites as a Family of Highly Active Catalysts for Oxygen Evolution in Alkaline Solution. </w:t>
      </w:r>
      <w:r w:rsidRPr="00B55191">
        <w:rPr>
          <w:i/>
          <w:noProof/>
        </w:rPr>
        <w:t xml:space="preserve">Nat. Commun. </w:t>
      </w:r>
      <w:r w:rsidRPr="00B55191">
        <w:rPr>
          <w:b/>
          <w:noProof/>
        </w:rPr>
        <w:t>2013</w:t>
      </w:r>
      <w:r w:rsidRPr="00B55191">
        <w:rPr>
          <w:noProof/>
        </w:rPr>
        <w:t xml:space="preserve">, </w:t>
      </w:r>
      <w:r w:rsidRPr="00B55191">
        <w:rPr>
          <w:i/>
          <w:noProof/>
        </w:rPr>
        <w:t>4</w:t>
      </w:r>
      <w:r w:rsidRPr="00B55191">
        <w:rPr>
          <w:noProof/>
        </w:rPr>
        <w:t>, 2439.</w:t>
      </w:r>
    </w:p>
    <w:p w14:paraId="0DDCEBA0" w14:textId="77777777" w:rsidR="00B55191" w:rsidRPr="00B55191" w:rsidRDefault="00B55191" w:rsidP="00B55191">
      <w:pPr>
        <w:pStyle w:val="EndNoteBibliography"/>
        <w:rPr>
          <w:noProof/>
        </w:rPr>
      </w:pPr>
      <w:r w:rsidRPr="00B55191">
        <w:rPr>
          <w:noProof/>
        </w:rPr>
        <w:t xml:space="preserve">(337) Zhu, Y.; Zhou, W.; Chen, Z.-G.; Chen, Y.; Su, C.; Tadé, M. O.; Shao, Z. Srnb0.1co0.7fe0.2o3−Δ Perovskite as a Next-Generation Electrocatalyst for Oxygen Evolution in Alkaline Solution. </w:t>
      </w:r>
      <w:r w:rsidRPr="00B55191">
        <w:rPr>
          <w:i/>
          <w:noProof/>
        </w:rPr>
        <w:t xml:space="preserve">Angew. Chem. Int. Ed. </w:t>
      </w:r>
      <w:r w:rsidRPr="00B55191">
        <w:rPr>
          <w:b/>
          <w:noProof/>
        </w:rPr>
        <w:t>2015</w:t>
      </w:r>
      <w:r w:rsidRPr="00B55191">
        <w:rPr>
          <w:noProof/>
        </w:rPr>
        <w:t xml:space="preserve">, </w:t>
      </w:r>
      <w:r w:rsidRPr="00B55191">
        <w:rPr>
          <w:i/>
          <w:noProof/>
        </w:rPr>
        <w:t>54</w:t>
      </w:r>
      <w:r w:rsidRPr="00B55191">
        <w:rPr>
          <w:noProof/>
        </w:rPr>
        <w:t>, 3897-3901.</w:t>
      </w:r>
    </w:p>
    <w:p w14:paraId="28592F71" w14:textId="77777777" w:rsidR="00B55191" w:rsidRPr="00B55191" w:rsidRDefault="00B55191" w:rsidP="00B55191">
      <w:pPr>
        <w:pStyle w:val="EndNoteBibliography"/>
        <w:rPr>
          <w:noProof/>
        </w:rPr>
      </w:pPr>
      <w:r w:rsidRPr="00B55191">
        <w:rPr>
          <w:noProof/>
        </w:rPr>
        <w:t xml:space="preserve">(338) Zhang, N.; Chai, Y. Lattice Oxygen Redox Chemistry in Solid-State Electrocatalysts for Water Oxidation. </w:t>
      </w:r>
      <w:r w:rsidRPr="00B55191">
        <w:rPr>
          <w:i/>
          <w:noProof/>
        </w:rPr>
        <w:t xml:space="preserve">Energy Environ. Sci. </w:t>
      </w:r>
      <w:r w:rsidRPr="00B55191">
        <w:rPr>
          <w:b/>
          <w:noProof/>
        </w:rPr>
        <w:t>2021</w:t>
      </w:r>
      <w:r w:rsidRPr="00B55191">
        <w:rPr>
          <w:noProof/>
        </w:rPr>
        <w:t xml:space="preserve">, </w:t>
      </w:r>
      <w:r w:rsidRPr="00B55191">
        <w:rPr>
          <w:i/>
          <w:noProof/>
        </w:rPr>
        <w:t>14</w:t>
      </w:r>
      <w:r w:rsidRPr="00B55191">
        <w:rPr>
          <w:noProof/>
        </w:rPr>
        <w:t>, 4647-4671.</w:t>
      </w:r>
    </w:p>
    <w:p w14:paraId="2B066C20" w14:textId="77777777" w:rsidR="00B55191" w:rsidRPr="00B55191" w:rsidRDefault="00B55191" w:rsidP="00B55191">
      <w:pPr>
        <w:pStyle w:val="EndNoteBibliography"/>
        <w:rPr>
          <w:noProof/>
        </w:rPr>
      </w:pPr>
      <w:r w:rsidRPr="00B55191">
        <w:rPr>
          <w:noProof/>
        </w:rPr>
        <w:t xml:space="preserve">(339) González, D.; Sodupe, M.; Rodríguez-Santiago, L.; Solans-Monfort, X. Metal Coordination Determines the Catalytic Activity of Iro2 Nanoparticles for the Oxygen Evolution Reaction. </w:t>
      </w:r>
      <w:r w:rsidRPr="00B55191">
        <w:rPr>
          <w:i/>
          <w:noProof/>
        </w:rPr>
        <w:t xml:space="preserve">J. Catal. </w:t>
      </w:r>
      <w:r w:rsidRPr="00B55191">
        <w:rPr>
          <w:b/>
          <w:noProof/>
        </w:rPr>
        <w:t>2022</w:t>
      </w:r>
      <w:r w:rsidRPr="00B55191">
        <w:rPr>
          <w:noProof/>
        </w:rPr>
        <w:t xml:space="preserve">, </w:t>
      </w:r>
      <w:r w:rsidRPr="00B55191">
        <w:rPr>
          <w:i/>
          <w:noProof/>
        </w:rPr>
        <w:t>412</w:t>
      </w:r>
      <w:r w:rsidRPr="00B55191">
        <w:rPr>
          <w:noProof/>
        </w:rPr>
        <w:t>, 78-86.</w:t>
      </w:r>
    </w:p>
    <w:p w14:paraId="292E1F82" w14:textId="77777777" w:rsidR="00B55191" w:rsidRPr="00B55191" w:rsidRDefault="00B55191" w:rsidP="00B55191">
      <w:pPr>
        <w:pStyle w:val="EndNoteBibliography"/>
        <w:rPr>
          <w:noProof/>
        </w:rPr>
      </w:pPr>
      <w:r w:rsidRPr="00B55191">
        <w:rPr>
          <w:noProof/>
        </w:rPr>
        <w:t xml:space="preserve">(340) Zaanen, J.; Sawatzky, G. A.; Allen, J. W. Band Gaps and Electronic Structure of Transition-Metal Compounds. </w:t>
      </w:r>
      <w:r w:rsidRPr="00B55191">
        <w:rPr>
          <w:i/>
          <w:noProof/>
        </w:rPr>
        <w:t xml:space="preserve">Phys. Rev. Lett. </w:t>
      </w:r>
      <w:r w:rsidRPr="00B55191">
        <w:rPr>
          <w:b/>
          <w:noProof/>
        </w:rPr>
        <w:t>1985</w:t>
      </w:r>
      <w:r w:rsidRPr="00B55191">
        <w:rPr>
          <w:noProof/>
        </w:rPr>
        <w:t xml:space="preserve">, </w:t>
      </w:r>
      <w:r w:rsidRPr="00B55191">
        <w:rPr>
          <w:i/>
          <w:noProof/>
        </w:rPr>
        <w:t>55</w:t>
      </w:r>
      <w:r w:rsidRPr="00B55191">
        <w:rPr>
          <w:noProof/>
        </w:rPr>
        <w:t>, 418-421.</w:t>
      </w:r>
    </w:p>
    <w:p w14:paraId="3B4DDC66" w14:textId="77777777" w:rsidR="00B55191" w:rsidRPr="00B55191" w:rsidRDefault="00B55191" w:rsidP="00B55191">
      <w:pPr>
        <w:pStyle w:val="EndNoteBibliography"/>
        <w:rPr>
          <w:noProof/>
        </w:rPr>
      </w:pPr>
      <w:r w:rsidRPr="00B55191">
        <w:rPr>
          <w:noProof/>
        </w:rPr>
        <w:t xml:space="preserve">(341) Sathiya, M.; Rousse, G.; Ramesha, K.; Laisa, C. P.; Vezin, H.; Sougrati, M. T.; Doublet, M. L.; Foix, D.; Gonbeau, D.; Walker, W.; et al. Reversible Anionic Redox Chemistry in High-Capacity Layered-Oxide Electrodes. </w:t>
      </w:r>
      <w:r w:rsidRPr="00B55191">
        <w:rPr>
          <w:i/>
          <w:noProof/>
        </w:rPr>
        <w:t xml:space="preserve">Nat. Mater. </w:t>
      </w:r>
      <w:r w:rsidRPr="00B55191">
        <w:rPr>
          <w:b/>
          <w:noProof/>
        </w:rPr>
        <w:t>2013</w:t>
      </w:r>
      <w:r w:rsidRPr="00B55191">
        <w:rPr>
          <w:noProof/>
        </w:rPr>
        <w:t xml:space="preserve">, </w:t>
      </w:r>
      <w:r w:rsidRPr="00B55191">
        <w:rPr>
          <w:i/>
          <w:noProof/>
        </w:rPr>
        <w:t>12</w:t>
      </w:r>
      <w:r w:rsidRPr="00B55191">
        <w:rPr>
          <w:noProof/>
        </w:rPr>
        <w:t>, 827-835.</w:t>
      </w:r>
    </w:p>
    <w:p w14:paraId="4D315C8D" w14:textId="77777777" w:rsidR="00B55191" w:rsidRPr="00B55191" w:rsidRDefault="00B55191" w:rsidP="00B55191">
      <w:pPr>
        <w:pStyle w:val="EndNoteBibliography"/>
        <w:rPr>
          <w:noProof/>
        </w:rPr>
      </w:pPr>
      <w:r w:rsidRPr="00B55191">
        <w:rPr>
          <w:noProof/>
        </w:rPr>
        <w:t xml:space="preserve">(342) McCalla, E.; Abakumov, A. M.; Saubanère, M.; Foix, D.; Berg, E. J.; Rousse, G.; Doublet, M.-L.; Gonbeau, D.; Novák, P.; Van Tendeloo, G.; et al. Visualization of O-O Peroxo-Like Dimers in High-Capacity Layered Oxides for Li-Ion Batteries. </w:t>
      </w:r>
      <w:r w:rsidRPr="00B55191">
        <w:rPr>
          <w:i/>
          <w:noProof/>
        </w:rPr>
        <w:t xml:space="preserve">Science </w:t>
      </w:r>
      <w:r w:rsidRPr="00B55191">
        <w:rPr>
          <w:b/>
          <w:noProof/>
        </w:rPr>
        <w:t>2015</w:t>
      </w:r>
      <w:r w:rsidRPr="00B55191">
        <w:rPr>
          <w:noProof/>
        </w:rPr>
        <w:t xml:space="preserve">, </w:t>
      </w:r>
      <w:r w:rsidRPr="00B55191">
        <w:rPr>
          <w:i/>
          <w:noProof/>
        </w:rPr>
        <w:t>350</w:t>
      </w:r>
      <w:r w:rsidRPr="00B55191">
        <w:rPr>
          <w:noProof/>
        </w:rPr>
        <w:t>, 1516-1521.</w:t>
      </w:r>
    </w:p>
    <w:p w14:paraId="1E9B8BDB" w14:textId="77777777" w:rsidR="00B55191" w:rsidRPr="00B55191" w:rsidRDefault="00B55191" w:rsidP="00B55191">
      <w:pPr>
        <w:pStyle w:val="EndNoteBibliography"/>
        <w:rPr>
          <w:noProof/>
        </w:rPr>
      </w:pPr>
      <w:r w:rsidRPr="00B55191">
        <w:rPr>
          <w:noProof/>
        </w:rPr>
        <w:t xml:space="preserve">(343) Surendranath, Y.; Kanan, M. W.; Nocera, D. G. Mechanistic Studies of the Oxygen Evolution Reaction by a Cobalt-Phosphate Catalyst at Neutral Ph. </w:t>
      </w:r>
      <w:r w:rsidRPr="00B55191">
        <w:rPr>
          <w:i/>
          <w:noProof/>
        </w:rPr>
        <w:t xml:space="preserve">J. Am. Chem. Soc. </w:t>
      </w:r>
      <w:r w:rsidRPr="00B55191">
        <w:rPr>
          <w:b/>
          <w:noProof/>
        </w:rPr>
        <w:t>2010</w:t>
      </w:r>
      <w:r w:rsidRPr="00B55191">
        <w:rPr>
          <w:noProof/>
        </w:rPr>
        <w:t xml:space="preserve">, </w:t>
      </w:r>
      <w:r w:rsidRPr="00B55191">
        <w:rPr>
          <w:i/>
          <w:noProof/>
        </w:rPr>
        <w:t>132</w:t>
      </w:r>
      <w:r w:rsidRPr="00B55191">
        <w:rPr>
          <w:noProof/>
        </w:rPr>
        <w:t>, 16501-16509.</w:t>
      </w:r>
    </w:p>
    <w:p w14:paraId="5CAD00EF" w14:textId="77777777" w:rsidR="00B55191" w:rsidRPr="00B55191" w:rsidRDefault="00B55191" w:rsidP="00B55191">
      <w:pPr>
        <w:pStyle w:val="EndNoteBibliography"/>
        <w:rPr>
          <w:noProof/>
        </w:rPr>
      </w:pPr>
      <w:r w:rsidRPr="00B55191">
        <w:rPr>
          <w:noProof/>
        </w:rPr>
        <w:t xml:space="preserve">(344) Wang, H.; Lee, H.-W.; Deng, Y.; Lu, Z.; Hsu, P.-C.; Liu, Y.; Lin, D.; Cui, Y. Bifunctional Non-Noble Metal Oxide Nanoparticle Electrocatalysts through Lithium-Induced Conversion for Overall Water Splitting. </w:t>
      </w:r>
      <w:r w:rsidRPr="00B55191">
        <w:rPr>
          <w:i/>
          <w:noProof/>
        </w:rPr>
        <w:t xml:space="preserve">Nat. Commun. </w:t>
      </w:r>
      <w:r w:rsidRPr="00B55191">
        <w:rPr>
          <w:b/>
          <w:noProof/>
        </w:rPr>
        <w:t>2015</w:t>
      </w:r>
      <w:r w:rsidRPr="00B55191">
        <w:rPr>
          <w:noProof/>
        </w:rPr>
        <w:t xml:space="preserve">, </w:t>
      </w:r>
      <w:r w:rsidRPr="00B55191">
        <w:rPr>
          <w:i/>
          <w:noProof/>
        </w:rPr>
        <w:t>6</w:t>
      </w:r>
      <w:r w:rsidRPr="00B55191">
        <w:rPr>
          <w:noProof/>
        </w:rPr>
        <w:t>, 7261.</w:t>
      </w:r>
    </w:p>
    <w:p w14:paraId="32AC953E" w14:textId="77777777" w:rsidR="00B55191" w:rsidRPr="00B55191" w:rsidRDefault="00B55191" w:rsidP="00B55191">
      <w:pPr>
        <w:pStyle w:val="EndNoteBibliography"/>
        <w:rPr>
          <w:noProof/>
        </w:rPr>
      </w:pPr>
      <w:r w:rsidRPr="00B55191">
        <w:rPr>
          <w:noProof/>
        </w:rPr>
        <w:t xml:space="preserve">(345) Søgaard, M.; Hendriksen, P. V.; Mogensen, M.; Poulsen, F. W.; Skou, E. Oxygen Nonstoichiometry and Transport Properties of Strontium Substituted Lanthanum Cobaltite. </w:t>
      </w:r>
      <w:r w:rsidRPr="00B55191">
        <w:rPr>
          <w:i/>
          <w:noProof/>
        </w:rPr>
        <w:t xml:space="preserve">Solid State Ionics </w:t>
      </w:r>
      <w:r w:rsidRPr="00B55191">
        <w:rPr>
          <w:b/>
          <w:noProof/>
        </w:rPr>
        <w:t>2006</w:t>
      </w:r>
      <w:r w:rsidRPr="00B55191">
        <w:rPr>
          <w:noProof/>
        </w:rPr>
        <w:t xml:space="preserve">, </w:t>
      </w:r>
      <w:r w:rsidRPr="00B55191">
        <w:rPr>
          <w:i/>
          <w:noProof/>
        </w:rPr>
        <w:t>177</w:t>
      </w:r>
      <w:r w:rsidRPr="00B55191">
        <w:rPr>
          <w:noProof/>
        </w:rPr>
        <w:t>, 3285-3296.</w:t>
      </w:r>
    </w:p>
    <w:p w14:paraId="63621135" w14:textId="77777777" w:rsidR="00B55191" w:rsidRPr="00B55191" w:rsidRDefault="00B55191" w:rsidP="00B55191">
      <w:pPr>
        <w:pStyle w:val="EndNoteBibliography"/>
        <w:rPr>
          <w:noProof/>
        </w:rPr>
      </w:pPr>
      <w:r w:rsidRPr="00B55191">
        <w:rPr>
          <w:noProof/>
        </w:rPr>
        <w:t xml:space="preserve">(346) Petrov, A. N.; Cherepanov, V. A.; Zuev, A. Y. Thermodynamics, Defect Structure, and Charge Transfer in Doped Lanthanum Cobaltites: An Overview. </w:t>
      </w:r>
      <w:r w:rsidRPr="00B55191">
        <w:rPr>
          <w:i/>
          <w:noProof/>
        </w:rPr>
        <w:t xml:space="preserve">J. Solid State Electrochem. </w:t>
      </w:r>
      <w:r w:rsidRPr="00B55191">
        <w:rPr>
          <w:b/>
          <w:noProof/>
        </w:rPr>
        <w:t>2006</w:t>
      </w:r>
      <w:r w:rsidRPr="00B55191">
        <w:rPr>
          <w:noProof/>
        </w:rPr>
        <w:t xml:space="preserve">, </w:t>
      </w:r>
      <w:r w:rsidRPr="00B55191">
        <w:rPr>
          <w:i/>
          <w:noProof/>
        </w:rPr>
        <w:t>10</w:t>
      </w:r>
      <w:r w:rsidRPr="00B55191">
        <w:rPr>
          <w:noProof/>
        </w:rPr>
        <w:t>, 517-537.</w:t>
      </w:r>
    </w:p>
    <w:p w14:paraId="286B9E71" w14:textId="77777777" w:rsidR="00B55191" w:rsidRPr="00B55191" w:rsidRDefault="00B55191" w:rsidP="00B55191">
      <w:pPr>
        <w:pStyle w:val="EndNoteBibliography"/>
        <w:rPr>
          <w:noProof/>
        </w:rPr>
      </w:pPr>
      <w:r w:rsidRPr="00B55191">
        <w:rPr>
          <w:noProof/>
        </w:rPr>
        <w:t xml:space="preserve">(347) Abbate, M.; Zampieri, G.; Okamoto, J.; Fujimori, A.; Kawasaki, S.; Takano, M. X-Ray Absorption of the Negative Charge-Transfer Material Srfe1−Xcoxo3. </w:t>
      </w:r>
      <w:r w:rsidRPr="00B55191">
        <w:rPr>
          <w:i/>
          <w:noProof/>
        </w:rPr>
        <w:t xml:space="preserve">Phys. Rev. B </w:t>
      </w:r>
      <w:r w:rsidRPr="00B55191">
        <w:rPr>
          <w:b/>
          <w:noProof/>
        </w:rPr>
        <w:t>2002</w:t>
      </w:r>
      <w:r w:rsidRPr="00B55191">
        <w:rPr>
          <w:noProof/>
        </w:rPr>
        <w:t xml:space="preserve">, </w:t>
      </w:r>
      <w:r w:rsidRPr="00B55191">
        <w:rPr>
          <w:i/>
          <w:noProof/>
        </w:rPr>
        <w:t>65</w:t>
      </w:r>
      <w:r w:rsidRPr="00B55191">
        <w:rPr>
          <w:noProof/>
        </w:rPr>
        <w:t>, 165120.</w:t>
      </w:r>
    </w:p>
    <w:p w14:paraId="0FF462E0" w14:textId="77777777" w:rsidR="00B55191" w:rsidRPr="00B55191" w:rsidRDefault="00B55191" w:rsidP="00B55191">
      <w:pPr>
        <w:pStyle w:val="EndNoteBibliography"/>
        <w:rPr>
          <w:noProof/>
        </w:rPr>
      </w:pPr>
      <w:r w:rsidRPr="00B55191">
        <w:rPr>
          <w:noProof/>
        </w:rPr>
        <w:t xml:space="preserve">(348) Potze, R. H.; Sawatzky, G. A.; Abbate, M. Possibility for an Intermediate-Spin Ground State in the Charge-Transfer Material Srcoo3. </w:t>
      </w:r>
      <w:r w:rsidRPr="00B55191">
        <w:rPr>
          <w:i/>
          <w:noProof/>
        </w:rPr>
        <w:t xml:space="preserve">Phys. Rev. B </w:t>
      </w:r>
      <w:r w:rsidRPr="00B55191">
        <w:rPr>
          <w:b/>
          <w:noProof/>
        </w:rPr>
        <w:t>1995</w:t>
      </w:r>
      <w:r w:rsidRPr="00B55191">
        <w:rPr>
          <w:noProof/>
        </w:rPr>
        <w:t xml:space="preserve">, </w:t>
      </w:r>
      <w:r w:rsidRPr="00B55191">
        <w:rPr>
          <w:i/>
          <w:noProof/>
        </w:rPr>
        <w:t>51</w:t>
      </w:r>
      <w:r w:rsidRPr="00B55191">
        <w:rPr>
          <w:noProof/>
        </w:rPr>
        <w:t>, 11501-11506.</w:t>
      </w:r>
    </w:p>
    <w:p w14:paraId="7AA221E2" w14:textId="77777777" w:rsidR="00B55191" w:rsidRPr="00B55191" w:rsidRDefault="00B55191" w:rsidP="00B55191">
      <w:pPr>
        <w:pStyle w:val="EndNoteBibliography"/>
        <w:rPr>
          <w:noProof/>
        </w:rPr>
      </w:pPr>
      <w:r w:rsidRPr="00B55191">
        <w:rPr>
          <w:noProof/>
        </w:rPr>
        <w:t xml:space="preserve">(349) Chowdhury, S.; Jana, A.; Kuila, M.; Reddy, V. R.; Choudhary, R. J.; Phase, D. M. Negative Charge-Transfer Energy in Srcoo2.5 Thin Films: An Interplay between O-2p Hole Density, Charge-Transfer Energy, Charge Disproportionation, and Ferromagnetic Ordering. </w:t>
      </w:r>
      <w:r w:rsidRPr="00B55191">
        <w:rPr>
          <w:i/>
          <w:noProof/>
        </w:rPr>
        <w:t xml:space="preserve">ACS Appl. Electron. Mater. </w:t>
      </w:r>
      <w:r w:rsidRPr="00B55191">
        <w:rPr>
          <w:b/>
          <w:noProof/>
        </w:rPr>
        <w:t>2020</w:t>
      </w:r>
      <w:r w:rsidRPr="00B55191">
        <w:rPr>
          <w:noProof/>
        </w:rPr>
        <w:t xml:space="preserve">, </w:t>
      </w:r>
      <w:r w:rsidRPr="00B55191">
        <w:rPr>
          <w:i/>
          <w:noProof/>
        </w:rPr>
        <w:t>2</w:t>
      </w:r>
      <w:r w:rsidRPr="00B55191">
        <w:rPr>
          <w:noProof/>
        </w:rPr>
        <w:t>, 3859-3870.</w:t>
      </w:r>
    </w:p>
    <w:p w14:paraId="1104090F" w14:textId="77777777" w:rsidR="00B55191" w:rsidRPr="00B55191" w:rsidRDefault="00B55191" w:rsidP="00B55191">
      <w:pPr>
        <w:pStyle w:val="EndNoteBibliography"/>
        <w:rPr>
          <w:noProof/>
        </w:rPr>
      </w:pPr>
      <w:r w:rsidRPr="00B55191">
        <w:rPr>
          <w:noProof/>
        </w:rPr>
        <w:t xml:space="preserve">(350) Fantin, R.; van Roekeghem, A.; Benayad, A. Self-Regulated Ligand-Metal Charge Transfer Upon Lithium-Ion Deintercalation Process from Licoo2 to Coo2. </w:t>
      </w:r>
      <w:r w:rsidRPr="00B55191">
        <w:rPr>
          <w:i/>
          <w:noProof/>
        </w:rPr>
        <w:t xml:space="preserve">PRX Energy </w:t>
      </w:r>
      <w:r w:rsidRPr="00B55191">
        <w:rPr>
          <w:b/>
          <w:noProof/>
        </w:rPr>
        <w:t>2023</w:t>
      </w:r>
      <w:r w:rsidRPr="00B55191">
        <w:rPr>
          <w:noProof/>
        </w:rPr>
        <w:t xml:space="preserve">, </w:t>
      </w:r>
      <w:r w:rsidRPr="00B55191">
        <w:rPr>
          <w:i/>
          <w:noProof/>
        </w:rPr>
        <w:t>2</w:t>
      </w:r>
      <w:r w:rsidRPr="00B55191">
        <w:rPr>
          <w:noProof/>
        </w:rPr>
        <w:t>, 043010.</w:t>
      </w:r>
    </w:p>
    <w:p w14:paraId="1BCDF83E" w14:textId="77777777" w:rsidR="00B55191" w:rsidRPr="00B55191" w:rsidRDefault="00B55191" w:rsidP="00B55191">
      <w:pPr>
        <w:pStyle w:val="EndNoteBibliography"/>
        <w:rPr>
          <w:noProof/>
        </w:rPr>
      </w:pPr>
      <w:r w:rsidRPr="00B55191">
        <w:rPr>
          <w:noProof/>
        </w:rPr>
        <w:t xml:space="preserve">(351) Maiyalagan, T.; Jarvis, K. A.; Therese, S.; Ferreira, P. J.; Manthiram, A. Spinel-Type Lithium Cobalt Oxide as a Bifunctional Electrocatalyst for the Oxygen Evolution and Oxygen Reduction Reactions. </w:t>
      </w:r>
      <w:r w:rsidRPr="00B55191">
        <w:rPr>
          <w:i/>
          <w:noProof/>
        </w:rPr>
        <w:t xml:space="preserve">Nat. Commun. </w:t>
      </w:r>
      <w:r w:rsidRPr="00B55191">
        <w:rPr>
          <w:b/>
          <w:noProof/>
        </w:rPr>
        <w:t>2014</w:t>
      </w:r>
      <w:r w:rsidRPr="00B55191">
        <w:rPr>
          <w:noProof/>
        </w:rPr>
        <w:t xml:space="preserve">, </w:t>
      </w:r>
      <w:r w:rsidRPr="00B55191">
        <w:rPr>
          <w:i/>
          <w:noProof/>
        </w:rPr>
        <w:t>5</w:t>
      </w:r>
      <w:r w:rsidRPr="00B55191">
        <w:rPr>
          <w:noProof/>
        </w:rPr>
        <w:t>, 3949.</w:t>
      </w:r>
    </w:p>
    <w:p w14:paraId="2650C459" w14:textId="77777777" w:rsidR="00B55191" w:rsidRPr="00B55191" w:rsidRDefault="00B55191" w:rsidP="00B55191">
      <w:pPr>
        <w:pStyle w:val="EndNoteBibliography"/>
        <w:rPr>
          <w:noProof/>
        </w:rPr>
      </w:pPr>
      <w:r w:rsidRPr="00B55191">
        <w:rPr>
          <w:noProof/>
        </w:rPr>
        <w:t xml:space="preserve">(352) Imamura, M.; Matsubayashi, N.; Shimada, H. Catalytically Active Oxygen Species in La1-Xsrxcoo3-Δ Studied by Xps and Xafs Spectroscopy. </w:t>
      </w:r>
      <w:r w:rsidRPr="00B55191">
        <w:rPr>
          <w:i/>
          <w:noProof/>
        </w:rPr>
        <w:t xml:space="preserve">J. Phys. Chem. B </w:t>
      </w:r>
      <w:r w:rsidRPr="00B55191">
        <w:rPr>
          <w:b/>
          <w:noProof/>
        </w:rPr>
        <w:t>2000</w:t>
      </w:r>
      <w:r w:rsidRPr="00B55191">
        <w:rPr>
          <w:noProof/>
        </w:rPr>
        <w:t xml:space="preserve">, </w:t>
      </w:r>
      <w:r w:rsidRPr="00B55191">
        <w:rPr>
          <w:i/>
          <w:noProof/>
        </w:rPr>
        <w:t>104</w:t>
      </w:r>
      <w:r w:rsidRPr="00B55191">
        <w:rPr>
          <w:noProof/>
        </w:rPr>
        <w:t>, 7348-7353.</w:t>
      </w:r>
    </w:p>
    <w:p w14:paraId="12C31950" w14:textId="77777777" w:rsidR="00B55191" w:rsidRPr="00B55191" w:rsidRDefault="00B55191" w:rsidP="00B55191">
      <w:pPr>
        <w:pStyle w:val="EndNoteBibliography"/>
        <w:rPr>
          <w:noProof/>
        </w:rPr>
      </w:pPr>
      <w:r w:rsidRPr="00B55191">
        <w:rPr>
          <w:noProof/>
        </w:rPr>
        <w:lastRenderedPageBreak/>
        <w:t xml:space="preserve">(353) Sunstrom, J. E.; Ramanujachary, K. V.; Greenblatt, M.; Croft, M. The Synthesis and Properties of the Chemically Oxidized Perovskite, La1–Xsrxcoo3−Δ(0.5≤X≤0.9). </w:t>
      </w:r>
      <w:r w:rsidRPr="00B55191">
        <w:rPr>
          <w:i/>
          <w:noProof/>
        </w:rPr>
        <w:t xml:space="preserve">J. Solid State Chem. </w:t>
      </w:r>
      <w:r w:rsidRPr="00B55191">
        <w:rPr>
          <w:b/>
          <w:noProof/>
        </w:rPr>
        <w:t>1998</w:t>
      </w:r>
      <w:r w:rsidRPr="00B55191">
        <w:rPr>
          <w:noProof/>
        </w:rPr>
        <w:t xml:space="preserve">, </w:t>
      </w:r>
      <w:r w:rsidRPr="00B55191">
        <w:rPr>
          <w:i/>
          <w:noProof/>
        </w:rPr>
        <w:t>139</w:t>
      </w:r>
      <w:r w:rsidRPr="00B55191">
        <w:rPr>
          <w:noProof/>
        </w:rPr>
        <w:t>, 388-397.</w:t>
      </w:r>
    </w:p>
    <w:p w14:paraId="136C44A6" w14:textId="77777777" w:rsidR="00B55191" w:rsidRPr="00B55191" w:rsidRDefault="00B55191" w:rsidP="00B55191">
      <w:pPr>
        <w:pStyle w:val="EndNoteBibliography"/>
        <w:rPr>
          <w:noProof/>
        </w:rPr>
      </w:pPr>
      <w:r w:rsidRPr="00B55191">
        <w:rPr>
          <w:noProof/>
        </w:rPr>
        <w:t xml:space="preserve">(354) Le Toquin, R.; Paulus, W.; Cousson, A.; Prestipino, C.; Lamberti, C. Time-Resolved in Situ Studies of Oxygen Intercalation into Srcoo2.5, Performed by Neutron Diffraction and X-Ray Absorption Spectroscopy. </w:t>
      </w:r>
      <w:r w:rsidRPr="00B55191">
        <w:rPr>
          <w:i/>
          <w:noProof/>
        </w:rPr>
        <w:t xml:space="preserve">J. Am. Chem. Soc. </w:t>
      </w:r>
      <w:r w:rsidRPr="00B55191">
        <w:rPr>
          <w:b/>
          <w:noProof/>
        </w:rPr>
        <w:t>2006</w:t>
      </w:r>
      <w:r w:rsidRPr="00B55191">
        <w:rPr>
          <w:noProof/>
        </w:rPr>
        <w:t xml:space="preserve">, </w:t>
      </w:r>
      <w:r w:rsidRPr="00B55191">
        <w:rPr>
          <w:i/>
          <w:noProof/>
        </w:rPr>
        <w:t>128</w:t>
      </w:r>
      <w:r w:rsidRPr="00B55191">
        <w:rPr>
          <w:noProof/>
        </w:rPr>
        <w:t>, 13161-13174.</w:t>
      </w:r>
    </w:p>
    <w:p w14:paraId="53A0C9E5" w14:textId="77777777" w:rsidR="00B55191" w:rsidRPr="00B55191" w:rsidRDefault="00B55191" w:rsidP="00B55191">
      <w:pPr>
        <w:pStyle w:val="EndNoteBibliography"/>
        <w:rPr>
          <w:noProof/>
        </w:rPr>
      </w:pPr>
      <w:r w:rsidRPr="00B55191">
        <w:rPr>
          <w:noProof/>
        </w:rPr>
        <w:t xml:space="preserve">(355) Mueller, D. N.; Machala, M. L.; Bluhm, H.; Chueh, W. C. Redox Activity of Surface Oxygen Anions in Oxygen-Deficient Perovskite Oxides During Electrochemical Reactions. </w:t>
      </w:r>
      <w:r w:rsidRPr="00B55191">
        <w:rPr>
          <w:i/>
          <w:noProof/>
        </w:rPr>
        <w:t xml:space="preserve">Nat. Commun. </w:t>
      </w:r>
      <w:r w:rsidRPr="00B55191">
        <w:rPr>
          <w:b/>
          <w:noProof/>
        </w:rPr>
        <w:t>2015</w:t>
      </w:r>
      <w:r w:rsidRPr="00B55191">
        <w:rPr>
          <w:noProof/>
        </w:rPr>
        <w:t xml:space="preserve">, </w:t>
      </w:r>
      <w:r w:rsidRPr="00B55191">
        <w:rPr>
          <w:i/>
          <w:noProof/>
        </w:rPr>
        <w:t>6</w:t>
      </w:r>
      <w:r w:rsidRPr="00B55191">
        <w:rPr>
          <w:noProof/>
        </w:rPr>
        <w:t>, 6097.</w:t>
      </w:r>
    </w:p>
    <w:p w14:paraId="29F86307" w14:textId="77777777" w:rsidR="00B55191" w:rsidRPr="00A41B5A" w:rsidRDefault="00B55191" w:rsidP="00B55191">
      <w:pPr>
        <w:pStyle w:val="EndNoteBibliography"/>
        <w:rPr>
          <w:noProof/>
          <w:lang w:val="it-IT"/>
        </w:rPr>
      </w:pPr>
      <w:r w:rsidRPr="00B55191">
        <w:rPr>
          <w:noProof/>
        </w:rPr>
        <w:t xml:space="preserve">(356) Khomskii, D. I. </w:t>
      </w:r>
      <w:r w:rsidRPr="00B55191">
        <w:rPr>
          <w:i/>
          <w:noProof/>
        </w:rPr>
        <w:t>Transition Metal Compounds</w:t>
      </w:r>
      <w:r w:rsidRPr="00B55191">
        <w:rPr>
          <w:noProof/>
        </w:rPr>
        <w:t xml:space="preserve">; Cambridge University Press, 2014. </w:t>
      </w:r>
      <w:r w:rsidRPr="00A41B5A">
        <w:rPr>
          <w:noProof/>
          <w:lang w:val="it-IT"/>
        </w:rPr>
        <w:t>DOI: DOI: 10.1017/CBO9781139096782.</w:t>
      </w:r>
    </w:p>
    <w:p w14:paraId="51517B25" w14:textId="77777777" w:rsidR="00B55191" w:rsidRPr="00B55191" w:rsidRDefault="00B55191" w:rsidP="00B55191">
      <w:pPr>
        <w:pStyle w:val="EndNoteBibliography"/>
        <w:rPr>
          <w:noProof/>
        </w:rPr>
      </w:pPr>
      <w:r w:rsidRPr="00A41B5A">
        <w:rPr>
          <w:noProof/>
          <w:lang w:val="it-IT"/>
        </w:rPr>
        <w:t xml:space="preserve">(357) Bisogni, V.; Catalano, S.; Green, R. J.; Gibert, M.; Scherwitzl, R.; Huang, Y.; Strocov, V. N.; Zubko, P.; Balandeh, S.; Triscone, J.-M.; et al. </w:t>
      </w:r>
      <w:r w:rsidRPr="00B55191">
        <w:rPr>
          <w:noProof/>
        </w:rPr>
        <w:t xml:space="preserve">Ground-State Oxygen Holes and the Metal–Insulator Transition in the Negative Charge-Transfer Rare-Earth Nickelates. </w:t>
      </w:r>
      <w:r w:rsidRPr="00B55191">
        <w:rPr>
          <w:i/>
          <w:noProof/>
        </w:rPr>
        <w:t xml:space="preserve">Nat. Commun. </w:t>
      </w:r>
      <w:r w:rsidRPr="00B55191">
        <w:rPr>
          <w:b/>
          <w:noProof/>
        </w:rPr>
        <w:t>2016</w:t>
      </w:r>
      <w:r w:rsidRPr="00B55191">
        <w:rPr>
          <w:noProof/>
        </w:rPr>
        <w:t xml:space="preserve">, </w:t>
      </w:r>
      <w:r w:rsidRPr="00B55191">
        <w:rPr>
          <w:i/>
          <w:noProof/>
        </w:rPr>
        <w:t>7</w:t>
      </w:r>
      <w:r w:rsidRPr="00B55191">
        <w:rPr>
          <w:noProof/>
        </w:rPr>
        <w:t>, 13017.</w:t>
      </w:r>
    </w:p>
    <w:p w14:paraId="16851804" w14:textId="77777777" w:rsidR="00B55191" w:rsidRPr="00B55191" w:rsidRDefault="00B55191" w:rsidP="00B55191">
      <w:pPr>
        <w:pStyle w:val="EndNoteBibliography"/>
        <w:rPr>
          <w:noProof/>
        </w:rPr>
      </w:pPr>
      <w:r w:rsidRPr="00B55191">
        <w:rPr>
          <w:noProof/>
        </w:rPr>
        <w:t xml:space="preserve">(358) Mizokawa, T.; Namatame, H.; Fujimori, A.; Akeyama, K.; Kondoh, H.; Kuroda, H.; Kosugi, N. Origin of the Band Gap in the Negative Charge-Transfer-Energy Compound Nacuo2. </w:t>
      </w:r>
      <w:r w:rsidRPr="00B55191">
        <w:rPr>
          <w:i/>
          <w:noProof/>
        </w:rPr>
        <w:t xml:space="preserve">Phys. Rev. Lett. </w:t>
      </w:r>
      <w:r w:rsidRPr="00B55191">
        <w:rPr>
          <w:b/>
          <w:noProof/>
        </w:rPr>
        <w:t>1991</w:t>
      </w:r>
      <w:r w:rsidRPr="00B55191">
        <w:rPr>
          <w:noProof/>
        </w:rPr>
        <w:t xml:space="preserve">, </w:t>
      </w:r>
      <w:r w:rsidRPr="00B55191">
        <w:rPr>
          <w:i/>
          <w:noProof/>
        </w:rPr>
        <w:t>67</w:t>
      </w:r>
      <w:r w:rsidRPr="00B55191">
        <w:rPr>
          <w:noProof/>
        </w:rPr>
        <w:t>, 1638-1641.</w:t>
      </w:r>
    </w:p>
    <w:p w14:paraId="41BE6D8C" w14:textId="77777777" w:rsidR="00B55191" w:rsidRPr="00B55191" w:rsidRDefault="00B55191" w:rsidP="00B55191">
      <w:pPr>
        <w:pStyle w:val="EndNoteBibliography"/>
        <w:rPr>
          <w:noProof/>
        </w:rPr>
      </w:pPr>
      <w:r w:rsidRPr="00B55191">
        <w:rPr>
          <w:noProof/>
        </w:rPr>
        <w:t xml:space="preserve">(359) Yagi, S.; Yamada, I.; Tsukasaki, H.; Seno, A.; Murakami, M.; Fujii, H.; Chen, H.; Umezawa, N.; Abe, H.; Nishiyama, N.; Mori, S. Covalency-Reinforced Oxygen Evolution Reaction Catalyst. </w:t>
      </w:r>
      <w:r w:rsidRPr="00B55191">
        <w:rPr>
          <w:i/>
          <w:noProof/>
        </w:rPr>
        <w:t xml:space="preserve">Nat. Commun. </w:t>
      </w:r>
      <w:r w:rsidRPr="00B55191">
        <w:rPr>
          <w:b/>
          <w:noProof/>
        </w:rPr>
        <w:t>2015</w:t>
      </w:r>
      <w:r w:rsidRPr="00B55191">
        <w:rPr>
          <w:noProof/>
        </w:rPr>
        <w:t xml:space="preserve">, </w:t>
      </w:r>
      <w:r w:rsidRPr="00B55191">
        <w:rPr>
          <w:i/>
          <w:noProof/>
        </w:rPr>
        <w:t>6</w:t>
      </w:r>
      <w:r w:rsidRPr="00B55191">
        <w:rPr>
          <w:noProof/>
        </w:rPr>
        <w:t>, 8249.</w:t>
      </w:r>
    </w:p>
    <w:p w14:paraId="5B6B8778" w14:textId="77777777" w:rsidR="00B55191" w:rsidRPr="00B55191" w:rsidRDefault="00B55191" w:rsidP="00B55191">
      <w:pPr>
        <w:pStyle w:val="EndNoteBibliography"/>
        <w:rPr>
          <w:noProof/>
        </w:rPr>
      </w:pPr>
      <w:r w:rsidRPr="00B55191">
        <w:rPr>
          <w:noProof/>
        </w:rPr>
        <w:t xml:space="preserve">(360) Gao, H.; Xiao, Z.; Du, S.; Liu, T.; Huang, Y.-C.; Shi, J.; Zhu, Y.; Huang, G.; Zhou, B.; He, Y.; et al. Reducing the Ir−O Coordination Number in Anodic Catalysts Based on Irox Nanoparticles Towards Enhanced Proton-Exchange-Membrane Water Electrolysis. </w:t>
      </w:r>
      <w:r w:rsidRPr="00B55191">
        <w:rPr>
          <w:i/>
          <w:noProof/>
        </w:rPr>
        <w:t xml:space="preserve">Angew. Chem. Int. Ed. </w:t>
      </w:r>
      <w:r w:rsidRPr="00B55191">
        <w:rPr>
          <w:b/>
          <w:noProof/>
        </w:rPr>
        <w:t>2023</w:t>
      </w:r>
      <w:r w:rsidRPr="00B55191">
        <w:rPr>
          <w:noProof/>
        </w:rPr>
        <w:t xml:space="preserve">, </w:t>
      </w:r>
      <w:r w:rsidRPr="00B55191">
        <w:rPr>
          <w:i/>
          <w:noProof/>
        </w:rPr>
        <w:t>62</w:t>
      </w:r>
      <w:r w:rsidRPr="00B55191">
        <w:rPr>
          <w:noProof/>
        </w:rPr>
        <w:t>, e202313954.</w:t>
      </w:r>
    </w:p>
    <w:p w14:paraId="706501B0" w14:textId="77777777" w:rsidR="00B55191" w:rsidRPr="00B55191" w:rsidRDefault="00B55191" w:rsidP="00B55191">
      <w:pPr>
        <w:pStyle w:val="EndNoteBibliography"/>
        <w:rPr>
          <w:noProof/>
        </w:rPr>
      </w:pPr>
      <w:r w:rsidRPr="00B55191">
        <w:rPr>
          <w:noProof/>
        </w:rPr>
        <w:t xml:space="preserve">(361) Liu, Z.; Sun, Y.; Wu, X.; Hou, C.; Geng, Z.; Wu, J.; Huang, K.; Gao, L.; Feng, S. Charge Transfer-Induced O P-Band Center Shift for an Enhanced Oer Performance in Lacoo3 Film. </w:t>
      </w:r>
      <w:r w:rsidRPr="00B55191">
        <w:rPr>
          <w:i/>
          <w:noProof/>
        </w:rPr>
        <w:t xml:space="preserve">CrystEngComm </w:t>
      </w:r>
      <w:r w:rsidRPr="00B55191">
        <w:rPr>
          <w:b/>
          <w:noProof/>
        </w:rPr>
        <w:t>2019</w:t>
      </w:r>
      <w:r w:rsidRPr="00B55191">
        <w:rPr>
          <w:noProof/>
        </w:rPr>
        <w:t xml:space="preserve">, </w:t>
      </w:r>
      <w:r w:rsidRPr="00B55191">
        <w:rPr>
          <w:i/>
          <w:noProof/>
        </w:rPr>
        <w:t>21</w:t>
      </w:r>
      <w:r w:rsidRPr="00B55191">
        <w:rPr>
          <w:noProof/>
        </w:rPr>
        <w:t>, 1534-1538.</w:t>
      </w:r>
    </w:p>
    <w:p w14:paraId="67D774EE" w14:textId="77777777" w:rsidR="00B55191" w:rsidRPr="00B55191" w:rsidRDefault="00B55191" w:rsidP="00B55191">
      <w:pPr>
        <w:pStyle w:val="EndNoteBibliography"/>
        <w:rPr>
          <w:noProof/>
        </w:rPr>
      </w:pPr>
      <w:r w:rsidRPr="00B55191">
        <w:rPr>
          <w:noProof/>
        </w:rPr>
        <w:t xml:space="preserve">(362) Guan, D.; Zhang, K.; Zhou, W.; Shao, Z. Utilizing the Charge-Transfer Model to Design Promising Electrocatalysts. </w:t>
      </w:r>
      <w:r w:rsidRPr="00B55191">
        <w:rPr>
          <w:i/>
          <w:noProof/>
        </w:rPr>
        <w:t xml:space="preserve">Curr. Opin. Electrochem. </w:t>
      </w:r>
      <w:r w:rsidRPr="00B55191">
        <w:rPr>
          <w:b/>
          <w:noProof/>
        </w:rPr>
        <w:t>2021</w:t>
      </w:r>
      <w:r w:rsidRPr="00B55191">
        <w:rPr>
          <w:noProof/>
        </w:rPr>
        <w:t xml:space="preserve">, </w:t>
      </w:r>
      <w:r w:rsidRPr="00B55191">
        <w:rPr>
          <w:i/>
          <w:noProof/>
        </w:rPr>
        <w:t>30</w:t>
      </w:r>
      <w:r w:rsidRPr="00B55191">
        <w:rPr>
          <w:noProof/>
        </w:rPr>
        <w:t>, 100805.</w:t>
      </w:r>
    </w:p>
    <w:p w14:paraId="4F7AEACD" w14:textId="77777777" w:rsidR="00B55191" w:rsidRPr="00B55191" w:rsidRDefault="00B55191" w:rsidP="00B55191">
      <w:pPr>
        <w:pStyle w:val="EndNoteBibliography"/>
        <w:rPr>
          <w:noProof/>
        </w:rPr>
      </w:pPr>
      <w:r w:rsidRPr="00B55191">
        <w:rPr>
          <w:noProof/>
        </w:rPr>
        <w:t xml:space="preserve">(363) Li, X.; Wang, H.; Cui, Z.; Li, Y.; Xin, S.; Zhou, J.; Long, Y.; Jin, C.; Goodenough, J. B. Exceptional Oxygen Evolution Reactivities on Cacoo3 and Srcoo3. </w:t>
      </w:r>
      <w:r w:rsidRPr="00B55191">
        <w:rPr>
          <w:i/>
          <w:noProof/>
        </w:rPr>
        <w:t xml:space="preserve">Sci. Adv. </w:t>
      </w:r>
      <w:r w:rsidRPr="00B55191">
        <w:rPr>
          <w:b/>
          <w:noProof/>
        </w:rPr>
        <w:t>2019</w:t>
      </w:r>
      <w:r w:rsidRPr="00B55191">
        <w:rPr>
          <w:noProof/>
        </w:rPr>
        <w:t xml:space="preserve">, </w:t>
      </w:r>
      <w:r w:rsidRPr="00B55191">
        <w:rPr>
          <w:i/>
          <w:noProof/>
        </w:rPr>
        <w:t>5</w:t>
      </w:r>
      <w:r w:rsidRPr="00B55191">
        <w:rPr>
          <w:noProof/>
        </w:rPr>
        <w:t>, eaav6262.</w:t>
      </w:r>
    </w:p>
    <w:p w14:paraId="3703B4E9" w14:textId="77777777" w:rsidR="00B55191" w:rsidRPr="00B55191" w:rsidRDefault="00B55191" w:rsidP="00B55191">
      <w:pPr>
        <w:pStyle w:val="EndNoteBibliography"/>
        <w:rPr>
          <w:noProof/>
        </w:rPr>
      </w:pPr>
      <w:r w:rsidRPr="00B55191">
        <w:rPr>
          <w:noProof/>
        </w:rPr>
        <w:t xml:space="preserve">(364) Cheng, X.; Fabbri, E.; Nachtegaal, M.; Castelli, I. E.; El Kazzi, M.; Haumont, R.; Marzari, N.; Schmidt, T. J. Oxygen Evolution Reaction on La1–Xsrxcoo3 Perovskites: A Combined Experimental and Theoretical Study of Their Structural, Electronic, and Electrochemical Properties. </w:t>
      </w:r>
      <w:r w:rsidRPr="00B55191">
        <w:rPr>
          <w:i/>
          <w:noProof/>
        </w:rPr>
        <w:t xml:space="preserve">Chem. Mater. </w:t>
      </w:r>
      <w:r w:rsidRPr="00B55191">
        <w:rPr>
          <w:b/>
          <w:noProof/>
        </w:rPr>
        <w:t>2015</w:t>
      </w:r>
      <w:r w:rsidRPr="00B55191">
        <w:rPr>
          <w:noProof/>
        </w:rPr>
        <w:t xml:space="preserve">, </w:t>
      </w:r>
      <w:r w:rsidRPr="00B55191">
        <w:rPr>
          <w:i/>
          <w:noProof/>
        </w:rPr>
        <w:t>27</w:t>
      </w:r>
      <w:r w:rsidRPr="00B55191">
        <w:rPr>
          <w:noProof/>
        </w:rPr>
        <w:t>, 7662-7672.</w:t>
      </w:r>
    </w:p>
    <w:p w14:paraId="026A3745" w14:textId="77777777" w:rsidR="00B55191" w:rsidRPr="00B55191" w:rsidRDefault="00B55191" w:rsidP="00B55191">
      <w:pPr>
        <w:pStyle w:val="EndNoteBibliography"/>
        <w:rPr>
          <w:noProof/>
        </w:rPr>
      </w:pPr>
      <w:r w:rsidRPr="00B55191">
        <w:rPr>
          <w:noProof/>
        </w:rPr>
        <w:t xml:space="preserve">(365) Forslund, R. P.; Hardin, W. G.; Rong, X.; Abakumov, A. M.; Filimonov, D.; Alexander, C. T.; Mefford, J. T.; Iyer, H.; Kolpak, A. M.; Johnston, K. P.; Stevenson, K. J. Exceptional Electrocatalytic Oxygen Evolution Via Tunable Charge Transfer Interactions in La0.5sr1.5ni1−Xfexo4±Δ Ruddlesden-Popper Oxides. </w:t>
      </w:r>
      <w:r w:rsidRPr="00B55191">
        <w:rPr>
          <w:i/>
          <w:noProof/>
        </w:rPr>
        <w:t xml:space="preserve">Nat. Commun. </w:t>
      </w:r>
      <w:r w:rsidRPr="00B55191">
        <w:rPr>
          <w:b/>
          <w:noProof/>
        </w:rPr>
        <w:t>2018</w:t>
      </w:r>
      <w:r w:rsidRPr="00B55191">
        <w:rPr>
          <w:noProof/>
        </w:rPr>
        <w:t xml:space="preserve">, </w:t>
      </w:r>
      <w:r w:rsidRPr="00B55191">
        <w:rPr>
          <w:i/>
          <w:noProof/>
        </w:rPr>
        <w:t>9</w:t>
      </w:r>
      <w:r w:rsidRPr="00B55191">
        <w:rPr>
          <w:noProof/>
        </w:rPr>
        <w:t>, 3150.</w:t>
      </w:r>
    </w:p>
    <w:p w14:paraId="14294935" w14:textId="77777777" w:rsidR="00B55191" w:rsidRPr="00B55191" w:rsidRDefault="00B55191" w:rsidP="00B55191">
      <w:pPr>
        <w:pStyle w:val="EndNoteBibliography"/>
        <w:rPr>
          <w:noProof/>
        </w:rPr>
      </w:pPr>
      <w:r w:rsidRPr="00B55191">
        <w:rPr>
          <w:noProof/>
        </w:rPr>
        <w:t xml:space="preserve">(366) Yoo, J. S.; Rong, X.; Liu, Y.; Kolpak, A. M. Role of Lattice Oxygen Participation in Understanding Trends in the Oxygen Evolution Reaction on Perovskites. </w:t>
      </w:r>
      <w:r w:rsidRPr="00B55191">
        <w:rPr>
          <w:i/>
          <w:noProof/>
        </w:rPr>
        <w:t xml:space="preserve">ACS Catal. </w:t>
      </w:r>
      <w:r w:rsidRPr="00B55191">
        <w:rPr>
          <w:b/>
          <w:noProof/>
        </w:rPr>
        <w:t>2018</w:t>
      </w:r>
      <w:r w:rsidRPr="00B55191">
        <w:rPr>
          <w:noProof/>
        </w:rPr>
        <w:t xml:space="preserve">, </w:t>
      </w:r>
      <w:r w:rsidRPr="00B55191">
        <w:rPr>
          <w:i/>
          <w:noProof/>
        </w:rPr>
        <w:t>8</w:t>
      </w:r>
      <w:r w:rsidRPr="00B55191">
        <w:rPr>
          <w:noProof/>
        </w:rPr>
        <w:t>, 4628-4636.</w:t>
      </w:r>
    </w:p>
    <w:p w14:paraId="6EA092D5" w14:textId="77777777" w:rsidR="00B55191" w:rsidRPr="00B55191" w:rsidRDefault="00B55191" w:rsidP="00B55191">
      <w:pPr>
        <w:pStyle w:val="EndNoteBibliography"/>
        <w:rPr>
          <w:noProof/>
        </w:rPr>
      </w:pPr>
      <w:r w:rsidRPr="00B55191">
        <w:rPr>
          <w:noProof/>
        </w:rPr>
        <w:t xml:space="preserve">(367) Xu, X.; Pan, Y.; Zhong, Y.; Shi, C.; Guan, D.; Ge, L.; Hu, Z.; Chin, Y.-Y.; Lin, H.-J.; Chen, C.-T.; et al. New Undisputed Evidence and Strategy for Enhanced Lattice-Oxygen Participation of Perovskite Electrocatalyst through Cation Deficiency Manipulation. </w:t>
      </w:r>
      <w:r w:rsidRPr="00B55191">
        <w:rPr>
          <w:i/>
          <w:noProof/>
        </w:rPr>
        <w:t xml:space="preserve">Adv. Sci. </w:t>
      </w:r>
      <w:r w:rsidRPr="00B55191">
        <w:rPr>
          <w:b/>
          <w:noProof/>
        </w:rPr>
        <w:t>2022</w:t>
      </w:r>
      <w:r w:rsidRPr="00B55191">
        <w:rPr>
          <w:noProof/>
        </w:rPr>
        <w:t xml:space="preserve">, </w:t>
      </w:r>
      <w:r w:rsidRPr="00B55191">
        <w:rPr>
          <w:i/>
          <w:noProof/>
        </w:rPr>
        <w:t>9</w:t>
      </w:r>
      <w:r w:rsidRPr="00B55191">
        <w:rPr>
          <w:noProof/>
        </w:rPr>
        <w:t>, 2200530.</w:t>
      </w:r>
    </w:p>
    <w:p w14:paraId="2458EA6E" w14:textId="77777777" w:rsidR="00B55191" w:rsidRPr="00B55191" w:rsidRDefault="00B55191" w:rsidP="00B55191">
      <w:pPr>
        <w:pStyle w:val="EndNoteBibliography"/>
        <w:rPr>
          <w:noProof/>
        </w:rPr>
      </w:pPr>
      <w:r w:rsidRPr="00B55191">
        <w:rPr>
          <w:noProof/>
        </w:rPr>
        <w:lastRenderedPageBreak/>
        <w:t xml:space="preserve">(368) Yu, N.; Zhang, Z.-J.; Chai, Y.-M.; Dong, B. Regulation Engineering of the Surface and Structure of Perovskite-Based Electrocatalysts for the Oxygen Evolution Reaction. </w:t>
      </w:r>
      <w:r w:rsidRPr="00B55191">
        <w:rPr>
          <w:i/>
          <w:noProof/>
        </w:rPr>
        <w:t xml:space="preserve">Mater. Chem. Front. </w:t>
      </w:r>
      <w:r w:rsidRPr="00B55191">
        <w:rPr>
          <w:b/>
          <w:noProof/>
        </w:rPr>
        <w:t>2023</w:t>
      </w:r>
      <w:r w:rsidRPr="00B55191">
        <w:rPr>
          <w:noProof/>
        </w:rPr>
        <w:t xml:space="preserve">, </w:t>
      </w:r>
      <w:r w:rsidRPr="00B55191">
        <w:rPr>
          <w:i/>
          <w:noProof/>
        </w:rPr>
        <w:t>7</w:t>
      </w:r>
      <w:r w:rsidRPr="00B55191">
        <w:rPr>
          <w:noProof/>
        </w:rPr>
        <w:t>, 4236-4258.</w:t>
      </w:r>
    </w:p>
    <w:p w14:paraId="2954C5A9" w14:textId="77777777" w:rsidR="00B55191" w:rsidRPr="00B55191" w:rsidRDefault="00B55191" w:rsidP="00B55191">
      <w:pPr>
        <w:pStyle w:val="EndNoteBibliography"/>
        <w:rPr>
          <w:noProof/>
        </w:rPr>
      </w:pPr>
      <w:r w:rsidRPr="00B55191">
        <w:rPr>
          <w:noProof/>
        </w:rPr>
        <w:t xml:space="preserve">(369) Lu, M.; Zheng, Y.; Hu, Y.; Huang, B.; Ji, D.; Sun, M.; Li, J.; Peng, Y.; Si, R.; Xi, P.; Yan, C.-H. Artificially Steering Electrocatalytic Oxygen Evolution Reaction Mechanism by Regulating Oxygen Defect Contents in Perovskites. </w:t>
      </w:r>
      <w:r w:rsidRPr="00B55191">
        <w:rPr>
          <w:i/>
          <w:noProof/>
        </w:rPr>
        <w:t xml:space="preserve">Sci. Adv. </w:t>
      </w:r>
      <w:r w:rsidRPr="00B55191">
        <w:rPr>
          <w:b/>
          <w:noProof/>
        </w:rPr>
        <w:t>2022</w:t>
      </w:r>
      <w:r w:rsidRPr="00B55191">
        <w:rPr>
          <w:noProof/>
        </w:rPr>
        <w:t xml:space="preserve">, </w:t>
      </w:r>
      <w:r w:rsidRPr="00B55191">
        <w:rPr>
          <w:i/>
          <w:noProof/>
        </w:rPr>
        <w:t>8</w:t>
      </w:r>
      <w:r w:rsidRPr="00B55191">
        <w:rPr>
          <w:noProof/>
        </w:rPr>
        <w:t>, eabq3563.</w:t>
      </w:r>
    </w:p>
    <w:p w14:paraId="6EC4E491" w14:textId="77777777" w:rsidR="00B55191" w:rsidRPr="00B55191" w:rsidRDefault="00B55191" w:rsidP="00B55191">
      <w:pPr>
        <w:pStyle w:val="EndNoteBibliography"/>
        <w:rPr>
          <w:noProof/>
        </w:rPr>
      </w:pPr>
      <w:r w:rsidRPr="00B55191">
        <w:rPr>
          <w:noProof/>
        </w:rPr>
        <w:t xml:space="preserve">(370) Zhao, J.-W.; Zhang, H.; Li, C.-F.; Zhou, X.; Wu, J.-Q.; Zeng, F.; Zhang, J.; Li, G.-R. Key Roles of Surface Fe Sites and Sr Vacancies in the Perovskite for an Efficient Oxygen Evolution Reaction Via Lattice Oxygen Oxidation. </w:t>
      </w:r>
      <w:r w:rsidRPr="00B55191">
        <w:rPr>
          <w:i/>
          <w:noProof/>
        </w:rPr>
        <w:t xml:space="preserve">Energy Environ. Sci. </w:t>
      </w:r>
      <w:r w:rsidRPr="00B55191">
        <w:rPr>
          <w:b/>
          <w:noProof/>
        </w:rPr>
        <w:t>2022</w:t>
      </w:r>
      <w:r w:rsidRPr="00B55191">
        <w:rPr>
          <w:noProof/>
        </w:rPr>
        <w:t xml:space="preserve">, </w:t>
      </w:r>
      <w:r w:rsidRPr="00B55191">
        <w:rPr>
          <w:i/>
          <w:noProof/>
        </w:rPr>
        <w:t>15</w:t>
      </w:r>
      <w:r w:rsidRPr="00B55191">
        <w:rPr>
          <w:noProof/>
        </w:rPr>
        <w:t>, 3912-3922.</w:t>
      </w:r>
    </w:p>
    <w:p w14:paraId="3222B475" w14:textId="77777777" w:rsidR="00B55191" w:rsidRPr="00B55191" w:rsidRDefault="00B55191" w:rsidP="00B55191">
      <w:pPr>
        <w:pStyle w:val="EndNoteBibliography"/>
        <w:rPr>
          <w:noProof/>
        </w:rPr>
      </w:pPr>
      <w:r w:rsidRPr="00B55191">
        <w:rPr>
          <w:noProof/>
        </w:rPr>
        <w:t xml:space="preserve">(371) Huang, Z.-F.; Song, J.; Du, Y.; Xi, S.; Dou, S.; Nsanzimana, J. M. V.; Wang, C.; Xu, Z. J.; Wang, X. Chemical and Structural Origin of Lattice Oxygen Oxidation in Co–Zn Oxyhydroxide Oxygen Evolution Electrocatalysts. </w:t>
      </w:r>
      <w:r w:rsidRPr="00B55191">
        <w:rPr>
          <w:i/>
          <w:noProof/>
        </w:rPr>
        <w:t xml:space="preserve">Nat. Energy </w:t>
      </w:r>
      <w:r w:rsidRPr="00B55191">
        <w:rPr>
          <w:b/>
          <w:noProof/>
        </w:rPr>
        <w:t>2019</w:t>
      </w:r>
      <w:r w:rsidRPr="00B55191">
        <w:rPr>
          <w:noProof/>
        </w:rPr>
        <w:t xml:space="preserve">, </w:t>
      </w:r>
      <w:r w:rsidRPr="00B55191">
        <w:rPr>
          <w:i/>
          <w:noProof/>
        </w:rPr>
        <w:t>4</w:t>
      </w:r>
      <w:r w:rsidRPr="00B55191">
        <w:rPr>
          <w:noProof/>
        </w:rPr>
        <w:t>, 329-338.</w:t>
      </w:r>
    </w:p>
    <w:p w14:paraId="41BF6E87" w14:textId="77777777" w:rsidR="00B55191" w:rsidRPr="00B55191" w:rsidRDefault="00B55191" w:rsidP="00B55191">
      <w:pPr>
        <w:pStyle w:val="EndNoteBibliography"/>
        <w:rPr>
          <w:noProof/>
        </w:rPr>
      </w:pPr>
      <w:r w:rsidRPr="00B55191">
        <w:rPr>
          <w:noProof/>
        </w:rPr>
        <w:t xml:space="preserve">(372) He, Z.; Zhang, J.; Gong, Z.; Lei, H.; Zhou, D.; Zhang, N.; Mai, W.; Zhao, S.; Chen, Y. Activating Lattice Oxygen in Nife-Based (Oxy)Hydroxide for Water Electrolysis. </w:t>
      </w:r>
      <w:r w:rsidRPr="00B55191">
        <w:rPr>
          <w:i/>
          <w:noProof/>
        </w:rPr>
        <w:t xml:space="preserve">Nat. Commun. </w:t>
      </w:r>
      <w:r w:rsidRPr="00B55191">
        <w:rPr>
          <w:b/>
          <w:noProof/>
        </w:rPr>
        <w:t>2022</w:t>
      </w:r>
      <w:r w:rsidRPr="00B55191">
        <w:rPr>
          <w:noProof/>
        </w:rPr>
        <w:t xml:space="preserve">, </w:t>
      </w:r>
      <w:r w:rsidRPr="00B55191">
        <w:rPr>
          <w:i/>
          <w:noProof/>
        </w:rPr>
        <w:t>13</w:t>
      </w:r>
      <w:r w:rsidRPr="00B55191">
        <w:rPr>
          <w:noProof/>
        </w:rPr>
        <w:t>, 2191.</w:t>
      </w:r>
    </w:p>
    <w:p w14:paraId="1C318617" w14:textId="77777777" w:rsidR="00B55191" w:rsidRPr="00B55191" w:rsidRDefault="00B55191" w:rsidP="00B55191">
      <w:pPr>
        <w:pStyle w:val="EndNoteBibliography"/>
        <w:rPr>
          <w:noProof/>
        </w:rPr>
      </w:pPr>
      <w:r w:rsidRPr="00B55191">
        <w:rPr>
          <w:noProof/>
        </w:rPr>
        <w:t xml:space="preserve">(373) Huang, Z.-F.; Xi, S.; Song, J.; Dou, S.; Li, X.; Du, Y.; Diao, C.; Xu, Z. J.; Wang, X. Tuning of Lattice Oxygen Reactivity and Scaling Relation to Construct Better Oxygen Evolution Electrocatalyst. </w:t>
      </w:r>
      <w:r w:rsidRPr="00B55191">
        <w:rPr>
          <w:i/>
          <w:noProof/>
        </w:rPr>
        <w:t xml:space="preserve">Nat. Commun. </w:t>
      </w:r>
      <w:r w:rsidRPr="00B55191">
        <w:rPr>
          <w:b/>
          <w:noProof/>
        </w:rPr>
        <w:t>2021</w:t>
      </w:r>
      <w:r w:rsidRPr="00B55191">
        <w:rPr>
          <w:noProof/>
        </w:rPr>
        <w:t xml:space="preserve">, </w:t>
      </w:r>
      <w:r w:rsidRPr="00B55191">
        <w:rPr>
          <w:i/>
          <w:noProof/>
        </w:rPr>
        <w:t>12</w:t>
      </w:r>
      <w:r w:rsidRPr="00B55191">
        <w:rPr>
          <w:noProof/>
        </w:rPr>
        <w:t>, 3992.</w:t>
      </w:r>
    </w:p>
    <w:p w14:paraId="13C4E5E7" w14:textId="77777777" w:rsidR="00B55191" w:rsidRPr="00B55191" w:rsidRDefault="00B55191" w:rsidP="00B55191">
      <w:pPr>
        <w:pStyle w:val="EndNoteBibliography"/>
        <w:rPr>
          <w:noProof/>
        </w:rPr>
      </w:pPr>
      <w:r w:rsidRPr="00B55191">
        <w:rPr>
          <w:noProof/>
        </w:rPr>
        <w:t xml:space="preserve">(374) Wu, T.; Sun, S.; Song, J.; Xi, S.; Du, Y.; Chen, B.; Sasangka, W. A.; Liao, H.; Gan, C. L.; Scherer, G. G.; et al. Iron-Facilitated Dynamic Active-Site Generation on Spinel Coal2o4 with Self-Termination of Surface Reconstruction for Water Oxidation. </w:t>
      </w:r>
      <w:r w:rsidRPr="00B55191">
        <w:rPr>
          <w:i/>
          <w:noProof/>
        </w:rPr>
        <w:t xml:space="preserve">Nat. Catal. </w:t>
      </w:r>
      <w:r w:rsidRPr="00B55191">
        <w:rPr>
          <w:b/>
          <w:noProof/>
        </w:rPr>
        <w:t>2019</w:t>
      </w:r>
      <w:r w:rsidRPr="00B55191">
        <w:rPr>
          <w:noProof/>
        </w:rPr>
        <w:t xml:space="preserve">, </w:t>
      </w:r>
      <w:r w:rsidRPr="00B55191">
        <w:rPr>
          <w:i/>
          <w:noProof/>
        </w:rPr>
        <w:t>2</w:t>
      </w:r>
      <w:r w:rsidRPr="00B55191">
        <w:rPr>
          <w:noProof/>
        </w:rPr>
        <w:t>, 763-772.</w:t>
      </w:r>
    </w:p>
    <w:p w14:paraId="72817708" w14:textId="77777777" w:rsidR="00B55191" w:rsidRPr="00B55191" w:rsidRDefault="00B55191" w:rsidP="00B55191">
      <w:pPr>
        <w:pStyle w:val="EndNoteBibliography"/>
        <w:rPr>
          <w:noProof/>
        </w:rPr>
      </w:pPr>
      <w:r w:rsidRPr="00B55191">
        <w:rPr>
          <w:noProof/>
        </w:rPr>
        <w:t xml:space="preserve">(375) Zhang, N.; Feng, X.; Rao, D.; Deng, X.; Cai, L.; Qiu, B.; Long, R.; Xiong, Y.; Lu, Y.; Chai, Y. Lattice Oxygen Activation Enabled by High-Valence Metal Sites for Enhanced Water Oxidation. </w:t>
      </w:r>
      <w:r w:rsidRPr="00B55191">
        <w:rPr>
          <w:i/>
          <w:noProof/>
        </w:rPr>
        <w:t xml:space="preserve">Nat. Commun. </w:t>
      </w:r>
      <w:r w:rsidRPr="00B55191">
        <w:rPr>
          <w:b/>
          <w:noProof/>
        </w:rPr>
        <w:t>2020</w:t>
      </w:r>
      <w:r w:rsidRPr="00B55191">
        <w:rPr>
          <w:noProof/>
        </w:rPr>
        <w:t xml:space="preserve">, </w:t>
      </w:r>
      <w:r w:rsidRPr="00B55191">
        <w:rPr>
          <w:i/>
          <w:noProof/>
        </w:rPr>
        <w:t>11</w:t>
      </w:r>
      <w:r w:rsidRPr="00B55191">
        <w:rPr>
          <w:noProof/>
        </w:rPr>
        <w:t>, 4066.</w:t>
      </w:r>
    </w:p>
    <w:p w14:paraId="5219470B" w14:textId="77777777" w:rsidR="00B55191" w:rsidRPr="00B55191" w:rsidRDefault="00B55191" w:rsidP="00B55191">
      <w:pPr>
        <w:pStyle w:val="EndNoteBibliography"/>
        <w:rPr>
          <w:noProof/>
        </w:rPr>
      </w:pPr>
      <w:r w:rsidRPr="00B55191">
        <w:rPr>
          <w:noProof/>
        </w:rPr>
        <w:t xml:space="preserve">(376) Liu, S.; Chang, Y.; He, N.; Zhu, S.; Wang, L.; Liu, X. Competition between Lattice Oxygen and Adsorbate Evolving Mechanisms in Rutile Ru-Based Oxide for the Oxygen Evolution Reaction. </w:t>
      </w:r>
      <w:r w:rsidRPr="00B55191">
        <w:rPr>
          <w:i/>
          <w:noProof/>
        </w:rPr>
        <w:t xml:space="preserve">ACS Appl. Mater. Interfaces </w:t>
      </w:r>
      <w:r w:rsidRPr="00B55191">
        <w:rPr>
          <w:b/>
          <w:noProof/>
        </w:rPr>
        <w:t>2023</w:t>
      </w:r>
      <w:r w:rsidRPr="00B55191">
        <w:rPr>
          <w:noProof/>
        </w:rPr>
        <w:t xml:space="preserve">, </w:t>
      </w:r>
      <w:r w:rsidRPr="00B55191">
        <w:rPr>
          <w:i/>
          <w:noProof/>
        </w:rPr>
        <w:t>15</w:t>
      </w:r>
      <w:r w:rsidRPr="00B55191">
        <w:rPr>
          <w:noProof/>
        </w:rPr>
        <w:t>, 20563-20570.</w:t>
      </w:r>
    </w:p>
    <w:p w14:paraId="0C74E2F5" w14:textId="77777777" w:rsidR="00B55191" w:rsidRPr="00B55191" w:rsidRDefault="00B55191" w:rsidP="00B55191">
      <w:pPr>
        <w:pStyle w:val="EndNoteBibliography"/>
        <w:rPr>
          <w:noProof/>
        </w:rPr>
      </w:pPr>
      <w:r w:rsidRPr="00B55191">
        <w:rPr>
          <w:noProof/>
        </w:rPr>
        <w:t xml:space="preserve">(377) Zagalskaya, A.; Alexandrov, V. Role of Defects in the Interplay between Adsorbate Evolving and Lattice Oxygen Mechanisms of the Oxygen Evolution Reaction in Ruo2 and Iro2. </w:t>
      </w:r>
      <w:r w:rsidRPr="00B55191">
        <w:rPr>
          <w:i/>
          <w:noProof/>
        </w:rPr>
        <w:t xml:space="preserve">ACS Catal. </w:t>
      </w:r>
      <w:r w:rsidRPr="00B55191">
        <w:rPr>
          <w:b/>
          <w:noProof/>
        </w:rPr>
        <w:t>2020</w:t>
      </w:r>
      <w:r w:rsidRPr="00B55191">
        <w:rPr>
          <w:noProof/>
        </w:rPr>
        <w:t xml:space="preserve">, </w:t>
      </w:r>
      <w:r w:rsidRPr="00B55191">
        <w:rPr>
          <w:i/>
          <w:noProof/>
        </w:rPr>
        <w:t>10</w:t>
      </w:r>
      <w:r w:rsidRPr="00B55191">
        <w:rPr>
          <w:noProof/>
        </w:rPr>
        <w:t>, 3650-3657.</w:t>
      </w:r>
    </w:p>
    <w:p w14:paraId="29C0A1A2" w14:textId="77777777" w:rsidR="00B55191" w:rsidRPr="00B55191" w:rsidRDefault="00B55191" w:rsidP="00B55191">
      <w:pPr>
        <w:pStyle w:val="EndNoteBibliography"/>
        <w:rPr>
          <w:noProof/>
        </w:rPr>
      </w:pPr>
      <w:r w:rsidRPr="00B55191">
        <w:rPr>
          <w:noProof/>
        </w:rPr>
        <w:t xml:space="preserve">(378) Tripkovic, V.; Hansen, H. A.; Vegge, T. From 3d to 2d Co and Ni Oxyhydroxide Catalysts: Elucidation of the Active Site and Influence of Doping on the Oxygen Evolution Activity. </w:t>
      </w:r>
      <w:r w:rsidRPr="00B55191">
        <w:rPr>
          <w:i/>
          <w:noProof/>
        </w:rPr>
        <w:t xml:space="preserve">ACS Catal. </w:t>
      </w:r>
      <w:r w:rsidRPr="00B55191">
        <w:rPr>
          <w:b/>
          <w:noProof/>
        </w:rPr>
        <w:t>2017</w:t>
      </w:r>
      <w:r w:rsidRPr="00B55191">
        <w:rPr>
          <w:noProof/>
        </w:rPr>
        <w:t xml:space="preserve">, </w:t>
      </w:r>
      <w:r w:rsidRPr="00B55191">
        <w:rPr>
          <w:i/>
          <w:noProof/>
        </w:rPr>
        <w:t>7</w:t>
      </w:r>
      <w:r w:rsidRPr="00B55191">
        <w:rPr>
          <w:noProof/>
        </w:rPr>
        <w:t>, 8558-8571.</w:t>
      </w:r>
    </w:p>
    <w:p w14:paraId="481D36EC" w14:textId="77777777" w:rsidR="00B55191" w:rsidRPr="00B55191" w:rsidRDefault="00B55191" w:rsidP="00B55191">
      <w:pPr>
        <w:pStyle w:val="EndNoteBibliography"/>
        <w:rPr>
          <w:noProof/>
        </w:rPr>
      </w:pPr>
      <w:r w:rsidRPr="00B55191">
        <w:rPr>
          <w:noProof/>
        </w:rPr>
        <w:t xml:space="preserve">(379) Shi, Z.; Wang, Y.; Li, J.; Wang, X.; Wang, Y.; Li, Y.; Xu, W.; Jiang, Z.; Liu, C.; Xing, W.; Ge, J. Confined Ir Single Sites with Triggered Lattice Oxygen Redox: Toward Boosted and Sustained Water Oxidation Catalysis. </w:t>
      </w:r>
      <w:r w:rsidRPr="00B55191">
        <w:rPr>
          <w:i/>
          <w:noProof/>
        </w:rPr>
        <w:t xml:space="preserve">Joule </w:t>
      </w:r>
      <w:r w:rsidRPr="00B55191">
        <w:rPr>
          <w:b/>
          <w:noProof/>
        </w:rPr>
        <w:t>2021</w:t>
      </w:r>
      <w:r w:rsidRPr="00B55191">
        <w:rPr>
          <w:noProof/>
        </w:rPr>
        <w:t xml:space="preserve">, </w:t>
      </w:r>
      <w:r w:rsidRPr="00B55191">
        <w:rPr>
          <w:i/>
          <w:noProof/>
        </w:rPr>
        <w:t>5</w:t>
      </w:r>
      <w:r w:rsidRPr="00B55191">
        <w:rPr>
          <w:noProof/>
        </w:rPr>
        <w:t>, 2164-2176.</w:t>
      </w:r>
    </w:p>
    <w:p w14:paraId="1BCC8F07" w14:textId="77777777" w:rsidR="00B55191" w:rsidRPr="00B55191" w:rsidRDefault="00B55191" w:rsidP="00B55191">
      <w:pPr>
        <w:pStyle w:val="EndNoteBibliography"/>
        <w:rPr>
          <w:noProof/>
        </w:rPr>
      </w:pPr>
      <w:r w:rsidRPr="00B55191">
        <w:rPr>
          <w:noProof/>
        </w:rPr>
        <w:t xml:space="preserve">(380) Chen, R.; Wang, Z.; Chen, S.; Wu, W.; Zhu, Y.; Zhong, J.; Cheng, N. Activating Lattice Oxygen in Spinel Oxides Via Engineering Octahedral Sites for Oxygen Evolution. </w:t>
      </w:r>
      <w:r w:rsidRPr="00B55191">
        <w:rPr>
          <w:i/>
          <w:noProof/>
        </w:rPr>
        <w:t xml:space="preserve">ACS Energy Lett. </w:t>
      </w:r>
      <w:r w:rsidRPr="00B55191">
        <w:rPr>
          <w:b/>
          <w:noProof/>
        </w:rPr>
        <w:t>2023</w:t>
      </w:r>
      <w:r w:rsidRPr="00B55191">
        <w:rPr>
          <w:noProof/>
        </w:rPr>
        <w:t xml:space="preserve">, </w:t>
      </w:r>
      <w:r w:rsidRPr="00B55191">
        <w:rPr>
          <w:i/>
          <w:noProof/>
        </w:rPr>
        <w:t>8</w:t>
      </w:r>
      <w:r w:rsidRPr="00B55191">
        <w:rPr>
          <w:noProof/>
        </w:rPr>
        <w:t>, 3504-3511.</w:t>
      </w:r>
    </w:p>
    <w:p w14:paraId="75D886EE" w14:textId="77777777" w:rsidR="00B55191" w:rsidRPr="00B55191" w:rsidRDefault="00B55191" w:rsidP="00B55191">
      <w:pPr>
        <w:pStyle w:val="EndNoteBibliography"/>
        <w:rPr>
          <w:noProof/>
        </w:rPr>
      </w:pPr>
      <w:r w:rsidRPr="00B55191">
        <w:rPr>
          <w:noProof/>
        </w:rPr>
        <w:t xml:space="preserve">(381) Binninger, T.; Mohamed, R.; Waltar, K.; Fabbri, E.; Levecque, P.; Kötz, R.; Schmidt, T. J. Thermodynamic Explanation of the Universal Correlation between Oxygen Evolution Activity and Corrosion of Oxide Catalysts. </w:t>
      </w:r>
      <w:r w:rsidRPr="00B55191">
        <w:rPr>
          <w:i/>
          <w:noProof/>
        </w:rPr>
        <w:t xml:space="preserve">Sci. Rep. </w:t>
      </w:r>
      <w:r w:rsidRPr="00B55191">
        <w:rPr>
          <w:b/>
          <w:noProof/>
        </w:rPr>
        <w:t>2015</w:t>
      </w:r>
      <w:r w:rsidRPr="00B55191">
        <w:rPr>
          <w:noProof/>
        </w:rPr>
        <w:t xml:space="preserve">, </w:t>
      </w:r>
      <w:r w:rsidRPr="00B55191">
        <w:rPr>
          <w:i/>
          <w:noProof/>
        </w:rPr>
        <w:t>5</w:t>
      </w:r>
      <w:r w:rsidRPr="00B55191">
        <w:rPr>
          <w:noProof/>
        </w:rPr>
        <w:t>, 12167.</w:t>
      </w:r>
    </w:p>
    <w:p w14:paraId="108EA1ED" w14:textId="77777777" w:rsidR="00B55191" w:rsidRPr="00B55191" w:rsidRDefault="00B55191" w:rsidP="00B55191">
      <w:pPr>
        <w:pStyle w:val="EndNoteBibliography"/>
        <w:rPr>
          <w:noProof/>
        </w:rPr>
      </w:pPr>
      <w:r w:rsidRPr="00B55191">
        <w:rPr>
          <w:noProof/>
        </w:rPr>
        <w:t xml:space="preserve">(382) Zagalskaya, A.; Evazzade, I.; Alexandrov, V. Ab Initio Thermodynamics and Kinetics of the Lattice Oxygen Evolution Reaction in Iridium Oxides. </w:t>
      </w:r>
      <w:r w:rsidRPr="00B55191">
        <w:rPr>
          <w:i/>
          <w:noProof/>
        </w:rPr>
        <w:t xml:space="preserve">ACS Energy Lett. </w:t>
      </w:r>
      <w:r w:rsidRPr="00B55191">
        <w:rPr>
          <w:b/>
          <w:noProof/>
        </w:rPr>
        <w:t>2021</w:t>
      </w:r>
      <w:r w:rsidRPr="00B55191">
        <w:rPr>
          <w:noProof/>
        </w:rPr>
        <w:t xml:space="preserve">, </w:t>
      </w:r>
      <w:r w:rsidRPr="00B55191">
        <w:rPr>
          <w:i/>
          <w:noProof/>
        </w:rPr>
        <w:t>6</w:t>
      </w:r>
      <w:r w:rsidRPr="00B55191">
        <w:rPr>
          <w:noProof/>
        </w:rPr>
        <w:t>, 1124-1133.</w:t>
      </w:r>
    </w:p>
    <w:p w14:paraId="5DCF1A22" w14:textId="77777777" w:rsidR="00B55191" w:rsidRPr="00B55191" w:rsidRDefault="00B55191" w:rsidP="00B55191">
      <w:pPr>
        <w:pStyle w:val="EndNoteBibliography"/>
        <w:rPr>
          <w:noProof/>
        </w:rPr>
      </w:pPr>
      <w:r w:rsidRPr="00B55191">
        <w:rPr>
          <w:noProof/>
        </w:rPr>
        <w:t xml:space="preserve">(383) Wen, Y.; Chen, P.; Wang, L.; Li, S.; Wang, Z.; Abed, J.; Mao, X.; Min, Y.; Dinh, C. T.; Luna, P. D.; et al. Stabilizing Highly Active Ru Sites by Suppressing Lattice Oxygen Participation in Acidic Water Oxidation. </w:t>
      </w:r>
      <w:r w:rsidRPr="00B55191">
        <w:rPr>
          <w:i/>
          <w:noProof/>
        </w:rPr>
        <w:t xml:space="preserve">J. Am. Chem. Soc. </w:t>
      </w:r>
      <w:r w:rsidRPr="00B55191">
        <w:rPr>
          <w:b/>
          <w:noProof/>
        </w:rPr>
        <w:t>2021</w:t>
      </w:r>
      <w:r w:rsidRPr="00B55191">
        <w:rPr>
          <w:noProof/>
        </w:rPr>
        <w:t xml:space="preserve">, </w:t>
      </w:r>
      <w:r w:rsidRPr="00B55191">
        <w:rPr>
          <w:i/>
          <w:noProof/>
        </w:rPr>
        <w:t>143</w:t>
      </w:r>
      <w:r w:rsidRPr="00B55191">
        <w:rPr>
          <w:noProof/>
        </w:rPr>
        <w:t>, 6482-6490.</w:t>
      </w:r>
    </w:p>
    <w:p w14:paraId="5614499A" w14:textId="77777777" w:rsidR="00B55191" w:rsidRPr="00B55191" w:rsidRDefault="00B55191" w:rsidP="00B55191">
      <w:pPr>
        <w:pStyle w:val="EndNoteBibliography"/>
        <w:rPr>
          <w:noProof/>
        </w:rPr>
      </w:pPr>
      <w:r w:rsidRPr="00B55191">
        <w:rPr>
          <w:noProof/>
        </w:rPr>
        <w:lastRenderedPageBreak/>
        <w:t xml:space="preserve">(384) Ronge, E.; Ohms, J.; Roddatis, V.; Jones, T.; Sulzmann, F.; Knop-Gericke, A.; Schlögl, R.; Kurz, P.; Jooss, C.; Skorupska, K. Operation of Calcium-Birnessite Water-Oxidation Anodes: Interactions of the Catalyst with Phosphate Buffer Anions. </w:t>
      </w:r>
      <w:r w:rsidRPr="00B55191">
        <w:rPr>
          <w:i/>
          <w:noProof/>
        </w:rPr>
        <w:t xml:space="preserve">Sustainable Energy Fuels </w:t>
      </w:r>
      <w:r w:rsidRPr="00B55191">
        <w:rPr>
          <w:b/>
          <w:noProof/>
        </w:rPr>
        <w:t>2021</w:t>
      </w:r>
      <w:r w:rsidRPr="00B55191">
        <w:rPr>
          <w:noProof/>
        </w:rPr>
        <w:t xml:space="preserve">, </w:t>
      </w:r>
      <w:r w:rsidRPr="00B55191">
        <w:rPr>
          <w:i/>
          <w:noProof/>
        </w:rPr>
        <w:t>5</w:t>
      </w:r>
      <w:r w:rsidRPr="00B55191">
        <w:rPr>
          <w:noProof/>
        </w:rPr>
        <w:t>, 5535-5547.</w:t>
      </w:r>
    </w:p>
    <w:p w14:paraId="4F765655" w14:textId="77777777" w:rsidR="00B55191" w:rsidRPr="00B55191" w:rsidRDefault="00B55191" w:rsidP="00B55191">
      <w:pPr>
        <w:pStyle w:val="EndNoteBibliography"/>
        <w:rPr>
          <w:noProof/>
        </w:rPr>
      </w:pPr>
      <w:r w:rsidRPr="00B55191">
        <w:rPr>
          <w:noProof/>
        </w:rPr>
        <w:t xml:space="preserve">(385) Back, S.; Tran, K.; Ulissi, Z. W. Toward a Design of Active Oxygen Evolution Catalysts: Insights from Automated Density Functional Theory Calculations and Machine Learning. </w:t>
      </w:r>
      <w:r w:rsidRPr="00B55191">
        <w:rPr>
          <w:i/>
          <w:noProof/>
        </w:rPr>
        <w:t xml:space="preserve">ACS Catal. </w:t>
      </w:r>
      <w:r w:rsidRPr="00B55191">
        <w:rPr>
          <w:b/>
          <w:noProof/>
        </w:rPr>
        <w:t>2019</w:t>
      </w:r>
      <w:r w:rsidRPr="00B55191">
        <w:rPr>
          <w:noProof/>
        </w:rPr>
        <w:t xml:space="preserve">, </w:t>
      </w:r>
      <w:r w:rsidRPr="00B55191">
        <w:rPr>
          <w:i/>
          <w:noProof/>
        </w:rPr>
        <w:t>9</w:t>
      </w:r>
      <w:r w:rsidRPr="00B55191">
        <w:rPr>
          <w:noProof/>
        </w:rPr>
        <w:t>, 7651-7659.</w:t>
      </w:r>
    </w:p>
    <w:p w14:paraId="33BAA381" w14:textId="77777777" w:rsidR="00B55191" w:rsidRPr="00B55191" w:rsidRDefault="00B55191" w:rsidP="00B55191">
      <w:pPr>
        <w:pStyle w:val="EndNoteBibliography"/>
        <w:rPr>
          <w:noProof/>
        </w:rPr>
      </w:pPr>
      <w:r w:rsidRPr="00B55191">
        <w:rPr>
          <w:noProof/>
        </w:rPr>
        <w:t xml:space="preserve">(386) Zeng, Y.; Yan, L.; Tian, S.; Sun, X. Loading Irox Clusters on Mno2 Boosts Acidic Water Oxidation Via Metal–Support Interaction. </w:t>
      </w:r>
      <w:r w:rsidRPr="00B55191">
        <w:rPr>
          <w:i/>
          <w:noProof/>
        </w:rPr>
        <w:t xml:space="preserve">ACS Appl. Mater. Interfaces </w:t>
      </w:r>
      <w:r w:rsidRPr="00B55191">
        <w:rPr>
          <w:b/>
          <w:noProof/>
        </w:rPr>
        <w:t>2023</w:t>
      </w:r>
      <w:r w:rsidRPr="00B55191">
        <w:rPr>
          <w:noProof/>
        </w:rPr>
        <w:t xml:space="preserve">, </w:t>
      </w:r>
      <w:r w:rsidRPr="00B55191">
        <w:rPr>
          <w:i/>
          <w:noProof/>
        </w:rPr>
        <w:t>15</w:t>
      </w:r>
      <w:r w:rsidRPr="00B55191">
        <w:rPr>
          <w:noProof/>
        </w:rPr>
        <w:t>, 47103-47110.</w:t>
      </w:r>
    </w:p>
    <w:p w14:paraId="3F1DB820" w14:textId="77777777" w:rsidR="00B55191" w:rsidRPr="00B55191" w:rsidRDefault="00B55191" w:rsidP="00B55191">
      <w:pPr>
        <w:pStyle w:val="EndNoteBibliography"/>
        <w:rPr>
          <w:noProof/>
        </w:rPr>
      </w:pPr>
      <w:r w:rsidRPr="00B55191">
        <w:rPr>
          <w:noProof/>
        </w:rPr>
        <w:t xml:space="preserve">(387) Wang, Z.; Zheng, Z.; Xue, Y.; He, F.; Li, Y. Acidic Water Oxidation on Quantum Dots of Irox/Graphdiyne. </w:t>
      </w:r>
      <w:r w:rsidRPr="00B55191">
        <w:rPr>
          <w:i/>
          <w:noProof/>
        </w:rPr>
        <w:t xml:space="preserve">Adv. Energy Mater. </w:t>
      </w:r>
      <w:r w:rsidRPr="00B55191">
        <w:rPr>
          <w:b/>
          <w:noProof/>
        </w:rPr>
        <w:t>2021</w:t>
      </w:r>
      <w:r w:rsidRPr="00B55191">
        <w:rPr>
          <w:noProof/>
        </w:rPr>
        <w:t xml:space="preserve">, </w:t>
      </w:r>
      <w:r w:rsidRPr="00B55191">
        <w:rPr>
          <w:i/>
          <w:noProof/>
        </w:rPr>
        <w:t>11</w:t>
      </w:r>
      <w:r w:rsidRPr="00B55191">
        <w:rPr>
          <w:noProof/>
        </w:rPr>
        <w:t>, 2101138.</w:t>
      </w:r>
    </w:p>
    <w:p w14:paraId="680B33A7" w14:textId="77777777" w:rsidR="00B55191" w:rsidRPr="00B55191" w:rsidRDefault="00B55191" w:rsidP="00B55191">
      <w:pPr>
        <w:pStyle w:val="EndNoteBibliography"/>
        <w:rPr>
          <w:noProof/>
        </w:rPr>
      </w:pPr>
      <w:r w:rsidRPr="00B55191">
        <w:rPr>
          <w:noProof/>
        </w:rPr>
        <w:t xml:space="preserve">(388) Wang, C.; Zhai, P.; Xia, M.; Wu, Y.; Zhang, B.; Li, Z.; Ran, L.; Gao, J.; Zhang, X.; Fan, Z.; et al. Engineering Lattice Oxygen Activation of Iridium Clusters Stabilized on Amorphous Bimetal Borides Array for Oxygen Evolution Reaction. </w:t>
      </w:r>
      <w:r w:rsidRPr="00B55191">
        <w:rPr>
          <w:i/>
          <w:noProof/>
        </w:rPr>
        <w:t xml:space="preserve">Angew. Chem. Int. Ed. </w:t>
      </w:r>
      <w:r w:rsidRPr="00B55191">
        <w:rPr>
          <w:b/>
          <w:noProof/>
        </w:rPr>
        <w:t>2021</w:t>
      </w:r>
      <w:r w:rsidRPr="00B55191">
        <w:rPr>
          <w:noProof/>
        </w:rPr>
        <w:t xml:space="preserve">, </w:t>
      </w:r>
      <w:r w:rsidRPr="00B55191">
        <w:rPr>
          <w:i/>
          <w:noProof/>
        </w:rPr>
        <w:t>60</w:t>
      </w:r>
      <w:r w:rsidRPr="00B55191">
        <w:rPr>
          <w:noProof/>
        </w:rPr>
        <w:t>, 27126-27134.</w:t>
      </w:r>
    </w:p>
    <w:p w14:paraId="3FE8CD10" w14:textId="77777777" w:rsidR="00B55191" w:rsidRPr="00B55191" w:rsidRDefault="00B55191" w:rsidP="00B55191">
      <w:pPr>
        <w:pStyle w:val="EndNoteBibliography"/>
        <w:rPr>
          <w:noProof/>
        </w:rPr>
      </w:pPr>
      <w:r w:rsidRPr="00B55191">
        <w:rPr>
          <w:noProof/>
        </w:rPr>
        <w:t xml:space="preserve">(389) Li, Y.-F.; Selloni, A. Mechanism and Activity of Water Oxidation on Selected Surfaces of Pure and Fe-Doped Niox. </w:t>
      </w:r>
      <w:r w:rsidRPr="00B55191">
        <w:rPr>
          <w:i/>
          <w:noProof/>
        </w:rPr>
        <w:t xml:space="preserve">ACS Catal. </w:t>
      </w:r>
      <w:r w:rsidRPr="00B55191">
        <w:rPr>
          <w:b/>
          <w:noProof/>
        </w:rPr>
        <w:t>2014</w:t>
      </w:r>
      <w:r w:rsidRPr="00B55191">
        <w:rPr>
          <w:noProof/>
        </w:rPr>
        <w:t xml:space="preserve">, </w:t>
      </w:r>
      <w:r w:rsidRPr="00B55191">
        <w:rPr>
          <w:i/>
          <w:noProof/>
        </w:rPr>
        <w:t>4</w:t>
      </w:r>
      <w:r w:rsidRPr="00B55191">
        <w:rPr>
          <w:noProof/>
        </w:rPr>
        <w:t>, 1148-1153.</w:t>
      </w:r>
    </w:p>
    <w:p w14:paraId="307C2B7D" w14:textId="77777777" w:rsidR="00B55191" w:rsidRPr="00B55191" w:rsidRDefault="00B55191" w:rsidP="00B55191">
      <w:pPr>
        <w:pStyle w:val="EndNoteBibliography"/>
        <w:rPr>
          <w:noProof/>
        </w:rPr>
      </w:pPr>
      <w:r w:rsidRPr="00B55191">
        <w:rPr>
          <w:noProof/>
        </w:rPr>
        <w:t xml:space="preserve">(390) Costanzo, F. Effect of Doping Β-Niooh with Co on the Catalytic Oxidation of Water: Dft+U Calculations. </w:t>
      </w:r>
      <w:r w:rsidRPr="00B55191">
        <w:rPr>
          <w:i/>
          <w:noProof/>
        </w:rPr>
        <w:t xml:space="preserve">Phys. Chem. Chem. Phys. </w:t>
      </w:r>
      <w:r w:rsidRPr="00B55191">
        <w:rPr>
          <w:b/>
          <w:noProof/>
        </w:rPr>
        <w:t>2016</w:t>
      </w:r>
      <w:r w:rsidRPr="00B55191">
        <w:rPr>
          <w:noProof/>
        </w:rPr>
        <w:t xml:space="preserve">, </w:t>
      </w:r>
      <w:r w:rsidRPr="00B55191">
        <w:rPr>
          <w:i/>
          <w:noProof/>
        </w:rPr>
        <w:t>18</w:t>
      </w:r>
      <w:r w:rsidRPr="00B55191">
        <w:rPr>
          <w:noProof/>
        </w:rPr>
        <w:t>, 7490-7501.</w:t>
      </w:r>
    </w:p>
    <w:p w14:paraId="538C0091" w14:textId="77777777" w:rsidR="00B55191" w:rsidRPr="00B55191" w:rsidRDefault="00B55191" w:rsidP="00B55191">
      <w:pPr>
        <w:pStyle w:val="EndNoteBibliography"/>
        <w:rPr>
          <w:noProof/>
        </w:rPr>
      </w:pPr>
      <w:r w:rsidRPr="00B55191">
        <w:rPr>
          <w:noProof/>
        </w:rPr>
        <w:t xml:space="preserve">(391) Friebel, D.; Louie, M. W.; Bajdich, M.; Sanwald, K. E.; Cai, Y.; Wise, A. M.; Cheng, M.-J.; Sokaras, D.; Weng, T.-C.; Alonso-Mori, R.; et al. Identification of Highly Active Fe Sites in (Ni,Fe)Ooh for Electrocatalytic Water Splitting. </w:t>
      </w:r>
      <w:r w:rsidRPr="00B55191">
        <w:rPr>
          <w:i/>
          <w:noProof/>
        </w:rPr>
        <w:t xml:space="preserve">J. Am. Chem. Soc. </w:t>
      </w:r>
      <w:r w:rsidRPr="00B55191">
        <w:rPr>
          <w:b/>
          <w:noProof/>
        </w:rPr>
        <w:t>2015</w:t>
      </w:r>
      <w:r w:rsidRPr="00B55191">
        <w:rPr>
          <w:noProof/>
        </w:rPr>
        <w:t xml:space="preserve">, </w:t>
      </w:r>
      <w:r w:rsidRPr="00B55191">
        <w:rPr>
          <w:i/>
          <w:noProof/>
        </w:rPr>
        <w:t>137</w:t>
      </w:r>
      <w:r w:rsidRPr="00B55191">
        <w:rPr>
          <w:noProof/>
        </w:rPr>
        <w:t>, 1305-1313.</w:t>
      </w:r>
    </w:p>
    <w:p w14:paraId="0EFE8D55" w14:textId="77777777" w:rsidR="00B55191" w:rsidRPr="00B55191" w:rsidRDefault="00B55191" w:rsidP="00B55191">
      <w:pPr>
        <w:pStyle w:val="EndNoteBibliography"/>
        <w:rPr>
          <w:noProof/>
        </w:rPr>
      </w:pPr>
      <w:r w:rsidRPr="00B55191">
        <w:rPr>
          <w:noProof/>
        </w:rPr>
        <w:t xml:space="preserve">(392) Tkalych, A. J.; Zhuang, H. L.; Carter, E. A. A Density Functional + U Assessment of Oxygen Evolution Reaction Mechanisms on Β-Niooh. </w:t>
      </w:r>
      <w:r w:rsidRPr="00B55191">
        <w:rPr>
          <w:i/>
          <w:noProof/>
        </w:rPr>
        <w:t xml:space="preserve">ACS Catal. </w:t>
      </w:r>
      <w:r w:rsidRPr="00B55191">
        <w:rPr>
          <w:b/>
          <w:noProof/>
        </w:rPr>
        <w:t>2017</w:t>
      </w:r>
      <w:r w:rsidRPr="00B55191">
        <w:rPr>
          <w:noProof/>
        </w:rPr>
        <w:t xml:space="preserve">, </w:t>
      </w:r>
      <w:r w:rsidRPr="00B55191">
        <w:rPr>
          <w:i/>
          <w:noProof/>
        </w:rPr>
        <w:t>7</w:t>
      </w:r>
      <w:r w:rsidRPr="00B55191">
        <w:rPr>
          <w:noProof/>
        </w:rPr>
        <w:t>, 5329-5339.</w:t>
      </w:r>
    </w:p>
    <w:p w14:paraId="6229516B" w14:textId="77777777" w:rsidR="00B55191" w:rsidRPr="00B55191" w:rsidRDefault="00B55191" w:rsidP="00B55191">
      <w:pPr>
        <w:pStyle w:val="EndNoteBibliography"/>
        <w:rPr>
          <w:noProof/>
        </w:rPr>
      </w:pPr>
      <w:r w:rsidRPr="00B55191">
        <w:rPr>
          <w:noProof/>
        </w:rPr>
        <w:t xml:space="preserve">(393) Flores, R. A.; Paolucci, C.; Winther, K. T.; Jain, A.; Torres, J. A. G.; Aykol, M.; Montoya, J.; Nørskov, J. K.; Bajdich, M.; Bligaard, T. Active Learning Accelerated Discovery of Stable Iridium Oxide Polymorphs for the Oxygen Evolution Reaction. </w:t>
      </w:r>
      <w:r w:rsidRPr="00B55191">
        <w:rPr>
          <w:i/>
          <w:noProof/>
        </w:rPr>
        <w:t xml:space="preserve">Chem. Mater. </w:t>
      </w:r>
      <w:r w:rsidRPr="00B55191">
        <w:rPr>
          <w:b/>
          <w:noProof/>
        </w:rPr>
        <w:t>2020</w:t>
      </w:r>
      <w:r w:rsidRPr="00B55191">
        <w:rPr>
          <w:noProof/>
        </w:rPr>
        <w:t xml:space="preserve">, </w:t>
      </w:r>
      <w:r w:rsidRPr="00B55191">
        <w:rPr>
          <w:i/>
          <w:noProof/>
        </w:rPr>
        <w:t>32</w:t>
      </w:r>
      <w:r w:rsidRPr="00B55191">
        <w:rPr>
          <w:noProof/>
        </w:rPr>
        <w:t>, 5854-5863.</w:t>
      </w:r>
    </w:p>
    <w:p w14:paraId="425E348C" w14:textId="77777777" w:rsidR="00B55191" w:rsidRPr="00B55191" w:rsidRDefault="00B55191" w:rsidP="00B55191">
      <w:pPr>
        <w:pStyle w:val="EndNoteBibliography"/>
        <w:rPr>
          <w:noProof/>
        </w:rPr>
      </w:pPr>
      <w:r w:rsidRPr="00B55191">
        <w:rPr>
          <w:noProof/>
        </w:rPr>
        <w:t xml:space="preserve">(394) Patel, A. M.; Nørskov, J. K.; Persson, K. A.; Montoya, J. H. Efficient Pourbaix Diagrams of Many-Element Compounds. </w:t>
      </w:r>
      <w:r w:rsidRPr="00B55191">
        <w:rPr>
          <w:i/>
          <w:noProof/>
        </w:rPr>
        <w:t xml:space="preserve">Phys. Chem. Chem. Phys. </w:t>
      </w:r>
      <w:r w:rsidRPr="00B55191">
        <w:rPr>
          <w:b/>
          <w:noProof/>
        </w:rPr>
        <w:t>2019</w:t>
      </w:r>
      <w:r w:rsidRPr="00B55191">
        <w:rPr>
          <w:noProof/>
        </w:rPr>
        <w:t xml:space="preserve">, </w:t>
      </w:r>
      <w:r w:rsidRPr="00B55191">
        <w:rPr>
          <w:i/>
          <w:noProof/>
        </w:rPr>
        <w:t>21</w:t>
      </w:r>
      <w:r w:rsidRPr="00B55191">
        <w:rPr>
          <w:noProof/>
        </w:rPr>
        <w:t>, 25323-25327.</w:t>
      </w:r>
    </w:p>
    <w:p w14:paraId="5DAD4FC0" w14:textId="77777777" w:rsidR="00B55191" w:rsidRPr="00B55191" w:rsidRDefault="00B55191" w:rsidP="00B55191">
      <w:pPr>
        <w:pStyle w:val="EndNoteBibliography"/>
        <w:rPr>
          <w:noProof/>
        </w:rPr>
      </w:pPr>
      <w:r w:rsidRPr="00B55191">
        <w:rPr>
          <w:noProof/>
        </w:rPr>
        <w:t xml:space="preserve">(395) Singh, A. K.; Zhou, L.; Shinde, A.; Suram, S. K.; Montoya, J. H.; Winston, D.; Gregoire, J. M.; Persson, K. A. Electrochemical Stability of Metastable Materials. </w:t>
      </w:r>
      <w:r w:rsidRPr="00B55191">
        <w:rPr>
          <w:i/>
          <w:noProof/>
        </w:rPr>
        <w:t xml:space="preserve">Chem. Mater. </w:t>
      </w:r>
      <w:r w:rsidRPr="00B55191">
        <w:rPr>
          <w:b/>
          <w:noProof/>
        </w:rPr>
        <w:t>2017</w:t>
      </w:r>
      <w:r w:rsidRPr="00B55191">
        <w:rPr>
          <w:noProof/>
        </w:rPr>
        <w:t xml:space="preserve">, </w:t>
      </w:r>
      <w:r w:rsidRPr="00B55191">
        <w:rPr>
          <w:i/>
          <w:noProof/>
        </w:rPr>
        <w:t>29</w:t>
      </w:r>
      <w:r w:rsidRPr="00B55191">
        <w:rPr>
          <w:noProof/>
        </w:rPr>
        <w:t>, 10159-10167.</w:t>
      </w:r>
    </w:p>
    <w:p w14:paraId="1C677A01" w14:textId="77777777" w:rsidR="00B55191" w:rsidRPr="00B55191" w:rsidRDefault="00B55191" w:rsidP="00B55191">
      <w:pPr>
        <w:pStyle w:val="EndNoteBibliography"/>
        <w:rPr>
          <w:noProof/>
        </w:rPr>
      </w:pPr>
      <w:r w:rsidRPr="00B55191">
        <w:rPr>
          <w:noProof/>
        </w:rPr>
        <w:t xml:space="preserve">(396) Huang, L.-F.; Rondinelli, J. M. Electrochemical Phase Diagrams of Ni from Ab Initio Simulations: Role of Exchange Interactions on Accuracy. </w:t>
      </w:r>
      <w:r w:rsidRPr="00B55191">
        <w:rPr>
          <w:i/>
          <w:noProof/>
        </w:rPr>
        <w:t xml:space="preserve">J. Phys.: Condens.Matter </w:t>
      </w:r>
      <w:r w:rsidRPr="00B55191">
        <w:rPr>
          <w:b/>
          <w:noProof/>
        </w:rPr>
        <w:t>2017</w:t>
      </w:r>
      <w:r w:rsidRPr="00B55191">
        <w:rPr>
          <w:noProof/>
        </w:rPr>
        <w:t xml:space="preserve">, </w:t>
      </w:r>
      <w:r w:rsidRPr="00B55191">
        <w:rPr>
          <w:i/>
          <w:noProof/>
        </w:rPr>
        <w:t>29</w:t>
      </w:r>
      <w:r w:rsidRPr="00B55191">
        <w:rPr>
          <w:noProof/>
        </w:rPr>
        <w:t>, 475501.</w:t>
      </w:r>
    </w:p>
    <w:p w14:paraId="0F4A89B0" w14:textId="77777777" w:rsidR="00B55191" w:rsidRPr="00B55191" w:rsidRDefault="00B55191" w:rsidP="00B55191">
      <w:pPr>
        <w:pStyle w:val="EndNoteBibliography"/>
        <w:rPr>
          <w:noProof/>
        </w:rPr>
      </w:pPr>
      <w:r w:rsidRPr="00B55191">
        <w:rPr>
          <w:noProof/>
        </w:rPr>
        <w:t xml:space="preserve">(397) Huang, L.-F.; Scully, J. R.; Rondinelli, J. M. Modeling Corrosion with First-Principles Electrochemical Phase Diagrams. </w:t>
      </w:r>
      <w:r w:rsidRPr="00B55191">
        <w:rPr>
          <w:i/>
          <w:noProof/>
        </w:rPr>
        <w:t xml:space="preserve">Annu. Rev. Mater. Res. </w:t>
      </w:r>
      <w:r w:rsidRPr="00B55191">
        <w:rPr>
          <w:b/>
          <w:noProof/>
        </w:rPr>
        <w:t>2019</w:t>
      </w:r>
      <w:r w:rsidRPr="00B55191">
        <w:rPr>
          <w:noProof/>
        </w:rPr>
        <w:t xml:space="preserve">, </w:t>
      </w:r>
      <w:r w:rsidRPr="00B55191">
        <w:rPr>
          <w:i/>
          <w:noProof/>
        </w:rPr>
        <w:t>49</w:t>
      </w:r>
      <w:r w:rsidRPr="00B55191">
        <w:rPr>
          <w:noProof/>
        </w:rPr>
        <w:t>, 53-77.</w:t>
      </w:r>
    </w:p>
    <w:p w14:paraId="36D5B6A5" w14:textId="77777777" w:rsidR="00B55191" w:rsidRPr="00B55191" w:rsidRDefault="00B55191" w:rsidP="00B55191">
      <w:pPr>
        <w:pStyle w:val="EndNoteBibliography"/>
        <w:rPr>
          <w:noProof/>
        </w:rPr>
      </w:pPr>
      <w:r w:rsidRPr="00B55191">
        <w:rPr>
          <w:noProof/>
        </w:rPr>
        <w:t xml:space="preserve">(398) Pourbaix, M. J. N.; Van Muylde, J.; de Zoubov, N. Electrochemical Properties of the Platinum Metals. </w:t>
      </w:r>
      <w:r w:rsidRPr="00B55191">
        <w:rPr>
          <w:i/>
          <w:noProof/>
        </w:rPr>
        <w:t xml:space="preserve">Platinum Met. Rev. </w:t>
      </w:r>
      <w:r w:rsidRPr="00B55191">
        <w:rPr>
          <w:b/>
          <w:noProof/>
        </w:rPr>
        <w:t>1959</w:t>
      </w:r>
      <w:r w:rsidRPr="00B55191">
        <w:rPr>
          <w:noProof/>
        </w:rPr>
        <w:t xml:space="preserve">, </w:t>
      </w:r>
      <w:r w:rsidRPr="00B55191">
        <w:rPr>
          <w:i/>
          <w:noProof/>
        </w:rPr>
        <w:t>3</w:t>
      </w:r>
      <w:r w:rsidRPr="00B55191">
        <w:rPr>
          <w:noProof/>
        </w:rPr>
        <w:t>, 100-106.</w:t>
      </w:r>
    </w:p>
    <w:p w14:paraId="6FBFDCE0" w14:textId="77777777" w:rsidR="00B55191" w:rsidRPr="00B55191" w:rsidRDefault="00B55191" w:rsidP="00B55191">
      <w:pPr>
        <w:pStyle w:val="EndNoteBibliography"/>
        <w:rPr>
          <w:noProof/>
        </w:rPr>
      </w:pPr>
      <w:r w:rsidRPr="00B55191">
        <w:rPr>
          <w:noProof/>
        </w:rPr>
        <w:t xml:space="preserve">(399) Dickens, C. F.; Kirk, C.; Nørskov, J. K. Insights into the Electrochemical Oxygen Evolution Reaction with Ab Initio Calculations and Microkinetic Modeling: Beyond the Limiting Potential Volcano. </w:t>
      </w:r>
      <w:r w:rsidRPr="00B55191">
        <w:rPr>
          <w:i/>
          <w:noProof/>
        </w:rPr>
        <w:t xml:space="preserve">J. Phys. Chem. C </w:t>
      </w:r>
      <w:r w:rsidRPr="00B55191">
        <w:rPr>
          <w:b/>
          <w:noProof/>
        </w:rPr>
        <w:t>2019</w:t>
      </w:r>
      <w:r w:rsidRPr="00B55191">
        <w:rPr>
          <w:noProof/>
        </w:rPr>
        <w:t xml:space="preserve">, </w:t>
      </w:r>
      <w:r w:rsidRPr="00B55191">
        <w:rPr>
          <w:i/>
          <w:noProof/>
        </w:rPr>
        <w:t>123</w:t>
      </w:r>
      <w:r w:rsidRPr="00B55191">
        <w:rPr>
          <w:noProof/>
        </w:rPr>
        <w:t>, 18960-18977.</w:t>
      </w:r>
    </w:p>
    <w:p w14:paraId="36381221" w14:textId="77777777" w:rsidR="00B55191" w:rsidRPr="00B55191" w:rsidRDefault="00B55191" w:rsidP="00B55191">
      <w:pPr>
        <w:pStyle w:val="EndNoteBibliography"/>
        <w:rPr>
          <w:noProof/>
        </w:rPr>
      </w:pPr>
      <w:r w:rsidRPr="00B55191">
        <w:rPr>
          <w:noProof/>
        </w:rPr>
        <w:t xml:space="preserve">(400) Barmparis, G. D.; Lodziana, Z.; Lopez, N.; Remediakis, I. N. Nanoparticle Shapes by Using Wulff Constructions and First-Principles Calculations. </w:t>
      </w:r>
      <w:r w:rsidRPr="00B55191">
        <w:rPr>
          <w:i/>
          <w:noProof/>
        </w:rPr>
        <w:t xml:space="preserve">Beilstein J. Nanotechnol. </w:t>
      </w:r>
      <w:r w:rsidRPr="00B55191">
        <w:rPr>
          <w:b/>
          <w:noProof/>
        </w:rPr>
        <w:t>2015</w:t>
      </w:r>
      <w:r w:rsidRPr="00B55191">
        <w:rPr>
          <w:noProof/>
        </w:rPr>
        <w:t xml:space="preserve">, </w:t>
      </w:r>
      <w:r w:rsidRPr="00B55191">
        <w:rPr>
          <w:i/>
          <w:noProof/>
        </w:rPr>
        <w:t>6</w:t>
      </w:r>
      <w:r w:rsidRPr="00B55191">
        <w:rPr>
          <w:noProof/>
        </w:rPr>
        <w:t>, 361-368.</w:t>
      </w:r>
    </w:p>
    <w:p w14:paraId="04F8103D" w14:textId="77777777" w:rsidR="00B55191" w:rsidRPr="00B55191" w:rsidRDefault="00B55191" w:rsidP="00B55191">
      <w:pPr>
        <w:pStyle w:val="EndNoteBibliography"/>
        <w:rPr>
          <w:noProof/>
        </w:rPr>
      </w:pPr>
      <w:r w:rsidRPr="00B55191">
        <w:rPr>
          <w:noProof/>
        </w:rPr>
        <w:t xml:space="preserve">(401) Deka, N.; Jones, T. E.; Falling, L. J.; Sandoval-Diaz, L.-E.; Lunkenbein, T.; Velasco-Velez, J.-J.; Chan, T.-S.; Chuang, C.-H.; Knop-Gericke, A.; Mom, R. V. On the Operando </w:t>
      </w:r>
      <w:r w:rsidRPr="00B55191">
        <w:rPr>
          <w:noProof/>
        </w:rPr>
        <w:lastRenderedPageBreak/>
        <w:t xml:space="preserve">Structure of Ruthenium Oxides During the Oxygen Evolution Reaction in Acidic Media. </w:t>
      </w:r>
      <w:r w:rsidRPr="00B55191">
        <w:rPr>
          <w:i/>
          <w:noProof/>
        </w:rPr>
        <w:t xml:space="preserve">ACS Catal. </w:t>
      </w:r>
      <w:r w:rsidRPr="00B55191">
        <w:rPr>
          <w:b/>
          <w:noProof/>
        </w:rPr>
        <w:t>2023</w:t>
      </w:r>
      <w:r w:rsidRPr="00B55191">
        <w:rPr>
          <w:noProof/>
        </w:rPr>
        <w:t xml:space="preserve">, </w:t>
      </w:r>
      <w:r w:rsidRPr="00B55191">
        <w:rPr>
          <w:i/>
          <w:noProof/>
        </w:rPr>
        <w:t>13</w:t>
      </w:r>
      <w:r w:rsidRPr="00B55191">
        <w:rPr>
          <w:noProof/>
        </w:rPr>
        <w:t>, 7488-7498.</w:t>
      </w:r>
    </w:p>
    <w:p w14:paraId="6C8CDB3C" w14:textId="77777777" w:rsidR="00B55191" w:rsidRPr="00B55191" w:rsidRDefault="00B55191" w:rsidP="00B55191">
      <w:pPr>
        <w:pStyle w:val="EndNoteBibliography"/>
        <w:rPr>
          <w:noProof/>
        </w:rPr>
      </w:pPr>
      <w:r w:rsidRPr="00B55191">
        <w:rPr>
          <w:noProof/>
        </w:rPr>
        <w:t xml:space="preserve">(402) Velasco Vélez, J. J.; Bernsmeier, D.; Mom, R. V.; Zeller, P.; Shao-Horn, Y.; Roldan Cuenya, B.; Knop-Gericke, A.; Schlögl, R.; Jones, T. E. Iridium Oxide Coordinatively Unsaturated Active Sites Govern the Electrocatalytic Oxidation of Water. </w:t>
      </w:r>
      <w:r w:rsidRPr="00B55191">
        <w:rPr>
          <w:i/>
          <w:noProof/>
        </w:rPr>
        <w:t xml:space="preserve">Adv. Energy Mater. </w:t>
      </w:r>
      <w:r w:rsidRPr="00B55191">
        <w:rPr>
          <w:b/>
          <w:noProof/>
        </w:rPr>
        <w:t>2024</w:t>
      </w:r>
      <w:r w:rsidRPr="00B55191">
        <w:rPr>
          <w:noProof/>
        </w:rPr>
        <w:t>, 2303407.</w:t>
      </w:r>
    </w:p>
    <w:p w14:paraId="5E3C4EC6" w14:textId="77777777" w:rsidR="00B55191" w:rsidRPr="00B55191" w:rsidRDefault="00B55191" w:rsidP="00B55191">
      <w:pPr>
        <w:pStyle w:val="EndNoteBibliography"/>
        <w:rPr>
          <w:noProof/>
        </w:rPr>
      </w:pPr>
      <w:r w:rsidRPr="00B55191">
        <w:rPr>
          <w:noProof/>
        </w:rPr>
        <w:t xml:space="preserve">(403) Weber, T.; Vonk, V.; Escalera-López, D.; Abbondanza, G.; Larsson, A.; Koller, V.; Abb, M. J. S.; Hegedüs, Z.; Bäcker, T.; Lienert, U.; et al. Operando Stability Studies of Ultrathin Single-Crystalline Iro2(110) Films under Acidic Oxygen Evolution Reaction Conditions. </w:t>
      </w:r>
      <w:r w:rsidRPr="00B55191">
        <w:rPr>
          <w:i/>
          <w:noProof/>
        </w:rPr>
        <w:t xml:space="preserve">ACS Catal. </w:t>
      </w:r>
      <w:r w:rsidRPr="00B55191">
        <w:rPr>
          <w:b/>
          <w:noProof/>
        </w:rPr>
        <w:t>2021</w:t>
      </w:r>
      <w:r w:rsidRPr="00B55191">
        <w:rPr>
          <w:noProof/>
        </w:rPr>
        <w:t xml:space="preserve">, </w:t>
      </w:r>
      <w:r w:rsidRPr="00B55191">
        <w:rPr>
          <w:i/>
          <w:noProof/>
        </w:rPr>
        <w:t>11</w:t>
      </w:r>
      <w:r w:rsidRPr="00B55191">
        <w:rPr>
          <w:noProof/>
        </w:rPr>
        <w:t>, 12651-12660.</w:t>
      </w:r>
    </w:p>
    <w:p w14:paraId="11B1EE79" w14:textId="77777777" w:rsidR="00B55191" w:rsidRPr="00B55191" w:rsidRDefault="00B55191" w:rsidP="00B55191">
      <w:pPr>
        <w:pStyle w:val="EndNoteBibliography"/>
        <w:rPr>
          <w:noProof/>
        </w:rPr>
      </w:pPr>
      <w:r w:rsidRPr="00B55191">
        <w:rPr>
          <w:noProof/>
        </w:rPr>
        <w:t xml:space="preserve">(404) Mom, R. V.; Falling, L. J.; Kasian, O.; Algara-Siller, G.; Teschner, D.; Crabtree, R. H.; Knop-Gericke, A.; Mayrhofer, K. J. J.; Velasco-Vélez, J.-J.; Jones, T. E. Operando Structure–Activity–Stability Relationship of Iridium Oxides During the Oxygen Evolution Reaction. </w:t>
      </w:r>
      <w:r w:rsidRPr="00B55191">
        <w:rPr>
          <w:i/>
          <w:noProof/>
        </w:rPr>
        <w:t xml:space="preserve">ACS Catal. </w:t>
      </w:r>
      <w:r w:rsidRPr="00B55191">
        <w:rPr>
          <w:b/>
          <w:noProof/>
        </w:rPr>
        <w:t>2022</w:t>
      </w:r>
      <w:r w:rsidRPr="00B55191">
        <w:rPr>
          <w:noProof/>
        </w:rPr>
        <w:t xml:space="preserve">, </w:t>
      </w:r>
      <w:r w:rsidRPr="00B55191">
        <w:rPr>
          <w:i/>
          <w:noProof/>
        </w:rPr>
        <w:t>12</w:t>
      </w:r>
      <w:r w:rsidRPr="00B55191">
        <w:rPr>
          <w:noProof/>
        </w:rPr>
        <w:t>, 5174-5184.</w:t>
      </w:r>
    </w:p>
    <w:p w14:paraId="2E265398" w14:textId="77777777" w:rsidR="00B55191" w:rsidRPr="00B55191" w:rsidRDefault="00B55191" w:rsidP="00B55191">
      <w:pPr>
        <w:pStyle w:val="EndNoteBibliography"/>
        <w:rPr>
          <w:noProof/>
        </w:rPr>
      </w:pPr>
      <w:r w:rsidRPr="00B55191">
        <w:rPr>
          <w:noProof/>
        </w:rPr>
        <w:t xml:space="preserve">(405) Binninger, T.; Doublet, M.-L. The Ir–Oooo–Ir Transition State and the Mechanism of the Oxygen Evolution Reaction on Iro2(110). </w:t>
      </w:r>
      <w:r w:rsidRPr="00B55191">
        <w:rPr>
          <w:i/>
          <w:noProof/>
        </w:rPr>
        <w:t xml:space="preserve">Energy Environ. Sci. </w:t>
      </w:r>
      <w:r w:rsidRPr="00B55191">
        <w:rPr>
          <w:b/>
          <w:noProof/>
        </w:rPr>
        <w:t>2022</w:t>
      </w:r>
      <w:r w:rsidRPr="00B55191">
        <w:rPr>
          <w:noProof/>
        </w:rPr>
        <w:t xml:space="preserve">, </w:t>
      </w:r>
      <w:r w:rsidRPr="00B55191">
        <w:rPr>
          <w:i/>
          <w:noProof/>
        </w:rPr>
        <w:t>15</w:t>
      </w:r>
      <w:r w:rsidRPr="00B55191">
        <w:rPr>
          <w:noProof/>
        </w:rPr>
        <w:t>, 2519-2528.</w:t>
      </w:r>
    </w:p>
    <w:p w14:paraId="2491CE6B" w14:textId="77777777" w:rsidR="00B55191" w:rsidRPr="00B55191" w:rsidRDefault="00B55191" w:rsidP="00B55191">
      <w:pPr>
        <w:pStyle w:val="EndNoteBibliography"/>
        <w:rPr>
          <w:noProof/>
        </w:rPr>
      </w:pPr>
      <w:r w:rsidRPr="00B55191">
        <w:rPr>
          <w:noProof/>
        </w:rPr>
        <w:t xml:space="preserve">(406) Binninger, T.; Kowalski, P. M.; Eikerling, M. H. Oxygen Desorption – Critical Step for the Oxygen Evolution Reaction. </w:t>
      </w:r>
      <w:r w:rsidRPr="00B55191">
        <w:rPr>
          <w:i/>
          <w:noProof/>
        </w:rPr>
        <w:t xml:space="preserve">Curr. Opin. Electrochem. </w:t>
      </w:r>
      <w:r w:rsidRPr="00B55191">
        <w:rPr>
          <w:b/>
          <w:noProof/>
        </w:rPr>
        <w:t>2023</w:t>
      </w:r>
      <w:r w:rsidRPr="00B55191">
        <w:rPr>
          <w:noProof/>
        </w:rPr>
        <w:t xml:space="preserve">, </w:t>
      </w:r>
      <w:r w:rsidRPr="00B55191">
        <w:rPr>
          <w:i/>
          <w:noProof/>
        </w:rPr>
        <w:t>42</w:t>
      </w:r>
      <w:r w:rsidRPr="00B55191">
        <w:rPr>
          <w:noProof/>
        </w:rPr>
        <w:t>, 101382.</w:t>
      </w:r>
    </w:p>
    <w:p w14:paraId="38335A8C" w14:textId="77777777" w:rsidR="00B55191" w:rsidRPr="00B55191" w:rsidRDefault="00B55191" w:rsidP="00B55191">
      <w:pPr>
        <w:pStyle w:val="EndNoteBibliography"/>
        <w:rPr>
          <w:noProof/>
        </w:rPr>
      </w:pPr>
      <w:r w:rsidRPr="00B55191">
        <w:rPr>
          <w:noProof/>
        </w:rPr>
        <w:t xml:space="preserve">(407) Pearce, P. E.; Yang, C.; Iadecola, A.; Rodriguez-Carvajal, J.; Rousse, G.; Dedryvère, R.; Abakumov, A. M.; Giaume, D.; Deschamps, M.; Tarascon, J.-M.; Grimaud, A. Revealing the Reactivity of the Iridium Trioxide Intermediate for the Oxygen Evolution Reaction in Acidic Media. </w:t>
      </w:r>
      <w:r w:rsidRPr="00B55191">
        <w:rPr>
          <w:i/>
          <w:noProof/>
        </w:rPr>
        <w:t xml:space="preserve">Chem. Mater. </w:t>
      </w:r>
      <w:r w:rsidRPr="00B55191">
        <w:rPr>
          <w:b/>
          <w:noProof/>
        </w:rPr>
        <w:t>2019</w:t>
      </w:r>
      <w:r w:rsidRPr="00B55191">
        <w:rPr>
          <w:noProof/>
        </w:rPr>
        <w:t xml:space="preserve">, </w:t>
      </w:r>
      <w:r w:rsidRPr="00B55191">
        <w:rPr>
          <w:i/>
          <w:noProof/>
        </w:rPr>
        <w:t>31</w:t>
      </w:r>
      <w:r w:rsidRPr="00B55191">
        <w:rPr>
          <w:noProof/>
        </w:rPr>
        <w:t>, 5845-5855.</w:t>
      </w:r>
    </w:p>
    <w:p w14:paraId="4F02F546" w14:textId="77777777" w:rsidR="00B55191" w:rsidRPr="00B55191" w:rsidRDefault="00B55191" w:rsidP="00B55191">
      <w:pPr>
        <w:pStyle w:val="EndNoteBibliography"/>
        <w:rPr>
          <w:noProof/>
        </w:rPr>
      </w:pPr>
      <w:r w:rsidRPr="00B55191">
        <w:rPr>
          <w:noProof/>
        </w:rPr>
        <w:t xml:space="preserve">(408) Grimaud, A.; Demortière, A.; Saubanère, M.; Dachraoui, W.; Duchamp, M.; Doublet, M.-L.; Tarascon, J.-M. Activation of Surface Oxygen Sites on an Iridium-Based Model Catalyst for the Oxygen Evolution Reaction. </w:t>
      </w:r>
      <w:r w:rsidRPr="00B55191">
        <w:rPr>
          <w:i/>
          <w:noProof/>
        </w:rPr>
        <w:t xml:space="preserve">Nat. Energy </w:t>
      </w:r>
      <w:r w:rsidRPr="00B55191">
        <w:rPr>
          <w:b/>
          <w:noProof/>
        </w:rPr>
        <w:t>2016</w:t>
      </w:r>
      <w:r w:rsidRPr="00B55191">
        <w:rPr>
          <w:noProof/>
        </w:rPr>
        <w:t xml:space="preserve">, </w:t>
      </w:r>
      <w:r w:rsidRPr="00B55191">
        <w:rPr>
          <w:i/>
          <w:noProof/>
        </w:rPr>
        <w:t>2</w:t>
      </w:r>
      <w:r w:rsidRPr="00B55191">
        <w:rPr>
          <w:noProof/>
        </w:rPr>
        <w:t>, 16189-16189.</w:t>
      </w:r>
    </w:p>
    <w:p w14:paraId="6853F14C" w14:textId="77777777" w:rsidR="00B55191" w:rsidRPr="00B55191" w:rsidRDefault="00B55191" w:rsidP="00B55191">
      <w:pPr>
        <w:pStyle w:val="EndNoteBibliography"/>
        <w:rPr>
          <w:noProof/>
        </w:rPr>
      </w:pPr>
      <w:r w:rsidRPr="00B55191">
        <w:rPr>
          <w:noProof/>
        </w:rPr>
        <w:t xml:space="preserve">(409) Liang, C. Unravelling the Effects of Active Site Densities and Energetics on the Water Oxidation Activity of Iridium Oxides. </w:t>
      </w:r>
      <w:r w:rsidRPr="00B55191">
        <w:rPr>
          <w:i/>
          <w:noProof/>
        </w:rPr>
        <w:t xml:space="preserve">submitted, personal communication </w:t>
      </w:r>
      <w:r w:rsidRPr="00B55191">
        <w:rPr>
          <w:b/>
          <w:noProof/>
        </w:rPr>
        <w:t>2024</w:t>
      </w:r>
      <w:r w:rsidRPr="00B55191">
        <w:rPr>
          <w:noProof/>
        </w:rPr>
        <w:t xml:space="preserve">, </w:t>
      </w:r>
    </w:p>
    <w:p w14:paraId="3F22A030" w14:textId="77777777" w:rsidR="00B55191" w:rsidRPr="00B55191" w:rsidRDefault="00B55191" w:rsidP="00B55191">
      <w:pPr>
        <w:pStyle w:val="EndNoteBibliography"/>
        <w:rPr>
          <w:noProof/>
        </w:rPr>
      </w:pPr>
      <w:r w:rsidRPr="00B55191">
        <w:rPr>
          <w:noProof/>
        </w:rPr>
        <w:t xml:space="preserve">(410) Thanawala, S. S.; Baird, R. J.; Georgiev, D. G.; Auner, G. W. Amorphous and Crystalline Iro2 Thin Films as Potential Stimulation Electrode Coatings. </w:t>
      </w:r>
      <w:r w:rsidRPr="00B55191">
        <w:rPr>
          <w:i/>
          <w:noProof/>
        </w:rPr>
        <w:t xml:space="preserve">Appl. Surf. Sci. </w:t>
      </w:r>
      <w:r w:rsidRPr="00B55191">
        <w:rPr>
          <w:b/>
          <w:noProof/>
        </w:rPr>
        <w:t>2008</w:t>
      </w:r>
      <w:r w:rsidRPr="00B55191">
        <w:rPr>
          <w:noProof/>
        </w:rPr>
        <w:t xml:space="preserve">, </w:t>
      </w:r>
      <w:r w:rsidRPr="00B55191">
        <w:rPr>
          <w:i/>
          <w:noProof/>
        </w:rPr>
        <w:t>254</w:t>
      </w:r>
      <w:r w:rsidRPr="00B55191">
        <w:rPr>
          <w:noProof/>
        </w:rPr>
        <w:t>, 5164-5169.</w:t>
      </w:r>
    </w:p>
    <w:p w14:paraId="468D2120" w14:textId="77777777" w:rsidR="00B55191" w:rsidRPr="00B55191" w:rsidRDefault="00B55191" w:rsidP="00B55191">
      <w:pPr>
        <w:pStyle w:val="EndNoteBibliography"/>
        <w:rPr>
          <w:noProof/>
        </w:rPr>
      </w:pPr>
      <w:r w:rsidRPr="00B55191">
        <w:rPr>
          <w:noProof/>
        </w:rPr>
        <w:t xml:space="preserve">(411) Reier, T.; Teschner, D.; Lunkenbein, T.; Bergmann, A.; Selve, S.; Kraehnert, R.; Schlögl, R.; Strasser, P. Electrocatalytic Oxygen Evolution on Iridium Oxide: Uncovering Catalyst-Substrate Interactions and Active Iridium Oxide Species. </w:t>
      </w:r>
      <w:r w:rsidRPr="00B55191">
        <w:rPr>
          <w:i/>
          <w:noProof/>
        </w:rPr>
        <w:t xml:space="preserve">J. Electrochem. Soc. </w:t>
      </w:r>
      <w:r w:rsidRPr="00B55191">
        <w:rPr>
          <w:b/>
          <w:noProof/>
        </w:rPr>
        <w:t>2014</w:t>
      </w:r>
      <w:r w:rsidRPr="00B55191">
        <w:rPr>
          <w:noProof/>
        </w:rPr>
        <w:t xml:space="preserve">, </w:t>
      </w:r>
      <w:r w:rsidRPr="00B55191">
        <w:rPr>
          <w:i/>
          <w:noProof/>
        </w:rPr>
        <w:t>161</w:t>
      </w:r>
      <w:r w:rsidRPr="00B55191">
        <w:rPr>
          <w:noProof/>
        </w:rPr>
        <w:t>, 876-882.</w:t>
      </w:r>
    </w:p>
    <w:p w14:paraId="57505B18" w14:textId="77777777" w:rsidR="00B55191" w:rsidRPr="00B55191" w:rsidRDefault="00B55191" w:rsidP="00B55191">
      <w:pPr>
        <w:pStyle w:val="EndNoteBibliography"/>
        <w:rPr>
          <w:noProof/>
        </w:rPr>
      </w:pPr>
      <w:r w:rsidRPr="00B55191">
        <w:rPr>
          <w:noProof/>
        </w:rPr>
        <w:t xml:space="preserve">(412) Abbott, D. F.; Lebedev, D.; Waltar, K.; Povia, M.; Nachtegaal, M.; Fabbri, E.; Copéret, C.; Schmidt, T. J. Iridium Oxide for the Oxygen Evolution Reaction: Correlation between Particle Size, Morphology, and the Surface Hydroxo Layer from Operando Xas. </w:t>
      </w:r>
      <w:r w:rsidRPr="00B55191">
        <w:rPr>
          <w:i/>
          <w:noProof/>
        </w:rPr>
        <w:t xml:space="preserve">Chem. Mater. </w:t>
      </w:r>
      <w:r w:rsidRPr="00B55191">
        <w:rPr>
          <w:b/>
          <w:noProof/>
        </w:rPr>
        <w:t>2016</w:t>
      </w:r>
      <w:r w:rsidRPr="00B55191">
        <w:rPr>
          <w:noProof/>
        </w:rPr>
        <w:t xml:space="preserve">, </w:t>
      </w:r>
      <w:r w:rsidRPr="00B55191">
        <w:rPr>
          <w:i/>
          <w:noProof/>
        </w:rPr>
        <w:t>28</w:t>
      </w:r>
      <w:r w:rsidRPr="00B55191">
        <w:rPr>
          <w:noProof/>
        </w:rPr>
        <w:t>, 6591-6604.</w:t>
      </w:r>
    </w:p>
    <w:p w14:paraId="356F2A91" w14:textId="77777777" w:rsidR="00B55191" w:rsidRPr="00B55191" w:rsidRDefault="00B55191" w:rsidP="00B55191">
      <w:pPr>
        <w:pStyle w:val="EndNoteBibliography"/>
        <w:rPr>
          <w:noProof/>
        </w:rPr>
      </w:pPr>
      <w:r w:rsidRPr="00B55191">
        <w:rPr>
          <w:noProof/>
        </w:rPr>
        <w:t xml:space="preserve">(413) Ruiz Esquius, J.; Morgan, D. J.; Algara Siller, G.; Gianolio, D.; Aramini, M.; Lahn, L.; Kasian, O.; Kondrat, S. A.; Schlögl, R.; Hutchings, G. J.; et al. Lithium-Directed Transformation of Amorphous Iridium (Oxy)Hydroxides to Produce Active Water Oxidation Catalysts. </w:t>
      </w:r>
      <w:r w:rsidRPr="00B55191">
        <w:rPr>
          <w:i/>
          <w:noProof/>
        </w:rPr>
        <w:t xml:space="preserve">J. Am. Chem. Soc. </w:t>
      </w:r>
      <w:r w:rsidRPr="00B55191">
        <w:rPr>
          <w:b/>
          <w:noProof/>
        </w:rPr>
        <w:t>2023</w:t>
      </w:r>
      <w:r w:rsidRPr="00B55191">
        <w:rPr>
          <w:noProof/>
        </w:rPr>
        <w:t xml:space="preserve">, </w:t>
      </w:r>
      <w:r w:rsidRPr="00B55191">
        <w:rPr>
          <w:i/>
          <w:noProof/>
        </w:rPr>
        <w:t>145</w:t>
      </w:r>
      <w:r w:rsidRPr="00B55191">
        <w:rPr>
          <w:noProof/>
        </w:rPr>
        <w:t>, 6398-6409.</w:t>
      </w:r>
    </w:p>
    <w:p w14:paraId="579A587C" w14:textId="77777777" w:rsidR="00B55191" w:rsidRPr="00B55191" w:rsidRDefault="00B55191" w:rsidP="00B55191">
      <w:pPr>
        <w:pStyle w:val="EndNoteBibliography"/>
        <w:rPr>
          <w:noProof/>
        </w:rPr>
      </w:pPr>
      <w:r w:rsidRPr="00B55191">
        <w:rPr>
          <w:noProof/>
        </w:rPr>
        <w:t xml:space="preserve">(414) Diklić, N.; Clark, A. H.; Herranz, J.; Aegerter, D.; Diercks, J. S.; Beard, A.; Saveleva, V. A.; Chauhan, P.; Nachtegaal, M.; Huthwelker, T.; et al. Surface Ir+5 Formation as a Universal Prerequisite for O2 Evolution on Ir Oxides. </w:t>
      </w:r>
      <w:r w:rsidRPr="00B55191">
        <w:rPr>
          <w:i/>
          <w:noProof/>
        </w:rPr>
        <w:t xml:space="preserve">ACS Catal. </w:t>
      </w:r>
      <w:r w:rsidRPr="00B55191">
        <w:rPr>
          <w:b/>
          <w:noProof/>
        </w:rPr>
        <w:t>2023</w:t>
      </w:r>
      <w:r w:rsidRPr="00B55191">
        <w:rPr>
          <w:noProof/>
        </w:rPr>
        <w:t xml:space="preserve">, </w:t>
      </w:r>
      <w:r w:rsidRPr="00B55191">
        <w:rPr>
          <w:i/>
          <w:noProof/>
        </w:rPr>
        <w:t>13</w:t>
      </w:r>
      <w:r w:rsidRPr="00B55191">
        <w:rPr>
          <w:noProof/>
        </w:rPr>
        <w:t>, 11069-11079.</w:t>
      </w:r>
    </w:p>
    <w:p w14:paraId="27B780FE" w14:textId="77777777" w:rsidR="00B55191" w:rsidRPr="00B55191" w:rsidRDefault="00B55191" w:rsidP="00B55191">
      <w:pPr>
        <w:pStyle w:val="EndNoteBibliography"/>
        <w:rPr>
          <w:noProof/>
        </w:rPr>
      </w:pPr>
      <w:r w:rsidRPr="00B55191">
        <w:rPr>
          <w:noProof/>
        </w:rPr>
        <w:t xml:space="preserve">(415) Ooka, H.; Yamaguchi, A.; Takashima, T.; Hashimoto, K.; Nakamura, R. Efficiency of Oxygen Evolution on Iridium Oxide Determined from the Ph Dependence of Charge Accumulation. </w:t>
      </w:r>
      <w:r w:rsidRPr="00B55191">
        <w:rPr>
          <w:i/>
          <w:noProof/>
        </w:rPr>
        <w:t xml:space="preserve">J. Phys. Chem. C </w:t>
      </w:r>
      <w:r w:rsidRPr="00B55191">
        <w:rPr>
          <w:b/>
          <w:noProof/>
        </w:rPr>
        <w:t>2017</w:t>
      </w:r>
      <w:r w:rsidRPr="00B55191">
        <w:rPr>
          <w:noProof/>
        </w:rPr>
        <w:t xml:space="preserve">, </w:t>
      </w:r>
      <w:r w:rsidRPr="00B55191">
        <w:rPr>
          <w:i/>
          <w:noProof/>
        </w:rPr>
        <w:t>121</w:t>
      </w:r>
      <w:r w:rsidRPr="00B55191">
        <w:rPr>
          <w:noProof/>
        </w:rPr>
        <w:t>, 17873-17881.</w:t>
      </w:r>
    </w:p>
    <w:p w14:paraId="60D1B9F4" w14:textId="77777777" w:rsidR="00B55191" w:rsidRPr="00B55191" w:rsidRDefault="00B55191" w:rsidP="00B55191">
      <w:pPr>
        <w:pStyle w:val="EndNoteBibliography"/>
        <w:rPr>
          <w:noProof/>
        </w:rPr>
      </w:pPr>
      <w:r w:rsidRPr="00B55191">
        <w:rPr>
          <w:noProof/>
        </w:rPr>
        <w:t xml:space="preserve">(416) Pedersen, A. F.; Escudero-Escribano, M.; Sebok, B.; Bodin, A.; Paoli, E. A.; Frydendal, R.; Friebel, D.; Stephens, I. E. L.; Rossmeisl, J.; Chorkendorff, I.; Nilsson, A. </w:t>
      </w:r>
      <w:r w:rsidRPr="00B55191">
        <w:rPr>
          <w:noProof/>
        </w:rPr>
        <w:lastRenderedPageBreak/>
        <w:t xml:space="preserve">Operando Xas Study of the Surface Oxidation State on a Monolayer Irox on Ruox and Ru Oxide Based Nanoparticles for Oxygen Evolution in Acidic Media. </w:t>
      </w:r>
      <w:r w:rsidRPr="00B55191">
        <w:rPr>
          <w:i/>
          <w:noProof/>
        </w:rPr>
        <w:t xml:space="preserve">J. Phys. Chem. B </w:t>
      </w:r>
      <w:r w:rsidRPr="00B55191">
        <w:rPr>
          <w:b/>
          <w:noProof/>
        </w:rPr>
        <w:t>2017</w:t>
      </w:r>
      <w:r w:rsidRPr="00B55191">
        <w:rPr>
          <w:noProof/>
        </w:rPr>
        <w:t>, 878-887.</w:t>
      </w:r>
    </w:p>
    <w:p w14:paraId="58E59F0C" w14:textId="77777777" w:rsidR="00B55191" w:rsidRPr="00B55191" w:rsidRDefault="00B55191" w:rsidP="00B55191">
      <w:pPr>
        <w:pStyle w:val="EndNoteBibliography"/>
        <w:rPr>
          <w:noProof/>
        </w:rPr>
      </w:pPr>
      <w:r w:rsidRPr="00B55191">
        <w:rPr>
          <w:noProof/>
        </w:rPr>
        <w:t xml:space="preserve">(417) Czioska, S.; Boubnov, A.; Escalera-López, D.; Geppert, J.; Zagalskaya, A.; Röse, P.; Saraçi, E.; Alexandrov, V.; Krewer, U.; Cherevko, S.; Grunwaldt, J.-D. Increased Ir–Ir Interaction in Iridium Oxide During the Oxygen Evolution Reaction at High Potentials Probed by Operando Spectroscopy. </w:t>
      </w:r>
      <w:r w:rsidRPr="00B55191">
        <w:rPr>
          <w:i/>
          <w:noProof/>
        </w:rPr>
        <w:t xml:space="preserve">ACS Catal. </w:t>
      </w:r>
      <w:r w:rsidRPr="00B55191">
        <w:rPr>
          <w:b/>
          <w:noProof/>
        </w:rPr>
        <w:t>2021</w:t>
      </w:r>
      <w:r w:rsidRPr="00B55191">
        <w:rPr>
          <w:noProof/>
        </w:rPr>
        <w:t xml:space="preserve">, </w:t>
      </w:r>
      <w:r w:rsidRPr="00B55191">
        <w:rPr>
          <w:i/>
          <w:noProof/>
        </w:rPr>
        <w:t>11</w:t>
      </w:r>
      <w:r w:rsidRPr="00B55191">
        <w:rPr>
          <w:noProof/>
        </w:rPr>
        <w:t>, 10043-10057.</w:t>
      </w:r>
    </w:p>
    <w:p w14:paraId="1788024D" w14:textId="77777777" w:rsidR="00B55191" w:rsidRPr="00B55191" w:rsidRDefault="00B55191" w:rsidP="00B55191">
      <w:pPr>
        <w:pStyle w:val="EndNoteBibliography"/>
        <w:rPr>
          <w:noProof/>
        </w:rPr>
      </w:pPr>
      <w:r w:rsidRPr="00B55191">
        <w:rPr>
          <w:noProof/>
        </w:rPr>
        <w:t xml:space="preserve">(418) Czioska, S.; Ehelebe, K.; Geppert, J.; Escalera-López, D.; Boubnov, A.; Saraçi, E.; Mayerhöfer, B.; Krewer, U.; Cherevko, S.; Grunwaldt, J.-D. Heating up the Oer: Investigation of Iro2 Oer Catalysts as Function of Potential and Temperature. </w:t>
      </w:r>
      <w:r w:rsidRPr="00B55191">
        <w:rPr>
          <w:i/>
          <w:noProof/>
        </w:rPr>
        <w:t xml:space="preserve">ChemElectroChem </w:t>
      </w:r>
      <w:r w:rsidRPr="00B55191">
        <w:rPr>
          <w:b/>
          <w:noProof/>
        </w:rPr>
        <w:t>2022</w:t>
      </w:r>
      <w:r w:rsidRPr="00B55191">
        <w:rPr>
          <w:noProof/>
        </w:rPr>
        <w:t xml:space="preserve">, </w:t>
      </w:r>
      <w:r w:rsidRPr="00B55191">
        <w:rPr>
          <w:i/>
          <w:noProof/>
        </w:rPr>
        <w:t>9</w:t>
      </w:r>
      <w:r w:rsidRPr="00B55191">
        <w:rPr>
          <w:noProof/>
        </w:rPr>
        <w:t>, e202200514.</w:t>
      </w:r>
    </w:p>
    <w:p w14:paraId="490BE26A" w14:textId="77777777" w:rsidR="00B55191" w:rsidRPr="00B55191" w:rsidRDefault="00B55191" w:rsidP="00B55191">
      <w:pPr>
        <w:pStyle w:val="EndNoteBibliography"/>
        <w:rPr>
          <w:noProof/>
        </w:rPr>
      </w:pPr>
      <w:r w:rsidRPr="00B55191">
        <w:rPr>
          <w:noProof/>
        </w:rPr>
        <w:t xml:space="preserve">(419) Shi, Z.; Li, J.; Jiang, J.; Wang, Y.; Wang, X.; Li, Y.; Yang, L.; Chu, Y.; Bai, J.; Yang, J.; et al. Enhanced Acidic Water Oxidation by Dynamic Migration of Oxygen Species at the Ir/Nb2o5−X Catalyst/Support Interfaces. </w:t>
      </w:r>
      <w:r w:rsidRPr="00B55191">
        <w:rPr>
          <w:i/>
          <w:noProof/>
        </w:rPr>
        <w:t xml:space="preserve">Angew. Chem. Int. Ed. </w:t>
      </w:r>
      <w:r w:rsidRPr="00B55191">
        <w:rPr>
          <w:b/>
          <w:noProof/>
        </w:rPr>
        <w:t>2022</w:t>
      </w:r>
      <w:r w:rsidRPr="00B55191">
        <w:rPr>
          <w:noProof/>
        </w:rPr>
        <w:t xml:space="preserve">, </w:t>
      </w:r>
      <w:r w:rsidRPr="00B55191">
        <w:rPr>
          <w:i/>
          <w:noProof/>
        </w:rPr>
        <w:t>61</w:t>
      </w:r>
      <w:r w:rsidRPr="00B55191">
        <w:rPr>
          <w:noProof/>
        </w:rPr>
        <w:t>, e202212341.</w:t>
      </w:r>
    </w:p>
    <w:p w14:paraId="6A195CD9" w14:textId="77777777" w:rsidR="00B55191" w:rsidRPr="00B55191" w:rsidRDefault="00B55191" w:rsidP="00B55191">
      <w:pPr>
        <w:pStyle w:val="EndNoteBibliography"/>
        <w:rPr>
          <w:noProof/>
        </w:rPr>
      </w:pPr>
      <w:r w:rsidRPr="00B55191">
        <w:rPr>
          <w:noProof/>
        </w:rPr>
        <w:t xml:space="preserve">(420) Diklić, N.; Clark, A. H.; Herranz, J.; Diercks, J. S.; Aegerter, D.; Nachtegaal, M.; Beard, A.; Schmidt, T. J. Potential Pitfalls in the Operando Xas Study of Oxygen Evolution Electrocatalysts. </w:t>
      </w:r>
      <w:r w:rsidRPr="00B55191">
        <w:rPr>
          <w:i/>
          <w:noProof/>
        </w:rPr>
        <w:t xml:space="preserve">ACS Energy Lett. </w:t>
      </w:r>
      <w:r w:rsidRPr="00B55191">
        <w:rPr>
          <w:b/>
          <w:noProof/>
        </w:rPr>
        <w:t>2022</w:t>
      </w:r>
      <w:r w:rsidRPr="00B55191">
        <w:rPr>
          <w:noProof/>
        </w:rPr>
        <w:t xml:space="preserve">, </w:t>
      </w:r>
      <w:r w:rsidRPr="00B55191">
        <w:rPr>
          <w:i/>
          <w:noProof/>
        </w:rPr>
        <w:t>7</w:t>
      </w:r>
      <w:r w:rsidRPr="00B55191">
        <w:rPr>
          <w:noProof/>
        </w:rPr>
        <w:t>, 1735-1740.</w:t>
      </w:r>
    </w:p>
    <w:p w14:paraId="2FF80240" w14:textId="77777777" w:rsidR="00B55191" w:rsidRPr="00B55191" w:rsidRDefault="00B55191" w:rsidP="00B55191">
      <w:pPr>
        <w:pStyle w:val="EndNoteBibliography"/>
        <w:rPr>
          <w:noProof/>
        </w:rPr>
      </w:pPr>
      <w:r w:rsidRPr="00B55191">
        <w:rPr>
          <w:noProof/>
        </w:rPr>
        <w:t xml:space="preserve">(421) Saveleva, V. A.; Wang, L.; Teschner, D.; Jones, T.; Gago, A. S.; Friedrich, K. A.; Zafeiratos, S.; Schlögl, R.; Savinova, E. R. Operando Evidence for a Universal Oxygen Evolution Mechanism on Thermal and Electrochemical Iridium Oxides. </w:t>
      </w:r>
      <w:r w:rsidRPr="00B55191">
        <w:rPr>
          <w:i/>
          <w:noProof/>
        </w:rPr>
        <w:t xml:space="preserve">J. Phys. Chem. Lett. </w:t>
      </w:r>
      <w:r w:rsidRPr="00B55191">
        <w:rPr>
          <w:b/>
          <w:noProof/>
        </w:rPr>
        <w:t>2018</w:t>
      </w:r>
      <w:r w:rsidRPr="00B55191">
        <w:rPr>
          <w:noProof/>
        </w:rPr>
        <w:t xml:space="preserve">, </w:t>
      </w:r>
      <w:r w:rsidRPr="00B55191">
        <w:rPr>
          <w:i/>
          <w:noProof/>
        </w:rPr>
        <w:t>9</w:t>
      </w:r>
      <w:r w:rsidRPr="00B55191">
        <w:rPr>
          <w:noProof/>
        </w:rPr>
        <w:t xml:space="preserve">, </w:t>
      </w:r>
    </w:p>
    <w:p w14:paraId="07EEC601" w14:textId="77777777" w:rsidR="00B55191" w:rsidRPr="00B55191" w:rsidRDefault="00B55191" w:rsidP="00B55191">
      <w:pPr>
        <w:pStyle w:val="EndNoteBibliography"/>
        <w:rPr>
          <w:noProof/>
        </w:rPr>
      </w:pPr>
      <w:r w:rsidRPr="00B55191">
        <w:rPr>
          <w:noProof/>
        </w:rPr>
        <w:t xml:space="preserve">(422) Nishimoto, T.; Shinagawa, T.; Naito, T.; Takanabe, K. Microkinetic Assessment of Electrocatalytic Oxygen Evolution Reaction over Iridium Oxide in Unbuffered Conditions. </w:t>
      </w:r>
      <w:r w:rsidRPr="00B55191">
        <w:rPr>
          <w:i/>
          <w:noProof/>
        </w:rPr>
        <w:t xml:space="preserve">J. Catal. </w:t>
      </w:r>
      <w:r w:rsidRPr="00B55191">
        <w:rPr>
          <w:b/>
          <w:noProof/>
        </w:rPr>
        <w:t>2020</w:t>
      </w:r>
      <w:r w:rsidRPr="00B55191">
        <w:rPr>
          <w:noProof/>
        </w:rPr>
        <w:t xml:space="preserve">, </w:t>
      </w:r>
      <w:r w:rsidRPr="00B55191">
        <w:rPr>
          <w:i/>
          <w:noProof/>
        </w:rPr>
        <w:t>391</w:t>
      </w:r>
      <w:r w:rsidRPr="00B55191">
        <w:rPr>
          <w:noProof/>
        </w:rPr>
        <w:t>, 435-445.</w:t>
      </w:r>
    </w:p>
    <w:p w14:paraId="69256410" w14:textId="77777777" w:rsidR="00B55191" w:rsidRPr="00B55191" w:rsidRDefault="00B55191" w:rsidP="00B55191">
      <w:pPr>
        <w:pStyle w:val="EndNoteBibliography"/>
        <w:rPr>
          <w:noProof/>
        </w:rPr>
      </w:pPr>
      <w:r w:rsidRPr="00B55191">
        <w:rPr>
          <w:noProof/>
        </w:rPr>
        <w:t xml:space="preserve">(423) Liang, C.; Katayama, Y.; Tao, Y.; Morinaga, A.; Moss, B.; Celorrio, V.; Ryan, M.; IStephens, f. E. L.; Durrant, J. R.; Rao, R. R. Role of Electrolyte Ph on Water Oxidation for Iridium Oxides. </w:t>
      </w:r>
      <w:r w:rsidRPr="00B55191">
        <w:rPr>
          <w:i/>
          <w:noProof/>
        </w:rPr>
        <w:t xml:space="preserve">J. Am. Chem. Soc. </w:t>
      </w:r>
      <w:r w:rsidRPr="00B55191">
        <w:rPr>
          <w:b/>
          <w:noProof/>
        </w:rPr>
        <w:t>2024</w:t>
      </w:r>
      <w:r w:rsidRPr="00B55191">
        <w:rPr>
          <w:noProof/>
        </w:rPr>
        <w:t xml:space="preserve">, </w:t>
      </w:r>
      <w:r w:rsidRPr="00B55191">
        <w:rPr>
          <w:i/>
          <w:noProof/>
        </w:rPr>
        <w:t>146</w:t>
      </w:r>
      <w:r w:rsidRPr="00B55191">
        <w:rPr>
          <w:noProof/>
        </w:rPr>
        <w:t>, 8928–8938.</w:t>
      </w:r>
    </w:p>
    <w:p w14:paraId="1DBA9644" w14:textId="77777777" w:rsidR="00B55191" w:rsidRPr="00B55191" w:rsidRDefault="00B55191" w:rsidP="00B55191">
      <w:pPr>
        <w:pStyle w:val="EndNoteBibliography"/>
        <w:rPr>
          <w:noProof/>
        </w:rPr>
      </w:pPr>
      <w:r w:rsidRPr="00B55191">
        <w:rPr>
          <w:noProof/>
        </w:rPr>
        <w:t xml:space="preserve">(424) Bozal-Ginesta, C.; Rao, R. R.; Mesa, C. A.; Liu, X.; Hillman, S. A. J.; Stephens, I. E. L.; Durrant, J. R. Redox-State Kinetics in Water-Oxidation Irox Electrocatalysts Measured by Operando Spectroelectrochemistry. </w:t>
      </w:r>
      <w:r w:rsidRPr="00B55191">
        <w:rPr>
          <w:i/>
          <w:noProof/>
        </w:rPr>
        <w:t xml:space="preserve">ACS Catal. </w:t>
      </w:r>
      <w:r w:rsidRPr="00B55191">
        <w:rPr>
          <w:b/>
          <w:noProof/>
        </w:rPr>
        <w:t>2021</w:t>
      </w:r>
      <w:r w:rsidRPr="00B55191">
        <w:rPr>
          <w:noProof/>
        </w:rPr>
        <w:t xml:space="preserve">, </w:t>
      </w:r>
      <w:r w:rsidRPr="00B55191">
        <w:rPr>
          <w:i/>
          <w:noProof/>
        </w:rPr>
        <w:t>11</w:t>
      </w:r>
      <w:r w:rsidRPr="00B55191">
        <w:rPr>
          <w:noProof/>
        </w:rPr>
        <w:t>, 15013-15025.</w:t>
      </w:r>
    </w:p>
    <w:p w14:paraId="0D2E8D49" w14:textId="77777777" w:rsidR="00B55191" w:rsidRPr="00B55191" w:rsidRDefault="00B55191" w:rsidP="00B55191">
      <w:pPr>
        <w:pStyle w:val="EndNoteBibliography"/>
        <w:rPr>
          <w:noProof/>
        </w:rPr>
      </w:pPr>
      <w:r w:rsidRPr="00B55191">
        <w:rPr>
          <w:noProof/>
        </w:rPr>
        <w:t xml:space="preserve">(425) Gileadi, E.; Conway, B. E. Kinetic Theory of Adsorption of Intermediates in Electrochemical Catalysis. </w:t>
      </w:r>
      <w:r w:rsidRPr="00B55191">
        <w:rPr>
          <w:i/>
          <w:noProof/>
        </w:rPr>
        <w:t xml:space="preserve">J. Chem. Phys. </w:t>
      </w:r>
      <w:r w:rsidRPr="00B55191">
        <w:rPr>
          <w:b/>
          <w:noProof/>
        </w:rPr>
        <w:t>1963</w:t>
      </w:r>
      <w:r w:rsidRPr="00B55191">
        <w:rPr>
          <w:noProof/>
        </w:rPr>
        <w:t xml:space="preserve">, </w:t>
      </w:r>
      <w:r w:rsidRPr="00B55191">
        <w:rPr>
          <w:i/>
          <w:noProof/>
        </w:rPr>
        <w:t>39</w:t>
      </w:r>
      <w:r w:rsidRPr="00B55191">
        <w:rPr>
          <w:noProof/>
        </w:rPr>
        <w:t>, 3420-3430.</w:t>
      </w:r>
    </w:p>
    <w:p w14:paraId="62ABF142" w14:textId="77777777" w:rsidR="00B55191" w:rsidRPr="00B55191" w:rsidRDefault="00B55191" w:rsidP="00B55191">
      <w:pPr>
        <w:pStyle w:val="EndNoteBibliography"/>
        <w:rPr>
          <w:noProof/>
        </w:rPr>
      </w:pPr>
      <w:r w:rsidRPr="00B55191">
        <w:rPr>
          <w:noProof/>
        </w:rPr>
        <w:t xml:space="preserve">(426) Saraby-Reintjes, A. Electrocatalysis under Temkin Adsorption Conditions. </w:t>
      </w:r>
      <w:r w:rsidRPr="00B55191">
        <w:rPr>
          <w:i/>
          <w:noProof/>
        </w:rPr>
        <w:t xml:space="preserve">J. Chem. Soc., Faraday Trans. 1 </w:t>
      </w:r>
      <w:r w:rsidRPr="00B55191">
        <w:rPr>
          <w:b/>
          <w:noProof/>
        </w:rPr>
        <w:t>1987</w:t>
      </w:r>
      <w:r w:rsidRPr="00B55191">
        <w:rPr>
          <w:noProof/>
        </w:rPr>
        <w:t xml:space="preserve">, </w:t>
      </w:r>
      <w:r w:rsidRPr="00B55191">
        <w:rPr>
          <w:i/>
          <w:noProof/>
        </w:rPr>
        <w:t>83</w:t>
      </w:r>
      <w:r w:rsidRPr="00B55191">
        <w:rPr>
          <w:noProof/>
        </w:rPr>
        <w:t>, 271-279.</w:t>
      </w:r>
    </w:p>
    <w:p w14:paraId="66E550F4" w14:textId="77777777" w:rsidR="00B55191" w:rsidRPr="00B55191" w:rsidRDefault="00B55191" w:rsidP="00B55191">
      <w:pPr>
        <w:pStyle w:val="EndNoteBibliography"/>
        <w:rPr>
          <w:noProof/>
        </w:rPr>
      </w:pPr>
      <w:r w:rsidRPr="00B55191">
        <w:rPr>
          <w:noProof/>
        </w:rPr>
        <w:t xml:space="preserve">(427) Nattino, F.; Marzari, N. Operando Xanes from First-Principles and Its Application to Iridium Oxide. </w:t>
      </w:r>
      <w:r w:rsidRPr="00B55191">
        <w:rPr>
          <w:i/>
          <w:noProof/>
        </w:rPr>
        <w:t xml:space="preserve">Phys. Chem. Chem. Phys. </w:t>
      </w:r>
      <w:r w:rsidRPr="00B55191">
        <w:rPr>
          <w:b/>
          <w:noProof/>
        </w:rPr>
        <w:t>2020</w:t>
      </w:r>
      <w:r w:rsidRPr="00B55191">
        <w:rPr>
          <w:noProof/>
        </w:rPr>
        <w:t xml:space="preserve">, </w:t>
      </w:r>
      <w:r w:rsidRPr="00B55191">
        <w:rPr>
          <w:i/>
          <w:noProof/>
        </w:rPr>
        <w:t>22</w:t>
      </w:r>
      <w:r w:rsidRPr="00B55191">
        <w:rPr>
          <w:noProof/>
        </w:rPr>
        <w:t>, 10807-10818.</w:t>
      </w:r>
    </w:p>
    <w:p w14:paraId="441F5DB0" w14:textId="77777777" w:rsidR="00B55191" w:rsidRPr="00B55191" w:rsidRDefault="00B55191" w:rsidP="00B55191">
      <w:pPr>
        <w:pStyle w:val="EndNoteBibliography"/>
        <w:rPr>
          <w:noProof/>
        </w:rPr>
      </w:pPr>
      <w:r w:rsidRPr="00B55191">
        <w:rPr>
          <w:noProof/>
        </w:rPr>
        <w:t xml:space="preserve">(428) Cherevko, S.; Reier, T.; Zeradjanin, A. R.; Pawolek, Z.; Strasser, P.; Mayrhofer, K. J. J. Stability of Nanostructured Iridium Oxide Electrocatalysts During Oxygen Evolution Reaction in Acidic Environment. </w:t>
      </w:r>
      <w:r w:rsidRPr="00B55191">
        <w:rPr>
          <w:i/>
          <w:noProof/>
        </w:rPr>
        <w:t xml:space="preserve">Electrochem. Commun. </w:t>
      </w:r>
      <w:r w:rsidRPr="00B55191">
        <w:rPr>
          <w:b/>
          <w:noProof/>
        </w:rPr>
        <w:t>2014</w:t>
      </w:r>
      <w:r w:rsidRPr="00B55191">
        <w:rPr>
          <w:noProof/>
        </w:rPr>
        <w:t xml:space="preserve">, </w:t>
      </w:r>
      <w:r w:rsidRPr="00B55191">
        <w:rPr>
          <w:i/>
          <w:noProof/>
        </w:rPr>
        <w:t>48</w:t>
      </w:r>
      <w:r w:rsidRPr="00B55191">
        <w:rPr>
          <w:noProof/>
        </w:rPr>
        <w:t>, 81-85.</w:t>
      </w:r>
    </w:p>
    <w:p w14:paraId="0A39F540" w14:textId="77777777" w:rsidR="00B55191" w:rsidRPr="00B55191" w:rsidRDefault="00B55191" w:rsidP="00B55191">
      <w:pPr>
        <w:pStyle w:val="EndNoteBibliography"/>
        <w:rPr>
          <w:noProof/>
        </w:rPr>
      </w:pPr>
      <w:r w:rsidRPr="00B55191">
        <w:rPr>
          <w:noProof/>
        </w:rPr>
        <w:t xml:space="preserve">(429) Macdonald, D. D. On the Existence of Our Metals-Based Civilization: I. Phase-Space Analysis. </w:t>
      </w:r>
      <w:r w:rsidRPr="00B55191">
        <w:rPr>
          <w:i/>
          <w:noProof/>
        </w:rPr>
        <w:t xml:space="preserve">J. Electrochem. Soc. </w:t>
      </w:r>
      <w:r w:rsidRPr="00B55191">
        <w:rPr>
          <w:b/>
          <w:noProof/>
        </w:rPr>
        <w:t>2006</w:t>
      </w:r>
      <w:r w:rsidRPr="00B55191">
        <w:rPr>
          <w:noProof/>
        </w:rPr>
        <w:t xml:space="preserve">, </w:t>
      </w:r>
      <w:r w:rsidRPr="00B55191">
        <w:rPr>
          <w:i/>
          <w:noProof/>
        </w:rPr>
        <w:t>153</w:t>
      </w:r>
      <w:r w:rsidRPr="00B55191">
        <w:rPr>
          <w:noProof/>
        </w:rPr>
        <w:t>, B213.</w:t>
      </w:r>
    </w:p>
    <w:p w14:paraId="5FC7D769" w14:textId="77777777" w:rsidR="00B55191" w:rsidRPr="00B55191" w:rsidRDefault="00B55191" w:rsidP="00B55191">
      <w:pPr>
        <w:pStyle w:val="EndNoteBibliography"/>
        <w:rPr>
          <w:noProof/>
        </w:rPr>
      </w:pPr>
      <w:r w:rsidRPr="00B55191">
        <w:rPr>
          <w:noProof/>
        </w:rPr>
        <w:t xml:space="preserve">(430) Zagalskaya, A.; Alexandrov, V. Mechanistic Study of Iro2 Dissolution During the Electrocatalytic Oxygen Evolution Reaction. </w:t>
      </w:r>
      <w:r w:rsidRPr="00B55191">
        <w:rPr>
          <w:i/>
          <w:noProof/>
        </w:rPr>
        <w:t xml:space="preserve">J. Phys. Chem. Lett. </w:t>
      </w:r>
      <w:r w:rsidRPr="00B55191">
        <w:rPr>
          <w:b/>
          <w:noProof/>
        </w:rPr>
        <w:t>2020</w:t>
      </w:r>
      <w:r w:rsidRPr="00B55191">
        <w:rPr>
          <w:noProof/>
        </w:rPr>
        <w:t xml:space="preserve">, </w:t>
      </w:r>
      <w:r w:rsidRPr="00B55191">
        <w:rPr>
          <w:i/>
          <w:noProof/>
        </w:rPr>
        <w:t>11</w:t>
      </w:r>
      <w:r w:rsidRPr="00B55191">
        <w:rPr>
          <w:noProof/>
        </w:rPr>
        <w:t>, 2695-2700.</w:t>
      </w:r>
    </w:p>
    <w:p w14:paraId="600D7E65" w14:textId="77777777" w:rsidR="00B55191" w:rsidRPr="00B55191" w:rsidRDefault="00B55191" w:rsidP="00B55191">
      <w:pPr>
        <w:pStyle w:val="EndNoteBibliography"/>
        <w:rPr>
          <w:noProof/>
        </w:rPr>
      </w:pPr>
      <w:r w:rsidRPr="00B55191">
        <w:rPr>
          <w:noProof/>
        </w:rPr>
        <w:t xml:space="preserve">(431) Ha, M.-A.; Larsen, R. E. Multiple Reaction Pathways for the Oxygen Evolution Reaction May Contribute to Iro2 (110)’S High Activity. </w:t>
      </w:r>
      <w:r w:rsidRPr="00B55191">
        <w:rPr>
          <w:i/>
          <w:noProof/>
        </w:rPr>
        <w:t xml:space="preserve">J. Electrochem. Soc. </w:t>
      </w:r>
      <w:r w:rsidRPr="00B55191">
        <w:rPr>
          <w:b/>
          <w:noProof/>
        </w:rPr>
        <w:t>2021</w:t>
      </w:r>
      <w:r w:rsidRPr="00B55191">
        <w:rPr>
          <w:noProof/>
        </w:rPr>
        <w:t xml:space="preserve">, </w:t>
      </w:r>
      <w:r w:rsidRPr="00B55191">
        <w:rPr>
          <w:i/>
          <w:noProof/>
        </w:rPr>
        <w:t>168</w:t>
      </w:r>
      <w:r w:rsidRPr="00B55191">
        <w:rPr>
          <w:noProof/>
        </w:rPr>
        <w:t>, 024506.</w:t>
      </w:r>
    </w:p>
    <w:p w14:paraId="68C07AE6" w14:textId="77777777" w:rsidR="00B55191" w:rsidRPr="00B55191" w:rsidRDefault="00B55191" w:rsidP="00B55191">
      <w:pPr>
        <w:pStyle w:val="EndNoteBibliography"/>
        <w:rPr>
          <w:noProof/>
        </w:rPr>
      </w:pPr>
      <w:r w:rsidRPr="00B55191">
        <w:rPr>
          <w:noProof/>
        </w:rPr>
        <w:t xml:space="preserve">(432) Gebremariam, G. K.; Jovanović, A. Z.; Pašti, I. A. The Effect of Electrolytes on the Kinetics of the Hydrogen Evolution Reaction. </w:t>
      </w:r>
      <w:r w:rsidRPr="00B55191">
        <w:rPr>
          <w:i/>
          <w:noProof/>
        </w:rPr>
        <w:t xml:space="preserve">Hydrogen </w:t>
      </w:r>
      <w:r w:rsidRPr="00B55191">
        <w:rPr>
          <w:b/>
          <w:noProof/>
        </w:rPr>
        <w:t>2023</w:t>
      </w:r>
      <w:r w:rsidRPr="00B55191">
        <w:rPr>
          <w:noProof/>
        </w:rPr>
        <w:t xml:space="preserve">, </w:t>
      </w:r>
      <w:r w:rsidRPr="00B55191">
        <w:rPr>
          <w:i/>
          <w:noProof/>
        </w:rPr>
        <w:t>4</w:t>
      </w:r>
      <w:r w:rsidRPr="00B55191">
        <w:rPr>
          <w:noProof/>
        </w:rPr>
        <w:t>, 776-806.</w:t>
      </w:r>
    </w:p>
    <w:p w14:paraId="63C43EF5" w14:textId="77777777" w:rsidR="00B55191" w:rsidRPr="00B55191" w:rsidRDefault="00B55191" w:rsidP="00B55191">
      <w:pPr>
        <w:pStyle w:val="EndNoteBibliography"/>
        <w:rPr>
          <w:noProof/>
        </w:rPr>
      </w:pPr>
      <w:r w:rsidRPr="00B55191">
        <w:rPr>
          <w:noProof/>
        </w:rPr>
        <w:lastRenderedPageBreak/>
        <w:t xml:space="preserve">(433) Monteiro, M. C. O.; Goyal, A.; Moerland, P.; Koper, M. T. M. Understanding Cation Trends for Hydrogen Evolution on Platinum and Gold Electrodes in Alkaline Media. </w:t>
      </w:r>
      <w:r w:rsidRPr="00B55191">
        <w:rPr>
          <w:i/>
          <w:noProof/>
        </w:rPr>
        <w:t xml:space="preserve">ACS Catal. </w:t>
      </w:r>
      <w:r w:rsidRPr="00B55191">
        <w:rPr>
          <w:b/>
          <w:noProof/>
        </w:rPr>
        <w:t>2021</w:t>
      </w:r>
      <w:r w:rsidRPr="00B55191">
        <w:rPr>
          <w:noProof/>
        </w:rPr>
        <w:t xml:space="preserve">, </w:t>
      </w:r>
      <w:r w:rsidRPr="00B55191">
        <w:rPr>
          <w:i/>
          <w:noProof/>
        </w:rPr>
        <w:t>11</w:t>
      </w:r>
      <w:r w:rsidRPr="00B55191">
        <w:rPr>
          <w:noProof/>
        </w:rPr>
        <w:t>, 14328-14335.</w:t>
      </w:r>
    </w:p>
    <w:p w14:paraId="3EA3DE68" w14:textId="77777777" w:rsidR="00B55191" w:rsidRPr="00B55191" w:rsidRDefault="00B55191" w:rsidP="00B55191">
      <w:pPr>
        <w:pStyle w:val="EndNoteBibliography"/>
        <w:rPr>
          <w:noProof/>
        </w:rPr>
      </w:pPr>
      <w:r w:rsidRPr="00B55191">
        <w:rPr>
          <w:noProof/>
        </w:rPr>
        <w:t xml:space="preserve">(434) Ringe, S. Cation Effects on Electrocatalytic Reduction Processes at the Example of the Hydrogen Evolution Reaction. </w:t>
      </w:r>
      <w:r w:rsidRPr="00B55191">
        <w:rPr>
          <w:i/>
          <w:noProof/>
        </w:rPr>
        <w:t xml:space="preserve">Curr. Opin. Electrochem. </w:t>
      </w:r>
      <w:r w:rsidRPr="00B55191">
        <w:rPr>
          <w:b/>
          <w:noProof/>
        </w:rPr>
        <w:t>2023</w:t>
      </w:r>
      <w:r w:rsidRPr="00B55191">
        <w:rPr>
          <w:noProof/>
        </w:rPr>
        <w:t xml:space="preserve">, </w:t>
      </w:r>
      <w:r w:rsidRPr="00B55191">
        <w:rPr>
          <w:i/>
          <w:noProof/>
        </w:rPr>
        <w:t>39</w:t>
      </w:r>
      <w:r w:rsidRPr="00B55191">
        <w:rPr>
          <w:noProof/>
        </w:rPr>
        <w:t>, 101268.</w:t>
      </w:r>
    </w:p>
    <w:p w14:paraId="099B0DCB" w14:textId="77777777" w:rsidR="00B55191" w:rsidRPr="00B55191" w:rsidRDefault="00B55191" w:rsidP="00B55191">
      <w:pPr>
        <w:pStyle w:val="EndNoteBibliography"/>
        <w:rPr>
          <w:noProof/>
        </w:rPr>
      </w:pPr>
      <w:r w:rsidRPr="00B55191">
        <w:rPr>
          <w:noProof/>
        </w:rPr>
        <w:t xml:space="preserve">(435) Moura de Salles Pupo, M.; Kortlever, R. Electrolyte Effects on the Electrochemical Reduction of Co2. </w:t>
      </w:r>
      <w:r w:rsidRPr="00B55191">
        <w:rPr>
          <w:i/>
          <w:noProof/>
        </w:rPr>
        <w:t xml:space="preserve">ChemPhysChem </w:t>
      </w:r>
      <w:r w:rsidRPr="00B55191">
        <w:rPr>
          <w:b/>
          <w:noProof/>
        </w:rPr>
        <w:t>2019</w:t>
      </w:r>
      <w:r w:rsidRPr="00B55191">
        <w:rPr>
          <w:noProof/>
        </w:rPr>
        <w:t xml:space="preserve">, </w:t>
      </w:r>
      <w:r w:rsidRPr="00B55191">
        <w:rPr>
          <w:i/>
          <w:noProof/>
        </w:rPr>
        <w:t>20</w:t>
      </w:r>
      <w:r w:rsidRPr="00B55191">
        <w:rPr>
          <w:noProof/>
        </w:rPr>
        <w:t>, 2926-2935.</w:t>
      </w:r>
    </w:p>
    <w:p w14:paraId="19A0F280" w14:textId="77777777" w:rsidR="00B55191" w:rsidRPr="00B55191" w:rsidRDefault="00B55191" w:rsidP="00B55191">
      <w:pPr>
        <w:pStyle w:val="EndNoteBibliography"/>
        <w:rPr>
          <w:noProof/>
        </w:rPr>
      </w:pPr>
      <w:r w:rsidRPr="00B55191">
        <w:rPr>
          <w:noProof/>
        </w:rPr>
        <w:t xml:space="preserve">(436) Wang, Y.; Liu, Y.; Wiley, D.; Zhao, S.; Tang, Z. Recent Advances in Electrocatalytic Chloride Oxidation for Chlorine Gas Production. </w:t>
      </w:r>
      <w:r w:rsidRPr="00B55191">
        <w:rPr>
          <w:i/>
          <w:noProof/>
        </w:rPr>
        <w:t xml:space="preserve">J. Mater. Chem. A </w:t>
      </w:r>
      <w:r w:rsidRPr="00B55191">
        <w:rPr>
          <w:b/>
          <w:noProof/>
        </w:rPr>
        <w:t>2021</w:t>
      </w:r>
      <w:r w:rsidRPr="00B55191">
        <w:rPr>
          <w:noProof/>
        </w:rPr>
        <w:t xml:space="preserve">, </w:t>
      </w:r>
      <w:r w:rsidRPr="00B55191">
        <w:rPr>
          <w:i/>
          <w:noProof/>
        </w:rPr>
        <w:t>9</w:t>
      </w:r>
      <w:r w:rsidRPr="00B55191">
        <w:rPr>
          <w:noProof/>
        </w:rPr>
        <w:t>, 18974-18993.</w:t>
      </w:r>
    </w:p>
    <w:p w14:paraId="646C2EE8" w14:textId="77777777" w:rsidR="00B55191" w:rsidRPr="00B55191" w:rsidRDefault="00B55191" w:rsidP="00B55191">
      <w:pPr>
        <w:pStyle w:val="EndNoteBibliography"/>
        <w:rPr>
          <w:noProof/>
        </w:rPr>
      </w:pPr>
      <w:r w:rsidRPr="00B55191">
        <w:rPr>
          <w:noProof/>
        </w:rPr>
        <w:t xml:space="preserve">(437) Vos, J. G.; Venugopal, A.; Smith, W. A.; Koper, M. T. M. Competition and Selectivity During Parallel Evolution of Bromine, Chlorine and Oxygen on Irox Electrodes. </w:t>
      </w:r>
      <w:r w:rsidRPr="00B55191">
        <w:rPr>
          <w:i/>
          <w:noProof/>
        </w:rPr>
        <w:t xml:space="preserve">J. Catal. </w:t>
      </w:r>
      <w:r w:rsidRPr="00B55191">
        <w:rPr>
          <w:b/>
          <w:noProof/>
        </w:rPr>
        <w:t>2020</w:t>
      </w:r>
      <w:r w:rsidRPr="00B55191">
        <w:rPr>
          <w:noProof/>
        </w:rPr>
        <w:t xml:space="preserve">, </w:t>
      </w:r>
      <w:r w:rsidRPr="00B55191">
        <w:rPr>
          <w:i/>
          <w:noProof/>
        </w:rPr>
        <w:t>389</w:t>
      </w:r>
      <w:r w:rsidRPr="00B55191">
        <w:rPr>
          <w:noProof/>
        </w:rPr>
        <w:t>, 99-110.</w:t>
      </w:r>
    </w:p>
    <w:p w14:paraId="55227AEF" w14:textId="77777777" w:rsidR="00B55191" w:rsidRPr="00B55191" w:rsidRDefault="00B55191" w:rsidP="00B55191">
      <w:pPr>
        <w:pStyle w:val="EndNoteBibliography"/>
        <w:rPr>
          <w:noProof/>
        </w:rPr>
      </w:pPr>
      <w:r w:rsidRPr="00B55191">
        <w:rPr>
          <w:noProof/>
        </w:rPr>
        <w:t xml:space="preserve">(438) Mohammed-Ibrahim, J.; Moussab, H. Recent Advances on Hydrogen Production through Seawater Electrolysis. </w:t>
      </w:r>
      <w:r w:rsidRPr="00B55191">
        <w:rPr>
          <w:i/>
          <w:noProof/>
        </w:rPr>
        <w:t xml:space="preserve">Mater. Sci. Energy Technol. </w:t>
      </w:r>
      <w:r w:rsidRPr="00B55191">
        <w:rPr>
          <w:b/>
          <w:noProof/>
        </w:rPr>
        <w:t>2020</w:t>
      </w:r>
      <w:r w:rsidRPr="00B55191">
        <w:rPr>
          <w:noProof/>
        </w:rPr>
        <w:t xml:space="preserve">, </w:t>
      </w:r>
      <w:r w:rsidRPr="00B55191">
        <w:rPr>
          <w:i/>
          <w:noProof/>
        </w:rPr>
        <w:t>3</w:t>
      </w:r>
      <w:r w:rsidRPr="00B55191">
        <w:rPr>
          <w:noProof/>
        </w:rPr>
        <w:t>, 780-807.</w:t>
      </w:r>
    </w:p>
    <w:p w14:paraId="08CC0512" w14:textId="77777777" w:rsidR="00B55191" w:rsidRPr="00B55191" w:rsidRDefault="00B55191" w:rsidP="00B55191">
      <w:pPr>
        <w:pStyle w:val="EndNoteBibliography"/>
        <w:rPr>
          <w:noProof/>
        </w:rPr>
      </w:pPr>
      <w:r w:rsidRPr="00B55191">
        <w:rPr>
          <w:noProof/>
        </w:rPr>
        <w:t xml:space="preserve">(439) Guo, J.; Zheng, Y.; Hu, Z.; Zheng, C.; Mao, J.; Du, K.; Jaroniec, M.; Qiao, S.-Z.; Ling, T. Direct Seawater Electrolysis by Adjusting the Local Reaction Environment of a Catalyst. </w:t>
      </w:r>
      <w:r w:rsidRPr="00B55191">
        <w:rPr>
          <w:i/>
          <w:noProof/>
        </w:rPr>
        <w:t xml:space="preserve">Nat. Energy </w:t>
      </w:r>
      <w:r w:rsidRPr="00B55191">
        <w:rPr>
          <w:b/>
          <w:noProof/>
        </w:rPr>
        <w:t>2023</w:t>
      </w:r>
      <w:r w:rsidRPr="00B55191">
        <w:rPr>
          <w:noProof/>
        </w:rPr>
        <w:t xml:space="preserve">, </w:t>
      </w:r>
      <w:r w:rsidRPr="00B55191">
        <w:rPr>
          <w:i/>
          <w:noProof/>
        </w:rPr>
        <w:t>8</w:t>
      </w:r>
      <w:r w:rsidRPr="00B55191">
        <w:rPr>
          <w:noProof/>
        </w:rPr>
        <w:t>, 264-272.</w:t>
      </w:r>
    </w:p>
    <w:p w14:paraId="4E81D32D" w14:textId="77777777" w:rsidR="00B55191" w:rsidRPr="00B55191" w:rsidRDefault="00B55191" w:rsidP="00B55191">
      <w:pPr>
        <w:pStyle w:val="EndNoteBibliography"/>
        <w:rPr>
          <w:noProof/>
        </w:rPr>
      </w:pPr>
      <w:r w:rsidRPr="00B55191">
        <w:rPr>
          <w:noProof/>
        </w:rPr>
        <w:t xml:space="preserve">(440) Duan, Y.; Dubouis, N.; Huang, J.; Dalla Corte, D. A.; Pimenta, V.; Xu, Z. J.; Grimaud, A. Revealing the Impact of Electrolyte Composition for Co-Based Water Oxidation Catalysts by the Study of Reaction Kinetics Parameters. </w:t>
      </w:r>
      <w:r w:rsidRPr="00B55191">
        <w:rPr>
          <w:i/>
          <w:noProof/>
        </w:rPr>
        <w:t xml:space="preserve">ACS Catal. </w:t>
      </w:r>
      <w:r w:rsidRPr="00B55191">
        <w:rPr>
          <w:b/>
          <w:noProof/>
        </w:rPr>
        <w:t>2020</w:t>
      </w:r>
      <w:r w:rsidRPr="00B55191">
        <w:rPr>
          <w:noProof/>
        </w:rPr>
        <w:t xml:space="preserve">, </w:t>
      </w:r>
      <w:r w:rsidRPr="00B55191">
        <w:rPr>
          <w:i/>
          <w:noProof/>
        </w:rPr>
        <w:t>10</w:t>
      </w:r>
      <w:r w:rsidRPr="00B55191">
        <w:rPr>
          <w:noProof/>
        </w:rPr>
        <w:t>, 4160-4170.</w:t>
      </w:r>
    </w:p>
    <w:p w14:paraId="51D8E2D5" w14:textId="77777777" w:rsidR="00B55191" w:rsidRPr="00B55191" w:rsidRDefault="00B55191" w:rsidP="00B55191">
      <w:pPr>
        <w:pStyle w:val="EndNoteBibliography"/>
        <w:rPr>
          <w:noProof/>
        </w:rPr>
      </w:pPr>
      <w:r w:rsidRPr="00B55191">
        <w:rPr>
          <w:noProof/>
        </w:rPr>
        <w:t xml:space="preserve">(441) Kuo, D.-Y.; Paik, H.; Kloppenburg, J.; Faeth, B.; Shen, K. M.; Schlom, D. G.; Hautier, G.; Suntivich, J. Measurements of Oxygen Electroadsorption Energies and Oxygen Evolution Reaction on Ruo2(110): A Discussion of the Sabatier Principle and Its Role in Electrocatalysis. </w:t>
      </w:r>
      <w:r w:rsidRPr="00B55191">
        <w:rPr>
          <w:i/>
          <w:noProof/>
        </w:rPr>
        <w:t xml:space="preserve">J. Am. Chem. Soc. </w:t>
      </w:r>
      <w:r w:rsidRPr="00B55191">
        <w:rPr>
          <w:b/>
          <w:noProof/>
        </w:rPr>
        <w:t>2018</w:t>
      </w:r>
      <w:r w:rsidRPr="00B55191">
        <w:rPr>
          <w:noProof/>
        </w:rPr>
        <w:t xml:space="preserve">, </w:t>
      </w:r>
      <w:r w:rsidRPr="00B55191">
        <w:rPr>
          <w:i/>
          <w:noProof/>
        </w:rPr>
        <w:t>2</w:t>
      </w:r>
      <w:r w:rsidRPr="00B55191">
        <w:rPr>
          <w:noProof/>
        </w:rPr>
        <w:t>, 17597–17605.</w:t>
      </w:r>
    </w:p>
    <w:p w14:paraId="7D1EB120" w14:textId="77777777" w:rsidR="00B55191" w:rsidRPr="00B55191" w:rsidRDefault="00B55191" w:rsidP="00B55191">
      <w:pPr>
        <w:pStyle w:val="EndNoteBibliography"/>
        <w:rPr>
          <w:noProof/>
        </w:rPr>
      </w:pPr>
      <w:r w:rsidRPr="00B55191">
        <w:rPr>
          <w:noProof/>
        </w:rPr>
        <w:t xml:space="preserve">(442) Lyons, M. E. G.; Burke, L. D. Mechanism of Oxygen Reactions at Porous Oxide Electrodes. Part 1.—Oxygen Evolution at Ruo2 and Rusn1–O2 Electrodes in Alkaline Solution under Vigorous Electrolysis Conditions. </w:t>
      </w:r>
      <w:r w:rsidRPr="00B55191">
        <w:rPr>
          <w:i/>
          <w:noProof/>
        </w:rPr>
        <w:t xml:space="preserve">J. Chem. Soc., Faraday Trans. 1 </w:t>
      </w:r>
      <w:r w:rsidRPr="00B55191">
        <w:rPr>
          <w:b/>
          <w:noProof/>
        </w:rPr>
        <w:t>1987</w:t>
      </w:r>
      <w:r w:rsidRPr="00B55191">
        <w:rPr>
          <w:noProof/>
        </w:rPr>
        <w:t xml:space="preserve">, </w:t>
      </w:r>
      <w:r w:rsidRPr="00B55191">
        <w:rPr>
          <w:i/>
          <w:noProof/>
        </w:rPr>
        <w:t>83</w:t>
      </w:r>
      <w:r w:rsidRPr="00B55191">
        <w:rPr>
          <w:noProof/>
        </w:rPr>
        <w:t>, 299-321.</w:t>
      </w:r>
    </w:p>
    <w:p w14:paraId="01A758AF" w14:textId="77777777" w:rsidR="00B55191" w:rsidRPr="00B55191" w:rsidRDefault="00B55191" w:rsidP="00B55191">
      <w:pPr>
        <w:pStyle w:val="EndNoteBibliography"/>
        <w:rPr>
          <w:noProof/>
        </w:rPr>
      </w:pPr>
      <w:r w:rsidRPr="00B55191">
        <w:rPr>
          <w:noProof/>
        </w:rPr>
        <w:t xml:space="preserve">(443) Nishimoto, T.; Shinagawa, T.; Naito, T.; Takanabe, K. Delivering the Full Potential of Oxygen Evolving Electrocatalyst by Conditioning Electrolytes at near-Neutral Ph. </w:t>
      </w:r>
      <w:r w:rsidRPr="00B55191">
        <w:rPr>
          <w:i/>
          <w:noProof/>
        </w:rPr>
        <w:t xml:space="preserve">ChemSusChem </w:t>
      </w:r>
      <w:r w:rsidRPr="00B55191">
        <w:rPr>
          <w:b/>
          <w:noProof/>
        </w:rPr>
        <w:t>2021</w:t>
      </w:r>
      <w:r w:rsidRPr="00B55191">
        <w:rPr>
          <w:noProof/>
        </w:rPr>
        <w:t xml:space="preserve">, </w:t>
      </w:r>
      <w:r w:rsidRPr="00B55191">
        <w:rPr>
          <w:i/>
          <w:noProof/>
        </w:rPr>
        <w:t>14</w:t>
      </w:r>
      <w:r w:rsidRPr="00B55191">
        <w:rPr>
          <w:noProof/>
        </w:rPr>
        <w:t>, 1554-1564.</w:t>
      </w:r>
    </w:p>
    <w:p w14:paraId="3F8EF777" w14:textId="77777777" w:rsidR="00B55191" w:rsidRPr="00B55191" w:rsidRDefault="00B55191" w:rsidP="00B55191">
      <w:pPr>
        <w:pStyle w:val="EndNoteBibliography"/>
        <w:rPr>
          <w:noProof/>
        </w:rPr>
      </w:pPr>
      <w:r w:rsidRPr="00B55191">
        <w:rPr>
          <w:noProof/>
        </w:rPr>
        <w:t xml:space="preserve">(444) Minguzzi, A.; Fan, F.-R. F.; Vertova, A.; Rondinini, S.; Bard, A. J. Dynamic Potential–Ph Diagrams Application to Electrocatalysts for Water Oxidation. </w:t>
      </w:r>
      <w:r w:rsidRPr="00B55191">
        <w:rPr>
          <w:i/>
          <w:noProof/>
        </w:rPr>
        <w:t xml:space="preserve">Chem. Sci. </w:t>
      </w:r>
      <w:r w:rsidRPr="00B55191">
        <w:rPr>
          <w:b/>
          <w:noProof/>
        </w:rPr>
        <w:t>2012</w:t>
      </w:r>
      <w:r w:rsidRPr="00B55191">
        <w:rPr>
          <w:noProof/>
        </w:rPr>
        <w:t xml:space="preserve">, </w:t>
      </w:r>
      <w:r w:rsidRPr="00B55191">
        <w:rPr>
          <w:i/>
          <w:noProof/>
        </w:rPr>
        <w:t>3</w:t>
      </w:r>
      <w:r w:rsidRPr="00B55191">
        <w:rPr>
          <w:noProof/>
        </w:rPr>
        <w:t>, 217-229.</w:t>
      </w:r>
    </w:p>
    <w:p w14:paraId="4655018F" w14:textId="77777777" w:rsidR="00B55191" w:rsidRPr="00B55191" w:rsidRDefault="00B55191" w:rsidP="00B55191">
      <w:pPr>
        <w:pStyle w:val="EndNoteBibliography"/>
        <w:rPr>
          <w:noProof/>
        </w:rPr>
      </w:pPr>
      <w:r w:rsidRPr="00B55191">
        <w:rPr>
          <w:noProof/>
        </w:rPr>
        <w:t xml:space="preserve">(445) Rao, R. R.; Huang, B.; Katayama, Y.; Hwang, J.; Kawaguchi, T.; Lunger, J. R.; Peng, J.; Zhang, Y.; Morinaga, A.; Zhou, H.; et al. Ph- and Cation-Dependent Water Oxidation on Rutile Ruo2(110). </w:t>
      </w:r>
      <w:r w:rsidRPr="00B55191">
        <w:rPr>
          <w:i/>
          <w:noProof/>
        </w:rPr>
        <w:t xml:space="preserve">J. Phys. Chem. C </w:t>
      </w:r>
      <w:r w:rsidRPr="00B55191">
        <w:rPr>
          <w:b/>
          <w:noProof/>
        </w:rPr>
        <w:t>2021</w:t>
      </w:r>
      <w:r w:rsidRPr="00B55191">
        <w:rPr>
          <w:noProof/>
        </w:rPr>
        <w:t xml:space="preserve">, </w:t>
      </w:r>
      <w:r w:rsidRPr="00B55191">
        <w:rPr>
          <w:i/>
          <w:noProof/>
        </w:rPr>
        <w:t>125</w:t>
      </w:r>
      <w:r w:rsidRPr="00B55191">
        <w:rPr>
          <w:noProof/>
        </w:rPr>
        <w:t>, 8195-8207.</w:t>
      </w:r>
    </w:p>
    <w:p w14:paraId="42EDB587" w14:textId="77777777" w:rsidR="00B55191" w:rsidRPr="00B55191" w:rsidRDefault="00B55191" w:rsidP="00B55191">
      <w:pPr>
        <w:pStyle w:val="EndNoteBibliography"/>
        <w:rPr>
          <w:noProof/>
        </w:rPr>
      </w:pPr>
      <w:r w:rsidRPr="00B55191">
        <w:rPr>
          <w:noProof/>
        </w:rPr>
        <w:t xml:space="preserve">(446) del Rosario, J. A. D.; Li, G.; Labata, M. F. M.; Ocon, J. D.; Chuang, P.-Y. A. Unravelling the Roles of Alkali-Metal Cations for the Enhanced Oxygen Evolution Reaction in Alkaline Media. </w:t>
      </w:r>
      <w:r w:rsidRPr="00B55191">
        <w:rPr>
          <w:i/>
          <w:noProof/>
        </w:rPr>
        <w:t xml:space="preserve">Appl. Catal., B </w:t>
      </w:r>
      <w:r w:rsidRPr="00B55191">
        <w:rPr>
          <w:b/>
          <w:noProof/>
        </w:rPr>
        <w:t>2021</w:t>
      </w:r>
      <w:r w:rsidRPr="00B55191">
        <w:rPr>
          <w:noProof/>
        </w:rPr>
        <w:t xml:space="preserve">, </w:t>
      </w:r>
      <w:r w:rsidRPr="00B55191">
        <w:rPr>
          <w:i/>
          <w:noProof/>
        </w:rPr>
        <w:t>288</w:t>
      </w:r>
      <w:r w:rsidRPr="00B55191">
        <w:rPr>
          <w:noProof/>
        </w:rPr>
        <w:t>, 119981.</w:t>
      </w:r>
    </w:p>
    <w:p w14:paraId="6E93A47F" w14:textId="77777777" w:rsidR="00B55191" w:rsidRPr="00B55191" w:rsidRDefault="00B55191" w:rsidP="00B55191">
      <w:pPr>
        <w:pStyle w:val="EndNoteBibliography"/>
        <w:rPr>
          <w:noProof/>
        </w:rPr>
      </w:pPr>
      <w:r w:rsidRPr="00B55191">
        <w:rPr>
          <w:noProof/>
        </w:rPr>
        <w:t xml:space="preserve">(447) Garcia, A. C.; Touzalin, T.; Nieuwland, C.; Perini, N.; Koper, M. T. M. Enhancement of Oxygen Evolution Activity of Nickel Oxyhydroxide by Electrolyte Alkali Cations. </w:t>
      </w:r>
      <w:r w:rsidRPr="00B55191">
        <w:rPr>
          <w:i/>
          <w:noProof/>
        </w:rPr>
        <w:t xml:space="preserve">Angew. Chem. Int. Ed. </w:t>
      </w:r>
      <w:r w:rsidRPr="00B55191">
        <w:rPr>
          <w:b/>
          <w:noProof/>
        </w:rPr>
        <w:t>2019</w:t>
      </w:r>
      <w:r w:rsidRPr="00B55191">
        <w:rPr>
          <w:noProof/>
        </w:rPr>
        <w:t xml:space="preserve">, </w:t>
      </w:r>
      <w:r w:rsidRPr="00B55191">
        <w:rPr>
          <w:i/>
          <w:noProof/>
        </w:rPr>
        <w:t>58</w:t>
      </w:r>
      <w:r w:rsidRPr="00B55191">
        <w:rPr>
          <w:noProof/>
        </w:rPr>
        <w:t>, 12999-13003.</w:t>
      </w:r>
    </w:p>
    <w:p w14:paraId="08CED0D5" w14:textId="77777777" w:rsidR="00B55191" w:rsidRPr="00B55191" w:rsidRDefault="00B55191" w:rsidP="00B55191">
      <w:pPr>
        <w:pStyle w:val="EndNoteBibliography"/>
        <w:rPr>
          <w:noProof/>
        </w:rPr>
      </w:pPr>
      <w:r w:rsidRPr="00B55191">
        <w:rPr>
          <w:noProof/>
        </w:rPr>
        <w:t xml:space="preserve">(448) Arminio-Ravelo, J. A.; Jensen, A. W.; Jensen, K. D.; Quinson, J.; Escudero-Escribano, M. Electrolyte Effects on the Electrocatalytic Performance of Iridium-Based Nanoparticles for Oxygen Evolution in Rotating Disc Electrodes. </w:t>
      </w:r>
      <w:r w:rsidRPr="00B55191">
        <w:rPr>
          <w:i/>
          <w:noProof/>
        </w:rPr>
        <w:t xml:space="preserve">ChemPhysChem </w:t>
      </w:r>
      <w:r w:rsidRPr="00B55191">
        <w:rPr>
          <w:b/>
          <w:noProof/>
        </w:rPr>
        <w:t>2019</w:t>
      </w:r>
      <w:r w:rsidRPr="00B55191">
        <w:rPr>
          <w:noProof/>
        </w:rPr>
        <w:t xml:space="preserve">, </w:t>
      </w:r>
      <w:r w:rsidRPr="00B55191">
        <w:rPr>
          <w:i/>
          <w:noProof/>
        </w:rPr>
        <w:t>20</w:t>
      </w:r>
      <w:r w:rsidRPr="00B55191">
        <w:rPr>
          <w:noProof/>
        </w:rPr>
        <w:t>, 2956-2963.</w:t>
      </w:r>
    </w:p>
    <w:p w14:paraId="02ABC4B3" w14:textId="77777777" w:rsidR="00B55191" w:rsidRPr="00B55191" w:rsidRDefault="00B55191" w:rsidP="00B55191">
      <w:pPr>
        <w:pStyle w:val="EndNoteBibliography"/>
        <w:rPr>
          <w:noProof/>
        </w:rPr>
      </w:pPr>
      <w:r w:rsidRPr="00B55191">
        <w:rPr>
          <w:noProof/>
        </w:rPr>
        <w:t xml:space="preserve">(449) Seow, J. Z. Y.; Chen, Y.; Ge, J.; Fisher, A. C.; Xu, Z. J. Deciphering the Poisoning Effect of Sulfate on a Perovskite-Derived Iroxhy Catalyst for Water Oxidation in Acid. </w:t>
      </w:r>
      <w:r w:rsidRPr="00B55191">
        <w:rPr>
          <w:i/>
          <w:noProof/>
        </w:rPr>
        <w:t xml:space="preserve">J. Electrochem. Soc. </w:t>
      </w:r>
      <w:r w:rsidRPr="00B55191">
        <w:rPr>
          <w:b/>
          <w:noProof/>
        </w:rPr>
        <w:t>2023</w:t>
      </w:r>
      <w:r w:rsidRPr="00B55191">
        <w:rPr>
          <w:noProof/>
        </w:rPr>
        <w:t xml:space="preserve">, </w:t>
      </w:r>
      <w:r w:rsidRPr="00B55191">
        <w:rPr>
          <w:i/>
          <w:noProof/>
        </w:rPr>
        <w:t>170</w:t>
      </w:r>
      <w:r w:rsidRPr="00B55191">
        <w:rPr>
          <w:noProof/>
        </w:rPr>
        <w:t>, 044507.</w:t>
      </w:r>
    </w:p>
    <w:p w14:paraId="4521FEC0" w14:textId="77777777" w:rsidR="00B55191" w:rsidRPr="00B55191" w:rsidRDefault="00B55191" w:rsidP="00B55191">
      <w:pPr>
        <w:pStyle w:val="EndNoteBibliography"/>
        <w:rPr>
          <w:noProof/>
        </w:rPr>
      </w:pPr>
      <w:r w:rsidRPr="00B55191">
        <w:rPr>
          <w:noProof/>
        </w:rPr>
        <w:lastRenderedPageBreak/>
        <w:t xml:space="preserve">(450) Bagger, A.; Castelli, I. E.; Hansen, M. H.; Rossmeisl, J. Fundamental Atomic Insight in Electrocatalysis. In </w:t>
      </w:r>
      <w:r w:rsidRPr="00B55191">
        <w:rPr>
          <w:i/>
          <w:noProof/>
        </w:rPr>
        <w:t>Handbook of Materials Modeling</w:t>
      </w:r>
      <w:r w:rsidRPr="00B55191">
        <w:rPr>
          <w:noProof/>
        </w:rPr>
        <w:t>,  Springer, Cham., 2020; pp 1473-1503.</w:t>
      </w:r>
    </w:p>
    <w:p w14:paraId="3B0A1A96" w14:textId="77777777" w:rsidR="00B55191" w:rsidRPr="00B55191" w:rsidRDefault="00B55191" w:rsidP="00B55191">
      <w:pPr>
        <w:pStyle w:val="EndNoteBibliography"/>
        <w:rPr>
          <w:noProof/>
        </w:rPr>
      </w:pPr>
      <w:r w:rsidRPr="00B55191">
        <w:rPr>
          <w:noProof/>
        </w:rPr>
        <w:t xml:space="preserve">(451) Groß, A. Structure of Electrode-Electrolyte Interfaces, Modeling of Double Layer and Electrode Potential. In </w:t>
      </w:r>
      <w:r w:rsidRPr="00B55191">
        <w:rPr>
          <w:i/>
          <w:noProof/>
        </w:rPr>
        <w:t>Handbook of Materials Modeling: Applications: Current and Emerging Materials</w:t>
      </w:r>
      <w:r w:rsidRPr="00B55191">
        <w:rPr>
          <w:noProof/>
        </w:rPr>
        <w:t>,  Springer International Publishing, 2018; pp 1-34.</w:t>
      </w:r>
    </w:p>
    <w:p w14:paraId="69CFB056" w14:textId="77777777" w:rsidR="00B55191" w:rsidRPr="00B55191" w:rsidRDefault="00B55191" w:rsidP="00B55191">
      <w:pPr>
        <w:pStyle w:val="EndNoteBibliography"/>
        <w:rPr>
          <w:noProof/>
        </w:rPr>
      </w:pPr>
      <w:r w:rsidRPr="00B55191">
        <w:rPr>
          <w:noProof/>
        </w:rPr>
        <w:t xml:space="preserve">(452) Limmer, D. T.; Willard, A. P.; Madden, P.; Chandler, D. Hydration of Metal Surfaces Can Be Dynamically Heterogeneous and Hydrophobic. </w:t>
      </w:r>
      <w:r w:rsidRPr="00B55191">
        <w:rPr>
          <w:i/>
          <w:noProof/>
        </w:rPr>
        <w:t xml:space="preserve">Proc. Natl. Acad. Sci. U.S.A. </w:t>
      </w:r>
      <w:r w:rsidRPr="00B55191">
        <w:rPr>
          <w:b/>
          <w:noProof/>
        </w:rPr>
        <w:t>2013</w:t>
      </w:r>
      <w:r w:rsidRPr="00B55191">
        <w:rPr>
          <w:noProof/>
        </w:rPr>
        <w:t xml:space="preserve">, </w:t>
      </w:r>
      <w:r w:rsidRPr="00B55191">
        <w:rPr>
          <w:i/>
          <w:noProof/>
        </w:rPr>
        <w:t>110</w:t>
      </w:r>
      <w:r w:rsidRPr="00B55191">
        <w:rPr>
          <w:noProof/>
        </w:rPr>
        <w:t>, 4200-4205.</w:t>
      </w:r>
    </w:p>
    <w:p w14:paraId="758BB5A2" w14:textId="77777777" w:rsidR="00B55191" w:rsidRPr="00B55191" w:rsidRDefault="00B55191" w:rsidP="00B55191">
      <w:pPr>
        <w:pStyle w:val="EndNoteBibliography"/>
        <w:rPr>
          <w:noProof/>
        </w:rPr>
      </w:pPr>
      <w:r w:rsidRPr="00B55191">
        <w:rPr>
          <w:noProof/>
        </w:rPr>
        <w:t xml:space="preserve">(453) Skúlason, E.; Karlberg, G. S.; Rossmeisl, J.; Bligaard, T.; Greeley, J.; Jónsson, H.; Nørskov, J. K. Density Functional Theory Calculations for the Hydrogen Evolution Reaction in an Electrochemical Double Layer on the Pt(111) Electrode. </w:t>
      </w:r>
      <w:r w:rsidRPr="00B55191">
        <w:rPr>
          <w:i/>
          <w:noProof/>
        </w:rPr>
        <w:t xml:space="preserve">Phys. Chem. Chem. Phys. </w:t>
      </w:r>
      <w:r w:rsidRPr="00B55191">
        <w:rPr>
          <w:b/>
          <w:noProof/>
        </w:rPr>
        <w:t>2007</w:t>
      </w:r>
      <w:r w:rsidRPr="00B55191">
        <w:rPr>
          <w:noProof/>
        </w:rPr>
        <w:t xml:space="preserve">, </w:t>
      </w:r>
      <w:r w:rsidRPr="00B55191">
        <w:rPr>
          <w:i/>
          <w:noProof/>
        </w:rPr>
        <w:t>9</w:t>
      </w:r>
      <w:r w:rsidRPr="00B55191">
        <w:rPr>
          <w:noProof/>
        </w:rPr>
        <w:t>, 3241-3250.</w:t>
      </w:r>
    </w:p>
    <w:p w14:paraId="1900205C" w14:textId="77777777" w:rsidR="00B55191" w:rsidRPr="00B55191" w:rsidRDefault="00B55191" w:rsidP="00B55191">
      <w:pPr>
        <w:pStyle w:val="EndNoteBibliography"/>
        <w:rPr>
          <w:noProof/>
        </w:rPr>
      </w:pPr>
      <w:r w:rsidRPr="00B55191">
        <w:rPr>
          <w:noProof/>
        </w:rPr>
        <w:t xml:space="preserve">(454) Gauthier, J. A.; Dickens, C. F.; Chen, L. D.; Doyle, A. D.; Nørskov, J. K. Solvation Effects for Oxygen Evolution Reaction Catalysis on Iro2(110). </w:t>
      </w:r>
      <w:r w:rsidRPr="00B55191">
        <w:rPr>
          <w:i/>
          <w:noProof/>
        </w:rPr>
        <w:t xml:space="preserve">J. Phys. Chem. C </w:t>
      </w:r>
      <w:r w:rsidRPr="00B55191">
        <w:rPr>
          <w:b/>
          <w:noProof/>
        </w:rPr>
        <w:t>2017</w:t>
      </w:r>
      <w:r w:rsidRPr="00B55191">
        <w:rPr>
          <w:noProof/>
        </w:rPr>
        <w:t xml:space="preserve">, </w:t>
      </w:r>
      <w:r w:rsidRPr="00B55191">
        <w:rPr>
          <w:i/>
          <w:noProof/>
        </w:rPr>
        <w:t>121</w:t>
      </w:r>
      <w:r w:rsidRPr="00B55191">
        <w:rPr>
          <w:noProof/>
        </w:rPr>
        <w:t>, 11455-11463.</w:t>
      </w:r>
    </w:p>
    <w:p w14:paraId="1FD9D838" w14:textId="77777777" w:rsidR="00B55191" w:rsidRPr="00B55191" w:rsidRDefault="00B55191" w:rsidP="00B55191">
      <w:pPr>
        <w:pStyle w:val="EndNoteBibliography"/>
        <w:rPr>
          <w:noProof/>
        </w:rPr>
      </w:pPr>
      <w:r w:rsidRPr="00B55191">
        <w:rPr>
          <w:noProof/>
        </w:rPr>
        <w:t xml:space="preserve">(455) Liu, S.; White, M. G.; Liu, P. Mechanism of Oxygen Reduction Reaction on Pt(111) in Alkaline Solution: Importance of Chemisorbed Water on Surface. </w:t>
      </w:r>
      <w:r w:rsidRPr="00B55191">
        <w:rPr>
          <w:i/>
          <w:noProof/>
        </w:rPr>
        <w:t xml:space="preserve">J. Phys. Chem. C </w:t>
      </w:r>
      <w:r w:rsidRPr="00B55191">
        <w:rPr>
          <w:b/>
          <w:noProof/>
        </w:rPr>
        <w:t>2016</w:t>
      </w:r>
      <w:r w:rsidRPr="00B55191">
        <w:rPr>
          <w:noProof/>
        </w:rPr>
        <w:t xml:space="preserve">, </w:t>
      </w:r>
      <w:r w:rsidRPr="00B55191">
        <w:rPr>
          <w:i/>
          <w:noProof/>
        </w:rPr>
        <w:t>120</w:t>
      </w:r>
      <w:r w:rsidRPr="00B55191">
        <w:rPr>
          <w:noProof/>
        </w:rPr>
        <w:t>, 15288-15298.</w:t>
      </w:r>
    </w:p>
    <w:p w14:paraId="1286075D" w14:textId="77777777" w:rsidR="00B55191" w:rsidRPr="00B55191" w:rsidRDefault="00B55191" w:rsidP="00B55191">
      <w:pPr>
        <w:pStyle w:val="EndNoteBibliography"/>
        <w:rPr>
          <w:noProof/>
        </w:rPr>
      </w:pPr>
      <w:r w:rsidRPr="00B55191">
        <w:rPr>
          <w:noProof/>
        </w:rPr>
        <w:t xml:space="preserve">(456) Wang, D.; Sheng, T.; Chen, J.; Wang, H. F.; Hu, P. Identifying the Key Obstacle in Photocatalytic Oxygen Evolution on Rutile Tio2. </w:t>
      </w:r>
      <w:r w:rsidRPr="00B55191">
        <w:rPr>
          <w:i/>
          <w:noProof/>
        </w:rPr>
        <w:t xml:space="preserve">Nat. Catal. </w:t>
      </w:r>
      <w:r w:rsidRPr="00B55191">
        <w:rPr>
          <w:b/>
          <w:noProof/>
        </w:rPr>
        <w:t>2018</w:t>
      </w:r>
      <w:r w:rsidRPr="00B55191">
        <w:rPr>
          <w:noProof/>
        </w:rPr>
        <w:t xml:space="preserve">, </w:t>
      </w:r>
      <w:r w:rsidRPr="00B55191">
        <w:rPr>
          <w:i/>
          <w:noProof/>
        </w:rPr>
        <w:t>1</w:t>
      </w:r>
      <w:r w:rsidRPr="00B55191">
        <w:rPr>
          <w:noProof/>
        </w:rPr>
        <w:t>, 291-299.</w:t>
      </w:r>
    </w:p>
    <w:p w14:paraId="07D03CD6" w14:textId="77777777" w:rsidR="00B55191" w:rsidRPr="00B55191" w:rsidRDefault="00B55191" w:rsidP="00B55191">
      <w:pPr>
        <w:pStyle w:val="EndNoteBibliography"/>
        <w:rPr>
          <w:noProof/>
        </w:rPr>
      </w:pPr>
      <w:r w:rsidRPr="00B55191">
        <w:rPr>
          <w:noProof/>
        </w:rPr>
        <w:t xml:space="preserve">(457) Chun, H. J.; Morankar, A.; Zeng, Z.; Greeley, J. Solvation Enthalpy Determination for Aqueous-Phase Reaction Adsorbates Using Ab Initio Molecular Dynamics-Based Structure Sampling. </w:t>
      </w:r>
      <w:r w:rsidRPr="00B55191">
        <w:rPr>
          <w:i/>
          <w:noProof/>
        </w:rPr>
        <w:t xml:space="preserve">J. Phys. Chem. C </w:t>
      </w:r>
      <w:r w:rsidRPr="00B55191">
        <w:rPr>
          <w:b/>
          <w:noProof/>
        </w:rPr>
        <w:t>2024</w:t>
      </w:r>
      <w:r w:rsidRPr="00B55191">
        <w:rPr>
          <w:noProof/>
        </w:rPr>
        <w:t xml:space="preserve">, </w:t>
      </w:r>
      <w:r w:rsidRPr="00B55191">
        <w:rPr>
          <w:i/>
          <w:noProof/>
        </w:rPr>
        <w:t>128</w:t>
      </w:r>
      <w:r w:rsidRPr="00B55191">
        <w:rPr>
          <w:noProof/>
        </w:rPr>
        <w:t>, 1621-1632.</w:t>
      </w:r>
    </w:p>
    <w:p w14:paraId="5652BC82" w14:textId="77777777" w:rsidR="00B55191" w:rsidRPr="00B55191" w:rsidRDefault="00B55191" w:rsidP="00B55191">
      <w:pPr>
        <w:pStyle w:val="EndNoteBibliography"/>
        <w:rPr>
          <w:noProof/>
        </w:rPr>
      </w:pPr>
      <w:r w:rsidRPr="00B55191">
        <w:rPr>
          <w:noProof/>
        </w:rPr>
        <w:t xml:space="preserve">(458) Skúlason, E.; Tripkovic, V.; Björketun, M. E.; Gudmundsdóttir, S.; Karlberg, G.; Rossmeisl, J.; Bligaard, T.; Jónsson, H.; Nørskov, J. K. Modeling the Electrochemical Hydrogen Oxidation and Evolution Reactions on the Basis of Density Functional Theory Calculations. </w:t>
      </w:r>
      <w:r w:rsidRPr="00B55191">
        <w:rPr>
          <w:i/>
          <w:noProof/>
        </w:rPr>
        <w:t xml:space="preserve">J. Phys. Chem. C </w:t>
      </w:r>
      <w:r w:rsidRPr="00B55191">
        <w:rPr>
          <w:b/>
          <w:noProof/>
        </w:rPr>
        <w:t>2010</w:t>
      </w:r>
      <w:r w:rsidRPr="00B55191">
        <w:rPr>
          <w:noProof/>
        </w:rPr>
        <w:t xml:space="preserve">, </w:t>
      </w:r>
      <w:r w:rsidRPr="00B55191">
        <w:rPr>
          <w:i/>
          <w:noProof/>
        </w:rPr>
        <w:t>114</w:t>
      </w:r>
      <w:r w:rsidRPr="00B55191">
        <w:rPr>
          <w:noProof/>
        </w:rPr>
        <w:t>, 18182-18197.</w:t>
      </w:r>
    </w:p>
    <w:p w14:paraId="574A2088" w14:textId="77777777" w:rsidR="00B55191" w:rsidRPr="00B55191" w:rsidRDefault="00B55191" w:rsidP="00B55191">
      <w:pPr>
        <w:pStyle w:val="EndNoteBibliography"/>
        <w:rPr>
          <w:noProof/>
        </w:rPr>
      </w:pPr>
      <w:r w:rsidRPr="00B55191">
        <w:rPr>
          <w:noProof/>
        </w:rPr>
        <w:t xml:space="preserve">(459) Costanzo, F.; Sulpizi, M.; Valle, R. G. D.; Sprik, M. The Oxidation of Tyrosine and Tryptophan Studied by a Molecular Dynamics Normal Hydrogen Electrode. </w:t>
      </w:r>
      <w:r w:rsidRPr="00B55191">
        <w:rPr>
          <w:i/>
          <w:noProof/>
        </w:rPr>
        <w:t xml:space="preserve">J. Chem. Phys. </w:t>
      </w:r>
      <w:r w:rsidRPr="00B55191">
        <w:rPr>
          <w:b/>
          <w:noProof/>
        </w:rPr>
        <w:t>2011</w:t>
      </w:r>
      <w:r w:rsidRPr="00B55191">
        <w:rPr>
          <w:noProof/>
        </w:rPr>
        <w:t xml:space="preserve">, </w:t>
      </w:r>
      <w:r w:rsidRPr="00B55191">
        <w:rPr>
          <w:i/>
          <w:noProof/>
        </w:rPr>
        <w:t>134</w:t>
      </w:r>
      <w:r w:rsidRPr="00B55191">
        <w:rPr>
          <w:noProof/>
        </w:rPr>
        <w:t>, 244508-244508.</w:t>
      </w:r>
    </w:p>
    <w:p w14:paraId="2FC9B0DB" w14:textId="77777777" w:rsidR="00B55191" w:rsidRPr="00B55191" w:rsidRDefault="00B55191" w:rsidP="00B55191">
      <w:pPr>
        <w:pStyle w:val="EndNoteBibliography"/>
        <w:rPr>
          <w:noProof/>
        </w:rPr>
      </w:pPr>
      <w:r w:rsidRPr="00B55191">
        <w:rPr>
          <w:noProof/>
        </w:rPr>
        <w:t xml:space="preserve">(460) Letchworth-Weaver, K.; Arias, T. A. Joint Density Functional Theory of the Electrode-Electrolyte Interface: Application to Fixed Electrode Potentials, Interfacial Capacitances, and Potentials of Zero Charge. </w:t>
      </w:r>
      <w:r w:rsidRPr="00B55191">
        <w:rPr>
          <w:i/>
          <w:noProof/>
        </w:rPr>
        <w:t xml:space="preserve">Phys. Rev. B </w:t>
      </w:r>
      <w:r w:rsidRPr="00B55191">
        <w:rPr>
          <w:b/>
          <w:noProof/>
        </w:rPr>
        <w:t>2012</w:t>
      </w:r>
      <w:r w:rsidRPr="00B55191">
        <w:rPr>
          <w:noProof/>
        </w:rPr>
        <w:t xml:space="preserve">, </w:t>
      </w:r>
      <w:r w:rsidRPr="00B55191">
        <w:rPr>
          <w:i/>
          <w:noProof/>
        </w:rPr>
        <w:t>86</w:t>
      </w:r>
      <w:r w:rsidRPr="00B55191">
        <w:rPr>
          <w:noProof/>
        </w:rPr>
        <w:t>, 075140.</w:t>
      </w:r>
    </w:p>
    <w:p w14:paraId="7B584CA4" w14:textId="77777777" w:rsidR="00B55191" w:rsidRPr="00B55191" w:rsidRDefault="00B55191" w:rsidP="00B55191">
      <w:pPr>
        <w:pStyle w:val="EndNoteBibliography"/>
        <w:rPr>
          <w:noProof/>
        </w:rPr>
      </w:pPr>
      <w:r w:rsidRPr="00B55191">
        <w:rPr>
          <w:noProof/>
        </w:rPr>
        <w:t xml:space="preserve">(461) Li, P.; Jiang, Y.; Hu, Y.; Men, Y.; Liu, Y.; Cai, W.; Chen, S. Hydrogen Bond Network Connectivity in the Electric Double Layer Dominates the Kinetic Ph Effect in Hydrogen Electrocatalysis on Pt. </w:t>
      </w:r>
      <w:r w:rsidRPr="00B55191">
        <w:rPr>
          <w:i/>
          <w:noProof/>
        </w:rPr>
        <w:t xml:space="preserve">Nat. Catal. </w:t>
      </w:r>
      <w:r w:rsidRPr="00B55191">
        <w:rPr>
          <w:b/>
          <w:noProof/>
        </w:rPr>
        <w:t>2022</w:t>
      </w:r>
      <w:r w:rsidRPr="00B55191">
        <w:rPr>
          <w:noProof/>
        </w:rPr>
        <w:t xml:space="preserve">, </w:t>
      </w:r>
      <w:r w:rsidRPr="00B55191">
        <w:rPr>
          <w:i/>
          <w:noProof/>
        </w:rPr>
        <w:t>5</w:t>
      </w:r>
      <w:r w:rsidRPr="00B55191">
        <w:rPr>
          <w:noProof/>
        </w:rPr>
        <w:t>, 900-911.</w:t>
      </w:r>
    </w:p>
    <w:p w14:paraId="5DAAF136" w14:textId="77777777" w:rsidR="00B55191" w:rsidRPr="00A41B5A" w:rsidRDefault="00B55191" w:rsidP="00B55191">
      <w:pPr>
        <w:pStyle w:val="EndNoteBibliography"/>
        <w:rPr>
          <w:noProof/>
          <w:lang w:val="it-IT"/>
        </w:rPr>
      </w:pPr>
      <w:r w:rsidRPr="00B55191">
        <w:rPr>
          <w:noProof/>
        </w:rPr>
        <w:t xml:space="preserve">(462) Shah, A. H.; Zhang, Z.; Huang, Z.; Wang, S.; Zhong, G.; Wan, C.; Alexandrova, A. N.; Huang, Y.; Duan, X. The Role of Alkali Metal Cations and Platinum-Surface Hydroxyl in the Alkaline Hydrogen Evolution Reaction. </w:t>
      </w:r>
      <w:r w:rsidRPr="00A41B5A">
        <w:rPr>
          <w:i/>
          <w:noProof/>
          <w:lang w:val="it-IT"/>
        </w:rPr>
        <w:t xml:space="preserve">Nat. Catal. </w:t>
      </w:r>
      <w:r w:rsidRPr="00A41B5A">
        <w:rPr>
          <w:b/>
          <w:noProof/>
          <w:lang w:val="it-IT"/>
        </w:rPr>
        <w:t>2022</w:t>
      </w:r>
      <w:r w:rsidRPr="00A41B5A">
        <w:rPr>
          <w:noProof/>
          <w:lang w:val="it-IT"/>
        </w:rPr>
        <w:t xml:space="preserve">, </w:t>
      </w:r>
      <w:r w:rsidRPr="00A41B5A">
        <w:rPr>
          <w:i/>
          <w:noProof/>
          <w:lang w:val="it-IT"/>
        </w:rPr>
        <w:t>5</w:t>
      </w:r>
      <w:r w:rsidRPr="00A41B5A">
        <w:rPr>
          <w:noProof/>
          <w:lang w:val="it-IT"/>
        </w:rPr>
        <w:t>, 923-933.</w:t>
      </w:r>
    </w:p>
    <w:p w14:paraId="7C03DCE7" w14:textId="77777777" w:rsidR="00B55191" w:rsidRPr="00B55191" w:rsidRDefault="00B55191" w:rsidP="00B55191">
      <w:pPr>
        <w:pStyle w:val="EndNoteBibliography"/>
        <w:rPr>
          <w:noProof/>
        </w:rPr>
      </w:pPr>
      <w:r w:rsidRPr="00A41B5A">
        <w:rPr>
          <w:noProof/>
          <w:lang w:val="it-IT"/>
        </w:rPr>
        <w:t xml:space="preserve">(463) Tomasi, J.; Mennucci, B.; Cammi, R. Quantum Mechanical Continuum Solvation Models. </w:t>
      </w:r>
      <w:r w:rsidRPr="00B55191">
        <w:rPr>
          <w:i/>
          <w:noProof/>
        </w:rPr>
        <w:t xml:space="preserve">Chem. Rev. </w:t>
      </w:r>
      <w:r w:rsidRPr="00B55191">
        <w:rPr>
          <w:b/>
          <w:noProof/>
        </w:rPr>
        <w:t>2005</w:t>
      </w:r>
      <w:r w:rsidRPr="00B55191">
        <w:rPr>
          <w:noProof/>
        </w:rPr>
        <w:t xml:space="preserve">, </w:t>
      </w:r>
      <w:r w:rsidRPr="00B55191">
        <w:rPr>
          <w:i/>
          <w:noProof/>
        </w:rPr>
        <w:t>105</w:t>
      </w:r>
      <w:r w:rsidRPr="00B55191">
        <w:rPr>
          <w:noProof/>
        </w:rPr>
        <w:t>, 2999-3094.</w:t>
      </w:r>
    </w:p>
    <w:p w14:paraId="699055A5" w14:textId="77777777" w:rsidR="00B55191" w:rsidRPr="00A41B5A" w:rsidRDefault="00B55191" w:rsidP="00B55191">
      <w:pPr>
        <w:pStyle w:val="EndNoteBibliography"/>
        <w:rPr>
          <w:noProof/>
          <w:lang w:val="it-IT"/>
        </w:rPr>
      </w:pPr>
      <w:r w:rsidRPr="00B55191">
        <w:rPr>
          <w:noProof/>
        </w:rPr>
        <w:t xml:space="preserve">(464) Andreussi, O.; Dabo, I.; Marzari, N. Revised Self-Consistent Continuum Solvation in Electronic-Structure Calculations. </w:t>
      </w:r>
      <w:r w:rsidRPr="00A41B5A">
        <w:rPr>
          <w:i/>
          <w:noProof/>
          <w:lang w:val="it-IT"/>
        </w:rPr>
        <w:t xml:space="preserve">J. Chem. Phys. </w:t>
      </w:r>
      <w:r w:rsidRPr="00A41B5A">
        <w:rPr>
          <w:b/>
          <w:noProof/>
          <w:lang w:val="it-IT"/>
        </w:rPr>
        <w:t>2012</w:t>
      </w:r>
      <w:r w:rsidRPr="00A41B5A">
        <w:rPr>
          <w:noProof/>
          <w:lang w:val="it-IT"/>
        </w:rPr>
        <w:t xml:space="preserve">, </w:t>
      </w:r>
      <w:r w:rsidRPr="00A41B5A">
        <w:rPr>
          <w:i/>
          <w:noProof/>
          <w:lang w:val="it-IT"/>
        </w:rPr>
        <w:t>136</w:t>
      </w:r>
      <w:r w:rsidRPr="00A41B5A">
        <w:rPr>
          <w:noProof/>
          <w:lang w:val="it-IT"/>
        </w:rPr>
        <w:t>, 064102.</w:t>
      </w:r>
    </w:p>
    <w:p w14:paraId="12F7BACE" w14:textId="77777777" w:rsidR="00B55191" w:rsidRPr="00B55191" w:rsidRDefault="00B55191" w:rsidP="00B55191">
      <w:pPr>
        <w:pStyle w:val="EndNoteBibliography"/>
        <w:rPr>
          <w:noProof/>
        </w:rPr>
      </w:pPr>
      <w:r w:rsidRPr="00A41B5A">
        <w:rPr>
          <w:noProof/>
          <w:lang w:val="it-IT"/>
        </w:rPr>
        <w:t xml:space="preserve">(465) Giannozzi, P.; Baroni, S.; Bonini, N.; Calandra, M.; Car, R.; Cavazzoni, C.; Ceresoli, D.; Chiarotti, G. L.; Cococcioni, M.; Dabo, I.; et al. </w:t>
      </w:r>
      <w:r w:rsidRPr="00B55191">
        <w:rPr>
          <w:noProof/>
        </w:rPr>
        <w:t xml:space="preserve">Quantum Espresso: A Modular and Open-Source Software Project for Quantum Simulations of Materials. </w:t>
      </w:r>
      <w:r w:rsidRPr="00B55191">
        <w:rPr>
          <w:i/>
          <w:noProof/>
        </w:rPr>
        <w:t xml:space="preserve">J. Phys.: Condens.Matter </w:t>
      </w:r>
      <w:r w:rsidRPr="00B55191">
        <w:rPr>
          <w:b/>
          <w:noProof/>
        </w:rPr>
        <w:t>2009</w:t>
      </w:r>
      <w:r w:rsidRPr="00B55191">
        <w:rPr>
          <w:noProof/>
        </w:rPr>
        <w:t xml:space="preserve">, </w:t>
      </w:r>
      <w:r w:rsidRPr="00B55191">
        <w:rPr>
          <w:i/>
          <w:noProof/>
        </w:rPr>
        <w:t>21</w:t>
      </w:r>
      <w:r w:rsidRPr="00B55191">
        <w:rPr>
          <w:noProof/>
        </w:rPr>
        <w:t>, 395502-395502.</w:t>
      </w:r>
    </w:p>
    <w:p w14:paraId="03C47C33" w14:textId="77777777" w:rsidR="00B55191" w:rsidRPr="00B55191" w:rsidRDefault="00B55191" w:rsidP="00B55191">
      <w:pPr>
        <w:pStyle w:val="EndNoteBibliography"/>
        <w:rPr>
          <w:noProof/>
        </w:rPr>
      </w:pPr>
      <w:r w:rsidRPr="00B55191">
        <w:rPr>
          <w:noProof/>
        </w:rPr>
        <w:t xml:space="preserve">(466) Sundararaman, R.; Goddard, W. A., III. The Charge-Asymmetric Nonlocally Determined Local-Electric (Candle) Solvation Model. </w:t>
      </w:r>
      <w:r w:rsidRPr="00B55191">
        <w:rPr>
          <w:i/>
          <w:noProof/>
        </w:rPr>
        <w:t xml:space="preserve">J. Chem. Phys. </w:t>
      </w:r>
      <w:r w:rsidRPr="00B55191">
        <w:rPr>
          <w:b/>
          <w:noProof/>
        </w:rPr>
        <w:t>2015</w:t>
      </w:r>
      <w:r w:rsidRPr="00B55191">
        <w:rPr>
          <w:noProof/>
        </w:rPr>
        <w:t xml:space="preserve">, </w:t>
      </w:r>
      <w:r w:rsidRPr="00B55191">
        <w:rPr>
          <w:i/>
          <w:noProof/>
        </w:rPr>
        <w:t>142</w:t>
      </w:r>
      <w:r w:rsidRPr="00B55191">
        <w:rPr>
          <w:noProof/>
        </w:rPr>
        <w:t>, 064107.</w:t>
      </w:r>
    </w:p>
    <w:p w14:paraId="67EED7F8" w14:textId="77777777" w:rsidR="00B55191" w:rsidRPr="00B55191" w:rsidRDefault="00B55191" w:rsidP="00B55191">
      <w:pPr>
        <w:pStyle w:val="EndNoteBibliography"/>
        <w:rPr>
          <w:noProof/>
        </w:rPr>
      </w:pPr>
      <w:r w:rsidRPr="00B55191">
        <w:rPr>
          <w:noProof/>
        </w:rPr>
        <w:lastRenderedPageBreak/>
        <w:t xml:space="preserve">(467) Beglov, D.; Roux, B. An Integral Equation to Describe the Solvation of Polar Molecules in Liquid Water. </w:t>
      </w:r>
      <w:r w:rsidRPr="00B55191">
        <w:rPr>
          <w:i/>
          <w:noProof/>
        </w:rPr>
        <w:t xml:space="preserve">J. Phys. Chem. B </w:t>
      </w:r>
      <w:r w:rsidRPr="00B55191">
        <w:rPr>
          <w:b/>
          <w:noProof/>
        </w:rPr>
        <w:t>1997</w:t>
      </w:r>
      <w:r w:rsidRPr="00B55191">
        <w:rPr>
          <w:noProof/>
        </w:rPr>
        <w:t xml:space="preserve">, </w:t>
      </w:r>
      <w:r w:rsidRPr="00B55191">
        <w:rPr>
          <w:i/>
          <w:noProof/>
        </w:rPr>
        <w:t>101</w:t>
      </w:r>
      <w:r w:rsidRPr="00B55191">
        <w:rPr>
          <w:noProof/>
        </w:rPr>
        <w:t>, 7821-7826.</w:t>
      </w:r>
    </w:p>
    <w:p w14:paraId="69EB8CF1" w14:textId="77777777" w:rsidR="00B55191" w:rsidRPr="00B55191" w:rsidRDefault="00B55191" w:rsidP="00B55191">
      <w:pPr>
        <w:pStyle w:val="EndNoteBibliography"/>
        <w:rPr>
          <w:noProof/>
        </w:rPr>
      </w:pPr>
      <w:r w:rsidRPr="00B55191">
        <w:rPr>
          <w:noProof/>
        </w:rPr>
        <w:t xml:space="preserve">(468) Rossmeisl, J.; Skúlason, E.; Björketun, M. E.; Tripkovic, V.; Nørskov, J. K. Modeling the Electrified Solid-Liquid Interface. </w:t>
      </w:r>
      <w:r w:rsidRPr="00B55191">
        <w:rPr>
          <w:i/>
          <w:noProof/>
        </w:rPr>
        <w:t xml:space="preserve">Chem. Phys. Lett. </w:t>
      </w:r>
      <w:r w:rsidRPr="00B55191">
        <w:rPr>
          <w:b/>
          <w:noProof/>
        </w:rPr>
        <w:t>2008</w:t>
      </w:r>
      <w:r w:rsidRPr="00B55191">
        <w:rPr>
          <w:noProof/>
        </w:rPr>
        <w:t xml:space="preserve">, </w:t>
      </w:r>
      <w:r w:rsidRPr="00B55191">
        <w:rPr>
          <w:i/>
          <w:noProof/>
        </w:rPr>
        <w:t>466</w:t>
      </w:r>
      <w:r w:rsidRPr="00B55191">
        <w:rPr>
          <w:noProof/>
        </w:rPr>
        <w:t>, 68-71.</w:t>
      </w:r>
    </w:p>
    <w:p w14:paraId="485A6CC8" w14:textId="77777777" w:rsidR="00B55191" w:rsidRPr="00B55191" w:rsidRDefault="00B55191" w:rsidP="00B55191">
      <w:pPr>
        <w:pStyle w:val="EndNoteBibliography"/>
        <w:rPr>
          <w:noProof/>
        </w:rPr>
      </w:pPr>
      <w:r w:rsidRPr="00B55191">
        <w:rPr>
          <w:noProof/>
        </w:rPr>
        <w:t xml:space="preserve">(469) Trasatti, S. The Absolute Electrode Potential: An Explanatory Note. </w:t>
      </w:r>
      <w:r w:rsidRPr="00B55191">
        <w:rPr>
          <w:i/>
          <w:noProof/>
        </w:rPr>
        <w:t xml:space="preserve">J. Electroanal. Chem. </w:t>
      </w:r>
      <w:r w:rsidRPr="00B55191">
        <w:rPr>
          <w:b/>
          <w:noProof/>
        </w:rPr>
        <w:t>1986</w:t>
      </w:r>
      <w:r w:rsidRPr="00B55191">
        <w:rPr>
          <w:noProof/>
        </w:rPr>
        <w:t xml:space="preserve">, </w:t>
      </w:r>
      <w:r w:rsidRPr="00B55191">
        <w:rPr>
          <w:i/>
          <w:noProof/>
        </w:rPr>
        <w:t>209</w:t>
      </w:r>
      <w:r w:rsidRPr="00B55191">
        <w:rPr>
          <w:noProof/>
        </w:rPr>
        <w:t>, 417-428.</w:t>
      </w:r>
    </w:p>
    <w:p w14:paraId="449DC319" w14:textId="77777777" w:rsidR="00B55191" w:rsidRPr="00B55191" w:rsidRDefault="00B55191" w:rsidP="00B55191">
      <w:pPr>
        <w:pStyle w:val="EndNoteBibliography"/>
        <w:rPr>
          <w:noProof/>
        </w:rPr>
      </w:pPr>
      <w:r w:rsidRPr="00B55191">
        <w:rPr>
          <w:noProof/>
        </w:rPr>
        <w:t xml:space="preserve">(470) Filhol, J.-S.; Neurock, M. Elucidation of the Electrochemical Activation of Water over Pd by First Principles. </w:t>
      </w:r>
      <w:r w:rsidRPr="00B55191">
        <w:rPr>
          <w:i/>
          <w:noProof/>
        </w:rPr>
        <w:t xml:space="preserve">Angew. Chem. Int. Ed. </w:t>
      </w:r>
      <w:r w:rsidRPr="00B55191">
        <w:rPr>
          <w:b/>
          <w:noProof/>
        </w:rPr>
        <w:t>2006</w:t>
      </w:r>
      <w:r w:rsidRPr="00B55191">
        <w:rPr>
          <w:noProof/>
        </w:rPr>
        <w:t>, 403-406.</w:t>
      </w:r>
    </w:p>
    <w:p w14:paraId="1E9A73B2" w14:textId="77777777" w:rsidR="00B55191" w:rsidRPr="00B55191" w:rsidRDefault="00B55191" w:rsidP="00B55191">
      <w:pPr>
        <w:pStyle w:val="EndNoteBibliography"/>
        <w:rPr>
          <w:noProof/>
        </w:rPr>
      </w:pPr>
      <w:r w:rsidRPr="00B55191">
        <w:rPr>
          <w:noProof/>
        </w:rPr>
        <w:t xml:space="preserve">(471) Taylor, C. D.; Wasileski, S. A.; Filhol, J.-s.; Neurock, M. First Principles Reaction Modeling of the Electrochemical Interface : Consideration and Calculation of a Tunable Surface Potential from Atomic and Electronic Structure. </w:t>
      </w:r>
      <w:r w:rsidRPr="00B55191">
        <w:rPr>
          <w:i/>
          <w:noProof/>
        </w:rPr>
        <w:t xml:space="preserve">Phys. Rev. B </w:t>
      </w:r>
      <w:r w:rsidRPr="00B55191">
        <w:rPr>
          <w:b/>
          <w:noProof/>
        </w:rPr>
        <w:t>2006</w:t>
      </w:r>
      <w:r w:rsidRPr="00B55191">
        <w:rPr>
          <w:noProof/>
        </w:rPr>
        <w:t xml:space="preserve">, </w:t>
      </w:r>
      <w:r w:rsidRPr="00B55191">
        <w:rPr>
          <w:i/>
          <w:noProof/>
        </w:rPr>
        <w:t>73</w:t>
      </w:r>
      <w:r w:rsidRPr="00B55191">
        <w:rPr>
          <w:noProof/>
        </w:rPr>
        <w:t>, 165402.</w:t>
      </w:r>
    </w:p>
    <w:p w14:paraId="2FBC545C" w14:textId="77777777" w:rsidR="00B55191" w:rsidRPr="00B55191" w:rsidRDefault="00B55191" w:rsidP="00B55191">
      <w:pPr>
        <w:pStyle w:val="EndNoteBibliography"/>
        <w:rPr>
          <w:noProof/>
        </w:rPr>
      </w:pPr>
      <w:r w:rsidRPr="00B55191">
        <w:rPr>
          <w:noProof/>
        </w:rPr>
        <w:t xml:space="preserve">(472) Otani, M.; Sugino, O. First-Principles Calculations of Charged Surfaces and Interfaces: A Plane-Wave Nonrepeated Slab Approach. </w:t>
      </w:r>
      <w:r w:rsidRPr="00B55191">
        <w:rPr>
          <w:i/>
          <w:noProof/>
        </w:rPr>
        <w:t xml:space="preserve">Phys. Rev. B </w:t>
      </w:r>
      <w:r w:rsidRPr="00B55191">
        <w:rPr>
          <w:b/>
          <w:noProof/>
        </w:rPr>
        <w:t>2006</w:t>
      </w:r>
      <w:r w:rsidRPr="00B55191">
        <w:rPr>
          <w:noProof/>
        </w:rPr>
        <w:t xml:space="preserve">, </w:t>
      </w:r>
      <w:r w:rsidRPr="00B55191">
        <w:rPr>
          <w:i/>
          <w:noProof/>
        </w:rPr>
        <w:t>73</w:t>
      </w:r>
      <w:r w:rsidRPr="00B55191">
        <w:rPr>
          <w:noProof/>
        </w:rPr>
        <w:t>, 115407.</w:t>
      </w:r>
    </w:p>
    <w:p w14:paraId="1BA0099C" w14:textId="77777777" w:rsidR="00B55191" w:rsidRPr="00B55191" w:rsidRDefault="00B55191" w:rsidP="00B55191">
      <w:pPr>
        <w:pStyle w:val="EndNoteBibliography"/>
        <w:rPr>
          <w:noProof/>
        </w:rPr>
      </w:pPr>
      <w:r w:rsidRPr="00B55191">
        <w:rPr>
          <w:noProof/>
        </w:rPr>
        <w:t xml:space="preserve">(473) Lozovoi, A. Y.; Alavi, A.; Kohanoff, J.; Lynden-Bell, R. M. Ab Initio Simulation of Charged Slabs at Constant Chemical Potential. </w:t>
      </w:r>
      <w:r w:rsidRPr="00B55191">
        <w:rPr>
          <w:i/>
          <w:noProof/>
        </w:rPr>
        <w:t xml:space="preserve">J. Chem. Phys. </w:t>
      </w:r>
      <w:r w:rsidRPr="00B55191">
        <w:rPr>
          <w:b/>
          <w:noProof/>
        </w:rPr>
        <w:t>2001</w:t>
      </w:r>
      <w:r w:rsidRPr="00B55191">
        <w:rPr>
          <w:noProof/>
        </w:rPr>
        <w:t xml:space="preserve">, </w:t>
      </w:r>
      <w:r w:rsidRPr="00B55191">
        <w:rPr>
          <w:i/>
          <w:noProof/>
        </w:rPr>
        <w:t>115</w:t>
      </w:r>
      <w:r w:rsidRPr="00B55191">
        <w:rPr>
          <w:noProof/>
        </w:rPr>
        <w:t>, 1661-1669.</w:t>
      </w:r>
    </w:p>
    <w:p w14:paraId="067E975F" w14:textId="77777777" w:rsidR="00B55191" w:rsidRPr="00B55191" w:rsidRDefault="00B55191" w:rsidP="00B55191">
      <w:pPr>
        <w:pStyle w:val="EndNoteBibliography"/>
        <w:rPr>
          <w:noProof/>
        </w:rPr>
      </w:pPr>
      <w:r w:rsidRPr="00B55191">
        <w:rPr>
          <w:noProof/>
        </w:rPr>
        <w:t xml:space="preserve">(474) Bonnet, N.; Morishita, T.; Sugino, O.; Otani, M. First-Principles Molecular Dynamics at a Constant Electrode Potential. </w:t>
      </w:r>
      <w:r w:rsidRPr="00B55191">
        <w:rPr>
          <w:i/>
          <w:noProof/>
        </w:rPr>
        <w:t xml:space="preserve">Phys. Rev. Lett. </w:t>
      </w:r>
      <w:r w:rsidRPr="00B55191">
        <w:rPr>
          <w:b/>
          <w:noProof/>
        </w:rPr>
        <w:t>2012</w:t>
      </w:r>
      <w:r w:rsidRPr="00B55191">
        <w:rPr>
          <w:noProof/>
        </w:rPr>
        <w:t xml:space="preserve">, </w:t>
      </w:r>
      <w:r w:rsidRPr="00B55191">
        <w:rPr>
          <w:i/>
          <w:noProof/>
        </w:rPr>
        <w:t>109</w:t>
      </w:r>
      <w:r w:rsidRPr="00B55191">
        <w:rPr>
          <w:noProof/>
        </w:rPr>
        <w:t>, 1-5.</w:t>
      </w:r>
    </w:p>
    <w:p w14:paraId="227E8DC3" w14:textId="77777777" w:rsidR="00B55191" w:rsidRPr="00B55191" w:rsidRDefault="00B55191" w:rsidP="00B55191">
      <w:pPr>
        <w:pStyle w:val="EndNoteBibliography"/>
        <w:rPr>
          <w:noProof/>
        </w:rPr>
      </w:pPr>
      <w:r w:rsidRPr="00B55191">
        <w:rPr>
          <w:noProof/>
        </w:rPr>
        <w:t xml:space="preserve">(475) Hagiwara, S.; Nishihara, S.; Kuroda, F.; Otani, M. Development of a Dielectrically Consistent Reference Interaction Site Model Combined with the Density Functional Theory for Electrochemical Interface Simulations. </w:t>
      </w:r>
      <w:r w:rsidRPr="00B55191">
        <w:rPr>
          <w:i/>
          <w:noProof/>
        </w:rPr>
        <w:t xml:space="preserve">Phys. Rev. Mater. </w:t>
      </w:r>
      <w:r w:rsidRPr="00B55191">
        <w:rPr>
          <w:b/>
          <w:noProof/>
        </w:rPr>
        <w:t>2022</w:t>
      </w:r>
      <w:r w:rsidRPr="00B55191">
        <w:rPr>
          <w:noProof/>
        </w:rPr>
        <w:t xml:space="preserve">, </w:t>
      </w:r>
      <w:r w:rsidRPr="00B55191">
        <w:rPr>
          <w:i/>
          <w:noProof/>
        </w:rPr>
        <w:t>6</w:t>
      </w:r>
      <w:r w:rsidRPr="00B55191">
        <w:rPr>
          <w:noProof/>
        </w:rPr>
        <w:t>, 1-14.</w:t>
      </w:r>
    </w:p>
    <w:p w14:paraId="68E86510" w14:textId="77777777" w:rsidR="00B55191" w:rsidRPr="00B55191" w:rsidRDefault="00B55191" w:rsidP="00B55191">
      <w:pPr>
        <w:pStyle w:val="EndNoteBibliography"/>
        <w:rPr>
          <w:noProof/>
        </w:rPr>
      </w:pPr>
      <w:r w:rsidRPr="00B55191">
        <w:rPr>
          <w:noProof/>
        </w:rPr>
        <w:t xml:space="preserve">(476) Nishihara, S.; Otani, M. Hybrid Solvation Models for Bulk, Interface, and Membrane: Reference Interaction Site Methods Coupled with Density Functional Theory. </w:t>
      </w:r>
      <w:r w:rsidRPr="00B55191">
        <w:rPr>
          <w:i/>
          <w:noProof/>
        </w:rPr>
        <w:t xml:space="preserve">Phys. Rev. B </w:t>
      </w:r>
      <w:r w:rsidRPr="00B55191">
        <w:rPr>
          <w:b/>
          <w:noProof/>
        </w:rPr>
        <w:t>2017</w:t>
      </w:r>
      <w:r w:rsidRPr="00B55191">
        <w:rPr>
          <w:noProof/>
        </w:rPr>
        <w:t xml:space="preserve">, </w:t>
      </w:r>
      <w:r w:rsidRPr="00B55191">
        <w:rPr>
          <w:i/>
          <w:noProof/>
        </w:rPr>
        <w:t>96</w:t>
      </w:r>
      <w:r w:rsidRPr="00B55191">
        <w:rPr>
          <w:noProof/>
        </w:rPr>
        <w:t>, 115429.</w:t>
      </w:r>
    </w:p>
    <w:p w14:paraId="5FFE17C7" w14:textId="77777777" w:rsidR="00B55191" w:rsidRPr="00B55191" w:rsidRDefault="00B55191" w:rsidP="00B55191">
      <w:pPr>
        <w:pStyle w:val="EndNoteBibliography"/>
        <w:rPr>
          <w:noProof/>
        </w:rPr>
      </w:pPr>
      <w:r w:rsidRPr="00B55191">
        <w:rPr>
          <w:noProof/>
        </w:rPr>
        <w:t xml:space="preserve">(477) Haruyama, J.; Ikeshoji, T.; Otani, M. Electrode Potential from Density Functional Theory Calculations Combined with Implicit Solvation Theory. </w:t>
      </w:r>
      <w:r w:rsidRPr="00B55191">
        <w:rPr>
          <w:i/>
          <w:noProof/>
        </w:rPr>
        <w:t xml:space="preserve">Phys. Rev. Mater. </w:t>
      </w:r>
      <w:r w:rsidRPr="00B55191">
        <w:rPr>
          <w:b/>
          <w:noProof/>
        </w:rPr>
        <w:t>2018</w:t>
      </w:r>
      <w:r w:rsidRPr="00B55191">
        <w:rPr>
          <w:noProof/>
        </w:rPr>
        <w:t xml:space="preserve">, </w:t>
      </w:r>
      <w:r w:rsidRPr="00B55191">
        <w:rPr>
          <w:i/>
          <w:noProof/>
        </w:rPr>
        <w:t>2</w:t>
      </w:r>
      <w:r w:rsidRPr="00B55191">
        <w:rPr>
          <w:noProof/>
        </w:rPr>
        <w:t>, 095801.</w:t>
      </w:r>
    </w:p>
    <w:p w14:paraId="6A200D53" w14:textId="77777777" w:rsidR="00B55191" w:rsidRPr="00B55191" w:rsidRDefault="00B55191" w:rsidP="00B55191">
      <w:pPr>
        <w:pStyle w:val="EndNoteBibliography"/>
        <w:rPr>
          <w:noProof/>
        </w:rPr>
      </w:pPr>
      <w:r w:rsidRPr="00B55191">
        <w:rPr>
          <w:noProof/>
        </w:rPr>
        <w:t xml:space="preserve">(478) Weitzner, S. E.; Akhade, S. A.; Varley, J. B.; Wood, B. C.; Otani, M.; Baker, S. E.; Duoss, E. B. Toward Engineering of Solution Microenvironments for the Co2 Reduction Reaction: Unraveling Ph and Voltage Effects from a Combined Density-Functional-Continuum Theory. </w:t>
      </w:r>
      <w:r w:rsidRPr="00B55191">
        <w:rPr>
          <w:i/>
          <w:noProof/>
        </w:rPr>
        <w:t xml:space="preserve">J. Phys. Chem. Lett. </w:t>
      </w:r>
      <w:r w:rsidRPr="00B55191">
        <w:rPr>
          <w:b/>
          <w:noProof/>
        </w:rPr>
        <w:t>2020</w:t>
      </w:r>
      <w:r w:rsidRPr="00B55191">
        <w:rPr>
          <w:noProof/>
        </w:rPr>
        <w:t xml:space="preserve">, </w:t>
      </w:r>
      <w:r w:rsidRPr="00B55191">
        <w:rPr>
          <w:i/>
          <w:noProof/>
        </w:rPr>
        <w:t>11</w:t>
      </w:r>
      <w:r w:rsidRPr="00B55191">
        <w:rPr>
          <w:noProof/>
        </w:rPr>
        <w:t>, 4113-4118.</w:t>
      </w:r>
    </w:p>
    <w:p w14:paraId="7576F0E7" w14:textId="77777777" w:rsidR="00B55191" w:rsidRPr="00B55191" w:rsidRDefault="00B55191" w:rsidP="00B55191">
      <w:pPr>
        <w:pStyle w:val="EndNoteBibliography"/>
        <w:rPr>
          <w:noProof/>
        </w:rPr>
      </w:pPr>
      <w:r w:rsidRPr="00B55191">
        <w:rPr>
          <w:noProof/>
        </w:rPr>
        <w:t xml:space="preserve">(479) Hagiwara, S.; Kuroda, F.; Kondo, T.; Otani, M. Electrocatalytic Mechanisms for an Oxygen Evolution Reaction at a Rhombohedral Boron Monosulfide Electrode/Alkaline Medium Interface. </w:t>
      </w:r>
      <w:r w:rsidRPr="00B55191">
        <w:rPr>
          <w:i/>
          <w:noProof/>
        </w:rPr>
        <w:t xml:space="preserve">ACS Appl. Mater. Interfaces </w:t>
      </w:r>
      <w:r w:rsidRPr="00B55191">
        <w:rPr>
          <w:b/>
          <w:noProof/>
        </w:rPr>
        <w:t>2023</w:t>
      </w:r>
      <w:r w:rsidRPr="00B55191">
        <w:rPr>
          <w:noProof/>
        </w:rPr>
        <w:t xml:space="preserve">, </w:t>
      </w:r>
      <w:r w:rsidRPr="00B55191">
        <w:rPr>
          <w:i/>
          <w:noProof/>
        </w:rPr>
        <w:t>15</w:t>
      </w:r>
      <w:r w:rsidRPr="00B55191">
        <w:rPr>
          <w:noProof/>
        </w:rPr>
        <w:t>, 50174-50184.</w:t>
      </w:r>
    </w:p>
    <w:p w14:paraId="7CED3034" w14:textId="77777777" w:rsidR="00B55191" w:rsidRPr="00B55191" w:rsidRDefault="00B55191" w:rsidP="00B55191">
      <w:pPr>
        <w:pStyle w:val="EndNoteBibliography"/>
        <w:rPr>
          <w:noProof/>
        </w:rPr>
      </w:pPr>
      <w:r w:rsidRPr="00B55191">
        <w:rPr>
          <w:noProof/>
        </w:rPr>
        <w:t xml:space="preserve">(480) Petrosyan, S. A.; Briere, J.-F.; Roundy, D.; Arias, T. A. Joint Density-Functional Theory for Electronic Structure of Solvated Systems. </w:t>
      </w:r>
      <w:r w:rsidRPr="00B55191">
        <w:rPr>
          <w:i/>
          <w:noProof/>
        </w:rPr>
        <w:t xml:space="preserve">Phys. Rev. B </w:t>
      </w:r>
      <w:r w:rsidRPr="00B55191">
        <w:rPr>
          <w:b/>
          <w:noProof/>
        </w:rPr>
        <w:t>2007</w:t>
      </w:r>
      <w:r w:rsidRPr="00B55191">
        <w:rPr>
          <w:noProof/>
        </w:rPr>
        <w:t xml:space="preserve">, </w:t>
      </w:r>
      <w:r w:rsidRPr="00B55191">
        <w:rPr>
          <w:i/>
          <w:noProof/>
        </w:rPr>
        <w:t>75</w:t>
      </w:r>
      <w:r w:rsidRPr="00B55191">
        <w:rPr>
          <w:noProof/>
        </w:rPr>
        <w:t>, 205105.</w:t>
      </w:r>
    </w:p>
    <w:p w14:paraId="54015F1B" w14:textId="77777777" w:rsidR="00B55191" w:rsidRPr="00B55191" w:rsidRDefault="00B55191" w:rsidP="00B55191">
      <w:pPr>
        <w:pStyle w:val="EndNoteBibliography"/>
        <w:rPr>
          <w:noProof/>
        </w:rPr>
      </w:pPr>
      <w:r w:rsidRPr="00B55191">
        <w:rPr>
          <w:noProof/>
        </w:rPr>
        <w:t xml:space="preserve">(481) Jinnouchi, R.; Anderson, A. B. Aqueous and Surface Redox Potentials from Self-Consistently Determined Gibbs Energies. </w:t>
      </w:r>
      <w:r w:rsidRPr="00B55191">
        <w:rPr>
          <w:i/>
          <w:noProof/>
        </w:rPr>
        <w:t xml:space="preserve">J. Phys. Chem. C </w:t>
      </w:r>
      <w:r w:rsidRPr="00B55191">
        <w:rPr>
          <w:b/>
          <w:noProof/>
        </w:rPr>
        <w:t>2008</w:t>
      </w:r>
      <w:r w:rsidRPr="00B55191">
        <w:rPr>
          <w:noProof/>
        </w:rPr>
        <w:t xml:space="preserve">, </w:t>
      </w:r>
      <w:r w:rsidRPr="00B55191">
        <w:rPr>
          <w:i/>
          <w:noProof/>
        </w:rPr>
        <w:t>112</w:t>
      </w:r>
      <w:r w:rsidRPr="00B55191">
        <w:rPr>
          <w:noProof/>
        </w:rPr>
        <w:t>, 8747-8750.</w:t>
      </w:r>
    </w:p>
    <w:p w14:paraId="4A2A493D" w14:textId="77777777" w:rsidR="00B55191" w:rsidRPr="00B55191" w:rsidRDefault="00B55191" w:rsidP="00B55191">
      <w:pPr>
        <w:pStyle w:val="EndNoteBibliography"/>
        <w:rPr>
          <w:noProof/>
        </w:rPr>
      </w:pPr>
      <w:r w:rsidRPr="00B55191">
        <w:rPr>
          <w:noProof/>
        </w:rPr>
        <w:t xml:space="preserve">(482) Sundararaman, R.; Goddard, W. A., III; Arias, T. A. Grand Canonical Electronic Density-Functional Theory: Algorithms and Applications to Electrochemistry. </w:t>
      </w:r>
      <w:r w:rsidRPr="00B55191">
        <w:rPr>
          <w:i/>
          <w:noProof/>
        </w:rPr>
        <w:t xml:space="preserve">J. Chem. Phys. </w:t>
      </w:r>
      <w:r w:rsidRPr="00B55191">
        <w:rPr>
          <w:b/>
          <w:noProof/>
        </w:rPr>
        <w:t>2017</w:t>
      </w:r>
      <w:r w:rsidRPr="00B55191">
        <w:rPr>
          <w:noProof/>
        </w:rPr>
        <w:t xml:space="preserve">, </w:t>
      </w:r>
      <w:r w:rsidRPr="00B55191">
        <w:rPr>
          <w:i/>
          <w:noProof/>
        </w:rPr>
        <w:t>146</w:t>
      </w:r>
      <w:r w:rsidRPr="00B55191">
        <w:rPr>
          <w:noProof/>
        </w:rPr>
        <w:t>, 114104.</w:t>
      </w:r>
    </w:p>
    <w:p w14:paraId="682B42AD" w14:textId="77777777" w:rsidR="00B55191" w:rsidRPr="00B55191" w:rsidRDefault="00B55191" w:rsidP="00B55191">
      <w:pPr>
        <w:pStyle w:val="EndNoteBibliography"/>
        <w:rPr>
          <w:noProof/>
        </w:rPr>
      </w:pPr>
      <w:r w:rsidRPr="00B55191">
        <w:rPr>
          <w:noProof/>
        </w:rPr>
        <w:t xml:space="preserve">(483) Zhou, Z.; Kan, E.; Deng, K.; Ogitsu, T.; Pham, T. A.; Zhan, C. Synergic Effects of Surface Chemistry and Applied Potentials on the Kinetics of the Electrocatalytic Oxygen Evolution Reaction in Iro2. </w:t>
      </w:r>
      <w:r w:rsidRPr="00B55191">
        <w:rPr>
          <w:i/>
          <w:noProof/>
        </w:rPr>
        <w:t xml:space="preserve">ACS Appl. Energy Mater. </w:t>
      </w:r>
      <w:r w:rsidRPr="00B55191">
        <w:rPr>
          <w:b/>
          <w:noProof/>
        </w:rPr>
        <w:t>2023</w:t>
      </w:r>
      <w:r w:rsidRPr="00B55191">
        <w:rPr>
          <w:noProof/>
        </w:rPr>
        <w:t xml:space="preserve">, </w:t>
      </w:r>
      <w:r w:rsidRPr="00B55191">
        <w:rPr>
          <w:i/>
          <w:noProof/>
        </w:rPr>
        <w:t>6</w:t>
      </w:r>
      <w:r w:rsidRPr="00B55191">
        <w:rPr>
          <w:noProof/>
        </w:rPr>
        <w:t>, 11963-11972.</w:t>
      </w:r>
    </w:p>
    <w:p w14:paraId="1CFC4819" w14:textId="77777777" w:rsidR="00B55191" w:rsidRPr="00B55191" w:rsidRDefault="00B55191" w:rsidP="00B55191">
      <w:pPr>
        <w:pStyle w:val="EndNoteBibliography"/>
        <w:rPr>
          <w:noProof/>
        </w:rPr>
      </w:pPr>
      <w:r w:rsidRPr="00B55191">
        <w:rPr>
          <w:noProof/>
        </w:rPr>
        <w:t xml:space="preserve">(484) Wang, Z.; Goddard, W. A.; Xiao, H. Potential-Dependent Transition of Reaction Mechanisms for Oxygen Evolution on Layered Double Hydroxides. </w:t>
      </w:r>
      <w:r w:rsidRPr="00B55191">
        <w:rPr>
          <w:i/>
          <w:noProof/>
        </w:rPr>
        <w:t xml:space="preserve">Nat. Commun. </w:t>
      </w:r>
      <w:r w:rsidRPr="00B55191">
        <w:rPr>
          <w:b/>
          <w:noProof/>
        </w:rPr>
        <w:t>2023</w:t>
      </w:r>
      <w:r w:rsidRPr="00B55191">
        <w:rPr>
          <w:noProof/>
        </w:rPr>
        <w:t xml:space="preserve">, </w:t>
      </w:r>
      <w:r w:rsidRPr="00B55191">
        <w:rPr>
          <w:i/>
          <w:noProof/>
        </w:rPr>
        <w:t>14</w:t>
      </w:r>
      <w:r w:rsidRPr="00B55191">
        <w:rPr>
          <w:noProof/>
        </w:rPr>
        <w:t>, 4228.</w:t>
      </w:r>
    </w:p>
    <w:p w14:paraId="29C2C233" w14:textId="77777777" w:rsidR="00B55191" w:rsidRPr="00B55191" w:rsidRDefault="00B55191" w:rsidP="00B55191">
      <w:pPr>
        <w:pStyle w:val="EndNoteBibliography"/>
        <w:rPr>
          <w:noProof/>
        </w:rPr>
      </w:pPr>
      <w:r w:rsidRPr="00B55191">
        <w:rPr>
          <w:noProof/>
        </w:rPr>
        <w:t xml:space="preserve">(485) Goodpaster, J. D.; Bell, A. T.; Head-Gordon, M. Identification of Possible Pathways for C-C Bond Formation During Electrochemical Reduction of Co2: New Theoretical Insights from an Improved Electrochemical Model. </w:t>
      </w:r>
      <w:r w:rsidRPr="00B55191">
        <w:rPr>
          <w:i/>
          <w:noProof/>
        </w:rPr>
        <w:t xml:space="preserve">J. Phys. Chem. Lett. </w:t>
      </w:r>
      <w:r w:rsidRPr="00B55191">
        <w:rPr>
          <w:b/>
          <w:noProof/>
        </w:rPr>
        <w:t>2016</w:t>
      </w:r>
      <w:r w:rsidRPr="00B55191">
        <w:rPr>
          <w:noProof/>
        </w:rPr>
        <w:t xml:space="preserve">, </w:t>
      </w:r>
      <w:r w:rsidRPr="00B55191">
        <w:rPr>
          <w:i/>
          <w:noProof/>
        </w:rPr>
        <w:t>7</w:t>
      </w:r>
      <w:r w:rsidRPr="00B55191">
        <w:rPr>
          <w:noProof/>
        </w:rPr>
        <w:t>, 1471-1477.</w:t>
      </w:r>
    </w:p>
    <w:p w14:paraId="13A11FC9" w14:textId="77777777" w:rsidR="00B55191" w:rsidRPr="00B55191" w:rsidRDefault="00B55191" w:rsidP="00B55191">
      <w:pPr>
        <w:pStyle w:val="EndNoteBibliography"/>
        <w:rPr>
          <w:noProof/>
        </w:rPr>
      </w:pPr>
      <w:r w:rsidRPr="00B55191">
        <w:rPr>
          <w:noProof/>
        </w:rPr>
        <w:lastRenderedPageBreak/>
        <w:t xml:space="preserve">(486) Gauthier, J. A.; Ringe, S.; Dickens, C. F.; Garza, A. J.; Bell, A. T.; Head-Gordon, M.; Nørskov, J. K.; Chan, K. Challenges in Modeling Electrochemical Reaction Energetics with Polarizable Continuum Models. </w:t>
      </w:r>
      <w:r w:rsidRPr="00B55191">
        <w:rPr>
          <w:i/>
          <w:noProof/>
        </w:rPr>
        <w:t xml:space="preserve">ACS Catal. </w:t>
      </w:r>
      <w:r w:rsidRPr="00B55191">
        <w:rPr>
          <w:b/>
          <w:noProof/>
        </w:rPr>
        <w:t>2019</w:t>
      </w:r>
      <w:r w:rsidRPr="00B55191">
        <w:rPr>
          <w:noProof/>
        </w:rPr>
        <w:t xml:space="preserve">, </w:t>
      </w:r>
      <w:r w:rsidRPr="00B55191">
        <w:rPr>
          <w:i/>
          <w:noProof/>
        </w:rPr>
        <w:t>9</w:t>
      </w:r>
      <w:r w:rsidRPr="00B55191">
        <w:rPr>
          <w:noProof/>
        </w:rPr>
        <w:t>, 920-931.</w:t>
      </w:r>
    </w:p>
    <w:p w14:paraId="44927B16" w14:textId="77777777" w:rsidR="00B55191" w:rsidRPr="00B55191" w:rsidRDefault="00B55191" w:rsidP="00B55191">
      <w:pPr>
        <w:pStyle w:val="EndNoteBibliography"/>
        <w:rPr>
          <w:noProof/>
        </w:rPr>
      </w:pPr>
      <w:r w:rsidRPr="00B55191">
        <w:rPr>
          <w:noProof/>
        </w:rPr>
        <w:t xml:space="preserve">(487) Prentice, J. C. A.; Aarons, J.; Womack, J. C.; Allen, A. E. A.; Andrinopoulos, L.; Anton, L.; Bell, R. A.; Bhandari, A.; Bramley, G. A.; Charlton, R. J.; et al. The Onetep Linear-Scaling Density Functional Theory Program. </w:t>
      </w:r>
      <w:r w:rsidRPr="00B55191">
        <w:rPr>
          <w:i/>
          <w:noProof/>
        </w:rPr>
        <w:t xml:space="preserve">J. Chem. Phys. </w:t>
      </w:r>
      <w:r w:rsidRPr="00B55191">
        <w:rPr>
          <w:b/>
          <w:noProof/>
        </w:rPr>
        <w:t>2020</w:t>
      </w:r>
      <w:r w:rsidRPr="00B55191">
        <w:rPr>
          <w:noProof/>
        </w:rPr>
        <w:t xml:space="preserve">, </w:t>
      </w:r>
      <w:r w:rsidRPr="00B55191">
        <w:rPr>
          <w:i/>
          <w:noProof/>
        </w:rPr>
        <w:t>152</w:t>
      </w:r>
      <w:r w:rsidRPr="00B55191">
        <w:rPr>
          <w:noProof/>
        </w:rPr>
        <w:t>, 174111-174111.</w:t>
      </w:r>
    </w:p>
    <w:p w14:paraId="107B0890" w14:textId="77777777" w:rsidR="00B55191" w:rsidRPr="00B55191" w:rsidRDefault="00B55191" w:rsidP="00B55191">
      <w:pPr>
        <w:pStyle w:val="EndNoteBibliography"/>
        <w:rPr>
          <w:noProof/>
        </w:rPr>
      </w:pPr>
      <w:r w:rsidRPr="00B55191">
        <w:rPr>
          <w:noProof/>
        </w:rPr>
        <w:t xml:space="preserve">(488) Bhandari, A.; Peng, C.; Dziedzic, J.; Anton, L.; Owen, J. R.; Kramer, D.; Skylaris, C. K. Electrochemistry from First-Principles in the Grand Canonical Ensemble. </w:t>
      </w:r>
      <w:r w:rsidRPr="00B55191">
        <w:rPr>
          <w:i/>
          <w:noProof/>
        </w:rPr>
        <w:t xml:space="preserve">J. Chem. Phys. </w:t>
      </w:r>
      <w:r w:rsidRPr="00B55191">
        <w:rPr>
          <w:b/>
          <w:noProof/>
        </w:rPr>
        <w:t>2021</w:t>
      </w:r>
      <w:r w:rsidRPr="00B55191">
        <w:rPr>
          <w:noProof/>
        </w:rPr>
        <w:t xml:space="preserve">, </w:t>
      </w:r>
      <w:r w:rsidRPr="00B55191">
        <w:rPr>
          <w:i/>
          <w:noProof/>
        </w:rPr>
        <w:t>155</w:t>
      </w:r>
      <w:r w:rsidRPr="00B55191">
        <w:rPr>
          <w:noProof/>
        </w:rPr>
        <w:t>, 024114.</w:t>
      </w:r>
    </w:p>
    <w:p w14:paraId="4D844935" w14:textId="77777777" w:rsidR="00B55191" w:rsidRPr="00B55191" w:rsidRDefault="00B55191" w:rsidP="00B55191">
      <w:pPr>
        <w:pStyle w:val="EndNoteBibliography"/>
        <w:rPr>
          <w:noProof/>
        </w:rPr>
      </w:pPr>
      <w:r w:rsidRPr="00B55191">
        <w:rPr>
          <w:noProof/>
        </w:rPr>
        <w:t xml:space="preserve">(489) Hörmann, N. G.; Andreussi, O.; Marzari, N. Grand Canonical Simulations of Electrochemical Interfaces in Implicit Solvation Models. </w:t>
      </w:r>
      <w:r w:rsidRPr="00B55191">
        <w:rPr>
          <w:i/>
          <w:noProof/>
        </w:rPr>
        <w:t xml:space="preserve">J. Chem. Phys. </w:t>
      </w:r>
      <w:r w:rsidRPr="00B55191">
        <w:rPr>
          <w:b/>
          <w:noProof/>
        </w:rPr>
        <w:t>2019</w:t>
      </w:r>
      <w:r w:rsidRPr="00B55191">
        <w:rPr>
          <w:noProof/>
        </w:rPr>
        <w:t xml:space="preserve">, </w:t>
      </w:r>
      <w:r w:rsidRPr="00B55191">
        <w:rPr>
          <w:i/>
          <w:noProof/>
        </w:rPr>
        <w:t>150</w:t>
      </w:r>
      <w:r w:rsidRPr="00B55191">
        <w:rPr>
          <w:noProof/>
        </w:rPr>
        <w:t xml:space="preserve">, </w:t>
      </w:r>
    </w:p>
    <w:p w14:paraId="7FCF4855" w14:textId="77777777" w:rsidR="00B55191" w:rsidRPr="00B55191" w:rsidRDefault="00B55191" w:rsidP="00B55191">
      <w:pPr>
        <w:pStyle w:val="EndNoteBibliography"/>
        <w:rPr>
          <w:noProof/>
        </w:rPr>
      </w:pPr>
      <w:r w:rsidRPr="00B55191">
        <w:rPr>
          <w:noProof/>
        </w:rPr>
        <w:t xml:space="preserve">(490) Gauthier, J. A.; Dickens, C. F.; Heenen, H. H.; Vijay, S.; Ringe, S.; Chan, K. Unified Approach to Implicit and Explicit Solvent Simulations of Electrochemical Reaction Energetics. </w:t>
      </w:r>
      <w:r w:rsidRPr="00B55191">
        <w:rPr>
          <w:i/>
          <w:noProof/>
        </w:rPr>
        <w:t xml:space="preserve">J. Chem. Theory Comput. </w:t>
      </w:r>
      <w:r w:rsidRPr="00B55191">
        <w:rPr>
          <w:b/>
          <w:noProof/>
        </w:rPr>
        <w:t>2019</w:t>
      </w:r>
      <w:r w:rsidRPr="00B55191">
        <w:rPr>
          <w:noProof/>
        </w:rPr>
        <w:t xml:space="preserve">, </w:t>
      </w:r>
      <w:r w:rsidRPr="00B55191">
        <w:rPr>
          <w:i/>
          <w:noProof/>
        </w:rPr>
        <w:t>15</w:t>
      </w:r>
      <w:r w:rsidRPr="00B55191">
        <w:rPr>
          <w:noProof/>
        </w:rPr>
        <w:t>, 6895-6906.</w:t>
      </w:r>
    </w:p>
    <w:p w14:paraId="54950172" w14:textId="77777777" w:rsidR="00B55191" w:rsidRPr="00B55191" w:rsidRDefault="00B55191" w:rsidP="00B55191">
      <w:pPr>
        <w:pStyle w:val="EndNoteBibliography"/>
        <w:rPr>
          <w:noProof/>
        </w:rPr>
      </w:pPr>
      <w:r w:rsidRPr="00B55191">
        <w:rPr>
          <w:noProof/>
        </w:rPr>
        <w:t xml:space="preserve">(491) Nielsen, M.; Björketun, M. E.; Hansen, M. H.; Rossmeisl, J. Towards First Principles Modeling of Electrochemical Electrode–Electrolyte Interfaces. </w:t>
      </w:r>
      <w:r w:rsidRPr="00B55191">
        <w:rPr>
          <w:i/>
          <w:noProof/>
        </w:rPr>
        <w:t xml:space="preserve">Surf. Sci. </w:t>
      </w:r>
      <w:r w:rsidRPr="00B55191">
        <w:rPr>
          <w:b/>
          <w:noProof/>
        </w:rPr>
        <w:t>2015</w:t>
      </w:r>
      <w:r w:rsidRPr="00B55191">
        <w:rPr>
          <w:noProof/>
        </w:rPr>
        <w:t xml:space="preserve">, </w:t>
      </w:r>
      <w:r w:rsidRPr="00B55191">
        <w:rPr>
          <w:i/>
          <w:noProof/>
        </w:rPr>
        <w:t>631</w:t>
      </w:r>
      <w:r w:rsidRPr="00B55191">
        <w:rPr>
          <w:noProof/>
        </w:rPr>
        <w:t>, 2-7.</w:t>
      </w:r>
    </w:p>
    <w:p w14:paraId="5599F23F" w14:textId="77777777" w:rsidR="00B55191" w:rsidRPr="00B55191" w:rsidRDefault="00B55191" w:rsidP="00B55191">
      <w:pPr>
        <w:pStyle w:val="EndNoteBibliography"/>
        <w:rPr>
          <w:noProof/>
        </w:rPr>
      </w:pPr>
      <w:r w:rsidRPr="00B55191">
        <w:rPr>
          <w:noProof/>
        </w:rPr>
        <w:t xml:space="preserve">(492) Rossmeisl, J.; Chan, K.; Ahmed, R.; Tripković, V.; Björketun, M. E. Ph in Atomic Scale Simulations of Electrochemical Interfaces. </w:t>
      </w:r>
      <w:r w:rsidRPr="00B55191">
        <w:rPr>
          <w:i/>
          <w:noProof/>
        </w:rPr>
        <w:t xml:space="preserve">Phys. Chem. Chem. Phys. </w:t>
      </w:r>
      <w:r w:rsidRPr="00B55191">
        <w:rPr>
          <w:b/>
          <w:noProof/>
        </w:rPr>
        <w:t>2013</w:t>
      </w:r>
      <w:r w:rsidRPr="00B55191">
        <w:rPr>
          <w:noProof/>
        </w:rPr>
        <w:t xml:space="preserve">, </w:t>
      </w:r>
      <w:r w:rsidRPr="00B55191">
        <w:rPr>
          <w:i/>
          <w:noProof/>
        </w:rPr>
        <w:t>15</w:t>
      </w:r>
      <w:r w:rsidRPr="00B55191">
        <w:rPr>
          <w:noProof/>
        </w:rPr>
        <w:t>, 10321-10325.</w:t>
      </w:r>
    </w:p>
    <w:p w14:paraId="6A956698" w14:textId="77777777" w:rsidR="00B55191" w:rsidRPr="00B55191" w:rsidRDefault="00B55191" w:rsidP="00B55191">
      <w:pPr>
        <w:pStyle w:val="EndNoteBibliography"/>
        <w:rPr>
          <w:noProof/>
        </w:rPr>
      </w:pPr>
      <w:r w:rsidRPr="00B55191">
        <w:rPr>
          <w:noProof/>
        </w:rPr>
        <w:t xml:space="preserve">(493) Hansen, M. H.; Jin, C.; Thygesen, K. S.; Rossmeisl, J. Finite Bias Calculations to Model Interface Dipoles in Electrochemical Cells at the Atomic Scale. </w:t>
      </w:r>
      <w:r w:rsidRPr="00B55191">
        <w:rPr>
          <w:i/>
          <w:noProof/>
        </w:rPr>
        <w:t xml:space="preserve">J. Phys. Chem. C </w:t>
      </w:r>
      <w:r w:rsidRPr="00B55191">
        <w:rPr>
          <w:b/>
          <w:noProof/>
        </w:rPr>
        <w:t>2016</w:t>
      </w:r>
      <w:r w:rsidRPr="00B55191">
        <w:rPr>
          <w:noProof/>
        </w:rPr>
        <w:t xml:space="preserve">, </w:t>
      </w:r>
      <w:r w:rsidRPr="00B55191">
        <w:rPr>
          <w:i/>
          <w:noProof/>
        </w:rPr>
        <w:t>120</w:t>
      </w:r>
      <w:r w:rsidRPr="00B55191">
        <w:rPr>
          <w:noProof/>
        </w:rPr>
        <w:t>, 13485-13491.</w:t>
      </w:r>
    </w:p>
    <w:p w14:paraId="57CF151E" w14:textId="77777777" w:rsidR="00B55191" w:rsidRPr="00B55191" w:rsidRDefault="00B55191" w:rsidP="00B55191">
      <w:pPr>
        <w:pStyle w:val="EndNoteBibliography"/>
        <w:rPr>
          <w:noProof/>
        </w:rPr>
      </w:pPr>
      <w:r w:rsidRPr="00B55191">
        <w:rPr>
          <w:noProof/>
        </w:rPr>
        <w:t xml:space="preserve">(494) Hansen, M. H.; Rossmeisl, J. Ph in Grand Canonical Statistics of an Electrochemical Interface. </w:t>
      </w:r>
      <w:r w:rsidRPr="00B55191">
        <w:rPr>
          <w:i/>
          <w:noProof/>
        </w:rPr>
        <w:t xml:space="preserve">J. Phys. Chem. C </w:t>
      </w:r>
      <w:r w:rsidRPr="00B55191">
        <w:rPr>
          <w:b/>
          <w:noProof/>
        </w:rPr>
        <w:t>2016</w:t>
      </w:r>
      <w:r w:rsidRPr="00B55191">
        <w:rPr>
          <w:noProof/>
        </w:rPr>
        <w:t xml:space="preserve">, </w:t>
      </w:r>
      <w:r w:rsidRPr="00B55191">
        <w:rPr>
          <w:i/>
          <w:noProof/>
        </w:rPr>
        <w:t>120</w:t>
      </w:r>
      <w:r w:rsidRPr="00B55191">
        <w:rPr>
          <w:noProof/>
        </w:rPr>
        <w:t>, 29135-29143.</w:t>
      </w:r>
    </w:p>
    <w:p w14:paraId="6968A5F5" w14:textId="77777777" w:rsidR="00B55191" w:rsidRPr="00B55191" w:rsidRDefault="00B55191" w:rsidP="00B55191">
      <w:pPr>
        <w:pStyle w:val="EndNoteBibliography"/>
        <w:rPr>
          <w:noProof/>
        </w:rPr>
      </w:pPr>
      <w:r w:rsidRPr="00B55191">
        <w:rPr>
          <w:noProof/>
        </w:rPr>
        <w:t xml:space="preserve">(495) Ambrosio, F.; Wiktor, J.; Pasquarello, A. Ph-Dependent Surface Chemistry from First Principles: Application to the Bivo4(010)–Water Interface. </w:t>
      </w:r>
      <w:r w:rsidRPr="00B55191">
        <w:rPr>
          <w:i/>
          <w:noProof/>
        </w:rPr>
        <w:t xml:space="preserve">ACS Appl. Mater. Interfaces </w:t>
      </w:r>
      <w:r w:rsidRPr="00B55191">
        <w:rPr>
          <w:b/>
          <w:noProof/>
        </w:rPr>
        <w:t>2018</w:t>
      </w:r>
      <w:r w:rsidRPr="00B55191">
        <w:rPr>
          <w:noProof/>
        </w:rPr>
        <w:t xml:space="preserve">, </w:t>
      </w:r>
      <w:r w:rsidRPr="00B55191">
        <w:rPr>
          <w:i/>
          <w:noProof/>
        </w:rPr>
        <w:t>4</w:t>
      </w:r>
      <w:r w:rsidRPr="00B55191">
        <w:rPr>
          <w:noProof/>
        </w:rPr>
        <w:t>, 10011-10021.</w:t>
      </w:r>
    </w:p>
    <w:p w14:paraId="06503D2D" w14:textId="77777777" w:rsidR="00B55191" w:rsidRPr="00B55191" w:rsidRDefault="00B55191" w:rsidP="00B55191">
      <w:pPr>
        <w:pStyle w:val="EndNoteBibliography"/>
        <w:rPr>
          <w:noProof/>
        </w:rPr>
      </w:pPr>
      <w:r w:rsidRPr="00B55191">
        <w:rPr>
          <w:noProof/>
        </w:rPr>
        <w:t xml:space="preserve">(496) Cheng, J.; Sprik, M. Acidity of the Aqueous Rutile Tio2(110) Surface from Density Functional Theory Based Molecular Dynamics. </w:t>
      </w:r>
      <w:r w:rsidRPr="00B55191">
        <w:rPr>
          <w:i/>
          <w:noProof/>
        </w:rPr>
        <w:t xml:space="preserve">J. Chem. Theory Comput. </w:t>
      </w:r>
      <w:r w:rsidRPr="00B55191">
        <w:rPr>
          <w:b/>
          <w:noProof/>
        </w:rPr>
        <w:t>2010</w:t>
      </w:r>
      <w:r w:rsidRPr="00B55191">
        <w:rPr>
          <w:noProof/>
        </w:rPr>
        <w:t xml:space="preserve">, </w:t>
      </w:r>
      <w:r w:rsidRPr="00B55191">
        <w:rPr>
          <w:i/>
          <w:noProof/>
        </w:rPr>
        <w:t>6</w:t>
      </w:r>
      <w:r w:rsidRPr="00B55191">
        <w:rPr>
          <w:noProof/>
        </w:rPr>
        <w:t>, 880-889.</w:t>
      </w:r>
    </w:p>
    <w:p w14:paraId="0A2515A7" w14:textId="77777777" w:rsidR="00B55191" w:rsidRPr="00B55191" w:rsidRDefault="00B55191" w:rsidP="00B55191">
      <w:pPr>
        <w:pStyle w:val="EndNoteBibliography"/>
        <w:rPr>
          <w:noProof/>
        </w:rPr>
      </w:pPr>
      <w:r w:rsidRPr="00B55191">
        <w:rPr>
          <w:noProof/>
        </w:rPr>
        <w:t xml:space="preserve">(497) Chan, K.; Nørskov, J. K. Electrochemical Barriers Made Simple. </w:t>
      </w:r>
      <w:r w:rsidRPr="00B55191">
        <w:rPr>
          <w:i/>
          <w:noProof/>
        </w:rPr>
        <w:t xml:space="preserve">J. Phys. Chem. Lett. </w:t>
      </w:r>
      <w:r w:rsidRPr="00B55191">
        <w:rPr>
          <w:b/>
          <w:noProof/>
        </w:rPr>
        <w:t>2015</w:t>
      </w:r>
      <w:r w:rsidRPr="00B55191">
        <w:rPr>
          <w:noProof/>
        </w:rPr>
        <w:t xml:space="preserve">, </w:t>
      </w:r>
      <w:r w:rsidRPr="00B55191">
        <w:rPr>
          <w:i/>
          <w:noProof/>
        </w:rPr>
        <w:t>6</w:t>
      </w:r>
      <w:r w:rsidRPr="00B55191">
        <w:rPr>
          <w:noProof/>
        </w:rPr>
        <w:t>, 2663-2668.</w:t>
      </w:r>
    </w:p>
    <w:p w14:paraId="3E870C1F" w14:textId="77777777" w:rsidR="00B55191" w:rsidRPr="00B55191" w:rsidRDefault="00B55191" w:rsidP="00B55191">
      <w:pPr>
        <w:pStyle w:val="EndNoteBibliography"/>
        <w:rPr>
          <w:noProof/>
        </w:rPr>
      </w:pPr>
      <w:r w:rsidRPr="00B55191">
        <w:rPr>
          <w:noProof/>
        </w:rPr>
        <w:t xml:space="preserve">(498) Chan, K.; Nørskov, J. K. Potential Dependence of Electrochemical Barriers from Ab Initio Calculations. </w:t>
      </w:r>
      <w:r w:rsidRPr="00B55191">
        <w:rPr>
          <w:i/>
          <w:noProof/>
        </w:rPr>
        <w:t xml:space="preserve">J. Phys. Chem. Lett. </w:t>
      </w:r>
      <w:r w:rsidRPr="00B55191">
        <w:rPr>
          <w:b/>
          <w:noProof/>
        </w:rPr>
        <w:t>2016</w:t>
      </w:r>
      <w:r w:rsidRPr="00B55191">
        <w:rPr>
          <w:noProof/>
        </w:rPr>
        <w:t xml:space="preserve">, </w:t>
      </w:r>
      <w:r w:rsidRPr="00B55191">
        <w:rPr>
          <w:i/>
          <w:noProof/>
        </w:rPr>
        <w:t>7</w:t>
      </w:r>
      <w:r w:rsidRPr="00B55191">
        <w:rPr>
          <w:noProof/>
        </w:rPr>
        <w:t>, 1686-1690.</w:t>
      </w:r>
    </w:p>
    <w:p w14:paraId="492D25FD" w14:textId="77777777" w:rsidR="00B55191" w:rsidRPr="00B55191" w:rsidRDefault="00B55191" w:rsidP="00B55191">
      <w:pPr>
        <w:pStyle w:val="EndNoteBibliography"/>
        <w:rPr>
          <w:noProof/>
        </w:rPr>
      </w:pPr>
      <w:r w:rsidRPr="00B55191">
        <w:rPr>
          <w:noProof/>
        </w:rPr>
        <w:t xml:space="preserve">(499) Patel, A. M.; Vijay, S.; Kastlunger, G.; Nørskov, J. K.; Chan, K. Generalizable Trends in Electrochemical Protonation Barriers. </w:t>
      </w:r>
      <w:r w:rsidRPr="00B55191">
        <w:rPr>
          <w:i/>
          <w:noProof/>
        </w:rPr>
        <w:t xml:space="preserve">J. Phys. Chem. Lett. </w:t>
      </w:r>
      <w:r w:rsidRPr="00B55191">
        <w:rPr>
          <w:b/>
          <w:noProof/>
        </w:rPr>
        <w:t>2021</w:t>
      </w:r>
      <w:r w:rsidRPr="00B55191">
        <w:rPr>
          <w:noProof/>
        </w:rPr>
        <w:t xml:space="preserve">, </w:t>
      </w:r>
      <w:r w:rsidRPr="00B55191">
        <w:rPr>
          <w:i/>
          <w:noProof/>
        </w:rPr>
        <w:t>12</w:t>
      </w:r>
      <w:r w:rsidRPr="00B55191">
        <w:rPr>
          <w:noProof/>
        </w:rPr>
        <w:t>, 5193-5200.</w:t>
      </w:r>
    </w:p>
    <w:p w14:paraId="62777C4B" w14:textId="77777777" w:rsidR="00B55191" w:rsidRPr="00B55191" w:rsidRDefault="00B55191" w:rsidP="00B55191">
      <w:pPr>
        <w:pStyle w:val="EndNoteBibliography"/>
        <w:rPr>
          <w:noProof/>
        </w:rPr>
      </w:pPr>
      <w:r w:rsidRPr="00B55191">
        <w:rPr>
          <w:noProof/>
        </w:rPr>
        <w:t xml:space="preserve">(500) Nie, X.; Esopi, M. R.; Janik, M. J.; Asthagiri, A. Selectivity of Co2 Reduction on Copper Electrodes: The Role of the Kinetics of Elementary Steps. </w:t>
      </w:r>
      <w:r w:rsidRPr="00B55191">
        <w:rPr>
          <w:i/>
          <w:noProof/>
        </w:rPr>
        <w:t xml:space="preserve">Angew. Chem. Int. Ed. </w:t>
      </w:r>
      <w:r w:rsidRPr="00B55191">
        <w:rPr>
          <w:b/>
          <w:noProof/>
        </w:rPr>
        <w:t>2013</w:t>
      </w:r>
      <w:r w:rsidRPr="00B55191">
        <w:rPr>
          <w:noProof/>
        </w:rPr>
        <w:t xml:space="preserve">, </w:t>
      </w:r>
      <w:r w:rsidRPr="00B55191">
        <w:rPr>
          <w:i/>
          <w:noProof/>
        </w:rPr>
        <w:t>52</w:t>
      </w:r>
      <w:r w:rsidRPr="00B55191">
        <w:rPr>
          <w:noProof/>
        </w:rPr>
        <w:t>, 2459-2462.</w:t>
      </w:r>
    </w:p>
    <w:p w14:paraId="6BB6D976" w14:textId="77777777" w:rsidR="00B55191" w:rsidRPr="00B55191" w:rsidRDefault="00B55191" w:rsidP="00B55191">
      <w:pPr>
        <w:pStyle w:val="EndNoteBibliography"/>
        <w:rPr>
          <w:noProof/>
        </w:rPr>
      </w:pPr>
      <w:r w:rsidRPr="00B55191">
        <w:rPr>
          <w:noProof/>
        </w:rPr>
        <w:t xml:space="preserve">(501) Kastlunger, G.; Lindgren, P.; Peterson, A. A. Controlled-Potential Simulation of Elementary Electrochemical Reactions: Proton Discharge on Metal Surfaces. </w:t>
      </w:r>
      <w:r w:rsidRPr="00B55191">
        <w:rPr>
          <w:i/>
          <w:noProof/>
        </w:rPr>
        <w:t xml:space="preserve">J. Phys. Chem. C </w:t>
      </w:r>
      <w:r w:rsidRPr="00B55191">
        <w:rPr>
          <w:b/>
          <w:noProof/>
        </w:rPr>
        <w:t>2018</w:t>
      </w:r>
      <w:r w:rsidRPr="00B55191">
        <w:rPr>
          <w:noProof/>
        </w:rPr>
        <w:t xml:space="preserve">, </w:t>
      </w:r>
      <w:r w:rsidRPr="00B55191">
        <w:rPr>
          <w:i/>
          <w:noProof/>
        </w:rPr>
        <w:t>122</w:t>
      </w:r>
      <w:r w:rsidRPr="00B55191">
        <w:rPr>
          <w:noProof/>
        </w:rPr>
        <w:t>, 12771-12781.</w:t>
      </w:r>
    </w:p>
    <w:p w14:paraId="3DC22F82" w14:textId="77777777" w:rsidR="00B55191" w:rsidRPr="00B55191" w:rsidRDefault="00B55191" w:rsidP="00B55191">
      <w:pPr>
        <w:pStyle w:val="EndNoteBibliography"/>
        <w:rPr>
          <w:noProof/>
        </w:rPr>
      </w:pPr>
      <w:r w:rsidRPr="00B55191">
        <w:rPr>
          <w:noProof/>
        </w:rPr>
        <w:t xml:space="preserve">(502) Chen, J.; Li, Y.-F.; Sit, P.; Selloni, A. Chemical Dynamics of the First Proton-Coupled Electron Transfer of Water Oxidation on Tio2 Anatase. </w:t>
      </w:r>
      <w:r w:rsidRPr="00B55191">
        <w:rPr>
          <w:i/>
          <w:noProof/>
        </w:rPr>
        <w:t xml:space="preserve">J. Am. Chem. Soc. </w:t>
      </w:r>
      <w:r w:rsidRPr="00B55191">
        <w:rPr>
          <w:b/>
          <w:noProof/>
        </w:rPr>
        <w:t>2013</w:t>
      </w:r>
      <w:r w:rsidRPr="00B55191">
        <w:rPr>
          <w:noProof/>
        </w:rPr>
        <w:t xml:space="preserve">, </w:t>
      </w:r>
      <w:r w:rsidRPr="00B55191">
        <w:rPr>
          <w:i/>
          <w:noProof/>
        </w:rPr>
        <w:t>135</w:t>
      </w:r>
      <w:r w:rsidRPr="00B55191">
        <w:rPr>
          <w:noProof/>
        </w:rPr>
        <w:t>, 18774-18777.</w:t>
      </w:r>
    </w:p>
    <w:p w14:paraId="2BFDF837" w14:textId="77777777" w:rsidR="00B55191" w:rsidRPr="00B55191" w:rsidRDefault="00B55191" w:rsidP="00B55191">
      <w:pPr>
        <w:pStyle w:val="EndNoteBibliography"/>
        <w:rPr>
          <w:noProof/>
        </w:rPr>
      </w:pPr>
      <w:r w:rsidRPr="00B55191">
        <w:rPr>
          <w:noProof/>
        </w:rPr>
        <w:t xml:space="preserve">(503) Oberhofer, H.; Reuter, K. First-Principles Thermodynamic Screening Approach to Photo-Catalytic Water Splitting with Co-Catalysts. </w:t>
      </w:r>
      <w:r w:rsidRPr="00B55191">
        <w:rPr>
          <w:i/>
          <w:noProof/>
        </w:rPr>
        <w:t xml:space="preserve">J. Chem. Phys. </w:t>
      </w:r>
      <w:r w:rsidRPr="00B55191">
        <w:rPr>
          <w:b/>
          <w:noProof/>
        </w:rPr>
        <w:t>2013</w:t>
      </w:r>
      <w:r w:rsidRPr="00B55191">
        <w:rPr>
          <w:noProof/>
        </w:rPr>
        <w:t xml:space="preserve">, </w:t>
      </w:r>
      <w:r w:rsidRPr="00B55191">
        <w:rPr>
          <w:i/>
          <w:noProof/>
        </w:rPr>
        <w:t>139</w:t>
      </w:r>
      <w:r w:rsidRPr="00B55191">
        <w:rPr>
          <w:noProof/>
        </w:rPr>
        <w:t>, 044710.</w:t>
      </w:r>
    </w:p>
    <w:p w14:paraId="16A5A52F" w14:textId="77777777" w:rsidR="00B55191" w:rsidRPr="00B55191" w:rsidRDefault="00B55191" w:rsidP="00B55191">
      <w:pPr>
        <w:pStyle w:val="EndNoteBibliography"/>
        <w:rPr>
          <w:noProof/>
        </w:rPr>
      </w:pPr>
      <w:r w:rsidRPr="00B55191">
        <w:rPr>
          <w:noProof/>
        </w:rPr>
        <w:t xml:space="preserve">(504) Lyu, S.; Wiktor, J.; Pasquarello, A. Oxygen Evolution at the Bivo4-Water Interface: Mechanism of the Water Dehydrogenation Reaction. </w:t>
      </w:r>
      <w:r w:rsidRPr="00B55191">
        <w:rPr>
          <w:i/>
          <w:noProof/>
        </w:rPr>
        <w:t xml:space="preserve">ACS Catal. </w:t>
      </w:r>
      <w:r w:rsidRPr="00B55191">
        <w:rPr>
          <w:b/>
          <w:noProof/>
        </w:rPr>
        <w:t>2022</w:t>
      </w:r>
      <w:r w:rsidRPr="00B55191">
        <w:rPr>
          <w:noProof/>
        </w:rPr>
        <w:t xml:space="preserve">, </w:t>
      </w:r>
      <w:r w:rsidRPr="00B55191">
        <w:rPr>
          <w:i/>
          <w:noProof/>
        </w:rPr>
        <w:t>12</w:t>
      </w:r>
      <w:r w:rsidRPr="00B55191">
        <w:rPr>
          <w:noProof/>
        </w:rPr>
        <w:t>, 11734-11742.</w:t>
      </w:r>
    </w:p>
    <w:p w14:paraId="326D0ACC" w14:textId="77777777" w:rsidR="00B55191" w:rsidRPr="00B55191" w:rsidRDefault="00B55191" w:rsidP="00B55191">
      <w:pPr>
        <w:pStyle w:val="EndNoteBibliography"/>
        <w:rPr>
          <w:noProof/>
        </w:rPr>
      </w:pPr>
      <w:r w:rsidRPr="00B55191">
        <w:rPr>
          <w:noProof/>
        </w:rPr>
        <w:lastRenderedPageBreak/>
        <w:t xml:space="preserve">(505) Stecher, T.; Reuter, K.; Oberhofer, H. First-Principles Free-Energy Barriers for Photoelectrochemical Surface Reactions: Proton Abstraction at Tio2(110). </w:t>
      </w:r>
      <w:r w:rsidRPr="00B55191">
        <w:rPr>
          <w:i/>
          <w:noProof/>
        </w:rPr>
        <w:t xml:space="preserve">Phys. Rev. Lett. </w:t>
      </w:r>
      <w:r w:rsidRPr="00B55191">
        <w:rPr>
          <w:b/>
          <w:noProof/>
        </w:rPr>
        <w:t>2016</w:t>
      </w:r>
      <w:r w:rsidRPr="00B55191">
        <w:rPr>
          <w:noProof/>
        </w:rPr>
        <w:t xml:space="preserve">, </w:t>
      </w:r>
      <w:r w:rsidRPr="00B55191">
        <w:rPr>
          <w:i/>
          <w:noProof/>
        </w:rPr>
        <w:t>117</w:t>
      </w:r>
      <w:r w:rsidRPr="00B55191">
        <w:rPr>
          <w:noProof/>
        </w:rPr>
        <w:t>, 276001.</w:t>
      </w:r>
    </w:p>
    <w:p w14:paraId="76823B5B" w14:textId="77777777" w:rsidR="00B55191" w:rsidRPr="00B55191" w:rsidRDefault="00B55191" w:rsidP="00B55191">
      <w:pPr>
        <w:pStyle w:val="EndNoteBibliography"/>
        <w:rPr>
          <w:noProof/>
        </w:rPr>
      </w:pPr>
      <w:r w:rsidRPr="00B55191">
        <w:rPr>
          <w:noProof/>
        </w:rPr>
        <w:t xml:space="preserve">(506) Wu, Y.; Tepper, H. L.; Voth, G. A. Flexible Simple Point-Charge Water Model with Improved Liquid-State Properties. </w:t>
      </w:r>
      <w:r w:rsidRPr="00B55191">
        <w:rPr>
          <w:i/>
          <w:noProof/>
        </w:rPr>
        <w:t xml:space="preserve">J. Chem. Phys. </w:t>
      </w:r>
      <w:r w:rsidRPr="00B55191">
        <w:rPr>
          <w:b/>
          <w:noProof/>
        </w:rPr>
        <w:t>2006</w:t>
      </w:r>
      <w:r w:rsidRPr="00B55191">
        <w:rPr>
          <w:noProof/>
        </w:rPr>
        <w:t xml:space="preserve">, </w:t>
      </w:r>
      <w:r w:rsidRPr="00B55191">
        <w:rPr>
          <w:i/>
          <w:noProof/>
        </w:rPr>
        <w:t>124</w:t>
      </w:r>
      <w:r w:rsidRPr="00B55191">
        <w:rPr>
          <w:noProof/>
        </w:rPr>
        <w:t>, 024503.</w:t>
      </w:r>
    </w:p>
    <w:p w14:paraId="64C69A91" w14:textId="77777777" w:rsidR="00B55191" w:rsidRPr="00B55191" w:rsidRDefault="00B55191" w:rsidP="00B55191">
      <w:pPr>
        <w:pStyle w:val="EndNoteBibliography"/>
        <w:rPr>
          <w:noProof/>
        </w:rPr>
      </w:pPr>
      <w:r w:rsidRPr="00B55191">
        <w:rPr>
          <w:noProof/>
        </w:rPr>
        <w:t xml:space="preserve">(507) Cheng, J.; Sulpizi, M.; Vandevondele, J.; Sprik, M. Hole Localization and Thermochemistry of Oxidative Dehydrogenation of Aqueous Rutile Tio2(110). </w:t>
      </w:r>
      <w:r w:rsidRPr="00B55191">
        <w:rPr>
          <w:i/>
          <w:noProof/>
        </w:rPr>
        <w:t xml:space="preserve">ChemCatChem </w:t>
      </w:r>
      <w:r w:rsidRPr="00B55191">
        <w:rPr>
          <w:b/>
          <w:noProof/>
        </w:rPr>
        <w:t>2012</w:t>
      </w:r>
      <w:r w:rsidRPr="00B55191">
        <w:rPr>
          <w:noProof/>
        </w:rPr>
        <w:t xml:space="preserve">, </w:t>
      </w:r>
      <w:r w:rsidRPr="00B55191">
        <w:rPr>
          <w:i/>
          <w:noProof/>
        </w:rPr>
        <w:t>4</w:t>
      </w:r>
      <w:r w:rsidRPr="00B55191">
        <w:rPr>
          <w:noProof/>
        </w:rPr>
        <w:t>, 636-640.</w:t>
      </w:r>
    </w:p>
    <w:p w14:paraId="7E700161" w14:textId="77777777" w:rsidR="00B55191" w:rsidRPr="00B55191" w:rsidRDefault="00B55191" w:rsidP="00B55191">
      <w:pPr>
        <w:pStyle w:val="EndNoteBibliography"/>
        <w:rPr>
          <w:noProof/>
        </w:rPr>
      </w:pPr>
      <w:r w:rsidRPr="00B55191">
        <w:rPr>
          <w:noProof/>
        </w:rPr>
        <w:t xml:space="preserve">(508) Xiao, H.; Cheng, T.; Goddard, W. A.; Sundararaman, R. Mechanistic Explanation of the Ph Dependence and Onset Potentials for Hydrocarbon Products from Electrochemical Reduction of Co on Cu (111). </w:t>
      </w:r>
      <w:r w:rsidRPr="00B55191">
        <w:rPr>
          <w:i/>
          <w:noProof/>
        </w:rPr>
        <w:t xml:space="preserve">J. Am. Chem. Soc. </w:t>
      </w:r>
      <w:r w:rsidRPr="00B55191">
        <w:rPr>
          <w:b/>
          <w:noProof/>
        </w:rPr>
        <w:t>2016</w:t>
      </w:r>
      <w:r w:rsidRPr="00B55191">
        <w:rPr>
          <w:noProof/>
        </w:rPr>
        <w:t xml:space="preserve">, </w:t>
      </w:r>
      <w:r w:rsidRPr="00B55191">
        <w:rPr>
          <w:i/>
          <w:noProof/>
        </w:rPr>
        <w:t>138</w:t>
      </w:r>
      <w:r w:rsidRPr="00B55191">
        <w:rPr>
          <w:noProof/>
        </w:rPr>
        <w:t>, 483-486.</w:t>
      </w:r>
    </w:p>
    <w:p w14:paraId="0B9809B6" w14:textId="77777777" w:rsidR="00B55191" w:rsidRPr="00B55191" w:rsidRDefault="00B55191" w:rsidP="00B55191">
      <w:pPr>
        <w:pStyle w:val="EndNoteBibliography"/>
        <w:rPr>
          <w:noProof/>
        </w:rPr>
      </w:pPr>
      <w:r w:rsidRPr="00B55191">
        <w:rPr>
          <w:noProof/>
        </w:rPr>
        <w:t xml:space="preserve">(509) Duan, Z.; Xiao, P. Simulation of Potential-Dependent Activation Energies in Electrocatalysis: Mechanism of O-O Bond Formation on Ruo2. </w:t>
      </w:r>
      <w:r w:rsidRPr="00B55191">
        <w:rPr>
          <w:i/>
          <w:noProof/>
        </w:rPr>
        <w:t xml:space="preserve">J. Phys. Chem. C </w:t>
      </w:r>
      <w:r w:rsidRPr="00B55191">
        <w:rPr>
          <w:b/>
          <w:noProof/>
        </w:rPr>
        <w:t>2021</w:t>
      </w:r>
      <w:r w:rsidRPr="00B55191">
        <w:rPr>
          <w:noProof/>
        </w:rPr>
        <w:t xml:space="preserve">, </w:t>
      </w:r>
      <w:r w:rsidRPr="00B55191">
        <w:rPr>
          <w:i/>
          <w:noProof/>
        </w:rPr>
        <w:t>125</w:t>
      </w:r>
      <w:r w:rsidRPr="00B55191">
        <w:rPr>
          <w:noProof/>
        </w:rPr>
        <w:t>, 15243-15250.</w:t>
      </w:r>
    </w:p>
    <w:p w14:paraId="3688AB6E" w14:textId="77777777" w:rsidR="00B55191" w:rsidRPr="00B55191" w:rsidRDefault="00B55191" w:rsidP="00B55191">
      <w:pPr>
        <w:pStyle w:val="EndNoteBibliography"/>
        <w:rPr>
          <w:noProof/>
        </w:rPr>
      </w:pPr>
      <w:r w:rsidRPr="00B55191">
        <w:rPr>
          <w:noProof/>
        </w:rPr>
        <w:t xml:space="preserve">(510) Mathew, K.; Sundararaman, R.; Letchworth-Weaver, K.; Arias, T. A.; Hennig, R. G. Implicit Solvation Model for Density-Functional Study of Nanocrystal Surfaces and Reaction Pathways. </w:t>
      </w:r>
      <w:r w:rsidRPr="00B55191">
        <w:rPr>
          <w:i/>
          <w:noProof/>
        </w:rPr>
        <w:t xml:space="preserve">J. Chem. Phys. </w:t>
      </w:r>
      <w:r w:rsidRPr="00B55191">
        <w:rPr>
          <w:b/>
          <w:noProof/>
        </w:rPr>
        <w:t>2014</w:t>
      </w:r>
      <w:r w:rsidRPr="00B55191">
        <w:rPr>
          <w:noProof/>
        </w:rPr>
        <w:t xml:space="preserve">, </w:t>
      </w:r>
      <w:r w:rsidRPr="00B55191">
        <w:rPr>
          <w:i/>
          <w:noProof/>
        </w:rPr>
        <w:t>140</w:t>
      </w:r>
      <w:r w:rsidRPr="00B55191">
        <w:rPr>
          <w:noProof/>
        </w:rPr>
        <w:t>, 084106.</w:t>
      </w:r>
    </w:p>
    <w:p w14:paraId="1ADF3B14" w14:textId="77777777" w:rsidR="00B55191" w:rsidRPr="00B55191" w:rsidRDefault="00B55191" w:rsidP="00B55191">
      <w:pPr>
        <w:pStyle w:val="EndNoteBibliography"/>
        <w:rPr>
          <w:noProof/>
        </w:rPr>
      </w:pPr>
      <w:r w:rsidRPr="00B55191">
        <w:rPr>
          <w:noProof/>
        </w:rPr>
        <w:t xml:space="preserve">(511) Beinlich, S. D.; Kastlunger, G.; Reuter, K.; Hörmann, N. G. Controlled Electrochemical Barrier Calculations without Potential Control. </w:t>
      </w:r>
      <w:r w:rsidRPr="00B55191">
        <w:rPr>
          <w:i/>
          <w:noProof/>
        </w:rPr>
        <w:t xml:space="preserve">J. Chem. Theory Comput. </w:t>
      </w:r>
      <w:r w:rsidRPr="00B55191">
        <w:rPr>
          <w:b/>
          <w:noProof/>
        </w:rPr>
        <w:t>2023</w:t>
      </w:r>
      <w:r w:rsidRPr="00B55191">
        <w:rPr>
          <w:noProof/>
        </w:rPr>
        <w:t xml:space="preserve">, </w:t>
      </w:r>
      <w:r w:rsidRPr="00B55191">
        <w:rPr>
          <w:i/>
          <w:noProof/>
        </w:rPr>
        <w:t>19</w:t>
      </w:r>
      <w:r w:rsidRPr="00B55191">
        <w:rPr>
          <w:noProof/>
        </w:rPr>
        <w:t>, 8323-8331.</w:t>
      </w:r>
    </w:p>
    <w:p w14:paraId="66330429" w14:textId="77777777" w:rsidR="00B55191" w:rsidRPr="00B55191" w:rsidRDefault="00B55191" w:rsidP="00B55191">
      <w:pPr>
        <w:pStyle w:val="EndNoteBibliography"/>
        <w:rPr>
          <w:noProof/>
        </w:rPr>
      </w:pPr>
      <w:r w:rsidRPr="00B55191">
        <w:rPr>
          <w:noProof/>
        </w:rPr>
        <w:t xml:space="preserve">(512) Hörmann, N. G.; Marzari, N.; Reuter, K. Electrosorption at Metal Surfaces from First Principles. </w:t>
      </w:r>
      <w:r w:rsidRPr="00B55191">
        <w:rPr>
          <w:i/>
          <w:noProof/>
        </w:rPr>
        <w:t xml:space="preserve">npj. Comput. Mater. </w:t>
      </w:r>
      <w:r w:rsidRPr="00B55191">
        <w:rPr>
          <w:b/>
          <w:noProof/>
        </w:rPr>
        <w:t>2020</w:t>
      </w:r>
      <w:r w:rsidRPr="00B55191">
        <w:rPr>
          <w:noProof/>
        </w:rPr>
        <w:t xml:space="preserve">, </w:t>
      </w:r>
      <w:r w:rsidRPr="00B55191">
        <w:rPr>
          <w:i/>
          <w:noProof/>
        </w:rPr>
        <w:t>6</w:t>
      </w:r>
      <w:r w:rsidRPr="00B55191">
        <w:rPr>
          <w:noProof/>
        </w:rPr>
        <w:t>, 136.</w:t>
      </w:r>
    </w:p>
    <w:p w14:paraId="2A812D02" w14:textId="77777777" w:rsidR="00B55191" w:rsidRPr="00B55191" w:rsidRDefault="00B55191" w:rsidP="00B55191">
      <w:pPr>
        <w:pStyle w:val="EndNoteBibliography"/>
        <w:rPr>
          <w:noProof/>
        </w:rPr>
      </w:pPr>
      <w:r w:rsidRPr="00B55191">
        <w:rPr>
          <w:noProof/>
        </w:rPr>
        <w:t xml:space="preserve">(513) Zhao, X.; Liu, Y. Origin of Selective Production of Hydrogen Peroxide by Electrochemical Oxygen Reduction. </w:t>
      </w:r>
      <w:r w:rsidRPr="00B55191">
        <w:rPr>
          <w:i/>
          <w:noProof/>
        </w:rPr>
        <w:t xml:space="preserve">J. Am. Chem. Soc. </w:t>
      </w:r>
      <w:r w:rsidRPr="00B55191">
        <w:rPr>
          <w:b/>
          <w:noProof/>
        </w:rPr>
        <w:t>2021</w:t>
      </w:r>
      <w:r w:rsidRPr="00B55191">
        <w:rPr>
          <w:noProof/>
        </w:rPr>
        <w:t xml:space="preserve">, </w:t>
      </w:r>
      <w:r w:rsidRPr="00B55191">
        <w:rPr>
          <w:i/>
          <w:noProof/>
        </w:rPr>
        <w:t>143</w:t>
      </w:r>
      <w:r w:rsidRPr="00B55191">
        <w:rPr>
          <w:noProof/>
        </w:rPr>
        <w:t>, 9423-9428.</w:t>
      </w:r>
    </w:p>
    <w:p w14:paraId="5E8C8079" w14:textId="77777777" w:rsidR="00B55191" w:rsidRPr="00B55191" w:rsidRDefault="00B55191" w:rsidP="00B55191">
      <w:pPr>
        <w:pStyle w:val="EndNoteBibliography"/>
        <w:rPr>
          <w:noProof/>
        </w:rPr>
      </w:pPr>
      <w:r w:rsidRPr="00B55191">
        <w:rPr>
          <w:noProof/>
        </w:rPr>
        <w:t xml:space="preserve">(514) Xia, Z.; Xiao, H. Grand Canonical Ensemble Modeling of Electrochemical Interfaces Made Simple. </w:t>
      </w:r>
      <w:r w:rsidRPr="00B55191">
        <w:rPr>
          <w:i/>
          <w:noProof/>
        </w:rPr>
        <w:t xml:space="preserve">J. Chem. Theory Comput. </w:t>
      </w:r>
      <w:r w:rsidRPr="00B55191">
        <w:rPr>
          <w:b/>
          <w:noProof/>
        </w:rPr>
        <w:t>2023</w:t>
      </w:r>
      <w:r w:rsidRPr="00B55191">
        <w:rPr>
          <w:noProof/>
        </w:rPr>
        <w:t xml:space="preserve">, </w:t>
      </w:r>
      <w:r w:rsidRPr="00B55191">
        <w:rPr>
          <w:i/>
          <w:noProof/>
        </w:rPr>
        <w:t>19</w:t>
      </w:r>
      <w:r w:rsidRPr="00B55191">
        <w:rPr>
          <w:noProof/>
        </w:rPr>
        <w:t>, 5168-5175.</w:t>
      </w:r>
    </w:p>
    <w:p w14:paraId="19F713D7" w14:textId="77777777" w:rsidR="00B55191" w:rsidRPr="00B55191" w:rsidRDefault="00B55191" w:rsidP="00B55191">
      <w:pPr>
        <w:pStyle w:val="EndNoteBibliography"/>
        <w:rPr>
          <w:noProof/>
        </w:rPr>
      </w:pPr>
      <w:r w:rsidRPr="00B55191">
        <w:rPr>
          <w:noProof/>
        </w:rPr>
        <w:t xml:space="preserve">(515) Motagamwala, A. H.; Dumesic, J. A. Microkinetic Modeling: A Tool for Rational Catalyst Design. </w:t>
      </w:r>
      <w:r w:rsidRPr="00B55191">
        <w:rPr>
          <w:i/>
          <w:noProof/>
        </w:rPr>
        <w:t xml:space="preserve">Chem. Rev. </w:t>
      </w:r>
      <w:r w:rsidRPr="00B55191">
        <w:rPr>
          <w:b/>
          <w:noProof/>
        </w:rPr>
        <w:t>2021</w:t>
      </w:r>
      <w:r w:rsidRPr="00B55191">
        <w:rPr>
          <w:noProof/>
        </w:rPr>
        <w:t xml:space="preserve">, </w:t>
      </w:r>
      <w:r w:rsidRPr="00B55191">
        <w:rPr>
          <w:i/>
          <w:noProof/>
        </w:rPr>
        <w:t>121</w:t>
      </w:r>
      <w:r w:rsidRPr="00B55191">
        <w:rPr>
          <w:noProof/>
        </w:rPr>
        <w:t>, 1049-1076.</w:t>
      </w:r>
    </w:p>
    <w:p w14:paraId="1F9A8173" w14:textId="77777777" w:rsidR="00B55191" w:rsidRPr="00B55191" w:rsidRDefault="00B55191" w:rsidP="00B55191">
      <w:pPr>
        <w:pStyle w:val="EndNoteBibliography"/>
        <w:rPr>
          <w:noProof/>
        </w:rPr>
      </w:pPr>
      <w:r w:rsidRPr="00B55191">
        <w:rPr>
          <w:noProof/>
        </w:rPr>
        <w:t xml:space="preserve">(516) Mefford, J. T.; Zhao, Z.; Bajdich, M.; Chueh, W. C. Interpreting Tafel Behavior of Consecutive Electrochemical Reactions through Combined Thermodynamic and Steady State Microkinetic Approaches. </w:t>
      </w:r>
      <w:r w:rsidRPr="00B55191">
        <w:rPr>
          <w:i/>
          <w:noProof/>
        </w:rPr>
        <w:t xml:space="preserve">Energy Environ. Sci. </w:t>
      </w:r>
      <w:r w:rsidRPr="00B55191">
        <w:rPr>
          <w:b/>
          <w:noProof/>
        </w:rPr>
        <w:t>2020</w:t>
      </w:r>
      <w:r w:rsidRPr="00B55191">
        <w:rPr>
          <w:noProof/>
        </w:rPr>
        <w:t xml:space="preserve">, </w:t>
      </w:r>
      <w:r w:rsidRPr="00B55191">
        <w:rPr>
          <w:i/>
          <w:noProof/>
        </w:rPr>
        <w:t>13</w:t>
      </w:r>
      <w:r w:rsidRPr="00B55191">
        <w:rPr>
          <w:noProof/>
        </w:rPr>
        <w:t>, 622-634.</w:t>
      </w:r>
    </w:p>
    <w:p w14:paraId="5D578F4D" w14:textId="77777777" w:rsidR="00B55191" w:rsidRPr="00B55191" w:rsidRDefault="00B55191" w:rsidP="00B55191">
      <w:pPr>
        <w:pStyle w:val="EndNoteBibliography"/>
        <w:rPr>
          <w:noProof/>
        </w:rPr>
      </w:pPr>
      <w:r w:rsidRPr="00B55191">
        <w:rPr>
          <w:noProof/>
        </w:rPr>
        <w:t xml:space="preserve">(517) Marshall, A. T. Using Microkinetic Models to Understand Electrocatalytic Reactions. </w:t>
      </w:r>
      <w:r w:rsidRPr="00B55191">
        <w:rPr>
          <w:i/>
          <w:noProof/>
        </w:rPr>
        <w:t xml:space="preserve">Curr. Opin. Electrochem. </w:t>
      </w:r>
      <w:r w:rsidRPr="00B55191">
        <w:rPr>
          <w:b/>
          <w:noProof/>
        </w:rPr>
        <w:t>2018</w:t>
      </w:r>
      <w:r w:rsidRPr="00B55191">
        <w:rPr>
          <w:noProof/>
        </w:rPr>
        <w:t xml:space="preserve">, </w:t>
      </w:r>
      <w:r w:rsidRPr="00B55191">
        <w:rPr>
          <w:i/>
          <w:noProof/>
        </w:rPr>
        <w:t>7</w:t>
      </w:r>
      <w:r w:rsidRPr="00B55191">
        <w:rPr>
          <w:noProof/>
        </w:rPr>
        <w:t>, 75-80.</w:t>
      </w:r>
    </w:p>
    <w:p w14:paraId="0C096919" w14:textId="77777777" w:rsidR="00B55191" w:rsidRPr="00B55191" w:rsidRDefault="00B55191" w:rsidP="00B55191">
      <w:pPr>
        <w:pStyle w:val="EndNoteBibliography"/>
        <w:rPr>
          <w:noProof/>
        </w:rPr>
      </w:pPr>
      <w:r w:rsidRPr="00B55191">
        <w:rPr>
          <w:noProof/>
        </w:rPr>
        <w:t xml:space="preserve">(518) Baz, A.; Dix, S. T.; Holewinski, A.; Linic, S. Microkinetic Modeling in Electrocatalysis: Applications, Limitations, and Recommendations for Reliable Mechanistic Insights. </w:t>
      </w:r>
      <w:r w:rsidRPr="00B55191">
        <w:rPr>
          <w:i/>
          <w:noProof/>
        </w:rPr>
        <w:t xml:space="preserve">J. Catal. </w:t>
      </w:r>
      <w:r w:rsidRPr="00B55191">
        <w:rPr>
          <w:b/>
          <w:noProof/>
        </w:rPr>
        <w:t>2021</w:t>
      </w:r>
      <w:r w:rsidRPr="00B55191">
        <w:rPr>
          <w:noProof/>
        </w:rPr>
        <w:t xml:space="preserve">, </w:t>
      </w:r>
      <w:r w:rsidRPr="00B55191">
        <w:rPr>
          <w:i/>
          <w:noProof/>
        </w:rPr>
        <w:t>404</w:t>
      </w:r>
      <w:r w:rsidRPr="00B55191">
        <w:rPr>
          <w:noProof/>
        </w:rPr>
        <w:t>, 864-872.</w:t>
      </w:r>
    </w:p>
    <w:p w14:paraId="22C9AD11" w14:textId="77777777" w:rsidR="00B55191" w:rsidRPr="00B55191" w:rsidRDefault="00B55191" w:rsidP="00B55191">
      <w:pPr>
        <w:pStyle w:val="EndNoteBibliography"/>
        <w:rPr>
          <w:noProof/>
        </w:rPr>
      </w:pPr>
      <w:r w:rsidRPr="00B55191">
        <w:rPr>
          <w:noProof/>
        </w:rPr>
        <w:t xml:space="preserve">(519) Marshall, A. T.; Vaisson-Béthune, L. Avoid the Quasi-Equilibrium Assumption When Evaluating the Electrocatalytic Oxygen Evolution Reaction Mechanism by Tafel Slope Analysis. </w:t>
      </w:r>
      <w:r w:rsidRPr="00B55191">
        <w:rPr>
          <w:i/>
          <w:noProof/>
        </w:rPr>
        <w:t xml:space="preserve">Electrochem. Commun. </w:t>
      </w:r>
      <w:r w:rsidRPr="00B55191">
        <w:rPr>
          <w:b/>
          <w:noProof/>
        </w:rPr>
        <w:t>2015</w:t>
      </w:r>
      <w:r w:rsidRPr="00B55191">
        <w:rPr>
          <w:noProof/>
        </w:rPr>
        <w:t xml:space="preserve">, </w:t>
      </w:r>
      <w:r w:rsidRPr="00B55191">
        <w:rPr>
          <w:i/>
          <w:noProof/>
        </w:rPr>
        <w:t>61</w:t>
      </w:r>
      <w:r w:rsidRPr="00B55191">
        <w:rPr>
          <w:noProof/>
        </w:rPr>
        <w:t>, 23-26.</w:t>
      </w:r>
    </w:p>
    <w:p w14:paraId="7EF583FA" w14:textId="77777777" w:rsidR="00B55191" w:rsidRPr="00B55191" w:rsidRDefault="00B55191" w:rsidP="00B55191">
      <w:pPr>
        <w:pStyle w:val="EndNoteBibliography"/>
        <w:rPr>
          <w:noProof/>
        </w:rPr>
      </w:pPr>
      <w:r w:rsidRPr="00B55191">
        <w:rPr>
          <w:noProof/>
        </w:rPr>
        <w:t xml:space="preserve">(520) Exner, K. S.; Sohrabnejad-Eskan, I.; Over, H. A Universal Approach to Determine the Free Energy Diagram of an Electrocatalytic Reaction. </w:t>
      </w:r>
      <w:r w:rsidRPr="00B55191">
        <w:rPr>
          <w:i/>
          <w:noProof/>
        </w:rPr>
        <w:t xml:space="preserve">ACS Catal. </w:t>
      </w:r>
      <w:r w:rsidRPr="00B55191">
        <w:rPr>
          <w:b/>
          <w:noProof/>
        </w:rPr>
        <w:t>2018</w:t>
      </w:r>
      <w:r w:rsidRPr="00B55191">
        <w:rPr>
          <w:noProof/>
        </w:rPr>
        <w:t xml:space="preserve">, </w:t>
      </w:r>
      <w:r w:rsidRPr="00B55191">
        <w:rPr>
          <w:i/>
          <w:noProof/>
        </w:rPr>
        <w:t>8</w:t>
      </w:r>
      <w:r w:rsidRPr="00B55191">
        <w:rPr>
          <w:noProof/>
        </w:rPr>
        <w:t>, 1864-1879.</w:t>
      </w:r>
    </w:p>
    <w:p w14:paraId="12052F9B" w14:textId="77777777" w:rsidR="00B55191" w:rsidRPr="00B55191" w:rsidRDefault="00B55191" w:rsidP="00B55191">
      <w:pPr>
        <w:pStyle w:val="EndNoteBibliography"/>
        <w:rPr>
          <w:noProof/>
        </w:rPr>
      </w:pPr>
      <w:r w:rsidRPr="00B55191">
        <w:rPr>
          <w:noProof/>
        </w:rPr>
        <w:t xml:space="preserve">(521) Geppert, J.; Röse, P.; Czioska, S.; Escalera-López, D.; Boubnov, A.; Saraçi, E.; Cherevko, S.; Grunwaldt, J.-D.; Krewer, U. Microkinetic Analysis of the Oxygen Evolution Performance at Different Stages of Iridium Oxide Degradation. </w:t>
      </w:r>
      <w:r w:rsidRPr="00B55191">
        <w:rPr>
          <w:i/>
          <w:noProof/>
        </w:rPr>
        <w:t xml:space="preserve">J. Am. Chem. Soc. </w:t>
      </w:r>
      <w:r w:rsidRPr="00B55191">
        <w:rPr>
          <w:b/>
          <w:noProof/>
        </w:rPr>
        <w:t>2022</w:t>
      </w:r>
      <w:r w:rsidRPr="00B55191">
        <w:rPr>
          <w:noProof/>
        </w:rPr>
        <w:t xml:space="preserve">, </w:t>
      </w:r>
      <w:r w:rsidRPr="00B55191">
        <w:rPr>
          <w:i/>
          <w:noProof/>
        </w:rPr>
        <w:t>144</w:t>
      </w:r>
      <w:r w:rsidRPr="00B55191">
        <w:rPr>
          <w:noProof/>
        </w:rPr>
        <w:t>, 13205-13217.</w:t>
      </w:r>
    </w:p>
    <w:p w14:paraId="1B236CBB" w14:textId="77777777" w:rsidR="00B55191" w:rsidRPr="00B55191" w:rsidRDefault="00B55191" w:rsidP="00B55191">
      <w:pPr>
        <w:pStyle w:val="EndNoteBibliography"/>
        <w:rPr>
          <w:noProof/>
        </w:rPr>
      </w:pPr>
      <w:r w:rsidRPr="00B55191">
        <w:rPr>
          <w:noProof/>
        </w:rPr>
        <w:t xml:space="preserve">(522) Geppert, J.; Kubannek, F.; Röse, P.; Krewer, U. Identifying the Oxygen Evolution Mechanism by Microkinetic Modelling of Cyclic Voltammograms. </w:t>
      </w:r>
      <w:r w:rsidRPr="00B55191">
        <w:rPr>
          <w:i/>
          <w:noProof/>
        </w:rPr>
        <w:t xml:space="preserve">Electrochim. Acta </w:t>
      </w:r>
      <w:r w:rsidRPr="00B55191">
        <w:rPr>
          <w:b/>
          <w:noProof/>
        </w:rPr>
        <w:t>2021</w:t>
      </w:r>
      <w:r w:rsidRPr="00B55191">
        <w:rPr>
          <w:noProof/>
        </w:rPr>
        <w:t xml:space="preserve">, </w:t>
      </w:r>
      <w:r w:rsidRPr="00B55191">
        <w:rPr>
          <w:i/>
          <w:noProof/>
        </w:rPr>
        <w:t>380</w:t>
      </w:r>
      <w:r w:rsidRPr="00B55191">
        <w:rPr>
          <w:noProof/>
        </w:rPr>
        <w:t>, 137902.</w:t>
      </w:r>
    </w:p>
    <w:p w14:paraId="4F712D70" w14:textId="77777777" w:rsidR="00B55191" w:rsidRPr="00B55191" w:rsidRDefault="00B55191" w:rsidP="00B55191">
      <w:pPr>
        <w:pStyle w:val="EndNoteBibliography"/>
        <w:rPr>
          <w:noProof/>
        </w:rPr>
      </w:pPr>
      <w:r w:rsidRPr="00B55191">
        <w:rPr>
          <w:noProof/>
        </w:rPr>
        <w:t xml:space="preserve">(523) Bonnefont, A. Deciphering the Effect of Ph on Electrocatalytic Reactions with Kinetic Modeling. </w:t>
      </w:r>
      <w:r w:rsidRPr="00B55191">
        <w:rPr>
          <w:i/>
          <w:noProof/>
        </w:rPr>
        <w:t xml:space="preserve">Curr. Opin. Electrochem. </w:t>
      </w:r>
      <w:r w:rsidRPr="00B55191">
        <w:rPr>
          <w:b/>
          <w:noProof/>
        </w:rPr>
        <w:t>2023</w:t>
      </w:r>
      <w:r w:rsidRPr="00B55191">
        <w:rPr>
          <w:noProof/>
        </w:rPr>
        <w:t xml:space="preserve">, </w:t>
      </w:r>
      <w:r w:rsidRPr="00B55191">
        <w:rPr>
          <w:i/>
          <w:noProof/>
        </w:rPr>
        <w:t>39</w:t>
      </w:r>
      <w:r w:rsidRPr="00B55191">
        <w:rPr>
          <w:noProof/>
        </w:rPr>
        <w:t>, 101294-101294.</w:t>
      </w:r>
    </w:p>
    <w:p w14:paraId="73CA5C60" w14:textId="77777777" w:rsidR="00B55191" w:rsidRPr="00B55191" w:rsidRDefault="00B55191" w:rsidP="00B55191">
      <w:pPr>
        <w:pStyle w:val="EndNoteBibliography"/>
        <w:rPr>
          <w:noProof/>
        </w:rPr>
      </w:pPr>
      <w:r w:rsidRPr="00B55191">
        <w:rPr>
          <w:noProof/>
        </w:rPr>
        <w:lastRenderedPageBreak/>
        <w:t xml:space="preserve">(524) Jia, Q.; Liu, E.; Jiao, L.; Li, J.; Mukerjee, S. Current Understandings of the Sluggish Kinetics of the Hydrogen Evolution and Oxidation Reactions in Base. </w:t>
      </w:r>
      <w:r w:rsidRPr="00B55191">
        <w:rPr>
          <w:i/>
          <w:noProof/>
        </w:rPr>
        <w:t xml:space="preserve">Curr. Opin. Electrochem. </w:t>
      </w:r>
      <w:r w:rsidRPr="00B55191">
        <w:rPr>
          <w:b/>
          <w:noProof/>
        </w:rPr>
        <w:t>2018</w:t>
      </w:r>
      <w:r w:rsidRPr="00B55191">
        <w:rPr>
          <w:noProof/>
        </w:rPr>
        <w:t xml:space="preserve">, </w:t>
      </w:r>
      <w:r w:rsidRPr="00B55191">
        <w:rPr>
          <w:i/>
          <w:noProof/>
        </w:rPr>
        <w:t>12</w:t>
      </w:r>
      <w:r w:rsidRPr="00B55191">
        <w:rPr>
          <w:noProof/>
        </w:rPr>
        <w:t>, 209-217.</w:t>
      </w:r>
    </w:p>
    <w:p w14:paraId="77D96B91" w14:textId="77777777" w:rsidR="00B55191" w:rsidRPr="00B55191" w:rsidRDefault="00B55191" w:rsidP="00B55191">
      <w:pPr>
        <w:pStyle w:val="EndNoteBibliography"/>
        <w:rPr>
          <w:noProof/>
        </w:rPr>
      </w:pPr>
      <w:r w:rsidRPr="00B55191">
        <w:rPr>
          <w:noProof/>
        </w:rPr>
        <w:t xml:space="preserve">(525) Lamoureux, P. S.; Singh, A. R.; Chan, K. Ph Effects on Hydrogen Evolution and Oxidation over Pt(111): Insights from First-Principles. </w:t>
      </w:r>
      <w:r w:rsidRPr="00B55191">
        <w:rPr>
          <w:i/>
          <w:noProof/>
        </w:rPr>
        <w:t xml:space="preserve">ACS Catal. </w:t>
      </w:r>
      <w:r w:rsidRPr="00B55191">
        <w:rPr>
          <w:b/>
          <w:noProof/>
        </w:rPr>
        <w:t>2019</w:t>
      </w:r>
      <w:r w:rsidRPr="00B55191">
        <w:rPr>
          <w:noProof/>
        </w:rPr>
        <w:t xml:space="preserve">, </w:t>
      </w:r>
      <w:r w:rsidRPr="00B55191">
        <w:rPr>
          <w:i/>
          <w:noProof/>
        </w:rPr>
        <w:t>9</w:t>
      </w:r>
      <w:r w:rsidRPr="00B55191">
        <w:rPr>
          <w:noProof/>
        </w:rPr>
        <w:t>, 6194-6201.</w:t>
      </w:r>
    </w:p>
    <w:p w14:paraId="61E2C754" w14:textId="77777777" w:rsidR="00B55191" w:rsidRPr="00B55191" w:rsidRDefault="00B55191" w:rsidP="00B55191">
      <w:pPr>
        <w:pStyle w:val="EndNoteBibliography"/>
        <w:rPr>
          <w:noProof/>
        </w:rPr>
      </w:pPr>
      <w:r w:rsidRPr="00B55191">
        <w:rPr>
          <w:noProof/>
        </w:rPr>
        <w:t xml:space="preserve">(526) Govind Rajan, A.; Carter, E. A. Microkinetic Model for Ph- and Potential-Dependent Oxygen Evolution During Water Splitting on Fe-Doped Β-Niooh. </w:t>
      </w:r>
      <w:r w:rsidRPr="00B55191">
        <w:rPr>
          <w:i/>
          <w:noProof/>
        </w:rPr>
        <w:t xml:space="preserve">Energy Environ. Sci. </w:t>
      </w:r>
      <w:r w:rsidRPr="00B55191">
        <w:rPr>
          <w:b/>
          <w:noProof/>
        </w:rPr>
        <w:t>2020</w:t>
      </w:r>
      <w:r w:rsidRPr="00B55191">
        <w:rPr>
          <w:noProof/>
        </w:rPr>
        <w:t xml:space="preserve">, </w:t>
      </w:r>
      <w:r w:rsidRPr="00B55191">
        <w:rPr>
          <w:i/>
          <w:noProof/>
        </w:rPr>
        <w:t>13</w:t>
      </w:r>
      <w:r w:rsidRPr="00B55191">
        <w:rPr>
          <w:noProof/>
        </w:rPr>
        <w:t>, 4962-4976.</w:t>
      </w:r>
    </w:p>
    <w:p w14:paraId="0755CBCA" w14:textId="77777777" w:rsidR="00B55191" w:rsidRPr="00B55191" w:rsidRDefault="00B55191" w:rsidP="00B55191">
      <w:pPr>
        <w:pStyle w:val="EndNoteBibliography"/>
        <w:rPr>
          <w:noProof/>
        </w:rPr>
      </w:pPr>
      <w:r w:rsidRPr="00B55191">
        <w:rPr>
          <w:noProof/>
        </w:rPr>
        <w:t xml:space="preserve">(527) Louie, M. W.; Bell, A. T. An Investigation of Thin-Film Ni–Fe Oxide Catalysts for the Electrochemical Evolution of Oxygen. </w:t>
      </w:r>
      <w:r w:rsidRPr="00B55191">
        <w:rPr>
          <w:i/>
          <w:noProof/>
        </w:rPr>
        <w:t xml:space="preserve">J. Am. Chem. Soc. </w:t>
      </w:r>
      <w:r w:rsidRPr="00B55191">
        <w:rPr>
          <w:b/>
          <w:noProof/>
        </w:rPr>
        <w:t>2013</w:t>
      </w:r>
      <w:r w:rsidRPr="00B55191">
        <w:rPr>
          <w:noProof/>
        </w:rPr>
        <w:t xml:space="preserve">, </w:t>
      </w:r>
      <w:r w:rsidRPr="00B55191">
        <w:rPr>
          <w:i/>
          <w:noProof/>
        </w:rPr>
        <w:t>135</w:t>
      </w:r>
      <w:r w:rsidRPr="00B55191">
        <w:rPr>
          <w:noProof/>
        </w:rPr>
        <w:t>, 12329-12337.</w:t>
      </w:r>
    </w:p>
    <w:p w14:paraId="6A3F744C" w14:textId="77777777" w:rsidR="00B55191" w:rsidRPr="00B55191" w:rsidRDefault="00B55191" w:rsidP="00B55191">
      <w:pPr>
        <w:pStyle w:val="EndNoteBibliography"/>
        <w:rPr>
          <w:noProof/>
        </w:rPr>
      </w:pPr>
      <w:r w:rsidRPr="00B55191">
        <w:rPr>
          <w:noProof/>
        </w:rPr>
        <w:t xml:space="preserve">(528) Exner, K. S.; Over, H. Beyond the Rate-Determining Step in the Oxygen Evolution Reaction over a Single-Crystalline Iro2(110) Model Electrode: Kinetic Scaling Relations. </w:t>
      </w:r>
      <w:r w:rsidRPr="00B55191">
        <w:rPr>
          <w:i/>
          <w:noProof/>
        </w:rPr>
        <w:t xml:space="preserve">ACS Catal. </w:t>
      </w:r>
      <w:r w:rsidRPr="00B55191">
        <w:rPr>
          <w:b/>
          <w:noProof/>
        </w:rPr>
        <w:t>2019</w:t>
      </w:r>
      <w:r w:rsidRPr="00B55191">
        <w:rPr>
          <w:noProof/>
        </w:rPr>
        <w:t xml:space="preserve">, </w:t>
      </w:r>
      <w:r w:rsidRPr="00B55191">
        <w:rPr>
          <w:i/>
          <w:noProof/>
        </w:rPr>
        <w:t>9</w:t>
      </w:r>
      <w:r w:rsidRPr="00B55191">
        <w:rPr>
          <w:noProof/>
        </w:rPr>
        <w:t>, 6755-6765.</w:t>
      </w:r>
    </w:p>
    <w:p w14:paraId="4C6CBA03" w14:textId="77777777" w:rsidR="00B55191" w:rsidRPr="00B55191" w:rsidRDefault="00B55191" w:rsidP="00B55191">
      <w:pPr>
        <w:pStyle w:val="EndNoteBibliography"/>
        <w:rPr>
          <w:noProof/>
        </w:rPr>
      </w:pPr>
      <w:r w:rsidRPr="00B55191">
        <w:rPr>
          <w:noProof/>
        </w:rPr>
        <w:t xml:space="preserve">(529) Huang, J.; Li, M.; Eslamibidgoli, M. J.; Eikerling, M.; Groß, A. Cation Overcrowding Effect on the Oxygen Evolution Reaction. </w:t>
      </w:r>
      <w:r w:rsidRPr="00B55191">
        <w:rPr>
          <w:i/>
          <w:noProof/>
        </w:rPr>
        <w:t xml:space="preserve">JACS Au </w:t>
      </w:r>
      <w:r w:rsidRPr="00B55191">
        <w:rPr>
          <w:b/>
          <w:noProof/>
        </w:rPr>
        <w:t>2021</w:t>
      </w:r>
      <w:r w:rsidRPr="00B55191">
        <w:rPr>
          <w:noProof/>
        </w:rPr>
        <w:t xml:space="preserve">, </w:t>
      </w:r>
      <w:r w:rsidRPr="00B55191">
        <w:rPr>
          <w:i/>
          <w:noProof/>
        </w:rPr>
        <w:t>1</w:t>
      </w:r>
      <w:r w:rsidRPr="00B55191">
        <w:rPr>
          <w:noProof/>
        </w:rPr>
        <w:t>, 1752-1765.</w:t>
      </w:r>
    </w:p>
    <w:p w14:paraId="7C56FA38" w14:textId="77777777" w:rsidR="00B55191" w:rsidRPr="00B55191" w:rsidRDefault="00B55191" w:rsidP="00B55191">
      <w:pPr>
        <w:pStyle w:val="EndNoteBibliography"/>
        <w:rPr>
          <w:noProof/>
        </w:rPr>
      </w:pPr>
      <w:r w:rsidRPr="00B55191">
        <w:rPr>
          <w:noProof/>
        </w:rPr>
        <w:t xml:space="preserve">(530) George, K.; Van Berkel, M.; Zhang, X.; Sinha, R.; Bieberle-Hütter, A. Impedance Spectra and Surface Coverages Simulated Directly from the Electrochemical Reaction Mechanism: A Nonlinear State-Space Approach. </w:t>
      </w:r>
      <w:r w:rsidRPr="00B55191">
        <w:rPr>
          <w:i/>
          <w:noProof/>
        </w:rPr>
        <w:t xml:space="preserve">J. Phys. Chem. C </w:t>
      </w:r>
      <w:r w:rsidRPr="00B55191">
        <w:rPr>
          <w:b/>
          <w:noProof/>
        </w:rPr>
        <w:t>2019</w:t>
      </w:r>
      <w:r w:rsidRPr="00B55191">
        <w:rPr>
          <w:noProof/>
        </w:rPr>
        <w:t xml:space="preserve">, </w:t>
      </w:r>
      <w:r w:rsidRPr="00B55191">
        <w:rPr>
          <w:i/>
          <w:noProof/>
        </w:rPr>
        <w:t>123</w:t>
      </w:r>
      <w:r w:rsidRPr="00B55191">
        <w:rPr>
          <w:noProof/>
        </w:rPr>
        <w:t>, 9981-9992.</w:t>
      </w:r>
    </w:p>
    <w:p w14:paraId="6EFB8C62" w14:textId="77777777" w:rsidR="00B55191" w:rsidRPr="00B55191" w:rsidRDefault="00B55191" w:rsidP="00B55191">
      <w:pPr>
        <w:pStyle w:val="EndNoteBibliography"/>
        <w:rPr>
          <w:noProof/>
        </w:rPr>
      </w:pPr>
      <w:r w:rsidRPr="00B55191">
        <w:rPr>
          <w:noProof/>
        </w:rPr>
        <w:t xml:space="preserve">(531) Memming, R. Charge Transfer Processes at the Semiconductor–Liquid Interface. In </w:t>
      </w:r>
      <w:r w:rsidRPr="00B55191">
        <w:rPr>
          <w:i/>
          <w:noProof/>
        </w:rPr>
        <w:t>Semiconductor Electrochemistry</w:t>
      </w:r>
      <w:r w:rsidRPr="00B55191">
        <w:rPr>
          <w:noProof/>
        </w:rPr>
        <w:t>,  John Wiley &amp; Sons, Ltd, 2015; pp 169-266.</w:t>
      </w:r>
    </w:p>
    <w:p w14:paraId="23D61909" w14:textId="77777777" w:rsidR="00B55191" w:rsidRPr="00B55191" w:rsidRDefault="00B55191" w:rsidP="00B55191">
      <w:pPr>
        <w:pStyle w:val="EndNoteBibliography"/>
        <w:rPr>
          <w:noProof/>
        </w:rPr>
      </w:pPr>
      <w:r w:rsidRPr="00B55191">
        <w:rPr>
          <w:noProof/>
        </w:rPr>
        <w:t xml:space="preserve">(532) Le Formal, F.; Pastor, E.; Tilley, S. D.; Mesa, C. A.; Pendlebury, S. R.; Grätzel, M.; Durrant, J. R. Rate Law Analysis of Water Oxidation on a Hematite Surface. </w:t>
      </w:r>
      <w:r w:rsidRPr="00B55191">
        <w:rPr>
          <w:i/>
          <w:noProof/>
        </w:rPr>
        <w:t xml:space="preserve">J. Am. Chem. Soc. </w:t>
      </w:r>
      <w:r w:rsidRPr="00B55191">
        <w:rPr>
          <w:b/>
          <w:noProof/>
        </w:rPr>
        <w:t>2015</w:t>
      </w:r>
      <w:r w:rsidRPr="00B55191">
        <w:rPr>
          <w:noProof/>
        </w:rPr>
        <w:t xml:space="preserve">, </w:t>
      </w:r>
      <w:r w:rsidRPr="00B55191">
        <w:rPr>
          <w:i/>
          <w:noProof/>
        </w:rPr>
        <w:t>137</w:t>
      </w:r>
      <w:r w:rsidRPr="00B55191">
        <w:rPr>
          <w:noProof/>
        </w:rPr>
        <w:t>, 6629-6637.</w:t>
      </w:r>
    </w:p>
    <w:p w14:paraId="1A4331A4" w14:textId="77777777" w:rsidR="00B55191" w:rsidRPr="00B55191" w:rsidRDefault="00B55191" w:rsidP="00B55191">
      <w:pPr>
        <w:pStyle w:val="EndNoteBibliography"/>
        <w:rPr>
          <w:noProof/>
        </w:rPr>
      </w:pPr>
      <w:r w:rsidRPr="00B55191">
        <w:rPr>
          <w:noProof/>
        </w:rPr>
        <w:t xml:space="preserve">(533) Mesa, C. A.; Francàs, L.; Yang, K. R.; Garrido-Barros, P.; Pastor, E.; Ma, Y.; Kafizas, A.; Rosser, T. E.; Mayer, M. T.; Reisner, E.; et al. Multihole Water Oxidation Catalysis on Haematite Photoanodes Revealed by Operando Spectroelectrochemistry and Dft. </w:t>
      </w:r>
      <w:r w:rsidRPr="00B55191">
        <w:rPr>
          <w:i/>
          <w:noProof/>
        </w:rPr>
        <w:t xml:space="preserve">Nat. Chem. </w:t>
      </w:r>
      <w:r w:rsidRPr="00B55191">
        <w:rPr>
          <w:b/>
          <w:noProof/>
        </w:rPr>
        <w:t>2020</w:t>
      </w:r>
      <w:r w:rsidRPr="00B55191">
        <w:rPr>
          <w:noProof/>
        </w:rPr>
        <w:t xml:space="preserve">, </w:t>
      </w:r>
      <w:r w:rsidRPr="00B55191">
        <w:rPr>
          <w:i/>
          <w:noProof/>
        </w:rPr>
        <w:t>12</w:t>
      </w:r>
      <w:r w:rsidRPr="00B55191">
        <w:rPr>
          <w:noProof/>
        </w:rPr>
        <w:t>, 82-89.</w:t>
      </w:r>
    </w:p>
    <w:p w14:paraId="188612BB" w14:textId="77777777" w:rsidR="00B55191" w:rsidRPr="00B55191" w:rsidRDefault="00B55191" w:rsidP="00B55191">
      <w:pPr>
        <w:pStyle w:val="EndNoteBibliography"/>
        <w:rPr>
          <w:noProof/>
        </w:rPr>
      </w:pPr>
      <w:r w:rsidRPr="00B55191">
        <w:rPr>
          <w:noProof/>
        </w:rPr>
        <w:t xml:space="preserve">(534) Zhang, X.; Klaver, P.; Van Santen, R.; Van De Sanden, M. C. M.; Bieberle-Hütter, A. Oxygen Evolution at Hematite Surfaces: The Impact of Structure and Oxygen Vacancies on Lowering the Overpotential. </w:t>
      </w:r>
      <w:r w:rsidRPr="00B55191">
        <w:rPr>
          <w:i/>
          <w:noProof/>
        </w:rPr>
        <w:t xml:space="preserve">J. Phys. Chem. C </w:t>
      </w:r>
      <w:r w:rsidRPr="00B55191">
        <w:rPr>
          <w:b/>
          <w:noProof/>
        </w:rPr>
        <w:t>2016</w:t>
      </w:r>
      <w:r w:rsidRPr="00B55191">
        <w:rPr>
          <w:noProof/>
        </w:rPr>
        <w:t xml:space="preserve">, </w:t>
      </w:r>
      <w:r w:rsidRPr="00B55191">
        <w:rPr>
          <w:i/>
          <w:noProof/>
        </w:rPr>
        <w:t>120</w:t>
      </w:r>
      <w:r w:rsidRPr="00B55191">
        <w:rPr>
          <w:noProof/>
        </w:rPr>
        <w:t>, 18201-18208.</w:t>
      </w:r>
    </w:p>
    <w:p w14:paraId="20B71692" w14:textId="77777777" w:rsidR="00B55191" w:rsidRPr="00B55191" w:rsidRDefault="00B55191" w:rsidP="00B55191">
      <w:pPr>
        <w:pStyle w:val="EndNoteBibliography"/>
        <w:rPr>
          <w:noProof/>
        </w:rPr>
      </w:pPr>
      <w:r w:rsidRPr="00B55191">
        <w:rPr>
          <w:noProof/>
        </w:rPr>
        <w:t xml:space="preserve">(535) George, K.; Khachatrjan, T.; van Berkel, M.; Sinha, V.; Bieberle-Hütter, A. Understanding the Impact of Different Types of Surface States on Photoelectrochemical Water Oxidation: A Microkinetic Modeling Approach. </w:t>
      </w:r>
      <w:r w:rsidRPr="00B55191">
        <w:rPr>
          <w:i/>
          <w:noProof/>
        </w:rPr>
        <w:t xml:space="preserve">ACS Catal. </w:t>
      </w:r>
      <w:r w:rsidRPr="00B55191">
        <w:rPr>
          <w:b/>
          <w:noProof/>
        </w:rPr>
        <w:t>2020</w:t>
      </w:r>
      <w:r w:rsidRPr="00B55191">
        <w:rPr>
          <w:noProof/>
        </w:rPr>
        <w:t xml:space="preserve">, </w:t>
      </w:r>
      <w:r w:rsidRPr="00B55191">
        <w:rPr>
          <w:i/>
          <w:noProof/>
        </w:rPr>
        <w:t>10</w:t>
      </w:r>
      <w:r w:rsidRPr="00B55191">
        <w:rPr>
          <w:noProof/>
        </w:rPr>
        <w:t>, 14649-14660.</w:t>
      </w:r>
    </w:p>
    <w:p w14:paraId="6066E3F0" w14:textId="77777777" w:rsidR="00B55191" w:rsidRPr="00B55191" w:rsidRDefault="00B55191" w:rsidP="00B55191">
      <w:pPr>
        <w:pStyle w:val="EndNoteBibliography"/>
        <w:rPr>
          <w:noProof/>
        </w:rPr>
      </w:pPr>
      <w:r w:rsidRPr="00B55191">
        <w:rPr>
          <w:noProof/>
        </w:rPr>
        <w:t xml:space="preserve">(536) Klahr, B.; Fabregat-santiago, F.; Hamann, T. W. Water Oxidation at Hematite Photoelectrodes : The Role of Surface States. </w:t>
      </w:r>
      <w:r w:rsidRPr="00B55191">
        <w:rPr>
          <w:i/>
          <w:noProof/>
        </w:rPr>
        <w:t xml:space="preserve">J. Am. Chem. Soc. </w:t>
      </w:r>
      <w:r w:rsidRPr="00B55191">
        <w:rPr>
          <w:b/>
          <w:noProof/>
        </w:rPr>
        <w:t>2012</w:t>
      </w:r>
      <w:r w:rsidRPr="00B55191">
        <w:rPr>
          <w:noProof/>
        </w:rPr>
        <w:t xml:space="preserve">, </w:t>
      </w:r>
      <w:r w:rsidRPr="00B55191">
        <w:rPr>
          <w:i/>
          <w:noProof/>
        </w:rPr>
        <w:t>134</w:t>
      </w:r>
      <w:r w:rsidRPr="00B55191">
        <w:rPr>
          <w:noProof/>
        </w:rPr>
        <w:t>, 4294-4302.</w:t>
      </w:r>
    </w:p>
    <w:p w14:paraId="6D6625DD" w14:textId="77777777" w:rsidR="00B55191" w:rsidRPr="00B55191" w:rsidRDefault="00B55191" w:rsidP="00B55191">
      <w:pPr>
        <w:pStyle w:val="EndNoteBibliography"/>
        <w:rPr>
          <w:noProof/>
        </w:rPr>
      </w:pPr>
      <w:r w:rsidRPr="00B55191">
        <w:rPr>
          <w:noProof/>
        </w:rPr>
        <w:t xml:space="preserve">(537) Klahr, B.; Gimenez, S.; Fabregat-Santiago, F.; Bisquert, J.; Hamann, T. W. Electrochemical and Photoelectrochemical Investigation of Water Oxidation with Hematite Electrodes. </w:t>
      </w:r>
      <w:r w:rsidRPr="00B55191">
        <w:rPr>
          <w:i/>
          <w:noProof/>
        </w:rPr>
        <w:t xml:space="preserve">Energy Environ. Sci. </w:t>
      </w:r>
      <w:r w:rsidRPr="00B55191">
        <w:rPr>
          <w:b/>
          <w:noProof/>
        </w:rPr>
        <w:t>2012</w:t>
      </w:r>
      <w:r w:rsidRPr="00B55191">
        <w:rPr>
          <w:noProof/>
        </w:rPr>
        <w:t xml:space="preserve">, </w:t>
      </w:r>
      <w:r w:rsidRPr="00B55191">
        <w:rPr>
          <w:i/>
          <w:noProof/>
        </w:rPr>
        <w:t>5</w:t>
      </w:r>
      <w:r w:rsidRPr="00B55191">
        <w:rPr>
          <w:noProof/>
        </w:rPr>
        <w:t>, 7626-7636.</w:t>
      </w:r>
    </w:p>
    <w:p w14:paraId="2F534C45" w14:textId="77777777" w:rsidR="00B55191" w:rsidRPr="00B55191" w:rsidRDefault="00B55191" w:rsidP="00B55191">
      <w:pPr>
        <w:pStyle w:val="EndNoteBibliography"/>
        <w:rPr>
          <w:noProof/>
        </w:rPr>
      </w:pPr>
      <w:r w:rsidRPr="00B55191">
        <w:rPr>
          <w:noProof/>
        </w:rPr>
        <w:t xml:space="preserve">(538) Iqbal, A.; Bevan, K. H. Simultaneously Solving the Photovoltage and Photocurrent at Semiconductor-Liquid Interfaces. </w:t>
      </w:r>
      <w:r w:rsidRPr="00B55191">
        <w:rPr>
          <w:i/>
          <w:noProof/>
        </w:rPr>
        <w:t xml:space="preserve">J. Phys. Chem. C </w:t>
      </w:r>
      <w:r w:rsidRPr="00B55191">
        <w:rPr>
          <w:b/>
          <w:noProof/>
        </w:rPr>
        <w:t>2018</w:t>
      </w:r>
      <w:r w:rsidRPr="00B55191">
        <w:rPr>
          <w:noProof/>
        </w:rPr>
        <w:t xml:space="preserve">, </w:t>
      </w:r>
      <w:r w:rsidRPr="00B55191">
        <w:rPr>
          <w:i/>
          <w:noProof/>
        </w:rPr>
        <w:t>122</w:t>
      </w:r>
      <w:r w:rsidRPr="00B55191">
        <w:rPr>
          <w:noProof/>
        </w:rPr>
        <w:t>, 30-43.</w:t>
      </w:r>
    </w:p>
    <w:p w14:paraId="5019B149" w14:textId="77777777" w:rsidR="00B55191" w:rsidRPr="00B55191" w:rsidRDefault="00B55191" w:rsidP="00B55191">
      <w:pPr>
        <w:pStyle w:val="EndNoteBibliography"/>
        <w:rPr>
          <w:noProof/>
        </w:rPr>
      </w:pPr>
      <w:r w:rsidRPr="00B55191">
        <w:rPr>
          <w:noProof/>
        </w:rPr>
        <w:t xml:space="preserve">(539) Bevan, K. H.; Miao, B.; Iqbal, A. Sljcompact: A Semiconductor-Liquid Junction Solver for Rapid Band Diagram Insights into Photoelectrochemical Devices. </w:t>
      </w:r>
      <w:r w:rsidRPr="00B55191">
        <w:rPr>
          <w:i/>
          <w:noProof/>
        </w:rPr>
        <w:t xml:space="preserve">Comput. Phys. Commun. </w:t>
      </w:r>
      <w:r w:rsidRPr="00B55191">
        <w:rPr>
          <w:b/>
          <w:noProof/>
        </w:rPr>
        <w:t>2023</w:t>
      </w:r>
      <w:r w:rsidRPr="00B55191">
        <w:rPr>
          <w:noProof/>
        </w:rPr>
        <w:t xml:space="preserve">, </w:t>
      </w:r>
      <w:r w:rsidRPr="00B55191">
        <w:rPr>
          <w:i/>
          <w:noProof/>
        </w:rPr>
        <w:t>286</w:t>
      </w:r>
      <w:r w:rsidRPr="00B55191">
        <w:rPr>
          <w:noProof/>
        </w:rPr>
        <w:t>, 108638-108638.</w:t>
      </w:r>
    </w:p>
    <w:p w14:paraId="6485C240" w14:textId="77777777" w:rsidR="00B55191" w:rsidRPr="00B55191" w:rsidRDefault="00B55191" w:rsidP="00B55191">
      <w:pPr>
        <w:pStyle w:val="EndNoteBibliography"/>
        <w:rPr>
          <w:noProof/>
        </w:rPr>
      </w:pPr>
      <w:r w:rsidRPr="00B55191">
        <w:rPr>
          <w:noProof/>
        </w:rPr>
        <w:t xml:space="preserve">(540) Resasco, J.; Abild-Pedersen, F.; Hahn, C.; Bao, Z.; Koper, M. T. M.; Jaramillo, T. F. Enhancing the Connection between Computation and Experiments in Electrocatalysis. </w:t>
      </w:r>
      <w:r w:rsidRPr="00B55191">
        <w:rPr>
          <w:i/>
          <w:noProof/>
        </w:rPr>
        <w:t xml:space="preserve">Nat. Catal. </w:t>
      </w:r>
      <w:r w:rsidRPr="00B55191">
        <w:rPr>
          <w:b/>
          <w:noProof/>
        </w:rPr>
        <w:t>2022</w:t>
      </w:r>
      <w:r w:rsidRPr="00B55191">
        <w:rPr>
          <w:noProof/>
        </w:rPr>
        <w:t xml:space="preserve">, </w:t>
      </w:r>
      <w:r w:rsidRPr="00B55191">
        <w:rPr>
          <w:i/>
          <w:noProof/>
        </w:rPr>
        <w:t>5</w:t>
      </w:r>
      <w:r w:rsidRPr="00B55191">
        <w:rPr>
          <w:noProof/>
        </w:rPr>
        <w:t>, 374-381.</w:t>
      </w:r>
    </w:p>
    <w:p w14:paraId="4F61501F" w14:textId="77777777" w:rsidR="00B55191" w:rsidRPr="00B55191" w:rsidRDefault="00B55191" w:rsidP="00B55191">
      <w:pPr>
        <w:pStyle w:val="EndNoteBibliography"/>
        <w:rPr>
          <w:noProof/>
        </w:rPr>
      </w:pPr>
      <w:r w:rsidRPr="00B55191">
        <w:rPr>
          <w:noProof/>
        </w:rPr>
        <w:t xml:space="preserve">(541) Ringe, S.; Clark, E. L.; Resasco, J.; Walton, A.; Seger, B.; Bell, A. T.; Chan, K. Understanding Cation Effects in Electrochemical Co2 Reduction. </w:t>
      </w:r>
      <w:r w:rsidRPr="00B55191">
        <w:rPr>
          <w:i/>
          <w:noProof/>
        </w:rPr>
        <w:t xml:space="preserve">Energy Environ. Sci. </w:t>
      </w:r>
      <w:r w:rsidRPr="00B55191">
        <w:rPr>
          <w:b/>
          <w:noProof/>
        </w:rPr>
        <w:t>2019</w:t>
      </w:r>
      <w:r w:rsidRPr="00B55191">
        <w:rPr>
          <w:noProof/>
        </w:rPr>
        <w:t xml:space="preserve">, </w:t>
      </w:r>
      <w:r w:rsidRPr="00B55191">
        <w:rPr>
          <w:i/>
          <w:noProof/>
        </w:rPr>
        <w:t>12</w:t>
      </w:r>
      <w:r w:rsidRPr="00B55191">
        <w:rPr>
          <w:noProof/>
        </w:rPr>
        <w:t>, 3001-3014.</w:t>
      </w:r>
    </w:p>
    <w:p w14:paraId="5B14FD2E" w14:textId="77777777" w:rsidR="00B55191" w:rsidRPr="00B55191" w:rsidRDefault="00B55191" w:rsidP="00B55191">
      <w:pPr>
        <w:pStyle w:val="EndNoteBibliography"/>
        <w:rPr>
          <w:noProof/>
        </w:rPr>
      </w:pPr>
      <w:r w:rsidRPr="00B55191">
        <w:rPr>
          <w:noProof/>
        </w:rPr>
        <w:lastRenderedPageBreak/>
        <w:t xml:space="preserve">(542) Raman, A. S.; Selloni, A. Acid–Base Chemistry of a Model Iro2 Catalytic Interface. </w:t>
      </w:r>
      <w:r w:rsidRPr="00B55191">
        <w:rPr>
          <w:i/>
          <w:noProof/>
        </w:rPr>
        <w:t xml:space="preserve">J. Phys. Chem. Lett. </w:t>
      </w:r>
      <w:r w:rsidRPr="00B55191">
        <w:rPr>
          <w:b/>
          <w:noProof/>
        </w:rPr>
        <w:t>2023</w:t>
      </w:r>
      <w:r w:rsidRPr="00B55191">
        <w:rPr>
          <w:noProof/>
        </w:rPr>
        <w:t xml:space="preserve">, </w:t>
      </w:r>
      <w:r w:rsidRPr="00B55191">
        <w:rPr>
          <w:i/>
          <w:noProof/>
        </w:rPr>
        <w:t>14</w:t>
      </w:r>
      <w:r w:rsidRPr="00B55191">
        <w:rPr>
          <w:noProof/>
        </w:rPr>
        <w:t>, 7787-7794.</w:t>
      </w:r>
    </w:p>
    <w:p w14:paraId="070984FF" w14:textId="77777777" w:rsidR="00B55191" w:rsidRPr="00B55191" w:rsidRDefault="00B55191" w:rsidP="00B55191">
      <w:pPr>
        <w:pStyle w:val="EndNoteBibliography"/>
        <w:rPr>
          <w:noProof/>
        </w:rPr>
      </w:pPr>
      <w:r w:rsidRPr="00B55191">
        <w:rPr>
          <w:noProof/>
        </w:rPr>
        <w:t xml:space="preserve">(543) Schienbein, P.; Blumberger, J. Nanosecond Solvation Dynamics of the Hematite/Liquid Water Interface at Hybrid Dft Accuracy Using Committee Neural Network Potentials. </w:t>
      </w:r>
      <w:r w:rsidRPr="00B55191">
        <w:rPr>
          <w:i/>
          <w:noProof/>
        </w:rPr>
        <w:t xml:space="preserve">Phys. Chem. Chem. Phys. </w:t>
      </w:r>
      <w:r w:rsidRPr="00B55191">
        <w:rPr>
          <w:b/>
          <w:noProof/>
        </w:rPr>
        <w:t>2022</w:t>
      </w:r>
      <w:r w:rsidRPr="00B55191">
        <w:rPr>
          <w:noProof/>
        </w:rPr>
        <w:t xml:space="preserve">, </w:t>
      </w:r>
      <w:r w:rsidRPr="00B55191">
        <w:rPr>
          <w:i/>
          <w:noProof/>
        </w:rPr>
        <w:t>24</w:t>
      </w:r>
      <w:r w:rsidRPr="00B55191">
        <w:rPr>
          <w:noProof/>
        </w:rPr>
        <w:t>, 15365-15375.</w:t>
      </w:r>
    </w:p>
    <w:p w14:paraId="1646D88B" w14:textId="77777777" w:rsidR="00B55191" w:rsidRPr="00B55191" w:rsidRDefault="00B55191" w:rsidP="00B55191">
      <w:pPr>
        <w:pStyle w:val="EndNoteBibliography"/>
        <w:rPr>
          <w:noProof/>
        </w:rPr>
      </w:pPr>
      <w:r w:rsidRPr="00B55191">
        <w:rPr>
          <w:noProof/>
        </w:rPr>
        <w:t xml:space="preserve">(544) Ding, H.; Liu, H.; Chu, W.; Wu, C.; Xie, Y. Structural Transformation of Heterogeneous Materials for Electrocatalytic Oxygen Evolution Reaction. </w:t>
      </w:r>
      <w:r w:rsidRPr="00B55191">
        <w:rPr>
          <w:i/>
          <w:noProof/>
        </w:rPr>
        <w:t xml:space="preserve">Chem. Rev. </w:t>
      </w:r>
      <w:r w:rsidRPr="00B55191">
        <w:rPr>
          <w:b/>
          <w:noProof/>
        </w:rPr>
        <w:t>2021</w:t>
      </w:r>
      <w:r w:rsidRPr="00B55191">
        <w:rPr>
          <w:noProof/>
        </w:rPr>
        <w:t xml:space="preserve">, </w:t>
      </w:r>
      <w:r w:rsidRPr="00B55191">
        <w:rPr>
          <w:i/>
          <w:noProof/>
        </w:rPr>
        <w:t>121</w:t>
      </w:r>
      <w:r w:rsidRPr="00B55191">
        <w:rPr>
          <w:noProof/>
        </w:rPr>
        <w:t>, 13174-13212.</w:t>
      </w:r>
    </w:p>
    <w:p w14:paraId="50F043E6" w14:textId="77777777" w:rsidR="00B55191" w:rsidRPr="00B55191" w:rsidRDefault="00B55191" w:rsidP="00B55191">
      <w:pPr>
        <w:pStyle w:val="EndNoteBibliography"/>
        <w:rPr>
          <w:noProof/>
        </w:rPr>
      </w:pPr>
      <w:r w:rsidRPr="00B55191">
        <w:rPr>
          <w:noProof/>
        </w:rPr>
        <w:t xml:space="preserve">(545) Zhong, H.; Zhang, Q.; Yu, J.; Zhang, X.; Wu, C.; Ma, Y.; An, H.; Wang, H.; Zhang, J.; Wang, X.; Xue, J. Fundamental Understanding of Structural Reconstruction Behaviors in Oxygen Evolution Reaction Electrocatalysts. </w:t>
      </w:r>
      <w:r w:rsidRPr="00B55191">
        <w:rPr>
          <w:i/>
          <w:noProof/>
        </w:rPr>
        <w:t xml:space="preserve">Adv. Energy Mater. </w:t>
      </w:r>
      <w:r w:rsidRPr="00B55191">
        <w:rPr>
          <w:b/>
          <w:noProof/>
        </w:rPr>
        <w:t>2023</w:t>
      </w:r>
      <w:r w:rsidRPr="00B55191">
        <w:rPr>
          <w:noProof/>
        </w:rPr>
        <w:t xml:space="preserve">, </w:t>
      </w:r>
      <w:r w:rsidRPr="00B55191">
        <w:rPr>
          <w:i/>
          <w:noProof/>
        </w:rPr>
        <w:t>13</w:t>
      </w:r>
      <w:r w:rsidRPr="00B55191">
        <w:rPr>
          <w:noProof/>
        </w:rPr>
        <w:t>, 2301391.</w:t>
      </w:r>
    </w:p>
    <w:p w14:paraId="7F6CF5B6" w14:textId="77777777" w:rsidR="00B55191" w:rsidRPr="00B55191" w:rsidRDefault="00B55191" w:rsidP="00B55191">
      <w:pPr>
        <w:pStyle w:val="EndNoteBibliography"/>
        <w:rPr>
          <w:noProof/>
        </w:rPr>
      </w:pPr>
      <w:r w:rsidRPr="00B55191">
        <w:rPr>
          <w:noProof/>
        </w:rPr>
        <w:t xml:space="preserve">(546) Esterhuizen, J. A.; Mathur, A.; Goldsmith, B. R.; Linic, S. High-Performance Iridium–Molybdenum Oxide Electrocatalysts for Water Oxidation in Acid: Bayesian Optimization Discovery and Experimental Testing. </w:t>
      </w:r>
      <w:r w:rsidRPr="00B55191">
        <w:rPr>
          <w:i/>
          <w:noProof/>
        </w:rPr>
        <w:t xml:space="preserve">J. Am. Chem. Soc. </w:t>
      </w:r>
      <w:r w:rsidRPr="00B55191">
        <w:rPr>
          <w:b/>
          <w:noProof/>
        </w:rPr>
        <w:t>2024</w:t>
      </w:r>
      <w:r w:rsidRPr="00B55191">
        <w:rPr>
          <w:noProof/>
        </w:rPr>
        <w:t xml:space="preserve">, </w:t>
      </w:r>
      <w:r w:rsidRPr="00B55191">
        <w:rPr>
          <w:i/>
          <w:noProof/>
        </w:rPr>
        <w:t>146</w:t>
      </w:r>
      <w:r w:rsidRPr="00B55191">
        <w:rPr>
          <w:noProof/>
        </w:rPr>
        <w:t>, 5511-5522.</w:t>
      </w:r>
    </w:p>
    <w:p w14:paraId="71E0D59D" w14:textId="77777777" w:rsidR="00B55191" w:rsidRPr="00B55191" w:rsidRDefault="00B55191" w:rsidP="00B55191">
      <w:pPr>
        <w:pStyle w:val="EndNoteBibliography"/>
        <w:rPr>
          <w:noProof/>
        </w:rPr>
      </w:pPr>
      <w:r w:rsidRPr="00B55191">
        <w:rPr>
          <w:noProof/>
        </w:rPr>
        <w:t xml:space="preserve">(547) Zhang, L.; Cai, J.; Chen, Y.; Huang, J. Modelling Electrocatalytic Reactions with a Concerted Treatment of Multistep Electron Transfer Kinetics and Local Reaction Conditions. </w:t>
      </w:r>
      <w:r w:rsidRPr="00B55191">
        <w:rPr>
          <w:i/>
          <w:noProof/>
        </w:rPr>
        <w:t xml:space="preserve">J. Phys.: Condens.Matter </w:t>
      </w:r>
      <w:r w:rsidRPr="00B55191">
        <w:rPr>
          <w:b/>
          <w:noProof/>
        </w:rPr>
        <w:t>2021</w:t>
      </w:r>
      <w:r w:rsidRPr="00B55191">
        <w:rPr>
          <w:noProof/>
        </w:rPr>
        <w:t xml:space="preserve">, </w:t>
      </w:r>
      <w:r w:rsidRPr="00B55191">
        <w:rPr>
          <w:i/>
          <w:noProof/>
        </w:rPr>
        <w:t>33</w:t>
      </w:r>
      <w:r w:rsidRPr="00B55191">
        <w:rPr>
          <w:noProof/>
        </w:rPr>
        <w:t>, 504002.</w:t>
      </w:r>
    </w:p>
    <w:p w14:paraId="6E5F9142" w14:textId="38500BC8" w:rsidR="00657190" w:rsidRDefault="00204D0E" w:rsidP="00204D0E">
      <w:r>
        <w:fldChar w:fldCharType="end"/>
      </w:r>
    </w:p>
    <w:p w14:paraId="20D55314" w14:textId="77777777" w:rsidR="00446FB4" w:rsidRDefault="00446FB4" w:rsidP="00204D0E"/>
    <w:p w14:paraId="6A45150D" w14:textId="77777777" w:rsidR="00446FB4" w:rsidRPr="002B13BC" w:rsidRDefault="00446FB4" w:rsidP="00446FB4">
      <w:pPr>
        <w:rPr>
          <w:b/>
          <w:bCs/>
        </w:rPr>
      </w:pPr>
      <w:r w:rsidRPr="002B13BC">
        <w:rPr>
          <w:b/>
          <w:bCs/>
        </w:rPr>
        <w:t>Bios</w:t>
      </w:r>
    </w:p>
    <w:p w14:paraId="77457C2B" w14:textId="77777777" w:rsidR="00446FB4" w:rsidRDefault="00446FB4" w:rsidP="00446FB4"/>
    <w:p w14:paraId="3FB985C4" w14:textId="1E71D707" w:rsidR="00446FB4" w:rsidRPr="000C455B" w:rsidRDefault="00446FB4" w:rsidP="00446FB4">
      <w:r w:rsidRPr="000C455B">
        <w:t>Travis Jones is a Staff Scientist at Los Alamos National Laboratory in Los Alamos (LANL), NM, USA. He obtained his Ph.D. in Chemistry from the Colorado School of Mines</w:t>
      </w:r>
      <w:r w:rsidR="00221826">
        <w:t>, Golden, CO</w:t>
      </w:r>
      <w:r w:rsidRPr="000C455B">
        <w:t xml:space="preserve"> in 2011 </w:t>
      </w:r>
      <w:r>
        <w:t xml:space="preserve">under Mark Eberhart </w:t>
      </w:r>
      <w:r w:rsidRPr="000C455B">
        <w:t>and carried out postdoctoral work</w:t>
      </w:r>
      <w:r w:rsidRPr="008C1593">
        <w:t xml:space="preserve"> </w:t>
      </w:r>
      <w:r w:rsidRPr="000C455B">
        <w:t xml:space="preserve">with Catherine </w:t>
      </w:r>
      <w:proofErr w:type="spellStart"/>
      <w:r w:rsidRPr="000C455B">
        <w:t>Stampfl</w:t>
      </w:r>
      <w:proofErr w:type="spellEnd"/>
      <w:r w:rsidRPr="000C455B">
        <w:t xml:space="preserve"> </w:t>
      </w:r>
      <w:r>
        <w:t xml:space="preserve">in the School of Physics </w:t>
      </w:r>
      <w:r w:rsidRPr="000C455B">
        <w:t>at the University of Sydney</w:t>
      </w:r>
      <w:r w:rsidR="00221826">
        <w:t>, Sydney, Australia</w:t>
      </w:r>
      <w:r w:rsidRPr="000C455B">
        <w:t xml:space="preserve"> </w:t>
      </w:r>
      <w:r>
        <w:t xml:space="preserve">and </w:t>
      </w:r>
      <w:r w:rsidRPr="000C455B">
        <w:t xml:space="preserve">at the National Research Council - </w:t>
      </w:r>
      <w:proofErr w:type="spellStart"/>
      <w:r w:rsidRPr="000C455B">
        <w:t>Istituto</w:t>
      </w:r>
      <w:proofErr w:type="spellEnd"/>
      <w:r w:rsidRPr="000C455B">
        <w:t xml:space="preserve"> </w:t>
      </w:r>
      <w:proofErr w:type="spellStart"/>
      <w:r w:rsidRPr="000C455B">
        <w:t>Officina</w:t>
      </w:r>
      <w:proofErr w:type="spellEnd"/>
      <w:r w:rsidRPr="000C455B">
        <w:t xml:space="preserve"> </w:t>
      </w:r>
      <w:proofErr w:type="spellStart"/>
      <w:r w:rsidRPr="000C455B">
        <w:t>dei</w:t>
      </w:r>
      <w:proofErr w:type="spellEnd"/>
      <w:r w:rsidRPr="000C455B">
        <w:t xml:space="preserve"> </w:t>
      </w:r>
      <w:proofErr w:type="spellStart"/>
      <w:r w:rsidRPr="000C455B">
        <w:t>Materiali</w:t>
      </w:r>
      <w:proofErr w:type="spellEnd"/>
      <w:r w:rsidRPr="000C455B">
        <w:t xml:space="preserve"> in Trieste, Italy</w:t>
      </w:r>
      <w:r>
        <w:t xml:space="preserve"> with Simone </w:t>
      </w:r>
      <w:proofErr w:type="spellStart"/>
      <w:r>
        <w:t>Piccinin</w:t>
      </w:r>
      <w:proofErr w:type="spellEnd"/>
      <w:r w:rsidRPr="000C455B">
        <w:t>. H</w:t>
      </w:r>
      <w:r>
        <w:t>e</w:t>
      </w:r>
      <w:r w:rsidRPr="000C455B">
        <w:t xml:space="preserve"> went </w:t>
      </w:r>
      <w:r>
        <w:t xml:space="preserve">to </w:t>
      </w:r>
      <w:r w:rsidR="00221826">
        <w:t xml:space="preserve">the </w:t>
      </w:r>
      <w:r>
        <w:t xml:space="preserve">Inorganic Chemistry department at the </w:t>
      </w:r>
      <w:r w:rsidRPr="000C455B">
        <w:t xml:space="preserve">Fritz-Haber-Institute in Berlin as a Humboldt Fellow, where he stayed as scientist until moving to LANL in 2022. His research focuses on combining experimental </w:t>
      </w:r>
      <w:r w:rsidRPr="002B13BC">
        <w:rPr>
          <w:i/>
          <w:iCs/>
        </w:rPr>
        <w:t>operando</w:t>
      </w:r>
      <w:r w:rsidRPr="000C455B">
        <w:t xml:space="preserve"> characterization of heterogeneous catalysis with computational methods to understand reaction mechanisms.</w:t>
      </w:r>
    </w:p>
    <w:p w14:paraId="4B4D8BB1" w14:textId="77777777" w:rsidR="00446FB4" w:rsidRPr="000C455B" w:rsidRDefault="00446FB4" w:rsidP="00446FB4"/>
    <w:p w14:paraId="78F4D6D2" w14:textId="77777777" w:rsidR="00446FB4" w:rsidRPr="000C455B" w:rsidRDefault="00446FB4" w:rsidP="00446FB4">
      <w:proofErr w:type="spellStart"/>
      <w:r w:rsidRPr="000C455B">
        <w:t>Detre</w:t>
      </w:r>
      <w:proofErr w:type="spellEnd"/>
      <w:r w:rsidRPr="000C455B">
        <w:t xml:space="preserve"> </w:t>
      </w:r>
      <w:proofErr w:type="spellStart"/>
      <w:r w:rsidRPr="000C455B">
        <w:t>Teschner</w:t>
      </w:r>
      <w:proofErr w:type="spellEnd"/>
      <w:r w:rsidRPr="000C455B">
        <w:t xml:space="preserve"> is a Senior Staff Scientist at the Max-Planck-Institute for Chemical Energy Conversion in </w:t>
      </w:r>
      <w:proofErr w:type="spellStart"/>
      <w:r w:rsidRPr="000C455B">
        <w:t>Mülheim</w:t>
      </w:r>
      <w:proofErr w:type="spellEnd"/>
      <w:r w:rsidRPr="000C455B">
        <w:t xml:space="preserve"> and a Guest Scientist at the Fritz-Haber-Institute (FHI) in Berlin. He is a chemical engineer by training from the University of </w:t>
      </w:r>
      <w:proofErr w:type="spellStart"/>
      <w:r w:rsidRPr="000C455B">
        <w:t>Veszprém</w:t>
      </w:r>
      <w:proofErr w:type="spellEnd"/>
      <w:r w:rsidRPr="000C455B">
        <w:t xml:space="preserve">, Hungary and went on to obtain a Ph.D. in Catalysis in 2001 from the same university after doing catalysis research at the Institute of Isotopes in Budapest. In 2003, he moved to the FHI with a Roman-Herzog Fellowship, where he worked as a Postdoc and later as a Senior Scientist in the group of Prof. Robert </w:t>
      </w:r>
      <w:proofErr w:type="spellStart"/>
      <w:r w:rsidRPr="000C455B">
        <w:t>Schlögl</w:t>
      </w:r>
      <w:proofErr w:type="spellEnd"/>
      <w:r w:rsidRPr="000C455B">
        <w:t xml:space="preserve">. His research focuses on experimental </w:t>
      </w:r>
      <w:r w:rsidRPr="002B13BC">
        <w:rPr>
          <w:i/>
          <w:iCs/>
        </w:rPr>
        <w:t>operando</w:t>
      </w:r>
      <w:r w:rsidRPr="000C455B">
        <w:t xml:space="preserve"> characterization of materials and processes in heterogeneous, electro- and photo-catalysis, often at the Berliner Synchrotron, BESSY II.</w:t>
      </w:r>
    </w:p>
    <w:p w14:paraId="63E2281A" w14:textId="77777777" w:rsidR="00446FB4" w:rsidRPr="000C455B" w:rsidRDefault="00446FB4" w:rsidP="00446FB4"/>
    <w:p w14:paraId="76296A59" w14:textId="77777777" w:rsidR="00446FB4" w:rsidRDefault="00446FB4" w:rsidP="00446FB4">
      <w:r w:rsidRPr="000C455B">
        <w:t xml:space="preserve">Simone </w:t>
      </w:r>
      <w:proofErr w:type="spellStart"/>
      <w:r w:rsidRPr="000C455B">
        <w:t>Piccinin</w:t>
      </w:r>
      <w:proofErr w:type="spellEnd"/>
      <w:r w:rsidRPr="000C455B">
        <w:t xml:space="preserve"> is a Senior Staff Scientist at the National Research Council (CNR) - </w:t>
      </w:r>
      <w:proofErr w:type="spellStart"/>
      <w:r w:rsidRPr="000C455B">
        <w:t>Istituto</w:t>
      </w:r>
      <w:proofErr w:type="spellEnd"/>
      <w:r w:rsidRPr="000C455B">
        <w:t xml:space="preserve"> </w:t>
      </w:r>
      <w:proofErr w:type="spellStart"/>
      <w:r w:rsidRPr="000C455B">
        <w:t>Officina</w:t>
      </w:r>
      <w:proofErr w:type="spellEnd"/>
      <w:r w:rsidRPr="000C455B">
        <w:t xml:space="preserve"> </w:t>
      </w:r>
      <w:proofErr w:type="spellStart"/>
      <w:r w:rsidRPr="000C455B">
        <w:t>dei</w:t>
      </w:r>
      <w:proofErr w:type="spellEnd"/>
      <w:r w:rsidRPr="000C455B">
        <w:t xml:space="preserve"> </w:t>
      </w:r>
      <w:proofErr w:type="spellStart"/>
      <w:r w:rsidRPr="000C455B">
        <w:t>Materiali</w:t>
      </w:r>
      <w:proofErr w:type="spellEnd"/>
      <w:r w:rsidRPr="000C455B">
        <w:t xml:space="preserve"> (IOM) in Trieste, Italy. He received a Ph.D. in Chemistry from Princeton University in 2006 under the supervision of Prof. Roberto Car, and then carried out postdoctoral work at the University of Sydney in the group of Prof. Catherine </w:t>
      </w:r>
      <w:proofErr w:type="spellStart"/>
      <w:r w:rsidRPr="000C455B">
        <w:t>Stampfl</w:t>
      </w:r>
      <w:proofErr w:type="spellEnd"/>
      <w:r w:rsidRPr="000C455B">
        <w:t xml:space="preserve"> at the School of Physics. He joined CNR-IOM in 2009 as a Marie-Curie fellow. His research focuses on computational modeling of materials and processes for applications in heterogeneous, electro- and photo-catalysis, targeting fundamental challenges in the field of energy conversion and storage. </w:t>
      </w:r>
    </w:p>
    <w:p w14:paraId="2DE1D0AB" w14:textId="77777777" w:rsidR="00446FB4" w:rsidRDefault="00446FB4" w:rsidP="00446FB4"/>
    <w:p w14:paraId="4B0EFF05" w14:textId="77777777" w:rsidR="00446FB4" w:rsidRDefault="00446FB4" w:rsidP="00446FB4">
      <w:pPr>
        <w:rPr>
          <w:b/>
          <w:bCs/>
        </w:rPr>
      </w:pPr>
      <w:r w:rsidRPr="002B13BC">
        <w:rPr>
          <w:b/>
          <w:bCs/>
        </w:rPr>
        <w:t>Acknowledgements</w:t>
      </w:r>
    </w:p>
    <w:p w14:paraId="195A46EC" w14:textId="77777777" w:rsidR="00446FB4" w:rsidRPr="00045B52" w:rsidRDefault="00446FB4" w:rsidP="00446FB4">
      <w:r>
        <w:t xml:space="preserve">TEJ acknowledges the </w:t>
      </w:r>
      <w:r w:rsidRPr="00045B52">
        <w:t>Laboratory Directed Research and Development program of Los Alamos National Laboratory under project number 20240061DR for support.</w:t>
      </w:r>
    </w:p>
    <w:p w14:paraId="7855D0F3" w14:textId="77777777" w:rsidR="00446FB4" w:rsidRDefault="00446FB4" w:rsidP="00204D0E"/>
    <w:p w14:paraId="24179409" w14:textId="77777777" w:rsidR="00A6237B" w:rsidRDefault="00A6237B" w:rsidP="00204D0E"/>
    <w:p w14:paraId="17AD857D" w14:textId="77777777" w:rsidR="00A6237B" w:rsidRDefault="00A6237B" w:rsidP="00A6237B">
      <w:pPr>
        <w:rPr>
          <w:b/>
          <w:bCs/>
        </w:rPr>
      </w:pPr>
      <w:r w:rsidRPr="00A6237B">
        <w:rPr>
          <w:b/>
          <w:bCs/>
        </w:rPr>
        <w:lastRenderedPageBreak/>
        <w:t>For Table of Contents Only</w:t>
      </w:r>
    </w:p>
    <w:p w14:paraId="4FF3F2D7" w14:textId="69A91C3F" w:rsidR="00A6237B" w:rsidRPr="00A6237B" w:rsidRDefault="00A6237B" w:rsidP="00A6237B">
      <w:pPr>
        <w:rPr>
          <w:b/>
          <w:bCs/>
        </w:rPr>
      </w:pPr>
      <w:r>
        <w:rPr>
          <w:b/>
          <w:bCs/>
          <w:noProof/>
          <w14:ligatures w14:val="standardContextual"/>
        </w:rPr>
        <w:drawing>
          <wp:inline distT="0" distB="0" distL="0" distR="0" wp14:anchorId="6EB160A1" wp14:editId="70CCDC84">
            <wp:extent cx="2959100" cy="1587500"/>
            <wp:effectExtent l="0" t="0" r="0" b="0"/>
            <wp:docPr id="6408563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0856379" name="Picture 640856379"/>
                    <pic:cNvPicPr/>
                  </pic:nvPicPr>
                  <pic:blipFill>
                    <a:blip r:embed="rId83" cstate="print">
                      <a:extLst>
                        <a:ext uri="{28A0092B-C50C-407E-A947-70E740481C1C}">
                          <a14:useLocalDpi xmlns:a14="http://schemas.microsoft.com/office/drawing/2010/main" val="0"/>
                        </a:ext>
                      </a:extLst>
                    </a:blip>
                    <a:stretch>
                      <a:fillRect/>
                    </a:stretch>
                  </pic:blipFill>
                  <pic:spPr>
                    <a:xfrm>
                      <a:off x="0" y="0"/>
                      <a:ext cx="2959100" cy="1587500"/>
                    </a:xfrm>
                    <a:prstGeom prst="rect">
                      <a:avLst/>
                    </a:prstGeom>
                  </pic:spPr>
                </pic:pic>
              </a:graphicData>
            </a:graphic>
          </wp:inline>
        </w:drawing>
      </w:r>
    </w:p>
    <w:sectPr w:rsidR="00A6237B" w:rsidRPr="00A6237B">
      <w:footerReference w:type="even" r:id="rId84"/>
      <w:footerReference w:type="default" r:id="rId8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13A0E5" w14:textId="77777777" w:rsidR="005E0A1C" w:rsidRDefault="005E0A1C" w:rsidP="000A5154">
      <w:r>
        <w:separator/>
      </w:r>
    </w:p>
  </w:endnote>
  <w:endnote w:type="continuationSeparator" w:id="0">
    <w:p w14:paraId="5A34CB65" w14:textId="77777777" w:rsidR="005E0A1C" w:rsidRDefault="005E0A1C" w:rsidP="000A51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Times-Roman">
    <w:altName w:val="Times New Roman"/>
    <w:panose1 w:val="020B0604020202020204"/>
    <w:charset w:val="00"/>
    <w:family w:val="auto"/>
    <w:pitch w:val="default"/>
    <w:sig w:usb0="00000000" w:usb1="00000000"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Roboto">
    <w:panose1 w:val="02000000000000000000"/>
    <w:charset w:val="00"/>
    <w:family w:val="auto"/>
    <w:pitch w:val="variable"/>
    <w:sig w:usb0="E0000AFF" w:usb1="5000217F" w:usb2="00000021"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34728225"/>
      <w:docPartObj>
        <w:docPartGallery w:val="Page Numbers (Bottom of Page)"/>
        <w:docPartUnique/>
      </w:docPartObj>
    </w:sdtPr>
    <w:sdtContent>
      <w:p w14:paraId="63773B7A" w14:textId="77777777" w:rsidR="009360A3" w:rsidRDefault="009360A3" w:rsidP="009360A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031B2B9" w14:textId="77777777" w:rsidR="009360A3" w:rsidRDefault="009360A3" w:rsidP="000A515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736324022"/>
      <w:docPartObj>
        <w:docPartGallery w:val="Page Numbers (Bottom of Page)"/>
        <w:docPartUnique/>
      </w:docPartObj>
    </w:sdtPr>
    <w:sdtContent>
      <w:p w14:paraId="1ABB1A3C" w14:textId="77777777" w:rsidR="009360A3" w:rsidRDefault="009360A3" w:rsidP="009360A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6EA33FC" w14:textId="77777777" w:rsidR="009360A3" w:rsidRDefault="009360A3" w:rsidP="000A515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01BC1F" w14:textId="77777777" w:rsidR="005E0A1C" w:rsidRDefault="005E0A1C" w:rsidP="000A5154">
      <w:r>
        <w:separator/>
      </w:r>
    </w:p>
  </w:footnote>
  <w:footnote w:type="continuationSeparator" w:id="0">
    <w:p w14:paraId="0EC60E52" w14:textId="77777777" w:rsidR="005E0A1C" w:rsidRDefault="005E0A1C" w:rsidP="000A515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96A35"/>
    <w:multiLevelType w:val="multilevel"/>
    <w:tmpl w:val="AE50A05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254102"/>
    <w:multiLevelType w:val="hybridMultilevel"/>
    <w:tmpl w:val="C6BEF5D8"/>
    <w:lvl w:ilvl="0" w:tplc="04090001">
      <w:start w:val="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C755B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9135891"/>
    <w:multiLevelType w:val="hybridMultilevel"/>
    <w:tmpl w:val="043CD0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38021E"/>
    <w:multiLevelType w:val="hybridMultilevel"/>
    <w:tmpl w:val="D2FE0E9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0F403EEE"/>
    <w:multiLevelType w:val="multilevel"/>
    <w:tmpl w:val="0809001F"/>
    <w:styleLink w:val="111111"/>
    <w:lvl w:ilvl="0">
      <w:start w:val="1"/>
      <w:numFmt w:val="decimal"/>
      <w:lvlText w:val="%1."/>
      <w:lvlJc w:val="left"/>
      <w:pPr>
        <w:ind w:left="360" w:hanging="360"/>
      </w:pPr>
    </w:lvl>
    <w:lvl w:ilvl="1">
      <w:start w:val="1"/>
      <w:numFmt w:val="decimal"/>
      <w:pStyle w:val="Heading2"/>
      <w:lvlText w:val="%1.%2."/>
      <w:lvlJc w:val="left"/>
      <w:pPr>
        <w:ind w:left="792" w:hanging="432"/>
      </w:pPr>
    </w:lvl>
    <w:lvl w:ilvl="2">
      <w:start w:val="1"/>
      <w:numFmt w:val="decimal"/>
      <w:pStyle w:val="Heading4"/>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FCD5D0C"/>
    <w:multiLevelType w:val="hybridMultilevel"/>
    <w:tmpl w:val="0AFA5F7C"/>
    <w:lvl w:ilvl="0" w:tplc="5B88F238">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49D759F"/>
    <w:multiLevelType w:val="multilevel"/>
    <w:tmpl w:val="2D5A393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792772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2CA6A29"/>
    <w:multiLevelType w:val="hybridMultilevel"/>
    <w:tmpl w:val="F26EEB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6CD30DC"/>
    <w:multiLevelType w:val="hybridMultilevel"/>
    <w:tmpl w:val="7DB4F5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D0730EC"/>
    <w:multiLevelType w:val="hybridMultilevel"/>
    <w:tmpl w:val="18862AE0"/>
    <w:lvl w:ilvl="0" w:tplc="CDCA324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C3574A1"/>
    <w:multiLevelType w:val="hybridMultilevel"/>
    <w:tmpl w:val="5270041A"/>
    <w:lvl w:ilvl="0" w:tplc="5356A332">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42586080"/>
    <w:multiLevelType w:val="hybridMultilevel"/>
    <w:tmpl w:val="F7C0015A"/>
    <w:lvl w:ilvl="0" w:tplc="40F8E468">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41E04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4C16968"/>
    <w:multiLevelType w:val="hybridMultilevel"/>
    <w:tmpl w:val="B35EA9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7CB04F3"/>
    <w:multiLevelType w:val="multilevel"/>
    <w:tmpl w:val="1F845A0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013233B"/>
    <w:multiLevelType w:val="multilevel"/>
    <w:tmpl w:val="1F845A0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8041DEF"/>
    <w:multiLevelType w:val="hybridMultilevel"/>
    <w:tmpl w:val="DB7CC34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AEC3A13"/>
    <w:multiLevelType w:val="hybridMultilevel"/>
    <w:tmpl w:val="2B2E10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F8D3D36"/>
    <w:multiLevelType w:val="multilevel"/>
    <w:tmpl w:val="0809001F"/>
    <w:numStyleLink w:val="111111"/>
  </w:abstractNum>
  <w:abstractNum w:abstractNumId="21" w15:restartNumberingAfterBreak="0">
    <w:nsid w:val="7A567FAD"/>
    <w:multiLevelType w:val="hybridMultilevel"/>
    <w:tmpl w:val="C0B8C3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A6966AD"/>
    <w:multiLevelType w:val="hybridMultilevel"/>
    <w:tmpl w:val="B5B6B5B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7D98136C"/>
    <w:multiLevelType w:val="hybridMultilevel"/>
    <w:tmpl w:val="1A7080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044210585">
    <w:abstractNumId w:val="2"/>
  </w:num>
  <w:num w:numId="2" w16cid:durableId="35937587">
    <w:abstractNumId w:val="0"/>
  </w:num>
  <w:num w:numId="3" w16cid:durableId="1995067685">
    <w:abstractNumId w:val="14"/>
  </w:num>
  <w:num w:numId="4" w16cid:durableId="1971471712">
    <w:abstractNumId w:val="19"/>
  </w:num>
  <w:num w:numId="5" w16cid:durableId="1961960401">
    <w:abstractNumId w:val="8"/>
  </w:num>
  <w:num w:numId="6" w16cid:durableId="701170008">
    <w:abstractNumId w:val="7"/>
  </w:num>
  <w:num w:numId="7" w16cid:durableId="730731332">
    <w:abstractNumId w:val="15"/>
  </w:num>
  <w:num w:numId="8" w16cid:durableId="1492986601">
    <w:abstractNumId w:val="21"/>
  </w:num>
  <w:num w:numId="9" w16cid:durableId="916476009">
    <w:abstractNumId w:val="3"/>
  </w:num>
  <w:num w:numId="10" w16cid:durableId="1758136597">
    <w:abstractNumId w:val="12"/>
  </w:num>
  <w:num w:numId="11" w16cid:durableId="1993098679">
    <w:abstractNumId w:val="5"/>
  </w:num>
  <w:num w:numId="12" w16cid:durableId="514153569">
    <w:abstractNumId w:val="6"/>
  </w:num>
  <w:num w:numId="13" w16cid:durableId="999387854">
    <w:abstractNumId w:val="18"/>
  </w:num>
  <w:num w:numId="14" w16cid:durableId="1792940825">
    <w:abstractNumId w:val="11"/>
  </w:num>
  <w:num w:numId="15" w16cid:durableId="1739864217">
    <w:abstractNumId w:val="13"/>
  </w:num>
  <w:num w:numId="16" w16cid:durableId="270672320">
    <w:abstractNumId w:val="22"/>
  </w:num>
  <w:num w:numId="17" w16cid:durableId="1518498312">
    <w:abstractNumId w:val="20"/>
    <w:lvlOverride w:ilvl="0">
      <w:lvl w:ilvl="0">
        <w:start w:val="1"/>
        <w:numFmt w:val="decimal"/>
        <w:lvlText w:val="%1."/>
        <w:lvlJc w:val="left"/>
        <w:pPr>
          <w:ind w:left="360" w:hanging="360"/>
        </w:pPr>
      </w:lvl>
    </w:lvlOverride>
    <w:lvlOverride w:ilvl="1">
      <w:lvl w:ilvl="1">
        <w:start w:val="1"/>
        <w:numFmt w:val="decimal"/>
        <w:pStyle w:val="Heading2"/>
        <w:lvlText w:val="%1.%2."/>
        <w:lvlJc w:val="left"/>
        <w:pPr>
          <w:ind w:left="792" w:hanging="432"/>
        </w:pPr>
      </w:lvl>
    </w:lvlOverride>
    <w:lvlOverride w:ilvl="2">
      <w:lvl w:ilvl="2">
        <w:start w:val="1"/>
        <w:numFmt w:val="decimal"/>
        <w:pStyle w:val="Heading4"/>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8" w16cid:durableId="2054307524">
    <w:abstractNumId w:val="9"/>
  </w:num>
  <w:num w:numId="19" w16cid:durableId="432943440">
    <w:abstractNumId w:val="20"/>
    <w:lvlOverride w:ilvl="0">
      <w:startOverride w:val="1"/>
      <w:lvl w:ilvl="0">
        <w:start w:val="1"/>
        <w:numFmt w:val="decimal"/>
        <w:lvlText w:val="%1."/>
        <w:lvlJc w:val="left"/>
        <w:pPr>
          <w:ind w:left="360" w:hanging="360"/>
        </w:pPr>
      </w:lvl>
    </w:lvlOverride>
    <w:lvlOverride w:ilvl="1">
      <w:startOverride w:val="1"/>
      <w:lvl w:ilvl="1">
        <w:start w:val="1"/>
        <w:numFmt w:val="decimal"/>
        <w:pStyle w:val="Heading2"/>
        <w:lvlText w:val="%1.%2."/>
        <w:lvlJc w:val="left"/>
        <w:pPr>
          <w:ind w:left="792" w:hanging="432"/>
        </w:pPr>
      </w:lvl>
    </w:lvlOverride>
    <w:lvlOverride w:ilvl="2">
      <w:startOverride w:val="1"/>
      <w:lvl w:ilvl="2">
        <w:start w:val="1"/>
        <w:numFmt w:val="decimal"/>
        <w:pStyle w:val="Heading4"/>
        <w:lvlText w:val="%1.%2.%3."/>
        <w:lvlJc w:val="left"/>
        <w:pPr>
          <w:ind w:left="1224" w:hanging="504"/>
        </w:pPr>
      </w:lvl>
    </w:lvlOverride>
    <w:lvlOverride w:ilvl="3">
      <w:startOverride w:val="1"/>
      <w:lvl w:ilvl="3">
        <w:start w:val="1"/>
        <w:numFmt w:val="decimal"/>
        <w:lvlText w:val="%1.%2.%3.%4."/>
        <w:lvlJc w:val="left"/>
        <w:pPr>
          <w:ind w:left="1728" w:hanging="648"/>
        </w:pPr>
      </w:lvl>
    </w:lvlOverride>
    <w:lvlOverride w:ilvl="4">
      <w:startOverride w:val="1"/>
      <w:lvl w:ilvl="4">
        <w:start w:val="1"/>
        <w:numFmt w:val="decimal"/>
        <w:lvlText w:val="%1.%2.%3.%4.%5."/>
        <w:lvlJc w:val="left"/>
        <w:pPr>
          <w:ind w:left="2232" w:hanging="792"/>
        </w:pPr>
      </w:lvl>
    </w:lvlOverride>
    <w:lvlOverride w:ilvl="5">
      <w:startOverride w:val="1"/>
      <w:lvl w:ilvl="5">
        <w:start w:val="1"/>
        <w:numFmt w:val="decimal"/>
        <w:lvlText w:val="%1.%2.%3.%4.%5.%6."/>
        <w:lvlJc w:val="left"/>
        <w:pPr>
          <w:ind w:left="2736" w:hanging="936"/>
        </w:pPr>
      </w:lvl>
    </w:lvlOverride>
    <w:lvlOverride w:ilvl="6">
      <w:startOverride w:val="1"/>
      <w:lvl w:ilvl="6">
        <w:start w:val="1"/>
        <w:numFmt w:val="decimal"/>
        <w:lvlText w:val="%1.%2.%3.%4.%5.%6.%7."/>
        <w:lvlJc w:val="left"/>
        <w:pPr>
          <w:ind w:left="3240" w:hanging="1080"/>
        </w:pPr>
      </w:lvl>
    </w:lvlOverride>
    <w:lvlOverride w:ilvl="7">
      <w:startOverride w:val="1"/>
      <w:lvl w:ilvl="7">
        <w:start w:val="1"/>
        <w:numFmt w:val="decimal"/>
        <w:lvlText w:val="%1.%2.%3.%4.%5.%6.%7.%8."/>
        <w:lvlJc w:val="left"/>
        <w:pPr>
          <w:ind w:left="3744" w:hanging="1224"/>
        </w:pPr>
      </w:lvl>
    </w:lvlOverride>
    <w:lvlOverride w:ilvl="8">
      <w:startOverride w:val="1"/>
      <w:lvl w:ilvl="8">
        <w:start w:val="1"/>
        <w:numFmt w:val="decimal"/>
        <w:lvlText w:val="%1.%2.%3.%4.%5.%6.%7.%8.%9."/>
        <w:lvlJc w:val="left"/>
        <w:pPr>
          <w:ind w:left="4320" w:hanging="1440"/>
        </w:pPr>
      </w:lvl>
    </w:lvlOverride>
  </w:num>
  <w:num w:numId="20" w16cid:durableId="1278560794">
    <w:abstractNumId w:val="17"/>
  </w:num>
  <w:num w:numId="21" w16cid:durableId="231434261">
    <w:abstractNumId w:val="16"/>
  </w:num>
  <w:num w:numId="22" w16cid:durableId="1967999567">
    <w:abstractNumId w:val="4"/>
  </w:num>
  <w:num w:numId="23" w16cid:durableId="1436629557">
    <w:abstractNumId w:val="10"/>
  </w:num>
  <w:num w:numId="24" w16cid:durableId="1833907649">
    <w:abstractNumId w:val="1"/>
  </w:num>
  <w:num w:numId="25" w16cid:durableId="102151621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2"/>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Suspended&gt;0&lt;/Suspended&gt;&lt;/ENInstantFormat&gt;"/>
    <w:docVar w:name="EN.Layout" w:val="&lt;ENLayout&gt;&lt;Style&gt;Chemical Reviews&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xex0erf4eexr4e2dpbxpdd829xttesxxxdr&quot;&gt;Combined manuscript v6&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7&lt;/item&gt;&lt;item&gt;48&lt;/item&gt;&lt;item&gt;49&lt;/item&gt;&lt;item&gt;50&lt;/item&gt;&lt;item&gt;51&lt;/item&gt;&lt;item&gt;52&lt;/item&gt;&lt;item&gt;53&lt;/item&gt;&lt;item&gt;54&lt;/item&gt;&lt;item&gt;55&lt;/item&gt;&lt;item&gt;56&lt;/item&gt;&lt;item&gt;57&lt;/item&gt;&lt;item&gt;58&lt;/item&gt;&lt;item&gt;59&lt;/item&gt;&lt;item&gt;60&lt;/item&gt;&lt;item&gt;61&lt;/item&gt;&lt;item&gt;62&lt;/item&gt;&lt;item&gt;63&lt;/item&gt;&lt;item&gt;64&lt;/item&gt;&lt;item&gt;65&lt;/item&gt;&lt;item&gt;66&lt;/item&gt;&lt;item&gt;67&lt;/item&gt;&lt;item&gt;68&lt;/item&gt;&lt;item&gt;69&lt;/item&gt;&lt;item&gt;70&lt;/item&gt;&lt;item&gt;71&lt;/item&gt;&lt;item&gt;72&lt;/item&gt;&lt;item&gt;73&lt;/item&gt;&lt;item&gt;74&lt;/item&gt;&lt;item&gt;75&lt;/item&gt;&lt;item&gt;76&lt;/item&gt;&lt;item&gt;77&lt;/item&gt;&lt;item&gt;78&lt;/item&gt;&lt;item&gt;79&lt;/item&gt;&lt;item&gt;80&lt;/item&gt;&lt;item&gt;81&lt;/item&gt;&lt;item&gt;82&lt;/item&gt;&lt;item&gt;83&lt;/item&gt;&lt;item&gt;84&lt;/item&gt;&lt;item&gt;85&lt;/item&gt;&lt;item&gt;86&lt;/item&gt;&lt;item&gt;87&lt;/item&gt;&lt;item&gt;88&lt;/item&gt;&lt;item&gt;89&lt;/item&gt;&lt;item&gt;90&lt;/item&gt;&lt;item&gt;91&lt;/item&gt;&lt;item&gt;92&lt;/item&gt;&lt;item&gt;93&lt;/item&gt;&lt;item&gt;94&lt;/item&gt;&lt;item&gt;95&lt;/item&gt;&lt;item&gt;96&lt;/item&gt;&lt;item&gt;97&lt;/item&gt;&lt;item&gt;98&lt;/item&gt;&lt;item&gt;99&lt;/item&gt;&lt;item&gt;100&lt;/item&gt;&lt;item&gt;101&lt;/item&gt;&lt;item&gt;102&lt;/item&gt;&lt;item&gt;103&lt;/item&gt;&lt;item&gt;104&lt;/item&gt;&lt;item&gt;105&lt;/item&gt;&lt;item&gt;106&lt;/item&gt;&lt;item&gt;107&lt;/item&gt;&lt;item&gt;108&lt;/item&gt;&lt;item&gt;109&lt;/item&gt;&lt;item&gt;110&lt;/item&gt;&lt;item&gt;111&lt;/item&gt;&lt;item&gt;112&lt;/item&gt;&lt;item&gt;113&lt;/item&gt;&lt;item&gt;114&lt;/item&gt;&lt;item&gt;115&lt;/item&gt;&lt;item&gt;116&lt;/item&gt;&lt;item&gt;117&lt;/item&gt;&lt;item&gt;118&lt;/item&gt;&lt;item&gt;119&lt;/item&gt;&lt;item&gt;120&lt;/item&gt;&lt;item&gt;121&lt;/item&gt;&lt;item&gt;122&lt;/item&gt;&lt;item&gt;123&lt;/item&gt;&lt;item&gt;124&lt;/item&gt;&lt;item&gt;125&lt;/item&gt;&lt;item&gt;126&lt;/item&gt;&lt;item&gt;127&lt;/item&gt;&lt;item&gt;128&lt;/item&gt;&lt;item&gt;129&lt;/item&gt;&lt;item&gt;130&lt;/item&gt;&lt;item&gt;131&lt;/item&gt;&lt;item&gt;132&lt;/item&gt;&lt;item&gt;133&lt;/item&gt;&lt;item&gt;134&lt;/item&gt;&lt;item&gt;135&lt;/item&gt;&lt;item&gt;136&lt;/item&gt;&lt;item&gt;137&lt;/item&gt;&lt;item&gt;138&lt;/item&gt;&lt;item&gt;139&lt;/item&gt;&lt;item&gt;140&lt;/item&gt;&lt;item&gt;141&lt;/item&gt;&lt;item&gt;142&lt;/item&gt;&lt;item&gt;143&lt;/item&gt;&lt;item&gt;144&lt;/item&gt;&lt;item&gt;145&lt;/item&gt;&lt;item&gt;146&lt;/item&gt;&lt;item&gt;147&lt;/item&gt;&lt;item&gt;148&lt;/item&gt;&lt;item&gt;149&lt;/item&gt;&lt;item&gt;150&lt;/item&gt;&lt;item&gt;151&lt;/item&gt;&lt;item&gt;152&lt;/item&gt;&lt;item&gt;153&lt;/item&gt;&lt;item&gt;154&lt;/item&gt;&lt;item&gt;155&lt;/item&gt;&lt;item&gt;156&lt;/item&gt;&lt;item&gt;157&lt;/item&gt;&lt;item&gt;158&lt;/item&gt;&lt;item&gt;159&lt;/item&gt;&lt;item&gt;160&lt;/item&gt;&lt;item&gt;161&lt;/item&gt;&lt;item&gt;162&lt;/item&gt;&lt;item&gt;163&lt;/item&gt;&lt;item&gt;164&lt;/item&gt;&lt;item&gt;165&lt;/item&gt;&lt;item&gt;166&lt;/item&gt;&lt;item&gt;167&lt;/item&gt;&lt;item&gt;168&lt;/item&gt;&lt;item&gt;169&lt;/item&gt;&lt;item&gt;170&lt;/item&gt;&lt;item&gt;171&lt;/item&gt;&lt;item&gt;172&lt;/item&gt;&lt;item&gt;173&lt;/item&gt;&lt;item&gt;174&lt;/item&gt;&lt;item&gt;175&lt;/item&gt;&lt;item&gt;176&lt;/item&gt;&lt;item&gt;177&lt;/item&gt;&lt;item&gt;178&lt;/item&gt;&lt;item&gt;179&lt;/item&gt;&lt;item&gt;180&lt;/item&gt;&lt;item&gt;181&lt;/item&gt;&lt;item&gt;182&lt;/item&gt;&lt;item&gt;183&lt;/item&gt;&lt;item&gt;184&lt;/item&gt;&lt;item&gt;185&lt;/item&gt;&lt;item&gt;186&lt;/item&gt;&lt;item&gt;187&lt;/item&gt;&lt;item&gt;188&lt;/item&gt;&lt;item&gt;189&lt;/item&gt;&lt;item&gt;190&lt;/item&gt;&lt;item&gt;191&lt;/item&gt;&lt;item&gt;192&lt;/item&gt;&lt;item&gt;193&lt;/item&gt;&lt;item&gt;194&lt;/item&gt;&lt;item&gt;195&lt;/item&gt;&lt;item&gt;196&lt;/item&gt;&lt;item&gt;197&lt;/item&gt;&lt;item&gt;198&lt;/item&gt;&lt;item&gt;199&lt;/item&gt;&lt;item&gt;200&lt;/item&gt;&lt;item&gt;201&lt;/item&gt;&lt;item&gt;202&lt;/item&gt;&lt;item&gt;203&lt;/item&gt;&lt;item&gt;204&lt;/item&gt;&lt;item&gt;205&lt;/item&gt;&lt;item&gt;206&lt;/item&gt;&lt;item&gt;207&lt;/item&gt;&lt;item&gt;208&lt;/item&gt;&lt;item&gt;209&lt;/item&gt;&lt;item&gt;210&lt;/item&gt;&lt;item&gt;211&lt;/item&gt;&lt;item&gt;212&lt;/item&gt;&lt;item&gt;213&lt;/item&gt;&lt;item&gt;214&lt;/item&gt;&lt;item&gt;215&lt;/item&gt;&lt;item&gt;216&lt;/item&gt;&lt;item&gt;217&lt;/item&gt;&lt;item&gt;218&lt;/item&gt;&lt;item&gt;219&lt;/item&gt;&lt;item&gt;220&lt;/item&gt;&lt;item&gt;221&lt;/item&gt;&lt;item&gt;222&lt;/item&gt;&lt;item&gt;223&lt;/item&gt;&lt;item&gt;224&lt;/item&gt;&lt;item&gt;225&lt;/item&gt;&lt;item&gt;226&lt;/item&gt;&lt;item&gt;227&lt;/item&gt;&lt;item&gt;228&lt;/item&gt;&lt;item&gt;229&lt;/item&gt;&lt;item&gt;230&lt;/item&gt;&lt;item&gt;231&lt;/item&gt;&lt;item&gt;232&lt;/item&gt;&lt;item&gt;233&lt;/item&gt;&lt;item&gt;234&lt;/item&gt;&lt;item&gt;235&lt;/item&gt;&lt;item&gt;236&lt;/item&gt;&lt;item&gt;237&lt;/item&gt;&lt;item&gt;238&lt;/item&gt;&lt;item&gt;239&lt;/item&gt;&lt;item&gt;240&lt;/item&gt;&lt;item&gt;241&lt;/item&gt;&lt;item&gt;242&lt;/item&gt;&lt;item&gt;243&lt;/item&gt;&lt;item&gt;244&lt;/item&gt;&lt;item&gt;245&lt;/item&gt;&lt;item&gt;246&lt;/item&gt;&lt;item&gt;247&lt;/item&gt;&lt;item&gt;248&lt;/item&gt;&lt;item&gt;249&lt;/item&gt;&lt;item&gt;250&lt;/item&gt;&lt;item&gt;251&lt;/item&gt;&lt;item&gt;252&lt;/item&gt;&lt;item&gt;253&lt;/item&gt;&lt;item&gt;254&lt;/item&gt;&lt;item&gt;255&lt;/item&gt;&lt;item&gt;256&lt;/item&gt;&lt;item&gt;257&lt;/item&gt;&lt;item&gt;258&lt;/item&gt;&lt;item&gt;259&lt;/item&gt;&lt;item&gt;260&lt;/item&gt;&lt;item&gt;261&lt;/item&gt;&lt;item&gt;262&lt;/item&gt;&lt;item&gt;263&lt;/item&gt;&lt;item&gt;264&lt;/item&gt;&lt;item&gt;265&lt;/item&gt;&lt;item&gt;266&lt;/item&gt;&lt;item&gt;267&lt;/item&gt;&lt;item&gt;268&lt;/item&gt;&lt;item&gt;269&lt;/item&gt;&lt;item&gt;270&lt;/item&gt;&lt;item&gt;271&lt;/item&gt;&lt;item&gt;272&lt;/item&gt;&lt;item&gt;273&lt;/item&gt;&lt;item&gt;274&lt;/item&gt;&lt;item&gt;275&lt;/item&gt;&lt;item&gt;276&lt;/item&gt;&lt;item&gt;277&lt;/item&gt;&lt;item&gt;278&lt;/item&gt;&lt;item&gt;279&lt;/item&gt;&lt;item&gt;280&lt;/item&gt;&lt;item&gt;281&lt;/item&gt;&lt;item&gt;282&lt;/item&gt;&lt;item&gt;283&lt;/item&gt;&lt;item&gt;284&lt;/item&gt;&lt;item&gt;285&lt;/item&gt;&lt;item&gt;286&lt;/item&gt;&lt;item&gt;287&lt;/item&gt;&lt;item&gt;288&lt;/item&gt;&lt;item&gt;289&lt;/item&gt;&lt;item&gt;290&lt;/item&gt;&lt;item&gt;291&lt;/item&gt;&lt;item&gt;292&lt;/item&gt;&lt;item&gt;293&lt;/item&gt;&lt;item&gt;294&lt;/item&gt;&lt;item&gt;295&lt;/item&gt;&lt;item&gt;296&lt;/item&gt;&lt;item&gt;297&lt;/item&gt;&lt;item&gt;298&lt;/item&gt;&lt;item&gt;299&lt;/item&gt;&lt;item&gt;300&lt;/item&gt;&lt;item&gt;301&lt;/item&gt;&lt;item&gt;302&lt;/item&gt;&lt;item&gt;303&lt;/item&gt;&lt;item&gt;304&lt;/item&gt;&lt;item&gt;305&lt;/item&gt;&lt;item&gt;306&lt;/item&gt;&lt;item&gt;307&lt;/item&gt;&lt;item&gt;308&lt;/item&gt;&lt;item&gt;309&lt;/item&gt;&lt;item&gt;310&lt;/item&gt;&lt;item&gt;311&lt;/item&gt;&lt;item&gt;312&lt;/item&gt;&lt;item&gt;313&lt;/item&gt;&lt;item&gt;314&lt;/item&gt;&lt;item&gt;315&lt;/item&gt;&lt;item&gt;316&lt;/item&gt;&lt;item&gt;317&lt;/item&gt;&lt;item&gt;318&lt;/item&gt;&lt;item&gt;319&lt;/item&gt;&lt;item&gt;320&lt;/item&gt;&lt;item&gt;321&lt;/item&gt;&lt;item&gt;322&lt;/item&gt;&lt;item&gt;323&lt;/item&gt;&lt;item&gt;324&lt;/item&gt;&lt;item&gt;325&lt;/item&gt;&lt;item&gt;326&lt;/item&gt;&lt;item&gt;327&lt;/item&gt;&lt;item&gt;328&lt;/item&gt;&lt;item&gt;329&lt;/item&gt;&lt;item&gt;330&lt;/item&gt;&lt;item&gt;331&lt;/item&gt;&lt;item&gt;332&lt;/item&gt;&lt;item&gt;333&lt;/item&gt;&lt;item&gt;334&lt;/item&gt;&lt;item&gt;335&lt;/item&gt;&lt;item&gt;336&lt;/item&gt;&lt;item&gt;337&lt;/item&gt;&lt;item&gt;338&lt;/item&gt;&lt;item&gt;339&lt;/item&gt;&lt;item&gt;340&lt;/item&gt;&lt;item&gt;341&lt;/item&gt;&lt;item&gt;342&lt;/item&gt;&lt;item&gt;343&lt;/item&gt;&lt;item&gt;344&lt;/item&gt;&lt;item&gt;345&lt;/item&gt;&lt;item&gt;346&lt;/item&gt;&lt;item&gt;347&lt;/item&gt;&lt;item&gt;348&lt;/item&gt;&lt;item&gt;349&lt;/item&gt;&lt;item&gt;350&lt;/item&gt;&lt;item&gt;351&lt;/item&gt;&lt;item&gt;352&lt;/item&gt;&lt;item&gt;353&lt;/item&gt;&lt;item&gt;354&lt;/item&gt;&lt;item&gt;355&lt;/item&gt;&lt;item&gt;356&lt;/item&gt;&lt;item&gt;357&lt;/item&gt;&lt;item&gt;358&lt;/item&gt;&lt;item&gt;359&lt;/item&gt;&lt;item&gt;360&lt;/item&gt;&lt;item&gt;361&lt;/item&gt;&lt;item&gt;362&lt;/item&gt;&lt;item&gt;363&lt;/item&gt;&lt;item&gt;364&lt;/item&gt;&lt;item&gt;365&lt;/item&gt;&lt;item&gt;366&lt;/item&gt;&lt;item&gt;367&lt;/item&gt;&lt;item&gt;368&lt;/item&gt;&lt;item&gt;369&lt;/item&gt;&lt;item&gt;370&lt;/item&gt;&lt;item&gt;371&lt;/item&gt;&lt;item&gt;372&lt;/item&gt;&lt;item&gt;373&lt;/item&gt;&lt;item&gt;374&lt;/item&gt;&lt;item&gt;375&lt;/item&gt;&lt;item&gt;376&lt;/item&gt;&lt;item&gt;377&lt;/item&gt;&lt;item&gt;378&lt;/item&gt;&lt;item&gt;379&lt;/item&gt;&lt;item&gt;380&lt;/item&gt;&lt;item&gt;381&lt;/item&gt;&lt;item&gt;382&lt;/item&gt;&lt;item&gt;383&lt;/item&gt;&lt;item&gt;384&lt;/item&gt;&lt;item&gt;385&lt;/item&gt;&lt;item&gt;386&lt;/item&gt;&lt;item&gt;387&lt;/item&gt;&lt;item&gt;388&lt;/item&gt;&lt;item&gt;389&lt;/item&gt;&lt;item&gt;390&lt;/item&gt;&lt;item&gt;391&lt;/item&gt;&lt;item&gt;392&lt;/item&gt;&lt;item&gt;393&lt;/item&gt;&lt;item&gt;394&lt;/item&gt;&lt;item&gt;395&lt;/item&gt;&lt;item&gt;396&lt;/item&gt;&lt;item&gt;397&lt;/item&gt;&lt;item&gt;398&lt;/item&gt;&lt;item&gt;399&lt;/item&gt;&lt;item&gt;400&lt;/item&gt;&lt;item&gt;401&lt;/item&gt;&lt;item&gt;402&lt;/item&gt;&lt;item&gt;403&lt;/item&gt;&lt;item&gt;404&lt;/item&gt;&lt;item&gt;405&lt;/item&gt;&lt;item&gt;406&lt;/item&gt;&lt;item&gt;407&lt;/item&gt;&lt;item&gt;408&lt;/item&gt;&lt;item&gt;409&lt;/item&gt;&lt;item&gt;410&lt;/item&gt;&lt;item&gt;411&lt;/item&gt;&lt;item&gt;412&lt;/item&gt;&lt;item&gt;413&lt;/item&gt;&lt;item&gt;414&lt;/item&gt;&lt;item&gt;415&lt;/item&gt;&lt;item&gt;416&lt;/item&gt;&lt;item&gt;417&lt;/item&gt;&lt;item&gt;418&lt;/item&gt;&lt;item&gt;419&lt;/item&gt;&lt;item&gt;420&lt;/item&gt;&lt;item&gt;421&lt;/item&gt;&lt;item&gt;422&lt;/item&gt;&lt;item&gt;423&lt;/item&gt;&lt;item&gt;424&lt;/item&gt;&lt;item&gt;425&lt;/item&gt;&lt;item&gt;426&lt;/item&gt;&lt;item&gt;427&lt;/item&gt;&lt;item&gt;428&lt;/item&gt;&lt;item&gt;429&lt;/item&gt;&lt;item&gt;430&lt;/item&gt;&lt;item&gt;431&lt;/item&gt;&lt;item&gt;432&lt;/item&gt;&lt;item&gt;433&lt;/item&gt;&lt;item&gt;434&lt;/item&gt;&lt;item&gt;435&lt;/item&gt;&lt;item&gt;436&lt;/item&gt;&lt;item&gt;437&lt;/item&gt;&lt;item&gt;438&lt;/item&gt;&lt;item&gt;439&lt;/item&gt;&lt;item&gt;440&lt;/item&gt;&lt;item&gt;441&lt;/item&gt;&lt;item&gt;442&lt;/item&gt;&lt;item&gt;443&lt;/item&gt;&lt;item&gt;444&lt;/item&gt;&lt;item&gt;445&lt;/item&gt;&lt;item&gt;446&lt;/item&gt;&lt;item&gt;447&lt;/item&gt;&lt;item&gt;448&lt;/item&gt;&lt;item&gt;449&lt;/item&gt;&lt;item&gt;450&lt;/item&gt;&lt;item&gt;451&lt;/item&gt;&lt;item&gt;452&lt;/item&gt;&lt;item&gt;453&lt;/item&gt;&lt;item&gt;454&lt;/item&gt;&lt;item&gt;455&lt;/item&gt;&lt;item&gt;456&lt;/item&gt;&lt;item&gt;457&lt;/item&gt;&lt;item&gt;458&lt;/item&gt;&lt;item&gt;459&lt;/item&gt;&lt;item&gt;460&lt;/item&gt;&lt;item&gt;461&lt;/item&gt;&lt;item&gt;462&lt;/item&gt;&lt;item&gt;463&lt;/item&gt;&lt;item&gt;464&lt;/item&gt;&lt;item&gt;465&lt;/item&gt;&lt;item&gt;466&lt;/item&gt;&lt;item&gt;467&lt;/item&gt;&lt;item&gt;468&lt;/item&gt;&lt;item&gt;469&lt;/item&gt;&lt;item&gt;470&lt;/item&gt;&lt;item&gt;471&lt;/item&gt;&lt;item&gt;472&lt;/item&gt;&lt;item&gt;473&lt;/item&gt;&lt;item&gt;474&lt;/item&gt;&lt;item&gt;475&lt;/item&gt;&lt;item&gt;476&lt;/item&gt;&lt;item&gt;477&lt;/item&gt;&lt;item&gt;478&lt;/item&gt;&lt;item&gt;479&lt;/item&gt;&lt;item&gt;480&lt;/item&gt;&lt;item&gt;481&lt;/item&gt;&lt;item&gt;482&lt;/item&gt;&lt;item&gt;483&lt;/item&gt;&lt;item&gt;484&lt;/item&gt;&lt;item&gt;485&lt;/item&gt;&lt;item&gt;486&lt;/item&gt;&lt;item&gt;487&lt;/item&gt;&lt;item&gt;488&lt;/item&gt;&lt;item&gt;489&lt;/item&gt;&lt;item&gt;490&lt;/item&gt;&lt;item&gt;491&lt;/item&gt;&lt;item&gt;492&lt;/item&gt;&lt;item&gt;493&lt;/item&gt;&lt;item&gt;494&lt;/item&gt;&lt;item&gt;495&lt;/item&gt;&lt;item&gt;496&lt;/item&gt;&lt;item&gt;497&lt;/item&gt;&lt;item&gt;498&lt;/item&gt;&lt;item&gt;499&lt;/item&gt;&lt;item&gt;500&lt;/item&gt;&lt;item&gt;501&lt;/item&gt;&lt;item&gt;502&lt;/item&gt;&lt;item&gt;503&lt;/item&gt;&lt;item&gt;504&lt;/item&gt;&lt;item&gt;505&lt;/item&gt;&lt;item&gt;506&lt;/item&gt;&lt;item&gt;507&lt;/item&gt;&lt;item&gt;508&lt;/item&gt;&lt;item&gt;509&lt;/item&gt;&lt;item&gt;510&lt;/item&gt;&lt;item&gt;511&lt;/item&gt;&lt;item&gt;512&lt;/item&gt;&lt;item&gt;513&lt;/item&gt;&lt;item&gt;514&lt;/item&gt;&lt;item&gt;515&lt;/item&gt;&lt;item&gt;516&lt;/item&gt;&lt;item&gt;517&lt;/item&gt;&lt;item&gt;518&lt;/item&gt;&lt;item&gt;519&lt;/item&gt;&lt;item&gt;520&lt;/item&gt;&lt;item&gt;521&lt;/item&gt;&lt;item&gt;522&lt;/item&gt;&lt;item&gt;523&lt;/item&gt;&lt;item&gt;524&lt;/item&gt;&lt;item&gt;525&lt;/item&gt;&lt;item&gt;526&lt;/item&gt;&lt;item&gt;527&lt;/item&gt;&lt;item&gt;528&lt;/item&gt;&lt;item&gt;529&lt;/item&gt;&lt;item&gt;530&lt;/item&gt;&lt;item&gt;531&lt;/item&gt;&lt;item&gt;532&lt;/item&gt;&lt;item&gt;533&lt;/item&gt;&lt;item&gt;534&lt;/item&gt;&lt;item&gt;535&lt;/item&gt;&lt;item&gt;536&lt;/item&gt;&lt;item&gt;537&lt;/item&gt;&lt;item&gt;538&lt;/item&gt;&lt;item&gt;539&lt;/item&gt;&lt;item&gt;540&lt;/item&gt;&lt;item&gt;541&lt;/item&gt;&lt;item&gt;542&lt;/item&gt;&lt;item&gt;543&lt;/item&gt;&lt;item&gt;544&lt;/item&gt;&lt;item&gt;545&lt;/item&gt;&lt;item&gt;546&lt;/item&gt;&lt;item&gt;547&lt;/item&gt;&lt;/record-ids&gt;&lt;/item&gt;&lt;/Libraries&gt;"/>
    <w:docVar w:name="EN.UseJSCitationFormat" w:val="False"/>
  </w:docVars>
  <w:rsids>
    <w:rsidRoot w:val="00204D0E"/>
    <w:rsid w:val="0000076B"/>
    <w:rsid w:val="0000352D"/>
    <w:rsid w:val="00004F91"/>
    <w:rsid w:val="000110AD"/>
    <w:rsid w:val="000115F8"/>
    <w:rsid w:val="00013D7A"/>
    <w:rsid w:val="000153FE"/>
    <w:rsid w:val="000157B5"/>
    <w:rsid w:val="00015AE1"/>
    <w:rsid w:val="000206E0"/>
    <w:rsid w:val="000207C4"/>
    <w:rsid w:val="000231C1"/>
    <w:rsid w:val="000317BE"/>
    <w:rsid w:val="00033C83"/>
    <w:rsid w:val="00033DA4"/>
    <w:rsid w:val="00034159"/>
    <w:rsid w:val="00036E20"/>
    <w:rsid w:val="00037630"/>
    <w:rsid w:val="00040475"/>
    <w:rsid w:val="00040A97"/>
    <w:rsid w:val="0004260B"/>
    <w:rsid w:val="00042D3F"/>
    <w:rsid w:val="000433FB"/>
    <w:rsid w:val="00043626"/>
    <w:rsid w:val="00044BFD"/>
    <w:rsid w:val="00044D2C"/>
    <w:rsid w:val="00056FDD"/>
    <w:rsid w:val="00070628"/>
    <w:rsid w:val="000738F2"/>
    <w:rsid w:val="000753D9"/>
    <w:rsid w:val="000757AA"/>
    <w:rsid w:val="000767A7"/>
    <w:rsid w:val="00083336"/>
    <w:rsid w:val="000849A5"/>
    <w:rsid w:val="00091697"/>
    <w:rsid w:val="00091C49"/>
    <w:rsid w:val="00093123"/>
    <w:rsid w:val="00094722"/>
    <w:rsid w:val="00095301"/>
    <w:rsid w:val="000A1DC0"/>
    <w:rsid w:val="000A420D"/>
    <w:rsid w:val="000A5154"/>
    <w:rsid w:val="000A700A"/>
    <w:rsid w:val="000B3862"/>
    <w:rsid w:val="000B59AF"/>
    <w:rsid w:val="000B5BB6"/>
    <w:rsid w:val="000B7BA7"/>
    <w:rsid w:val="000C0049"/>
    <w:rsid w:val="000C4805"/>
    <w:rsid w:val="000D49C1"/>
    <w:rsid w:val="000D53F8"/>
    <w:rsid w:val="000D740E"/>
    <w:rsid w:val="000E0EFA"/>
    <w:rsid w:val="000E375E"/>
    <w:rsid w:val="000E44EE"/>
    <w:rsid w:val="000F380B"/>
    <w:rsid w:val="000F4A43"/>
    <w:rsid w:val="000F6942"/>
    <w:rsid w:val="00102A18"/>
    <w:rsid w:val="00102CDB"/>
    <w:rsid w:val="001039F2"/>
    <w:rsid w:val="001138D2"/>
    <w:rsid w:val="001146A2"/>
    <w:rsid w:val="00115AD1"/>
    <w:rsid w:val="00121F5F"/>
    <w:rsid w:val="001252AF"/>
    <w:rsid w:val="0013023C"/>
    <w:rsid w:val="0013432D"/>
    <w:rsid w:val="00136F9A"/>
    <w:rsid w:val="00137A1C"/>
    <w:rsid w:val="00144CFD"/>
    <w:rsid w:val="00150EE5"/>
    <w:rsid w:val="00151290"/>
    <w:rsid w:val="00152436"/>
    <w:rsid w:val="00156586"/>
    <w:rsid w:val="00156856"/>
    <w:rsid w:val="001647C7"/>
    <w:rsid w:val="00172C2C"/>
    <w:rsid w:val="00175B9B"/>
    <w:rsid w:val="00180230"/>
    <w:rsid w:val="00182ADC"/>
    <w:rsid w:val="00185B66"/>
    <w:rsid w:val="00192EDF"/>
    <w:rsid w:val="00193D37"/>
    <w:rsid w:val="00196F7B"/>
    <w:rsid w:val="00197DF9"/>
    <w:rsid w:val="001A246F"/>
    <w:rsid w:val="001A3853"/>
    <w:rsid w:val="001A5F62"/>
    <w:rsid w:val="001A79BA"/>
    <w:rsid w:val="001B135E"/>
    <w:rsid w:val="001B368F"/>
    <w:rsid w:val="001B6CC9"/>
    <w:rsid w:val="001C1AC5"/>
    <w:rsid w:val="001D6442"/>
    <w:rsid w:val="001D7217"/>
    <w:rsid w:val="001E26EC"/>
    <w:rsid w:val="001E4B57"/>
    <w:rsid w:val="001E4DE0"/>
    <w:rsid w:val="001E6C1E"/>
    <w:rsid w:val="001F280C"/>
    <w:rsid w:val="001F3191"/>
    <w:rsid w:val="001F3796"/>
    <w:rsid w:val="001F447C"/>
    <w:rsid w:val="0020105C"/>
    <w:rsid w:val="00204A43"/>
    <w:rsid w:val="00204D0E"/>
    <w:rsid w:val="0020572A"/>
    <w:rsid w:val="002102C6"/>
    <w:rsid w:val="00213636"/>
    <w:rsid w:val="0021471C"/>
    <w:rsid w:val="00221826"/>
    <w:rsid w:val="002225C6"/>
    <w:rsid w:val="00223FC8"/>
    <w:rsid w:val="002240E6"/>
    <w:rsid w:val="00224889"/>
    <w:rsid w:val="002365F5"/>
    <w:rsid w:val="00240390"/>
    <w:rsid w:val="002437E6"/>
    <w:rsid w:val="00245749"/>
    <w:rsid w:val="00245F0C"/>
    <w:rsid w:val="00256D49"/>
    <w:rsid w:val="0027230E"/>
    <w:rsid w:val="0028037F"/>
    <w:rsid w:val="00280BBA"/>
    <w:rsid w:val="002818A4"/>
    <w:rsid w:val="00282227"/>
    <w:rsid w:val="002839EF"/>
    <w:rsid w:val="0028404B"/>
    <w:rsid w:val="00284939"/>
    <w:rsid w:val="00290514"/>
    <w:rsid w:val="00295B63"/>
    <w:rsid w:val="002965C9"/>
    <w:rsid w:val="00296758"/>
    <w:rsid w:val="00296E17"/>
    <w:rsid w:val="002A09AD"/>
    <w:rsid w:val="002A338C"/>
    <w:rsid w:val="002A4E9D"/>
    <w:rsid w:val="002A5532"/>
    <w:rsid w:val="002B11F5"/>
    <w:rsid w:val="002B1EC7"/>
    <w:rsid w:val="002B49B3"/>
    <w:rsid w:val="002B6362"/>
    <w:rsid w:val="002B7CE4"/>
    <w:rsid w:val="002C3D49"/>
    <w:rsid w:val="002C4303"/>
    <w:rsid w:val="002C462C"/>
    <w:rsid w:val="002C4712"/>
    <w:rsid w:val="002D428E"/>
    <w:rsid w:val="002D664C"/>
    <w:rsid w:val="002E34F3"/>
    <w:rsid w:val="002E3C4D"/>
    <w:rsid w:val="002E44D4"/>
    <w:rsid w:val="002F1D88"/>
    <w:rsid w:val="002F2099"/>
    <w:rsid w:val="002F2CCE"/>
    <w:rsid w:val="00300AC1"/>
    <w:rsid w:val="00304BE2"/>
    <w:rsid w:val="00314A2E"/>
    <w:rsid w:val="00317CF1"/>
    <w:rsid w:val="00320274"/>
    <w:rsid w:val="0032391A"/>
    <w:rsid w:val="003255C0"/>
    <w:rsid w:val="00332C3F"/>
    <w:rsid w:val="00333D70"/>
    <w:rsid w:val="003416CC"/>
    <w:rsid w:val="003428B1"/>
    <w:rsid w:val="003451D6"/>
    <w:rsid w:val="00345783"/>
    <w:rsid w:val="0034659F"/>
    <w:rsid w:val="003467F6"/>
    <w:rsid w:val="003501B7"/>
    <w:rsid w:val="00361EDC"/>
    <w:rsid w:val="003628A2"/>
    <w:rsid w:val="00362A71"/>
    <w:rsid w:val="00362F80"/>
    <w:rsid w:val="00366CEB"/>
    <w:rsid w:val="00367929"/>
    <w:rsid w:val="003707FF"/>
    <w:rsid w:val="00371A27"/>
    <w:rsid w:val="00383E45"/>
    <w:rsid w:val="00386F81"/>
    <w:rsid w:val="00387A35"/>
    <w:rsid w:val="00390E8E"/>
    <w:rsid w:val="00391036"/>
    <w:rsid w:val="00392521"/>
    <w:rsid w:val="00394327"/>
    <w:rsid w:val="00395D71"/>
    <w:rsid w:val="00396EA0"/>
    <w:rsid w:val="00397142"/>
    <w:rsid w:val="0039761C"/>
    <w:rsid w:val="00397759"/>
    <w:rsid w:val="003A2757"/>
    <w:rsid w:val="003A4C8A"/>
    <w:rsid w:val="003A5762"/>
    <w:rsid w:val="003A6E3E"/>
    <w:rsid w:val="003A737C"/>
    <w:rsid w:val="003A7544"/>
    <w:rsid w:val="003B1308"/>
    <w:rsid w:val="003B2106"/>
    <w:rsid w:val="003B25E3"/>
    <w:rsid w:val="003B2EFC"/>
    <w:rsid w:val="003B6E8D"/>
    <w:rsid w:val="003B7F63"/>
    <w:rsid w:val="003C1A89"/>
    <w:rsid w:val="003C42F5"/>
    <w:rsid w:val="003D143F"/>
    <w:rsid w:val="003D306B"/>
    <w:rsid w:val="003D5B36"/>
    <w:rsid w:val="003D5DF0"/>
    <w:rsid w:val="003D5F44"/>
    <w:rsid w:val="003D7CD7"/>
    <w:rsid w:val="003E273F"/>
    <w:rsid w:val="003F12A9"/>
    <w:rsid w:val="003F2E5D"/>
    <w:rsid w:val="003F38A1"/>
    <w:rsid w:val="003F4332"/>
    <w:rsid w:val="004052D0"/>
    <w:rsid w:val="00412DBC"/>
    <w:rsid w:val="004214C4"/>
    <w:rsid w:val="00423A87"/>
    <w:rsid w:val="00425256"/>
    <w:rsid w:val="00426021"/>
    <w:rsid w:val="004265D2"/>
    <w:rsid w:val="00430773"/>
    <w:rsid w:val="00430777"/>
    <w:rsid w:val="00430A30"/>
    <w:rsid w:val="00432104"/>
    <w:rsid w:val="00436C0A"/>
    <w:rsid w:val="004371FF"/>
    <w:rsid w:val="00441361"/>
    <w:rsid w:val="0044363C"/>
    <w:rsid w:val="00446FB4"/>
    <w:rsid w:val="00450C10"/>
    <w:rsid w:val="00450C21"/>
    <w:rsid w:val="00452FAA"/>
    <w:rsid w:val="0045303C"/>
    <w:rsid w:val="00453BB8"/>
    <w:rsid w:val="00453DF5"/>
    <w:rsid w:val="00453F92"/>
    <w:rsid w:val="00454703"/>
    <w:rsid w:val="0045783A"/>
    <w:rsid w:val="0047001C"/>
    <w:rsid w:val="00470156"/>
    <w:rsid w:val="00482AB6"/>
    <w:rsid w:val="00486DE9"/>
    <w:rsid w:val="004939C4"/>
    <w:rsid w:val="004950D9"/>
    <w:rsid w:val="00495FF0"/>
    <w:rsid w:val="004A01B0"/>
    <w:rsid w:val="004A20CD"/>
    <w:rsid w:val="004A3211"/>
    <w:rsid w:val="004A5D45"/>
    <w:rsid w:val="004A6FE9"/>
    <w:rsid w:val="004B1347"/>
    <w:rsid w:val="004B307E"/>
    <w:rsid w:val="004B35B6"/>
    <w:rsid w:val="004D0493"/>
    <w:rsid w:val="004D205B"/>
    <w:rsid w:val="004D560C"/>
    <w:rsid w:val="004D63C9"/>
    <w:rsid w:val="004D7F67"/>
    <w:rsid w:val="004E2316"/>
    <w:rsid w:val="004E483C"/>
    <w:rsid w:val="004E52D7"/>
    <w:rsid w:val="004E591A"/>
    <w:rsid w:val="004E704E"/>
    <w:rsid w:val="004F0124"/>
    <w:rsid w:val="004F196E"/>
    <w:rsid w:val="004F30CB"/>
    <w:rsid w:val="004F5F82"/>
    <w:rsid w:val="00503458"/>
    <w:rsid w:val="00504A04"/>
    <w:rsid w:val="0050726F"/>
    <w:rsid w:val="00510E35"/>
    <w:rsid w:val="00512B20"/>
    <w:rsid w:val="005162CA"/>
    <w:rsid w:val="005217F8"/>
    <w:rsid w:val="005233ED"/>
    <w:rsid w:val="00524C22"/>
    <w:rsid w:val="00526861"/>
    <w:rsid w:val="00526900"/>
    <w:rsid w:val="0052759F"/>
    <w:rsid w:val="005327A1"/>
    <w:rsid w:val="005332D7"/>
    <w:rsid w:val="00533BAB"/>
    <w:rsid w:val="0053450A"/>
    <w:rsid w:val="0053499F"/>
    <w:rsid w:val="0053698D"/>
    <w:rsid w:val="00536CF0"/>
    <w:rsid w:val="0054349E"/>
    <w:rsid w:val="00544891"/>
    <w:rsid w:val="0054524A"/>
    <w:rsid w:val="00547248"/>
    <w:rsid w:val="00562573"/>
    <w:rsid w:val="00563E97"/>
    <w:rsid w:val="00566475"/>
    <w:rsid w:val="00571EDD"/>
    <w:rsid w:val="0057247E"/>
    <w:rsid w:val="00572C77"/>
    <w:rsid w:val="0057370C"/>
    <w:rsid w:val="00576F8E"/>
    <w:rsid w:val="00577291"/>
    <w:rsid w:val="0058757C"/>
    <w:rsid w:val="00591B2E"/>
    <w:rsid w:val="00593EE9"/>
    <w:rsid w:val="0059451E"/>
    <w:rsid w:val="00594FAE"/>
    <w:rsid w:val="00595128"/>
    <w:rsid w:val="005965DD"/>
    <w:rsid w:val="005A2261"/>
    <w:rsid w:val="005A3CD7"/>
    <w:rsid w:val="005A4235"/>
    <w:rsid w:val="005A578B"/>
    <w:rsid w:val="005A615F"/>
    <w:rsid w:val="005A62EF"/>
    <w:rsid w:val="005B0C96"/>
    <w:rsid w:val="005B5CDE"/>
    <w:rsid w:val="005B5E62"/>
    <w:rsid w:val="005B7166"/>
    <w:rsid w:val="005C0429"/>
    <w:rsid w:val="005C7322"/>
    <w:rsid w:val="005C74B4"/>
    <w:rsid w:val="005D1730"/>
    <w:rsid w:val="005D5A2A"/>
    <w:rsid w:val="005E0A1C"/>
    <w:rsid w:val="005E75C4"/>
    <w:rsid w:val="005F3A2E"/>
    <w:rsid w:val="005F3E0D"/>
    <w:rsid w:val="005F79C2"/>
    <w:rsid w:val="006006AB"/>
    <w:rsid w:val="00605198"/>
    <w:rsid w:val="006147EE"/>
    <w:rsid w:val="00616582"/>
    <w:rsid w:val="006167E9"/>
    <w:rsid w:val="006171E1"/>
    <w:rsid w:val="0062188F"/>
    <w:rsid w:val="00622633"/>
    <w:rsid w:val="00627A21"/>
    <w:rsid w:val="00637F6E"/>
    <w:rsid w:val="00640AF9"/>
    <w:rsid w:val="0064100C"/>
    <w:rsid w:val="0065312C"/>
    <w:rsid w:val="006567E9"/>
    <w:rsid w:val="00657190"/>
    <w:rsid w:val="00660594"/>
    <w:rsid w:val="00663F98"/>
    <w:rsid w:val="00664E93"/>
    <w:rsid w:val="00665E08"/>
    <w:rsid w:val="0067206B"/>
    <w:rsid w:val="00672CE6"/>
    <w:rsid w:val="006743A6"/>
    <w:rsid w:val="0067466D"/>
    <w:rsid w:val="006812B8"/>
    <w:rsid w:val="00691887"/>
    <w:rsid w:val="006925EF"/>
    <w:rsid w:val="00693BBF"/>
    <w:rsid w:val="00695E23"/>
    <w:rsid w:val="00696E6A"/>
    <w:rsid w:val="0069746F"/>
    <w:rsid w:val="00697C16"/>
    <w:rsid w:val="006A09A1"/>
    <w:rsid w:val="006A1477"/>
    <w:rsid w:val="006A2F78"/>
    <w:rsid w:val="006A6755"/>
    <w:rsid w:val="006A7B38"/>
    <w:rsid w:val="006B4598"/>
    <w:rsid w:val="006C1C9C"/>
    <w:rsid w:val="006C26E0"/>
    <w:rsid w:val="006C2A29"/>
    <w:rsid w:val="006C7451"/>
    <w:rsid w:val="006C7B4D"/>
    <w:rsid w:val="006E1CDF"/>
    <w:rsid w:val="006E414D"/>
    <w:rsid w:val="006E7C22"/>
    <w:rsid w:val="006F43C6"/>
    <w:rsid w:val="006F7514"/>
    <w:rsid w:val="007017C4"/>
    <w:rsid w:val="007017CE"/>
    <w:rsid w:val="00704C0E"/>
    <w:rsid w:val="007050EF"/>
    <w:rsid w:val="00705F6E"/>
    <w:rsid w:val="007068F1"/>
    <w:rsid w:val="00713258"/>
    <w:rsid w:val="00713576"/>
    <w:rsid w:val="00714B48"/>
    <w:rsid w:val="007163C4"/>
    <w:rsid w:val="00716A66"/>
    <w:rsid w:val="00723BD4"/>
    <w:rsid w:val="00727A30"/>
    <w:rsid w:val="0073546E"/>
    <w:rsid w:val="00735597"/>
    <w:rsid w:val="00736246"/>
    <w:rsid w:val="00737934"/>
    <w:rsid w:val="007431FA"/>
    <w:rsid w:val="007442B8"/>
    <w:rsid w:val="007530EB"/>
    <w:rsid w:val="00754C9E"/>
    <w:rsid w:val="007552D5"/>
    <w:rsid w:val="00757295"/>
    <w:rsid w:val="007579F0"/>
    <w:rsid w:val="00774BA5"/>
    <w:rsid w:val="007773A6"/>
    <w:rsid w:val="00780634"/>
    <w:rsid w:val="007856F2"/>
    <w:rsid w:val="00787C26"/>
    <w:rsid w:val="00793909"/>
    <w:rsid w:val="00794428"/>
    <w:rsid w:val="007A1750"/>
    <w:rsid w:val="007A650E"/>
    <w:rsid w:val="007C1622"/>
    <w:rsid w:val="007C2D5F"/>
    <w:rsid w:val="007C5D34"/>
    <w:rsid w:val="007C6BBE"/>
    <w:rsid w:val="007C7CBE"/>
    <w:rsid w:val="007D21AB"/>
    <w:rsid w:val="007D359D"/>
    <w:rsid w:val="007D6E11"/>
    <w:rsid w:val="007D7260"/>
    <w:rsid w:val="007D7D67"/>
    <w:rsid w:val="007E02BC"/>
    <w:rsid w:val="007E41FE"/>
    <w:rsid w:val="007E4953"/>
    <w:rsid w:val="007E724A"/>
    <w:rsid w:val="00811C77"/>
    <w:rsid w:val="0081202B"/>
    <w:rsid w:val="00814AA3"/>
    <w:rsid w:val="00816450"/>
    <w:rsid w:val="00817273"/>
    <w:rsid w:val="00817356"/>
    <w:rsid w:val="00817A4B"/>
    <w:rsid w:val="008247ED"/>
    <w:rsid w:val="00824EAF"/>
    <w:rsid w:val="00830088"/>
    <w:rsid w:val="00832652"/>
    <w:rsid w:val="00832B1B"/>
    <w:rsid w:val="008333D5"/>
    <w:rsid w:val="00836040"/>
    <w:rsid w:val="00836761"/>
    <w:rsid w:val="00840D5F"/>
    <w:rsid w:val="00842E27"/>
    <w:rsid w:val="008475C5"/>
    <w:rsid w:val="00852B7E"/>
    <w:rsid w:val="00854B25"/>
    <w:rsid w:val="0085578A"/>
    <w:rsid w:val="00855F36"/>
    <w:rsid w:val="00857D82"/>
    <w:rsid w:val="00867015"/>
    <w:rsid w:val="00870CFE"/>
    <w:rsid w:val="00870DC3"/>
    <w:rsid w:val="00871155"/>
    <w:rsid w:val="00871852"/>
    <w:rsid w:val="008739CC"/>
    <w:rsid w:val="00873F21"/>
    <w:rsid w:val="008749D8"/>
    <w:rsid w:val="00877DFC"/>
    <w:rsid w:val="00883C93"/>
    <w:rsid w:val="008866C0"/>
    <w:rsid w:val="00886953"/>
    <w:rsid w:val="008870C7"/>
    <w:rsid w:val="00890084"/>
    <w:rsid w:val="008923BD"/>
    <w:rsid w:val="0089374C"/>
    <w:rsid w:val="008937EC"/>
    <w:rsid w:val="008949D9"/>
    <w:rsid w:val="008953F9"/>
    <w:rsid w:val="008A3CE3"/>
    <w:rsid w:val="008A4E64"/>
    <w:rsid w:val="008A6D06"/>
    <w:rsid w:val="008A6D5D"/>
    <w:rsid w:val="008A6FEE"/>
    <w:rsid w:val="008B5A72"/>
    <w:rsid w:val="008B5B0E"/>
    <w:rsid w:val="008C4356"/>
    <w:rsid w:val="008C565B"/>
    <w:rsid w:val="008D0436"/>
    <w:rsid w:val="008D08E9"/>
    <w:rsid w:val="008D5367"/>
    <w:rsid w:val="008D5F96"/>
    <w:rsid w:val="008D61E4"/>
    <w:rsid w:val="008D71F3"/>
    <w:rsid w:val="008E62C9"/>
    <w:rsid w:val="008F23FC"/>
    <w:rsid w:val="008F3343"/>
    <w:rsid w:val="008F6205"/>
    <w:rsid w:val="008F695C"/>
    <w:rsid w:val="00900D60"/>
    <w:rsid w:val="009058BE"/>
    <w:rsid w:val="00912480"/>
    <w:rsid w:val="00913D0E"/>
    <w:rsid w:val="00916560"/>
    <w:rsid w:val="00916833"/>
    <w:rsid w:val="0092034D"/>
    <w:rsid w:val="00920485"/>
    <w:rsid w:val="00920F25"/>
    <w:rsid w:val="009276D4"/>
    <w:rsid w:val="0093072D"/>
    <w:rsid w:val="009315A4"/>
    <w:rsid w:val="00932A2C"/>
    <w:rsid w:val="00934192"/>
    <w:rsid w:val="009356F0"/>
    <w:rsid w:val="009359BF"/>
    <w:rsid w:val="009360A3"/>
    <w:rsid w:val="00944D77"/>
    <w:rsid w:val="00946A2E"/>
    <w:rsid w:val="009475C3"/>
    <w:rsid w:val="009513F7"/>
    <w:rsid w:val="00952677"/>
    <w:rsid w:val="00954EF6"/>
    <w:rsid w:val="0095693A"/>
    <w:rsid w:val="00957EC6"/>
    <w:rsid w:val="00964708"/>
    <w:rsid w:val="00964F76"/>
    <w:rsid w:val="00965216"/>
    <w:rsid w:val="00967BAD"/>
    <w:rsid w:val="00967BD6"/>
    <w:rsid w:val="00970876"/>
    <w:rsid w:val="009751A7"/>
    <w:rsid w:val="00981E9F"/>
    <w:rsid w:val="0098295F"/>
    <w:rsid w:val="009829BB"/>
    <w:rsid w:val="00982D2D"/>
    <w:rsid w:val="00984902"/>
    <w:rsid w:val="00984BC5"/>
    <w:rsid w:val="00990E57"/>
    <w:rsid w:val="00991A67"/>
    <w:rsid w:val="00992662"/>
    <w:rsid w:val="009A2DD2"/>
    <w:rsid w:val="009A7A69"/>
    <w:rsid w:val="009B3D41"/>
    <w:rsid w:val="009B4BC9"/>
    <w:rsid w:val="009B6227"/>
    <w:rsid w:val="009C10E1"/>
    <w:rsid w:val="009C19D9"/>
    <w:rsid w:val="009C1A10"/>
    <w:rsid w:val="009C5407"/>
    <w:rsid w:val="009C5E40"/>
    <w:rsid w:val="009D1006"/>
    <w:rsid w:val="009D62A3"/>
    <w:rsid w:val="009E1477"/>
    <w:rsid w:val="009E2B22"/>
    <w:rsid w:val="009F6662"/>
    <w:rsid w:val="009F6E22"/>
    <w:rsid w:val="00A07C68"/>
    <w:rsid w:val="00A101DA"/>
    <w:rsid w:val="00A120EB"/>
    <w:rsid w:val="00A1451C"/>
    <w:rsid w:val="00A1468B"/>
    <w:rsid w:val="00A14953"/>
    <w:rsid w:val="00A2276C"/>
    <w:rsid w:val="00A22F76"/>
    <w:rsid w:val="00A332BF"/>
    <w:rsid w:val="00A34C0A"/>
    <w:rsid w:val="00A40D9D"/>
    <w:rsid w:val="00A41350"/>
    <w:rsid w:val="00A41B5A"/>
    <w:rsid w:val="00A436DC"/>
    <w:rsid w:val="00A44DA8"/>
    <w:rsid w:val="00A54286"/>
    <w:rsid w:val="00A54921"/>
    <w:rsid w:val="00A6237B"/>
    <w:rsid w:val="00A65FB3"/>
    <w:rsid w:val="00A66779"/>
    <w:rsid w:val="00A73C79"/>
    <w:rsid w:val="00A75396"/>
    <w:rsid w:val="00A9014F"/>
    <w:rsid w:val="00A9023B"/>
    <w:rsid w:val="00A90304"/>
    <w:rsid w:val="00A9239C"/>
    <w:rsid w:val="00A95AD4"/>
    <w:rsid w:val="00AA1AFF"/>
    <w:rsid w:val="00AA301A"/>
    <w:rsid w:val="00AB5CEB"/>
    <w:rsid w:val="00AB61EB"/>
    <w:rsid w:val="00AC4DA9"/>
    <w:rsid w:val="00AC6EC5"/>
    <w:rsid w:val="00AC778F"/>
    <w:rsid w:val="00AD1CD2"/>
    <w:rsid w:val="00AD36A7"/>
    <w:rsid w:val="00AD4CB6"/>
    <w:rsid w:val="00AD54F9"/>
    <w:rsid w:val="00AD7298"/>
    <w:rsid w:val="00AE3115"/>
    <w:rsid w:val="00AE31BB"/>
    <w:rsid w:val="00AE4569"/>
    <w:rsid w:val="00AE4CDE"/>
    <w:rsid w:val="00AE721F"/>
    <w:rsid w:val="00AF126A"/>
    <w:rsid w:val="00AF3CEE"/>
    <w:rsid w:val="00AF449D"/>
    <w:rsid w:val="00AF7EBA"/>
    <w:rsid w:val="00B026CA"/>
    <w:rsid w:val="00B04621"/>
    <w:rsid w:val="00B054E7"/>
    <w:rsid w:val="00B07839"/>
    <w:rsid w:val="00B104C4"/>
    <w:rsid w:val="00B10ED7"/>
    <w:rsid w:val="00B11007"/>
    <w:rsid w:val="00B119D3"/>
    <w:rsid w:val="00B125E1"/>
    <w:rsid w:val="00B13149"/>
    <w:rsid w:val="00B159E4"/>
    <w:rsid w:val="00B17A80"/>
    <w:rsid w:val="00B212CE"/>
    <w:rsid w:val="00B21A6B"/>
    <w:rsid w:val="00B224D8"/>
    <w:rsid w:val="00B25882"/>
    <w:rsid w:val="00B2617E"/>
    <w:rsid w:val="00B30620"/>
    <w:rsid w:val="00B312CB"/>
    <w:rsid w:val="00B315C5"/>
    <w:rsid w:val="00B33C04"/>
    <w:rsid w:val="00B4084C"/>
    <w:rsid w:val="00B41E9B"/>
    <w:rsid w:val="00B43F1C"/>
    <w:rsid w:val="00B471BD"/>
    <w:rsid w:val="00B476D9"/>
    <w:rsid w:val="00B47883"/>
    <w:rsid w:val="00B51AB1"/>
    <w:rsid w:val="00B52708"/>
    <w:rsid w:val="00B52987"/>
    <w:rsid w:val="00B52A4E"/>
    <w:rsid w:val="00B55191"/>
    <w:rsid w:val="00B561EE"/>
    <w:rsid w:val="00B56C31"/>
    <w:rsid w:val="00B64CA3"/>
    <w:rsid w:val="00B66A6B"/>
    <w:rsid w:val="00B701B0"/>
    <w:rsid w:val="00B7319C"/>
    <w:rsid w:val="00B77FC3"/>
    <w:rsid w:val="00B80B41"/>
    <w:rsid w:val="00B80BA8"/>
    <w:rsid w:val="00B81519"/>
    <w:rsid w:val="00B91CD5"/>
    <w:rsid w:val="00B93343"/>
    <w:rsid w:val="00B941E2"/>
    <w:rsid w:val="00BA0A8B"/>
    <w:rsid w:val="00BA110E"/>
    <w:rsid w:val="00BA3C79"/>
    <w:rsid w:val="00BB353B"/>
    <w:rsid w:val="00BB4B13"/>
    <w:rsid w:val="00BC0730"/>
    <w:rsid w:val="00BC2BC3"/>
    <w:rsid w:val="00BC7855"/>
    <w:rsid w:val="00BC7D1F"/>
    <w:rsid w:val="00BD09A5"/>
    <w:rsid w:val="00BD17A3"/>
    <w:rsid w:val="00BD4094"/>
    <w:rsid w:val="00BD62DB"/>
    <w:rsid w:val="00BD7A89"/>
    <w:rsid w:val="00BE00EB"/>
    <w:rsid w:val="00BE400F"/>
    <w:rsid w:val="00BE731E"/>
    <w:rsid w:val="00BF0215"/>
    <w:rsid w:val="00BF04B1"/>
    <w:rsid w:val="00BF23A7"/>
    <w:rsid w:val="00BF3A65"/>
    <w:rsid w:val="00BF74B5"/>
    <w:rsid w:val="00BF7BCD"/>
    <w:rsid w:val="00C05100"/>
    <w:rsid w:val="00C05449"/>
    <w:rsid w:val="00C06A43"/>
    <w:rsid w:val="00C1339A"/>
    <w:rsid w:val="00C1513F"/>
    <w:rsid w:val="00C215F2"/>
    <w:rsid w:val="00C22C43"/>
    <w:rsid w:val="00C242CD"/>
    <w:rsid w:val="00C25A8E"/>
    <w:rsid w:val="00C2675A"/>
    <w:rsid w:val="00C32B91"/>
    <w:rsid w:val="00C33518"/>
    <w:rsid w:val="00C34936"/>
    <w:rsid w:val="00C36C6D"/>
    <w:rsid w:val="00C37783"/>
    <w:rsid w:val="00C544E9"/>
    <w:rsid w:val="00C55BC3"/>
    <w:rsid w:val="00C567DC"/>
    <w:rsid w:val="00C62EC9"/>
    <w:rsid w:val="00C70CF0"/>
    <w:rsid w:val="00C72162"/>
    <w:rsid w:val="00C723A8"/>
    <w:rsid w:val="00C80B22"/>
    <w:rsid w:val="00C856D2"/>
    <w:rsid w:val="00C87376"/>
    <w:rsid w:val="00C87FF4"/>
    <w:rsid w:val="00C90528"/>
    <w:rsid w:val="00C90EBD"/>
    <w:rsid w:val="00C92967"/>
    <w:rsid w:val="00CA0441"/>
    <w:rsid w:val="00CA0C0E"/>
    <w:rsid w:val="00CA0E04"/>
    <w:rsid w:val="00CA2594"/>
    <w:rsid w:val="00CB0F3B"/>
    <w:rsid w:val="00CB14CD"/>
    <w:rsid w:val="00CB2810"/>
    <w:rsid w:val="00CB2E93"/>
    <w:rsid w:val="00CB4D04"/>
    <w:rsid w:val="00CB564F"/>
    <w:rsid w:val="00CB6942"/>
    <w:rsid w:val="00CC00E0"/>
    <w:rsid w:val="00CC3DCC"/>
    <w:rsid w:val="00CC4D35"/>
    <w:rsid w:val="00CD2159"/>
    <w:rsid w:val="00CD2CB6"/>
    <w:rsid w:val="00CD3982"/>
    <w:rsid w:val="00CD5739"/>
    <w:rsid w:val="00CD66B0"/>
    <w:rsid w:val="00CD7EE4"/>
    <w:rsid w:val="00CE28AE"/>
    <w:rsid w:val="00CE5D5D"/>
    <w:rsid w:val="00CE6CAF"/>
    <w:rsid w:val="00CF0DF7"/>
    <w:rsid w:val="00CF1234"/>
    <w:rsid w:val="00CF1880"/>
    <w:rsid w:val="00CF44DF"/>
    <w:rsid w:val="00CF52AD"/>
    <w:rsid w:val="00CF64BD"/>
    <w:rsid w:val="00D0065F"/>
    <w:rsid w:val="00D02A83"/>
    <w:rsid w:val="00D04E9B"/>
    <w:rsid w:val="00D119C5"/>
    <w:rsid w:val="00D123C4"/>
    <w:rsid w:val="00D147E5"/>
    <w:rsid w:val="00D23E0D"/>
    <w:rsid w:val="00D23FC9"/>
    <w:rsid w:val="00D27524"/>
    <w:rsid w:val="00D30783"/>
    <w:rsid w:val="00D34093"/>
    <w:rsid w:val="00D40731"/>
    <w:rsid w:val="00D40B06"/>
    <w:rsid w:val="00D41128"/>
    <w:rsid w:val="00D44C4C"/>
    <w:rsid w:val="00D53827"/>
    <w:rsid w:val="00D54149"/>
    <w:rsid w:val="00D54B7E"/>
    <w:rsid w:val="00D56EDF"/>
    <w:rsid w:val="00D636C0"/>
    <w:rsid w:val="00D655E5"/>
    <w:rsid w:val="00D72296"/>
    <w:rsid w:val="00D77FCD"/>
    <w:rsid w:val="00D80415"/>
    <w:rsid w:val="00D813D8"/>
    <w:rsid w:val="00D81B80"/>
    <w:rsid w:val="00D822F0"/>
    <w:rsid w:val="00D82577"/>
    <w:rsid w:val="00D86539"/>
    <w:rsid w:val="00D877E5"/>
    <w:rsid w:val="00D91777"/>
    <w:rsid w:val="00D9231D"/>
    <w:rsid w:val="00DA64D8"/>
    <w:rsid w:val="00DA7C07"/>
    <w:rsid w:val="00DB17F2"/>
    <w:rsid w:val="00DB546C"/>
    <w:rsid w:val="00DB5848"/>
    <w:rsid w:val="00DB6CEA"/>
    <w:rsid w:val="00DC4DA8"/>
    <w:rsid w:val="00DC7D29"/>
    <w:rsid w:val="00DD0104"/>
    <w:rsid w:val="00DD054E"/>
    <w:rsid w:val="00DE01A3"/>
    <w:rsid w:val="00DE0988"/>
    <w:rsid w:val="00DE0C14"/>
    <w:rsid w:val="00DE0E88"/>
    <w:rsid w:val="00DE45A7"/>
    <w:rsid w:val="00DE52A4"/>
    <w:rsid w:val="00DF0BDF"/>
    <w:rsid w:val="00DF0D34"/>
    <w:rsid w:val="00DF15B6"/>
    <w:rsid w:val="00DF4B0D"/>
    <w:rsid w:val="00DF6AF1"/>
    <w:rsid w:val="00DF6E25"/>
    <w:rsid w:val="00E0329C"/>
    <w:rsid w:val="00E07519"/>
    <w:rsid w:val="00E126D7"/>
    <w:rsid w:val="00E139D2"/>
    <w:rsid w:val="00E13B99"/>
    <w:rsid w:val="00E1473E"/>
    <w:rsid w:val="00E14DA4"/>
    <w:rsid w:val="00E2020B"/>
    <w:rsid w:val="00E22072"/>
    <w:rsid w:val="00E23AEB"/>
    <w:rsid w:val="00E2460D"/>
    <w:rsid w:val="00E24817"/>
    <w:rsid w:val="00E31FD0"/>
    <w:rsid w:val="00E336AB"/>
    <w:rsid w:val="00E35029"/>
    <w:rsid w:val="00E35D73"/>
    <w:rsid w:val="00E37E91"/>
    <w:rsid w:val="00E45E28"/>
    <w:rsid w:val="00E617DD"/>
    <w:rsid w:val="00E6199D"/>
    <w:rsid w:val="00E627B7"/>
    <w:rsid w:val="00E657C3"/>
    <w:rsid w:val="00E65AD9"/>
    <w:rsid w:val="00E670A3"/>
    <w:rsid w:val="00E6782D"/>
    <w:rsid w:val="00E70885"/>
    <w:rsid w:val="00E74C71"/>
    <w:rsid w:val="00E80B8B"/>
    <w:rsid w:val="00E830B5"/>
    <w:rsid w:val="00E845B0"/>
    <w:rsid w:val="00E87282"/>
    <w:rsid w:val="00E91E6E"/>
    <w:rsid w:val="00E93BF7"/>
    <w:rsid w:val="00EA050A"/>
    <w:rsid w:val="00EA080B"/>
    <w:rsid w:val="00EA20E5"/>
    <w:rsid w:val="00EA28C0"/>
    <w:rsid w:val="00EA3563"/>
    <w:rsid w:val="00EA3C0A"/>
    <w:rsid w:val="00EA788D"/>
    <w:rsid w:val="00EB1322"/>
    <w:rsid w:val="00EC12C4"/>
    <w:rsid w:val="00EC6677"/>
    <w:rsid w:val="00EC7338"/>
    <w:rsid w:val="00ED1E49"/>
    <w:rsid w:val="00ED56DC"/>
    <w:rsid w:val="00EE0041"/>
    <w:rsid w:val="00EE2C62"/>
    <w:rsid w:val="00EE423E"/>
    <w:rsid w:val="00EE520D"/>
    <w:rsid w:val="00EE735C"/>
    <w:rsid w:val="00EF55AE"/>
    <w:rsid w:val="00EF6AAD"/>
    <w:rsid w:val="00EF734B"/>
    <w:rsid w:val="00F01F88"/>
    <w:rsid w:val="00F06658"/>
    <w:rsid w:val="00F101B9"/>
    <w:rsid w:val="00F177D4"/>
    <w:rsid w:val="00F21C6D"/>
    <w:rsid w:val="00F22A67"/>
    <w:rsid w:val="00F22BEB"/>
    <w:rsid w:val="00F2364A"/>
    <w:rsid w:val="00F2418D"/>
    <w:rsid w:val="00F24522"/>
    <w:rsid w:val="00F245C9"/>
    <w:rsid w:val="00F25AE2"/>
    <w:rsid w:val="00F27CF6"/>
    <w:rsid w:val="00F333B9"/>
    <w:rsid w:val="00F35F51"/>
    <w:rsid w:val="00F3732E"/>
    <w:rsid w:val="00F37792"/>
    <w:rsid w:val="00F43791"/>
    <w:rsid w:val="00F447C8"/>
    <w:rsid w:val="00F47166"/>
    <w:rsid w:val="00F51995"/>
    <w:rsid w:val="00F5313D"/>
    <w:rsid w:val="00F572AB"/>
    <w:rsid w:val="00F574F1"/>
    <w:rsid w:val="00F6148B"/>
    <w:rsid w:val="00F646B0"/>
    <w:rsid w:val="00F67146"/>
    <w:rsid w:val="00F75166"/>
    <w:rsid w:val="00F75F3D"/>
    <w:rsid w:val="00F764AD"/>
    <w:rsid w:val="00F8072E"/>
    <w:rsid w:val="00F835AE"/>
    <w:rsid w:val="00F95B5D"/>
    <w:rsid w:val="00FA0887"/>
    <w:rsid w:val="00FA0D07"/>
    <w:rsid w:val="00FA2E40"/>
    <w:rsid w:val="00FA3D7E"/>
    <w:rsid w:val="00FA453D"/>
    <w:rsid w:val="00FA7C4B"/>
    <w:rsid w:val="00FB0D2D"/>
    <w:rsid w:val="00FB7E27"/>
    <w:rsid w:val="00FC0AD9"/>
    <w:rsid w:val="00FC2D4F"/>
    <w:rsid w:val="00FC3325"/>
    <w:rsid w:val="00FC3928"/>
    <w:rsid w:val="00FC5BEB"/>
    <w:rsid w:val="00FC7F3C"/>
    <w:rsid w:val="00FD0FE8"/>
    <w:rsid w:val="00FD17C9"/>
    <w:rsid w:val="00FD1C9E"/>
    <w:rsid w:val="00FE21E5"/>
    <w:rsid w:val="00FE252D"/>
    <w:rsid w:val="00FE32F7"/>
    <w:rsid w:val="00FE4F32"/>
    <w:rsid w:val="00FE602F"/>
    <w:rsid w:val="00FE64CB"/>
    <w:rsid w:val="00FF0284"/>
    <w:rsid w:val="00FF1497"/>
    <w:rsid w:val="00FF2D90"/>
    <w:rsid w:val="00FF4405"/>
    <w:rsid w:val="00FF4B0D"/>
    <w:rsid w:val="00FF5CE0"/>
    <w:rsid w:val="00FF69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87E034"/>
  <w15:docId w15:val="{DDF1F420-B4B4-2244-86F8-FBF0A2F03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6E11"/>
    <w:rPr>
      <w:rFonts w:ascii="Times New Roman" w:eastAsia="Times New Roman" w:hAnsi="Times New Roman" w:cs="Times New Roman"/>
      <w:kern w:val="0"/>
      <w:sz w:val="22"/>
      <w14:ligatures w14:val="none"/>
    </w:rPr>
  </w:style>
  <w:style w:type="paragraph" w:styleId="Heading1">
    <w:name w:val="heading 1"/>
    <w:basedOn w:val="Normal"/>
    <w:next w:val="Normal"/>
    <w:link w:val="Heading1Char"/>
    <w:uiPriority w:val="9"/>
    <w:qFormat/>
    <w:rsid w:val="005D1730"/>
    <w:pPr>
      <w:keepNext/>
      <w:keepLines/>
      <w:spacing w:before="240"/>
      <w:outlineLvl w:val="0"/>
    </w:pPr>
    <w:rPr>
      <w:rFonts w:eastAsiaTheme="majorEastAsia" w:cstheme="majorBidi"/>
      <w:b/>
      <w:color w:val="000000" w:themeColor="text1"/>
      <w:sz w:val="24"/>
      <w:szCs w:val="32"/>
    </w:rPr>
  </w:style>
  <w:style w:type="paragraph" w:styleId="Heading2">
    <w:name w:val="heading 2"/>
    <w:next w:val="Heading3"/>
    <w:link w:val="Heading2Char"/>
    <w:autoRedefine/>
    <w:uiPriority w:val="9"/>
    <w:unhideWhenUsed/>
    <w:qFormat/>
    <w:rsid w:val="00BC7855"/>
    <w:pPr>
      <w:keepNext/>
      <w:keepLines/>
      <w:numPr>
        <w:ilvl w:val="1"/>
        <w:numId w:val="17"/>
      </w:numPr>
      <w:spacing w:before="40"/>
      <w:ind w:left="431" w:hanging="431"/>
      <w:outlineLvl w:val="1"/>
    </w:pPr>
    <w:rPr>
      <w:rFonts w:ascii="Times New Roman" w:eastAsiaTheme="majorEastAsia" w:hAnsi="Times New Roman" w:cstheme="majorBidi"/>
      <w:b/>
      <w:color w:val="000000" w:themeColor="text1"/>
      <w:szCs w:val="26"/>
    </w:rPr>
  </w:style>
  <w:style w:type="paragraph" w:styleId="Heading3">
    <w:name w:val="heading 3"/>
    <w:basedOn w:val="Normal"/>
    <w:next w:val="Normal"/>
    <w:link w:val="Heading3Char"/>
    <w:uiPriority w:val="9"/>
    <w:unhideWhenUsed/>
    <w:qFormat/>
    <w:rsid w:val="00B119D3"/>
    <w:pPr>
      <w:outlineLvl w:val="2"/>
    </w:pPr>
  </w:style>
  <w:style w:type="paragraph" w:styleId="Heading4">
    <w:name w:val="heading 4"/>
    <w:basedOn w:val="Heading3"/>
    <w:next w:val="Normal"/>
    <w:link w:val="Heading4Char"/>
    <w:uiPriority w:val="9"/>
    <w:unhideWhenUsed/>
    <w:qFormat/>
    <w:rsid w:val="00BC7855"/>
    <w:pPr>
      <w:numPr>
        <w:ilvl w:val="2"/>
        <w:numId w:val="17"/>
      </w:numPr>
      <w:ind w:left="505" w:hanging="505"/>
      <w:outlineLvl w:val="3"/>
    </w:pPr>
    <w:rPr>
      <w:b/>
      <w:b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C7855"/>
    <w:rPr>
      <w:rFonts w:ascii="Times New Roman" w:eastAsiaTheme="majorEastAsia" w:hAnsi="Times New Roman" w:cstheme="majorBidi"/>
      <w:b/>
      <w:color w:val="000000" w:themeColor="text1"/>
      <w:szCs w:val="26"/>
    </w:rPr>
  </w:style>
  <w:style w:type="character" w:customStyle="1" w:styleId="Heading3Char">
    <w:name w:val="Heading 3 Char"/>
    <w:basedOn w:val="DefaultParagraphFont"/>
    <w:link w:val="Heading3"/>
    <w:uiPriority w:val="9"/>
    <w:rsid w:val="00BC7855"/>
    <w:rPr>
      <w:rFonts w:ascii="Times New Roman" w:eastAsia="Times New Roman" w:hAnsi="Times New Roman" w:cs="Times New Roman"/>
      <w:kern w:val="0"/>
      <w:sz w:val="22"/>
      <w14:ligatures w14:val="none"/>
    </w:rPr>
  </w:style>
  <w:style w:type="character" w:customStyle="1" w:styleId="Heading1Char">
    <w:name w:val="Heading 1 Char"/>
    <w:basedOn w:val="DefaultParagraphFont"/>
    <w:link w:val="Heading1"/>
    <w:uiPriority w:val="9"/>
    <w:rsid w:val="005D1730"/>
    <w:rPr>
      <w:rFonts w:ascii="Times New Roman" w:eastAsiaTheme="majorEastAsia" w:hAnsi="Times New Roman" w:cstheme="majorBidi"/>
      <w:b/>
      <w:color w:val="000000" w:themeColor="text1"/>
      <w:kern w:val="0"/>
      <w:szCs w:val="32"/>
      <w:lang w:val="en-US"/>
      <w14:ligatures w14:val="none"/>
    </w:rPr>
  </w:style>
  <w:style w:type="character" w:styleId="PlaceholderText">
    <w:name w:val="Placeholder Text"/>
    <w:basedOn w:val="DefaultParagraphFont"/>
    <w:uiPriority w:val="99"/>
    <w:semiHidden/>
    <w:rsid w:val="00204D0E"/>
    <w:rPr>
      <w:color w:val="808080"/>
    </w:rPr>
  </w:style>
  <w:style w:type="paragraph" w:styleId="Caption">
    <w:name w:val="caption"/>
    <w:basedOn w:val="Normal"/>
    <w:next w:val="Normal"/>
    <w:uiPriority w:val="35"/>
    <w:unhideWhenUsed/>
    <w:qFormat/>
    <w:rsid w:val="00FC0AD9"/>
    <w:pPr>
      <w:spacing w:after="200"/>
    </w:pPr>
    <w:rPr>
      <w:bCs/>
      <w:color w:val="000000" w:themeColor="text1"/>
      <w:sz w:val="20"/>
      <w:szCs w:val="22"/>
      <w:lang w:val="en-GB"/>
    </w:rPr>
  </w:style>
  <w:style w:type="paragraph" w:styleId="TOCHeading">
    <w:name w:val="TOC Heading"/>
    <w:basedOn w:val="Heading1"/>
    <w:next w:val="Normal"/>
    <w:uiPriority w:val="39"/>
    <w:unhideWhenUsed/>
    <w:qFormat/>
    <w:rsid w:val="00204D0E"/>
    <w:pPr>
      <w:keepNext w:val="0"/>
      <w:keepLines w:val="0"/>
      <w:spacing w:before="480" w:line="276" w:lineRule="auto"/>
      <w:ind w:firstLine="720"/>
      <w:outlineLvl w:val="9"/>
    </w:pPr>
    <w:rPr>
      <w:rFonts w:eastAsia="Times New Roman" w:cs="Times New Roman"/>
      <w:bCs/>
      <w:color w:val="auto"/>
      <w:sz w:val="28"/>
      <w:szCs w:val="28"/>
    </w:rPr>
  </w:style>
  <w:style w:type="paragraph" w:styleId="TOC1">
    <w:name w:val="toc 1"/>
    <w:basedOn w:val="Normal"/>
    <w:next w:val="Normal"/>
    <w:autoRedefine/>
    <w:uiPriority w:val="39"/>
    <w:unhideWhenUsed/>
    <w:rsid w:val="007E02BC"/>
    <w:pPr>
      <w:tabs>
        <w:tab w:val="right" w:pos="9016"/>
      </w:tabs>
      <w:spacing w:before="360" w:after="120"/>
    </w:pPr>
    <w:rPr>
      <w:rFonts w:asciiTheme="minorHAnsi" w:hAnsiTheme="minorHAnsi" w:cstheme="minorHAnsi"/>
      <w:b/>
      <w:bCs/>
      <w:caps/>
      <w:szCs w:val="22"/>
      <w:u w:val="single"/>
    </w:rPr>
  </w:style>
  <w:style w:type="paragraph" w:styleId="TOC2">
    <w:name w:val="toc 2"/>
    <w:basedOn w:val="Normal"/>
    <w:next w:val="Normal"/>
    <w:autoRedefine/>
    <w:uiPriority w:val="39"/>
    <w:unhideWhenUsed/>
    <w:rsid w:val="00B471BD"/>
    <w:pPr>
      <w:tabs>
        <w:tab w:val="left" w:pos="581"/>
        <w:tab w:val="right" w:pos="9016"/>
      </w:tabs>
    </w:pPr>
    <w:rPr>
      <w:rFonts w:asciiTheme="minorHAnsi" w:hAnsiTheme="minorHAnsi" w:cstheme="minorHAnsi"/>
      <w:b/>
      <w:bCs/>
      <w:smallCaps/>
      <w:szCs w:val="22"/>
    </w:rPr>
  </w:style>
  <w:style w:type="paragraph" w:styleId="TOC3">
    <w:name w:val="toc 3"/>
    <w:basedOn w:val="Normal"/>
    <w:next w:val="Normal"/>
    <w:autoRedefine/>
    <w:uiPriority w:val="39"/>
    <w:unhideWhenUsed/>
    <w:rsid w:val="00D123C4"/>
    <w:pPr>
      <w:tabs>
        <w:tab w:val="left" w:pos="741"/>
        <w:tab w:val="right" w:pos="9016"/>
      </w:tabs>
    </w:pPr>
    <w:rPr>
      <w:rFonts w:asciiTheme="minorHAnsi" w:hAnsiTheme="minorHAnsi" w:cstheme="minorHAnsi"/>
      <w:smallCaps/>
      <w:szCs w:val="22"/>
    </w:rPr>
  </w:style>
  <w:style w:type="paragraph" w:styleId="TOC4">
    <w:name w:val="toc 4"/>
    <w:basedOn w:val="Normal"/>
    <w:next w:val="Normal"/>
    <w:autoRedefine/>
    <w:uiPriority w:val="39"/>
    <w:unhideWhenUsed/>
    <w:rsid w:val="00204D0E"/>
    <w:rPr>
      <w:rFonts w:asciiTheme="minorHAnsi" w:hAnsiTheme="minorHAnsi" w:cstheme="minorHAnsi"/>
      <w:szCs w:val="22"/>
    </w:rPr>
  </w:style>
  <w:style w:type="paragraph" w:styleId="TOC5">
    <w:name w:val="toc 5"/>
    <w:basedOn w:val="Normal"/>
    <w:next w:val="Normal"/>
    <w:autoRedefine/>
    <w:uiPriority w:val="39"/>
    <w:unhideWhenUsed/>
    <w:rsid w:val="00204D0E"/>
    <w:rPr>
      <w:rFonts w:asciiTheme="minorHAnsi" w:hAnsiTheme="minorHAnsi" w:cstheme="minorHAnsi"/>
      <w:szCs w:val="22"/>
    </w:rPr>
  </w:style>
  <w:style w:type="paragraph" w:styleId="TOC6">
    <w:name w:val="toc 6"/>
    <w:basedOn w:val="Normal"/>
    <w:next w:val="Normal"/>
    <w:autoRedefine/>
    <w:uiPriority w:val="39"/>
    <w:unhideWhenUsed/>
    <w:rsid w:val="00204D0E"/>
    <w:rPr>
      <w:rFonts w:asciiTheme="minorHAnsi" w:hAnsiTheme="minorHAnsi" w:cstheme="minorHAnsi"/>
      <w:szCs w:val="22"/>
    </w:rPr>
  </w:style>
  <w:style w:type="paragraph" w:styleId="TOC7">
    <w:name w:val="toc 7"/>
    <w:basedOn w:val="Normal"/>
    <w:next w:val="Normal"/>
    <w:autoRedefine/>
    <w:uiPriority w:val="39"/>
    <w:unhideWhenUsed/>
    <w:rsid w:val="00204D0E"/>
    <w:rPr>
      <w:rFonts w:asciiTheme="minorHAnsi" w:hAnsiTheme="minorHAnsi" w:cstheme="minorHAnsi"/>
      <w:szCs w:val="22"/>
    </w:rPr>
  </w:style>
  <w:style w:type="paragraph" w:styleId="TOC8">
    <w:name w:val="toc 8"/>
    <w:basedOn w:val="Normal"/>
    <w:next w:val="Normal"/>
    <w:autoRedefine/>
    <w:uiPriority w:val="39"/>
    <w:unhideWhenUsed/>
    <w:rsid w:val="00204D0E"/>
    <w:rPr>
      <w:rFonts w:asciiTheme="minorHAnsi" w:hAnsiTheme="minorHAnsi" w:cstheme="minorHAnsi"/>
      <w:szCs w:val="22"/>
    </w:rPr>
  </w:style>
  <w:style w:type="paragraph" w:styleId="TOC9">
    <w:name w:val="toc 9"/>
    <w:basedOn w:val="Normal"/>
    <w:next w:val="Normal"/>
    <w:autoRedefine/>
    <w:uiPriority w:val="39"/>
    <w:unhideWhenUsed/>
    <w:rsid w:val="00204D0E"/>
    <w:rPr>
      <w:rFonts w:asciiTheme="minorHAnsi" w:hAnsiTheme="minorHAnsi" w:cstheme="minorHAnsi"/>
      <w:szCs w:val="22"/>
    </w:rPr>
  </w:style>
  <w:style w:type="paragraph" w:styleId="ListParagraph">
    <w:name w:val="List Paragraph"/>
    <w:basedOn w:val="Normal"/>
    <w:uiPriority w:val="34"/>
    <w:qFormat/>
    <w:rsid w:val="00204D0E"/>
    <w:pPr>
      <w:ind w:left="720"/>
      <w:contextualSpacing/>
    </w:pPr>
  </w:style>
  <w:style w:type="character" w:styleId="Hyperlink">
    <w:name w:val="Hyperlink"/>
    <w:basedOn w:val="DefaultParagraphFont"/>
    <w:uiPriority w:val="99"/>
    <w:unhideWhenUsed/>
    <w:rsid w:val="00204D0E"/>
    <w:rPr>
      <w:color w:val="0563C1" w:themeColor="hyperlink"/>
      <w:u w:val="single"/>
    </w:rPr>
  </w:style>
  <w:style w:type="character" w:styleId="UnresolvedMention">
    <w:name w:val="Unresolved Mention"/>
    <w:basedOn w:val="DefaultParagraphFont"/>
    <w:uiPriority w:val="99"/>
    <w:rsid w:val="00204D0E"/>
    <w:rPr>
      <w:color w:val="605E5C"/>
      <w:shd w:val="clear" w:color="auto" w:fill="E1DFDD"/>
    </w:rPr>
  </w:style>
  <w:style w:type="paragraph" w:styleId="Revision">
    <w:name w:val="Revision"/>
    <w:hidden/>
    <w:uiPriority w:val="99"/>
    <w:semiHidden/>
    <w:rsid w:val="00204D0E"/>
    <w:rPr>
      <w:rFonts w:ascii="Times New Roman" w:eastAsia="Times New Roman" w:hAnsi="Times New Roman" w:cs="Times New Roman"/>
      <w:kern w:val="0"/>
      <w14:ligatures w14:val="none"/>
    </w:rPr>
  </w:style>
  <w:style w:type="character" w:styleId="CommentReference">
    <w:name w:val="annotation reference"/>
    <w:basedOn w:val="DefaultParagraphFont"/>
    <w:uiPriority w:val="99"/>
    <w:semiHidden/>
    <w:unhideWhenUsed/>
    <w:rsid w:val="00204D0E"/>
    <w:rPr>
      <w:sz w:val="16"/>
      <w:szCs w:val="16"/>
    </w:rPr>
  </w:style>
  <w:style w:type="paragraph" w:styleId="CommentText">
    <w:name w:val="annotation text"/>
    <w:basedOn w:val="Normal"/>
    <w:link w:val="CommentTextChar"/>
    <w:uiPriority w:val="99"/>
    <w:semiHidden/>
    <w:unhideWhenUsed/>
    <w:rsid w:val="00204D0E"/>
    <w:rPr>
      <w:sz w:val="20"/>
      <w:szCs w:val="20"/>
    </w:rPr>
  </w:style>
  <w:style w:type="character" w:customStyle="1" w:styleId="CommentTextChar">
    <w:name w:val="Comment Text Char"/>
    <w:basedOn w:val="DefaultParagraphFont"/>
    <w:link w:val="CommentText"/>
    <w:uiPriority w:val="99"/>
    <w:semiHidden/>
    <w:rsid w:val="00204D0E"/>
    <w:rPr>
      <w:rFonts w:ascii="Times New Roman" w:eastAsia="Times New Roman" w:hAnsi="Times New Roman" w:cs="Times New Roman"/>
      <w:kern w:val="0"/>
      <w:sz w:val="20"/>
      <w:szCs w:val="20"/>
      <w:lang w:val="en-US"/>
      <w14:ligatures w14:val="none"/>
    </w:rPr>
  </w:style>
  <w:style w:type="paragraph" w:styleId="CommentSubject">
    <w:name w:val="annotation subject"/>
    <w:basedOn w:val="CommentText"/>
    <w:next w:val="CommentText"/>
    <w:link w:val="CommentSubjectChar"/>
    <w:uiPriority w:val="99"/>
    <w:semiHidden/>
    <w:unhideWhenUsed/>
    <w:rsid w:val="00204D0E"/>
    <w:rPr>
      <w:b/>
      <w:bCs/>
    </w:rPr>
  </w:style>
  <w:style w:type="character" w:customStyle="1" w:styleId="CommentSubjectChar">
    <w:name w:val="Comment Subject Char"/>
    <w:basedOn w:val="CommentTextChar"/>
    <w:link w:val="CommentSubject"/>
    <w:uiPriority w:val="99"/>
    <w:semiHidden/>
    <w:rsid w:val="00204D0E"/>
    <w:rPr>
      <w:rFonts w:ascii="Times New Roman" w:eastAsia="Times New Roman" w:hAnsi="Times New Roman" w:cs="Times New Roman"/>
      <w:b/>
      <w:bCs/>
      <w:kern w:val="0"/>
      <w:sz w:val="20"/>
      <w:szCs w:val="20"/>
      <w:lang w:val="en-US"/>
      <w14:ligatures w14:val="none"/>
    </w:rPr>
  </w:style>
  <w:style w:type="paragraph" w:styleId="BalloonText">
    <w:name w:val="Balloon Text"/>
    <w:basedOn w:val="Normal"/>
    <w:link w:val="BalloonTextChar"/>
    <w:uiPriority w:val="99"/>
    <w:semiHidden/>
    <w:unhideWhenUsed/>
    <w:rsid w:val="00204D0E"/>
    <w:rPr>
      <w:sz w:val="18"/>
      <w:szCs w:val="18"/>
    </w:rPr>
  </w:style>
  <w:style w:type="character" w:customStyle="1" w:styleId="BalloonTextChar">
    <w:name w:val="Balloon Text Char"/>
    <w:basedOn w:val="DefaultParagraphFont"/>
    <w:link w:val="BalloonText"/>
    <w:uiPriority w:val="99"/>
    <w:semiHidden/>
    <w:rsid w:val="00204D0E"/>
    <w:rPr>
      <w:rFonts w:ascii="Times New Roman" w:eastAsia="Times New Roman" w:hAnsi="Times New Roman" w:cs="Times New Roman"/>
      <w:kern w:val="0"/>
      <w:sz w:val="18"/>
      <w:szCs w:val="18"/>
      <w:lang w:val="en-US"/>
      <w14:ligatures w14:val="none"/>
    </w:rPr>
  </w:style>
  <w:style w:type="paragraph" w:customStyle="1" w:styleId="EndNoteBibliographyTitle">
    <w:name w:val="EndNote Bibliography Title"/>
    <w:basedOn w:val="Normal"/>
    <w:link w:val="EndNoteBibliographyTitleChar"/>
    <w:rsid w:val="00204D0E"/>
    <w:pPr>
      <w:jc w:val="center"/>
    </w:pPr>
    <w:rPr>
      <w:sz w:val="24"/>
    </w:rPr>
  </w:style>
  <w:style w:type="character" w:customStyle="1" w:styleId="EndNoteBibliographyTitleChar">
    <w:name w:val="EndNote Bibliography Title Char"/>
    <w:basedOn w:val="DefaultParagraphFont"/>
    <w:link w:val="EndNoteBibliographyTitle"/>
    <w:rsid w:val="00204D0E"/>
    <w:rPr>
      <w:rFonts w:ascii="Times New Roman" w:eastAsia="Times New Roman" w:hAnsi="Times New Roman" w:cs="Times New Roman"/>
      <w:kern w:val="0"/>
      <w14:ligatures w14:val="none"/>
    </w:rPr>
  </w:style>
  <w:style w:type="paragraph" w:customStyle="1" w:styleId="EndNoteBibliography">
    <w:name w:val="EndNote Bibliography"/>
    <w:basedOn w:val="Normal"/>
    <w:link w:val="EndNoteBibliographyChar"/>
    <w:rsid w:val="00817273"/>
    <w:rPr>
      <w:sz w:val="24"/>
    </w:rPr>
  </w:style>
  <w:style w:type="character" w:customStyle="1" w:styleId="EndNoteBibliographyChar">
    <w:name w:val="EndNote Bibliography Char"/>
    <w:basedOn w:val="DefaultParagraphFont"/>
    <w:link w:val="EndNoteBibliography"/>
    <w:rsid w:val="00817273"/>
    <w:rPr>
      <w:rFonts w:ascii="Times New Roman" w:eastAsia="Times New Roman" w:hAnsi="Times New Roman" w:cs="Times New Roman"/>
      <w:kern w:val="0"/>
      <w14:ligatures w14:val="none"/>
    </w:rPr>
  </w:style>
  <w:style w:type="table" w:styleId="TableGrid">
    <w:name w:val="Table Grid"/>
    <w:basedOn w:val="TableNormal"/>
    <w:uiPriority w:val="39"/>
    <w:rsid w:val="00204D0E"/>
    <w:rPr>
      <w:rFonts w:ascii="Arial" w:hAnsi="Arial" w:cs="Arial"/>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204D0E"/>
    <w:pPr>
      <w:spacing w:before="100" w:beforeAutospacing="1" w:after="100" w:afterAutospacing="1"/>
    </w:pPr>
    <w:rPr>
      <w:lang w:eastAsia="en-GB"/>
    </w:rPr>
  </w:style>
  <w:style w:type="paragraph" w:styleId="Footer">
    <w:name w:val="footer"/>
    <w:basedOn w:val="Normal"/>
    <w:link w:val="FooterChar"/>
    <w:uiPriority w:val="99"/>
    <w:unhideWhenUsed/>
    <w:rsid w:val="00204D0E"/>
    <w:pPr>
      <w:tabs>
        <w:tab w:val="center" w:pos="4513"/>
        <w:tab w:val="right" w:pos="9026"/>
      </w:tabs>
    </w:pPr>
  </w:style>
  <w:style w:type="character" w:customStyle="1" w:styleId="FooterChar">
    <w:name w:val="Footer Char"/>
    <w:basedOn w:val="DefaultParagraphFont"/>
    <w:link w:val="Footer"/>
    <w:uiPriority w:val="99"/>
    <w:rsid w:val="00204D0E"/>
    <w:rPr>
      <w:rFonts w:ascii="Times New Roman" w:eastAsia="Times New Roman" w:hAnsi="Times New Roman" w:cs="Times New Roman"/>
      <w:kern w:val="0"/>
      <w:lang w:val="en-US"/>
      <w14:ligatures w14:val="none"/>
    </w:rPr>
  </w:style>
  <w:style w:type="character" w:styleId="PageNumber">
    <w:name w:val="page number"/>
    <w:basedOn w:val="DefaultParagraphFont"/>
    <w:uiPriority w:val="99"/>
    <w:semiHidden/>
    <w:unhideWhenUsed/>
    <w:rsid w:val="00204D0E"/>
  </w:style>
  <w:style w:type="numbering" w:styleId="111111">
    <w:name w:val="Outline List 2"/>
    <w:basedOn w:val="NoList"/>
    <w:uiPriority w:val="99"/>
    <w:semiHidden/>
    <w:unhideWhenUsed/>
    <w:rsid w:val="00204D0E"/>
    <w:pPr>
      <w:numPr>
        <w:numId w:val="11"/>
      </w:numPr>
    </w:pPr>
  </w:style>
  <w:style w:type="paragraph" w:styleId="Title">
    <w:name w:val="Title"/>
    <w:basedOn w:val="Normal"/>
    <w:next w:val="Normal"/>
    <w:link w:val="TitleChar"/>
    <w:uiPriority w:val="10"/>
    <w:qFormat/>
    <w:rsid w:val="00185B66"/>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85B66"/>
    <w:rPr>
      <w:rFonts w:asciiTheme="majorHAnsi" w:eastAsiaTheme="majorEastAsia" w:hAnsiTheme="majorHAnsi" w:cstheme="majorBidi"/>
      <w:spacing w:val="-10"/>
      <w:kern w:val="28"/>
      <w:sz w:val="56"/>
      <w:szCs w:val="56"/>
      <w14:ligatures w14:val="none"/>
    </w:rPr>
  </w:style>
  <w:style w:type="paragraph" w:styleId="Subtitle">
    <w:name w:val="Subtitle"/>
    <w:basedOn w:val="Normal"/>
    <w:next w:val="Normal"/>
    <w:link w:val="SubtitleChar"/>
    <w:uiPriority w:val="11"/>
    <w:qFormat/>
    <w:rsid w:val="00185B66"/>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SubtitleChar">
    <w:name w:val="Subtitle Char"/>
    <w:basedOn w:val="DefaultParagraphFont"/>
    <w:link w:val="Subtitle"/>
    <w:uiPriority w:val="11"/>
    <w:rsid w:val="00185B66"/>
    <w:rPr>
      <w:rFonts w:eastAsiaTheme="minorEastAsia"/>
      <w:color w:val="5A5A5A" w:themeColor="text1" w:themeTint="A5"/>
      <w:spacing w:val="15"/>
      <w:kern w:val="0"/>
      <w:sz w:val="22"/>
      <w:szCs w:val="22"/>
      <w14:ligatures w14:val="none"/>
    </w:rPr>
  </w:style>
  <w:style w:type="character" w:customStyle="1" w:styleId="anchor-text">
    <w:name w:val="anchor-text"/>
    <w:basedOn w:val="DefaultParagraphFont"/>
    <w:rsid w:val="00594FAE"/>
  </w:style>
  <w:style w:type="character" w:customStyle="1" w:styleId="apple-converted-space">
    <w:name w:val="apple-converted-space"/>
    <w:basedOn w:val="DefaultParagraphFont"/>
    <w:rsid w:val="00594FAE"/>
  </w:style>
  <w:style w:type="character" w:styleId="FollowedHyperlink">
    <w:name w:val="FollowedHyperlink"/>
    <w:basedOn w:val="DefaultParagraphFont"/>
    <w:uiPriority w:val="99"/>
    <w:semiHidden/>
    <w:unhideWhenUsed/>
    <w:rsid w:val="00594FAE"/>
    <w:rPr>
      <w:color w:val="954F72" w:themeColor="followedHyperlink"/>
      <w:u w:val="single"/>
    </w:rPr>
  </w:style>
  <w:style w:type="character" w:customStyle="1" w:styleId="icomoon">
    <w:name w:val="icomoon"/>
    <w:basedOn w:val="DefaultParagraphFont"/>
    <w:rsid w:val="00594FAE"/>
  </w:style>
  <w:style w:type="character" w:customStyle="1" w:styleId="Heading4Char">
    <w:name w:val="Heading 4 Char"/>
    <w:basedOn w:val="DefaultParagraphFont"/>
    <w:link w:val="Heading4"/>
    <w:uiPriority w:val="9"/>
    <w:rsid w:val="00BC7855"/>
    <w:rPr>
      <w:rFonts w:ascii="Times New Roman" w:eastAsia="Times New Roman" w:hAnsi="Times New Roman" w:cs="Times New Roman"/>
      <w:b/>
      <w:bCs/>
      <w:kern w:val="0"/>
      <w:sz w:val="22"/>
      <w14:ligatures w14:val="none"/>
    </w:rPr>
  </w:style>
  <w:style w:type="numbering" w:customStyle="1" w:styleId="NoList1">
    <w:name w:val="No List1"/>
    <w:next w:val="NoList"/>
    <w:uiPriority w:val="99"/>
    <w:semiHidden/>
    <w:unhideWhenUsed/>
    <w:rsid w:val="00780634"/>
  </w:style>
  <w:style w:type="table" w:customStyle="1" w:styleId="TableGrid1">
    <w:name w:val="Table Grid1"/>
    <w:basedOn w:val="TableNormal"/>
    <w:next w:val="TableGrid"/>
    <w:uiPriority w:val="39"/>
    <w:rsid w:val="007806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9914353">
      <w:bodyDiv w:val="1"/>
      <w:marLeft w:val="0"/>
      <w:marRight w:val="0"/>
      <w:marTop w:val="0"/>
      <w:marBottom w:val="0"/>
      <w:divBdr>
        <w:top w:val="none" w:sz="0" w:space="0" w:color="auto"/>
        <w:left w:val="none" w:sz="0" w:space="0" w:color="auto"/>
        <w:bottom w:val="none" w:sz="0" w:space="0" w:color="auto"/>
        <w:right w:val="none" w:sz="0" w:space="0" w:color="auto"/>
      </w:divBdr>
      <w:divsChild>
        <w:div w:id="1940017889">
          <w:marLeft w:val="0"/>
          <w:marRight w:val="0"/>
          <w:marTop w:val="0"/>
          <w:marBottom w:val="0"/>
          <w:divBdr>
            <w:top w:val="none" w:sz="0" w:space="0" w:color="auto"/>
            <w:left w:val="none" w:sz="0" w:space="0" w:color="auto"/>
            <w:bottom w:val="none" w:sz="0" w:space="0" w:color="auto"/>
            <w:right w:val="none" w:sz="0" w:space="0" w:color="auto"/>
          </w:divBdr>
          <w:divsChild>
            <w:div w:id="1479372090">
              <w:marLeft w:val="0"/>
              <w:marRight w:val="0"/>
              <w:marTop w:val="0"/>
              <w:marBottom w:val="0"/>
              <w:divBdr>
                <w:top w:val="none" w:sz="0" w:space="0" w:color="auto"/>
                <w:left w:val="none" w:sz="0" w:space="0" w:color="auto"/>
                <w:bottom w:val="none" w:sz="0" w:space="0" w:color="auto"/>
                <w:right w:val="none" w:sz="0" w:space="0" w:color="auto"/>
              </w:divBdr>
              <w:divsChild>
                <w:div w:id="2013675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1498538">
      <w:bodyDiv w:val="1"/>
      <w:marLeft w:val="0"/>
      <w:marRight w:val="0"/>
      <w:marTop w:val="0"/>
      <w:marBottom w:val="0"/>
      <w:divBdr>
        <w:top w:val="none" w:sz="0" w:space="0" w:color="auto"/>
        <w:left w:val="none" w:sz="0" w:space="0" w:color="auto"/>
        <w:bottom w:val="none" w:sz="0" w:space="0" w:color="auto"/>
        <w:right w:val="none" w:sz="0" w:space="0" w:color="auto"/>
      </w:divBdr>
      <w:divsChild>
        <w:div w:id="1117217223">
          <w:marLeft w:val="0"/>
          <w:marRight w:val="0"/>
          <w:marTop w:val="0"/>
          <w:marBottom w:val="0"/>
          <w:divBdr>
            <w:top w:val="none" w:sz="0" w:space="0" w:color="auto"/>
            <w:left w:val="none" w:sz="0" w:space="0" w:color="auto"/>
            <w:bottom w:val="none" w:sz="0" w:space="0" w:color="auto"/>
            <w:right w:val="none" w:sz="0" w:space="0" w:color="auto"/>
          </w:divBdr>
          <w:divsChild>
            <w:div w:id="626862345">
              <w:marLeft w:val="0"/>
              <w:marRight w:val="0"/>
              <w:marTop w:val="0"/>
              <w:marBottom w:val="0"/>
              <w:divBdr>
                <w:top w:val="none" w:sz="0" w:space="0" w:color="auto"/>
                <w:left w:val="none" w:sz="0" w:space="0" w:color="auto"/>
                <w:bottom w:val="none" w:sz="0" w:space="0" w:color="auto"/>
                <w:right w:val="none" w:sz="0" w:space="0" w:color="auto"/>
              </w:divBdr>
              <w:divsChild>
                <w:div w:id="1402564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2484462">
      <w:bodyDiv w:val="1"/>
      <w:marLeft w:val="0"/>
      <w:marRight w:val="0"/>
      <w:marTop w:val="0"/>
      <w:marBottom w:val="0"/>
      <w:divBdr>
        <w:top w:val="none" w:sz="0" w:space="0" w:color="auto"/>
        <w:left w:val="none" w:sz="0" w:space="0" w:color="auto"/>
        <w:bottom w:val="none" w:sz="0" w:space="0" w:color="auto"/>
        <w:right w:val="none" w:sz="0" w:space="0" w:color="auto"/>
      </w:divBdr>
      <w:divsChild>
        <w:div w:id="1336807593">
          <w:marLeft w:val="0"/>
          <w:marRight w:val="0"/>
          <w:marTop w:val="0"/>
          <w:marBottom w:val="0"/>
          <w:divBdr>
            <w:top w:val="none" w:sz="0" w:space="0" w:color="auto"/>
            <w:left w:val="none" w:sz="0" w:space="0" w:color="auto"/>
            <w:bottom w:val="none" w:sz="0" w:space="0" w:color="auto"/>
            <w:right w:val="none" w:sz="0" w:space="0" w:color="auto"/>
          </w:divBdr>
          <w:divsChild>
            <w:div w:id="851146882">
              <w:marLeft w:val="0"/>
              <w:marRight w:val="0"/>
              <w:marTop w:val="0"/>
              <w:marBottom w:val="0"/>
              <w:divBdr>
                <w:top w:val="none" w:sz="0" w:space="0" w:color="auto"/>
                <w:left w:val="none" w:sz="0" w:space="0" w:color="auto"/>
                <w:bottom w:val="none" w:sz="0" w:space="0" w:color="auto"/>
                <w:right w:val="none" w:sz="0" w:space="0" w:color="auto"/>
              </w:divBdr>
              <w:divsChild>
                <w:div w:id="45106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8844132">
      <w:bodyDiv w:val="1"/>
      <w:marLeft w:val="0"/>
      <w:marRight w:val="0"/>
      <w:marTop w:val="0"/>
      <w:marBottom w:val="0"/>
      <w:divBdr>
        <w:top w:val="none" w:sz="0" w:space="0" w:color="auto"/>
        <w:left w:val="none" w:sz="0" w:space="0" w:color="auto"/>
        <w:bottom w:val="none" w:sz="0" w:space="0" w:color="auto"/>
        <w:right w:val="none" w:sz="0" w:space="0" w:color="auto"/>
      </w:divBdr>
      <w:divsChild>
        <w:div w:id="431515730">
          <w:marLeft w:val="0"/>
          <w:marRight w:val="0"/>
          <w:marTop w:val="0"/>
          <w:marBottom w:val="0"/>
          <w:divBdr>
            <w:top w:val="none" w:sz="0" w:space="0" w:color="auto"/>
            <w:left w:val="none" w:sz="0" w:space="0" w:color="auto"/>
            <w:bottom w:val="none" w:sz="0" w:space="0" w:color="auto"/>
            <w:right w:val="none" w:sz="0" w:space="0" w:color="auto"/>
          </w:divBdr>
          <w:divsChild>
            <w:div w:id="2013795213">
              <w:marLeft w:val="0"/>
              <w:marRight w:val="0"/>
              <w:marTop w:val="0"/>
              <w:marBottom w:val="0"/>
              <w:divBdr>
                <w:top w:val="none" w:sz="0" w:space="0" w:color="auto"/>
                <w:left w:val="none" w:sz="0" w:space="0" w:color="auto"/>
                <w:bottom w:val="none" w:sz="0" w:space="0" w:color="auto"/>
                <w:right w:val="none" w:sz="0" w:space="0" w:color="auto"/>
              </w:divBdr>
              <w:divsChild>
                <w:div w:id="1523350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7047464">
      <w:bodyDiv w:val="1"/>
      <w:marLeft w:val="0"/>
      <w:marRight w:val="0"/>
      <w:marTop w:val="0"/>
      <w:marBottom w:val="0"/>
      <w:divBdr>
        <w:top w:val="none" w:sz="0" w:space="0" w:color="auto"/>
        <w:left w:val="none" w:sz="0" w:space="0" w:color="auto"/>
        <w:bottom w:val="none" w:sz="0" w:space="0" w:color="auto"/>
        <w:right w:val="none" w:sz="0" w:space="0" w:color="auto"/>
      </w:divBdr>
      <w:divsChild>
        <w:div w:id="1459375012">
          <w:marLeft w:val="0"/>
          <w:marRight w:val="0"/>
          <w:marTop w:val="0"/>
          <w:marBottom w:val="0"/>
          <w:divBdr>
            <w:top w:val="none" w:sz="0" w:space="0" w:color="auto"/>
            <w:left w:val="none" w:sz="0" w:space="0" w:color="auto"/>
            <w:bottom w:val="none" w:sz="0" w:space="0" w:color="auto"/>
            <w:right w:val="none" w:sz="0" w:space="0" w:color="auto"/>
          </w:divBdr>
          <w:divsChild>
            <w:div w:id="1347827975">
              <w:marLeft w:val="0"/>
              <w:marRight w:val="0"/>
              <w:marTop w:val="0"/>
              <w:marBottom w:val="0"/>
              <w:divBdr>
                <w:top w:val="none" w:sz="0" w:space="0" w:color="auto"/>
                <w:left w:val="none" w:sz="0" w:space="0" w:color="auto"/>
                <w:bottom w:val="none" w:sz="0" w:space="0" w:color="auto"/>
                <w:right w:val="none" w:sz="0" w:space="0" w:color="auto"/>
              </w:divBdr>
              <w:divsChild>
                <w:div w:id="1300382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6.jpeg"/><Relationship Id="rId21" Type="http://schemas.openxmlformats.org/officeDocument/2006/relationships/image" Target="media/image11.png"/><Relationship Id="rId42" Type="http://schemas.openxmlformats.org/officeDocument/2006/relationships/image" Target="media/image32.jpeg"/><Relationship Id="rId47" Type="http://schemas.openxmlformats.org/officeDocument/2006/relationships/image" Target="media/image37.jpeg"/><Relationship Id="rId63" Type="http://schemas.openxmlformats.org/officeDocument/2006/relationships/image" Target="media/image53.jpeg"/><Relationship Id="rId68" Type="http://schemas.openxmlformats.org/officeDocument/2006/relationships/image" Target="media/image58.jpeg"/><Relationship Id="rId84" Type="http://schemas.openxmlformats.org/officeDocument/2006/relationships/footer" Target="footer1.xml"/><Relationship Id="rId16" Type="http://schemas.openxmlformats.org/officeDocument/2006/relationships/image" Target="media/image6.png"/><Relationship Id="rId11" Type="http://schemas.openxmlformats.org/officeDocument/2006/relationships/image" Target="media/image1.png"/><Relationship Id="rId32" Type="http://schemas.openxmlformats.org/officeDocument/2006/relationships/image" Target="media/image22.png"/><Relationship Id="rId37" Type="http://schemas.openxmlformats.org/officeDocument/2006/relationships/image" Target="media/image27.jpeg"/><Relationship Id="rId53" Type="http://schemas.openxmlformats.org/officeDocument/2006/relationships/image" Target="media/image43.jpeg"/><Relationship Id="rId58" Type="http://schemas.openxmlformats.org/officeDocument/2006/relationships/image" Target="media/image48.jpeg"/><Relationship Id="rId74" Type="http://schemas.openxmlformats.org/officeDocument/2006/relationships/image" Target="media/image64.jpeg"/><Relationship Id="rId79" Type="http://schemas.openxmlformats.org/officeDocument/2006/relationships/image" Target="media/image69.jpeg"/><Relationship Id="rId5" Type="http://schemas.openxmlformats.org/officeDocument/2006/relationships/webSettings" Target="webSettings.xml"/><Relationship Id="rId19" Type="http://schemas.openxmlformats.org/officeDocument/2006/relationships/image" Target="media/image9.png"/><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gif"/><Relationship Id="rId35" Type="http://schemas.openxmlformats.org/officeDocument/2006/relationships/image" Target="media/image25.jpeg"/><Relationship Id="rId43" Type="http://schemas.openxmlformats.org/officeDocument/2006/relationships/image" Target="media/image33.jpeg"/><Relationship Id="rId48" Type="http://schemas.openxmlformats.org/officeDocument/2006/relationships/image" Target="media/image38.jpeg"/><Relationship Id="rId56" Type="http://schemas.openxmlformats.org/officeDocument/2006/relationships/image" Target="media/image46.jpeg"/><Relationship Id="rId64" Type="http://schemas.openxmlformats.org/officeDocument/2006/relationships/image" Target="media/image54.jpeg"/><Relationship Id="rId69" Type="http://schemas.openxmlformats.org/officeDocument/2006/relationships/image" Target="media/image59.jpeg"/><Relationship Id="rId77" Type="http://schemas.openxmlformats.org/officeDocument/2006/relationships/image" Target="media/image67.jpeg"/><Relationship Id="rId8" Type="http://schemas.openxmlformats.org/officeDocument/2006/relationships/hyperlink" Target="mailto:tejones@lanl.gov" TargetMode="External"/><Relationship Id="rId51" Type="http://schemas.openxmlformats.org/officeDocument/2006/relationships/image" Target="media/image41.jpeg"/><Relationship Id="rId72" Type="http://schemas.openxmlformats.org/officeDocument/2006/relationships/image" Target="media/image62.jpeg"/><Relationship Id="rId80" Type="http://schemas.openxmlformats.org/officeDocument/2006/relationships/image" Target="media/image70.jpeg"/><Relationship Id="rId85" Type="http://schemas.openxmlformats.org/officeDocument/2006/relationships/footer" Target="footer2.xm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5.png"/><Relationship Id="rId33" Type="http://schemas.openxmlformats.org/officeDocument/2006/relationships/image" Target="media/image23.jpeg"/><Relationship Id="rId38" Type="http://schemas.openxmlformats.org/officeDocument/2006/relationships/image" Target="media/image28.jpeg"/><Relationship Id="rId46" Type="http://schemas.openxmlformats.org/officeDocument/2006/relationships/image" Target="media/image36.jpeg"/><Relationship Id="rId59" Type="http://schemas.openxmlformats.org/officeDocument/2006/relationships/image" Target="media/image49.png"/><Relationship Id="rId67" Type="http://schemas.openxmlformats.org/officeDocument/2006/relationships/image" Target="media/image57.jpeg"/><Relationship Id="rId20" Type="http://schemas.openxmlformats.org/officeDocument/2006/relationships/image" Target="media/image10.png"/><Relationship Id="rId41" Type="http://schemas.openxmlformats.org/officeDocument/2006/relationships/image" Target="media/image31.jpeg"/><Relationship Id="rId54" Type="http://schemas.openxmlformats.org/officeDocument/2006/relationships/image" Target="media/image44.jpeg"/><Relationship Id="rId62" Type="http://schemas.openxmlformats.org/officeDocument/2006/relationships/image" Target="media/image52.jpeg"/><Relationship Id="rId70" Type="http://schemas.openxmlformats.org/officeDocument/2006/relationships/image" Target="media/image60.jpeg"/><Relationship Id="rId75" Type="http://schemas.openxmlformats.org/officeDocument/2006/relationships/image" Target="media/image65.jpeg"/><Relationship Id="rId83" Type="http://schemas.openxmlformats.org/officeDocument/2006/relationships/image" Target="media/image7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image" Target="media/image13.png"/><Relationship Id="rId28" Type="http://schemas.openxmlformats.org/officeDocument/2006/relationships/image" Target="media/image18.jpeg"/><Relationship Id="rId36" Type="http://schemas.openxmlformats.org/officeDocument/2006/relationships/image" Target="media/image26.jpeg"/><Relationship Id="rId49" Type="http://schemas.openxmlformats.org/officeDocument/2006/relationships/image" Target="media/image39.jpeg"/><Relationship Id="rId57" Type="http://schemas.openxmlformats.org/officeDocument/2006/relationships/image" Target="media/image47.jpg"/><Relationship Id="rId10" Type="http://schemas.openxmlformats.org/officeDocument/2006/relationships/hyperlink" Target="mailto:piccinin@iom.cnr.it" TargetMode="External"/><Relationship Id="rId31" Type="http://schemas.openxmlformats.org/officeDocument/2006/relationships/image" Target="media/image21.jpeg"/><Relationship Id="rId44" Type="http://schemas.openxmlformats.org/officeDocument/2006/relationships/image" Target="media/image34.jpeg"/><Relationship Id="rId52" Type="http://schemas.openxmlformats.org/officeDocument/2006/relationships/image" Target="media/image42.jpeg"/><Relationship Id="rId60" Type="http://schemas.openxmlformats.org/officeDocument/2006/relationships/image" Target="media/image50.jpeg"/><Relationship Id="rId65" Type="http://schemas.openxmlformats.org/officeDocument/2006/relationships/image" Target="media/image55.jpeg"/><Relationship Id="rId73" Type="http://schemas.openxmlformats.org/officeDocument/2006/relationships/image" Target="media/image63.gif"/><Relationship Id="rId78" Type="http://schemas.openxmlformats.org/officeDocument/2006/relationships/image" Target="media/image68.jpeg"/><Relationship Id="rId81" Type="http://schemas.openxmlformats.org/officeDocument/2006/relationships/hyperlink" Target="https://doi.org/10.1007/978-3-642-04937-8" TargetMode="External"/><Relationship Id="rId8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teschner@fhi-berlin.mpg.de" TargetMode="External"/><Relationship Id="rId13" Type="http://schemas.openxmlformats.org/officeDocument/2006/relationships/image" Target="media/image3.png"/><Relationship Id="rId18" Type="http://schemas.openxmlformats.org/officeDocument/2006/relationships/image" Target="media/image8.jpeg"/><Relationship Id="rId39" Type="http://schemas.openxmlformats.org/officeDocument/2006/relationships/image" Target="media/image29.jpeg"/><Relationship Id="rId34" Type="http://schemas.openxmlformats.org/officeDocument/2006/relationships/image" Target="media/image24.jpeg"/><Relationship Id="rId50" Type="http://schemas.openxmlformats.org/officeDocument/2006/relationships/image" Target="media/image40.jpeg"/><Relationship Id="rId55" Type="http://schemas.openxmlformats.org/officeDocument/2006/relationships/image" Target="media/image45.jpeg"/><Relationship Id="rId76" Type="http://schemas.openxmlformats.org/officeDocument/2006/relationships/image" Target="media/image66.jpeg"/><Relationship Id="rId7" Type="http://schemas.openxmlformats.org/officeDocument/2006/relationships/endnotes" Target="endnotes.xml"/><Relationship Id="rId71" Type="http://schemas.openxmlformats.org/officeDocument/2006/relationships/image" Target="media/image61.jpeg"/><Relationship Id="rId2" Type="http://schemas.openxmlformats.org/officeDocument/2006/relationships/numbering" Target="numbering.xml"/><Relationship Id="rId29" Type="http://schemas.openxmlformats.org/officeDocument/2006/relationships/image" Target="media/image19.jpeg"/><Relationship Id="rId24" Type="http://schemas.openxmlformats.org/officeDocument/2006/relationships/image" Target="media/image14.png"/><Relationship Id="rId40" Type="http://schemas.openxmlformats.org/officeDocument/2006/relationships/image" Target="media/image30.jpeg"/><Relationship Id="rId45" Type="http://schemas.openxmlformats.org/officeDocument/2006/relationships/image" Target="media/image35.jpeg"/><Relationship Id="rId66" Type="http://schemas.openxmlformats.org/officeDocument/2006/relationships/image" Target="media/image56.jpeg"/><Relationship Id="rId87" Type="http://schemas.openxmlformats.org/officeDocument/2006/relationships/theme" Target="theme/theme1.xml"/><Relationship Id="rId61" Type="http://schemas.openxmlformats.org/officeDocument/2006/relationships/image" Target="media/image51.jpg"/><Relationship Id="rId82" Type="http://schemas.openxmlformats.org/officeDocument/2006/relationships/hyperlink" Target="https://doi.org/10.1007/978-3-642-86547-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5575EF-0B2D-8546-8BD1-32CF6BDFA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145</Pages>
  <Words>191155</Words>
  <Characters>1089587</Characters>
  <Application>Microsoft Office Word</Application>
  <DocSecurity>0</DocSecurity>
  <Lines>9079</Lines>
  <Paragraphs>2556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1278186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Detre Teschner</dc:creator>
  <cp:keywords/>
  <dc:description/>
  <cp:lastModifiedBy>Jones, Travis Elliott Loyd</cp:lastModifiedBy>
  <cp:revision>2</cp:revision>
  <dcterms:created xsi:type="dcterms:W3CDTF">2024-05-23T18:50:00Z</dcterms:created>
  <dcterms:modified xsi:type="dcterms:W3CDTF">2024-05-23T18:50:00Z</dcterms:modified>
</cp:coreProperties>
</file>